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Water Agencies (Powers) Act 1984</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Agencies (Charges) By-laws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August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_Toc237309510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_Toc237309511 \h </w:instrText>
      </w:r>
      <w:r>
        <w:fldChar w:fldCharType="separate"/>
      </w:r>
      <w:r>
        <w:t>1</w:t>
      </w:r>
      <w:r>
        <w:fldChar w:fldCharType="end"/>
      </w:r>
    </w:p>
    <w:p>
      <w:pPr>
        <w:pStyle w:val="TOC2"/>
        <w:tabs>
          <w:tab w:val="right" w:leader="dot" w:pos="7086"/>
        </w:tabs>
        <w:rPr>
          <w:b w:val="0"/>
          <w:sz w:val="24"/>
          <w:szCs w:val="24"/>
        </w:rPr>
      </w:pPr>
      <w:r>
        <w:rPr>
          <w:szCs w:val="30"/>
        </w:rPr>
        <w:t>Part 1 — General</w:t>
      </w:r>
    </w:p>
    <w:p>
      <w:pPr>
        <w:pStyle w:val="TOC8"/>
        <w:rPr>
          <w:sz w:val="24"/>
          <w:szCs w:val="24"/>
        </w:rPr>
      </w:pPr>
      <w:r>
        <w:rPr>
          <w:szCs w:val="24"/>
        </w:rPr>
        <w:t>3</w:t>
      </w:r>
      <w:r>
        <w:rPr>
          <w:snapToGrid w:val="0"/>
          <w:szCs w:val="24"/>
        </w:rPr>
        <w:t>.</w:t>
      </w:r>
      <w:r>
        <w:rPr>
          <w:snapToGrid w:val="0"/>
          <w:szCs w:val="24"/>
        </w:rPr>
        <w:tab/>
        <w:t>Proportionate charges for part of year</w:t>
      </w:r>
      <w:r>
        <w:tab/>
      </w:r>
      <w:r>
        <w:fldChar w:fldCharType="begin"/>
      </w:r>
      <w:r>
        <w:instrText xml:space="preserve"> PAGEREF _Toc237309513 \h </w:instrText>
      </w:r>
      <w:r>
        <w:fldChar w:fldCharType="separate"/>
      </w:r>
      <w:r>
        <w:t>9</w:t>
      </w:r>
      <w:r>
        <w:fldChar w:fldCharType="end"/>
      </w:r>
    </w:p>
    <w:p>
      <w:pPr>
        <w:pStyle w:val="TOC8"/>
        <w:rPr>
          <w:sz w:val="24"/>
          <w:szCs w:val="24"/>
        </w:rPr>
      </w:pPr>
      <w:r>
        <w:rPr>
          <w:szCs w:val="24"/>
        </w:rPr>
        <w:t>3A</w:t>
      </w:r>
      <w:r>
        <w:rPr>
          <w:snapToGrid w:val="0"/>
          <w:szCs w:val="24"/>
        </w:rPr>
        <w:t>.</w:t>
      </w:r>
      <w:r>
        <w:rPr>
          <w:snapToGrid w:val="0"/>
          <w:szCs w:val="24"/>
        </w:rPr>
        <w:tab/>
        <w:t>Minimum charge prior to revaluation</w:t>
      </w:r>
      <w:r>
        <w:tab/>
      </w:r>
      <w:r>
        <w:fldChar w:fldCharType="begin"/>
      </w:r>
      <w:r>
        <w:instrText xml:space="preserve"> PAGEREF _Toc237309514 \h </w:instrText>
      </w:r>
      <w:r>
        <w:fldChar w:fldCharType="separate"/>
      </w:r>
      <w:r>
        <w:t>10</w:t>
      </w:r>
      <w:r>
        <w:fldChar w:fldCharType="end"/>
      </w:r>
    </w:p>
    <w:p>
      <w:pPr>
        <w:pStyle w:val="TOC8"/>
        <w:rPr>
          <w:sz w:val="24"/>
          <w:szCs w:val="24"/>
        </w:rPr>
      </w:pPr>
      <w:r>
        <w:rPr>
          <w:szCs w:val="24"/>
        </w:rPr>
        <w:t>4</w:t>
      </w:r>
      <w:r>
        <w:rPr>
          <w:snapToGrid w:val="0"/>
          <w:szCs w:val="24"/>
        </w:rPr>
        <w:t>.</w:t>
      </w:r>
      <w:r>
        <w:rPr>
          <w:snapToGrid w:val="0"/>
          <w:szCs w:val="24"/>
        </w:rPr>
        <w:tab/>
        <w:t>Exempt land</w:t>
      </w:r>
      <w:r>
        <w:tab/>
      </w:r>
      <w:r>
        <w:fldChar w:fldCharType="begin"/>
      </w:r>
      <w:r>
        <w:instrText xml:space="preserve"> PAGEREF _Toc237309515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Separately assessable residential land</w:t>
      </w:r>
      <w:r>
        <w:tab/>
      </w:r>
      <w:r>
        <w:fldChar w:fldCharType="begin"/>
      </w:r>
      <w:r>
        <w:instrText xml:space="preserve"> PAGEREF _Toc237309516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Estimation upon meter malfunction or of non</w:t>
      </w:r>
      <w:r>
        <w:rPr>
          <w:snapToGrid w:val="0"/>
          <w:szCs w:val="24"/>
        </w:rPr>
        <w:noBreakHyphen/>
        <w:t>metered quantity</w:t>
      </w:r>
      <w:r>
        <w:tab/>
      </w:r>
      <w:r>
        <w:fldChar w:fldCharType="begin"/>
      </w:r>
      <w:r>
        <w:instrText xml:space="preserve"> PAGEREF _Toc237309517 \h </w:instrText>
      </w:r>
      <w:r>
        <w:fldChar w:fldCharType="separate"/>
      </w:r>
      <w:r>
        <w:t>14</w:t>
      </w:r>
      <w:r>
        <w:fldChar w:fldCharType="end"/>
      </w:r>
    </w:p>
    <w:p>
      <w:pPr>
        <w:pStyle w:val="TOC8"/>
        <w:rPr>
          <w:sz w:val="24"/>
          <w:szCs w:val="24"/>
        </w:rPr>
      </w:pPr>
      <w:r>
        <w:rPr>
          <w:szCs w:val="24"/>
        </w:rPr>
        <w:t>7</w:t>
      </w:r>
      <w:r>
        <w:rPr>
          <w:snapToGrid w:val="0"/>
          <w:szCs w:val="24"/>
        </w:rPr>
        <w:t>.</w:t>
      </w:r>
      <w:r>
        <w:rPr>
          <w:snapToGrid w:val="0"/>
          <w:szCs w:val="24"/>
        </w:rPr>
        <w:tab/>
        <w:t>Manner of payment of charges other than quantity and single capital infrastructure charges</w:t>
      </w:r>
      <w:r>
        <w:tab/>
      </w:r>
      <w:r>
        <w:fldChar w:fldCharType="begin"/>
      </w:r>
      <w:r>
        <w:instrText xml:space="preserve"> PAGEREF _Toc237309518 \h </w:instrText>
      </w:r>
      <w:r>
        <w:fldChar w:fldCharType="separate"/>
      </w:r>
      <w:r>
        <w:t>15</w:t>
      </w:r>
      <w:r>
        <w:fldChar w:fldCharType="end"/>
      </w:r>
    </w:p>
    <w:p>
      <w:pPr>
        <w:pStyle w:val="TOC8"/>
        <w:rPr>
          <w:sz w:val="24"/>
          <w:szCs w:val="24"/>
        </w:rPr>
      </w:pPr>
      <w:r>
        <w:rPr>
          <w:szCs w:val="24"/>
        </w:rPr>
        <w:t>7A</w:t>
      </w:r>
      <w:r>
        <w:rPr>
          <w:snapToGrid w:val="0"/>
          <w:szCs w:val="24"/>
        </w:rPr>
        <w:t>.</w:t>
      </w:r>
      <w:r>
        <w:rPr>
          <w:snapToGrid w:val="0"/>
          <w:szCs w:val="24"/>
        </w:rPr>
        <w:tab/>
        <w:t>Manner of payment of quantity charges</w:t>
      </w:r>
      <w:r>
        <w:tab/>
      </w:r>
      <w:r>
        <w:fldChar w:fldCharType="begin"/>
      </w:r>
      <w:r>
        <w:instrText xml:space="preserve"> PAGEREF _Toc237309519 \h </w:instrText>
      </w:r>
      <w:r>
        <w:fldChar w:fldCharType="separate"/>
      </w:r>
      <w:r>
        <w:t>17</w:t>
      </w:r>
      <w:r>
        <w:fldChar w:fldCharType="end"/>
      </w:r>
    </w:p>
    <w:p>
      <w:pPr>
        <w:pStyle w:val="TOC8"/>
        <w:rPr>
          <w:sz w:val="24"/>
          <w:szCs w:val="24"/>
        </w:rPr>
      </w:pPr>
      <w:r>
        <w:rPr>
          <w:szCs w:val="24"/>
        </w:rPr>
        <w:t>7B</w:t>
      </w:r>
      <w:r>
        <w:rPr>
          <w:snapToGrid w:val="0"/>
          <w:szCs w:val="24"/>
        </w:rPr>
        <w:t>.</w:t>
      </w:r>
      <w:r>
        <w:rPr>
          <w:snapToGrid w:val="0"/>
          <w:szCs w:val="24"/>
        </w:rPr>
        <w:tab/>
        <w:t>Manner of payment of single capital infrastructure charges</w:t>
      </w:r>
      <w:r>
        <w:tab/>
      </w:r>
      <w:r>
        <w:fldChar w:fldCharType="begin"/>
      </w:r>
      <w:r>
        <w:instrText xml:space="preserve"> PAGEREF _Toc237309520 \h </w:instrText>
      </w:r>
      <w:r>
        <w:fldChar w:fldCharType="separate"/>
      </w:r>
      <w:r>
        <w:t>17</w:t>
      </w:r>
      <w:r>
        <w:fldChar w:fldCharType="end"/>
      </w:r>
    </w:p>
    <w:p>
      <w:pPr>
        <w:pStyle w:val="TOC8"/>
        <w:rPr>
          <w:sz w:val="24"/>
          <w:szCs w:val="24"/>
        </w:rPr>
      </w:pPr>
      <w:r>
        <w:rPr>
          <w:szCs w:val="24"/>
        </w:rPr>
        <w:t>8.</w:t>
      </w:r>
      <w:r>
        <w:rPr>
          <w:szCs w:val="24"/>
        </w:rPr>
        <w:tab/>
        <w:t>Special arrangements</w:t>
      </w:r>
      <w:r>
        <w:tab/>
      </w:r>
      <w:r>
        <w:fldChar w:fldCharType="begin"/>
      </w:r>
      <w:r>
        <w:instrText xml:space="preserve"> PAGEREF _Toc237309521 \h </w:instrText>
      </w:r>
      <w:r>
        <w:fldChar w:fldCharType="separate"/>
      </w:r>
      <w:r>
        <w:t>17</w:t>
      </w:r>
      <w:r>
        <w:fldChar w:fldCharType="end"/>
      </w:r>
    </w:p>
    <w:p>
      <w:pPr>
        <w:pStyle w:val="TOC8"/>
        <w:rPr>
          <w:sz w:val="24"/>
          <w:szCs w:val="24"/>
        </w:rPr>
      </w:pPr>
      <w:r>
        <w:rPr>
          <w:szCs w:val="24"/>
        </w:rPr>
        <w:t>8A</w:t>
      </w:r>
      <w:r>
        <w:rPr>
          <w:snapToGrid w:val="0"/>
          <w:szCs w:val="24"/>
        </w:rPr>
        <w:t>.</w:t>
      </w:r>
      <w:r>
        <w:rPr>
          <w:snapToGrid w:val="0"/>
          <w:szCs w:val="24"/>
        </w:rPr>
        <w:tab/>
        <w:t>Concessional charges for retirement village residents</w:t>
      </w:r>
      <w:r>
        <w:tab/>
      </w:r>
      <w:r>
        <w:fldChar w:fldCharType="begin"/>
      </w:r>
      <w:r>
        <w:instrText xml:space="preserve"> PAGEREF _Toc237309522 \h </w:instrText>
      </w:r>
      <w:r>
        <w:fldChar w:fldCharType="separate"/>
      </w:r>
      <w:r>
        <w:t>18</w:t>
      </w:r>
      <w:r>
        <w:fldChar w:fldCharType="end"/>
      </w:r>
    </w:p>
    <w:p>
      <w:pPr>
        <w:pStyle w:val="TOC8"/>
        <w:rPr>
          <w:sz w:val="24"/>
          <w:szCs w:val="24"/>
        </w:rPr>
      </w:pPr>
      <w:r>
        <w:rPr>
          <w:szCs w:val="24"/>
        </w:rPr>
        <w:t>8B.</w:t>
      </w:r>
      <w:r>
        <w:rPr>
          <w:szCs w:val="24"/>
        </w:rPr>
        <w:tab/>
        <w:t>Government trading organisation and non</w:t>
      </w:r>
      <w:r>
        <w:rPr>
          <w:szCs w:val="24"/>
        </w:rPr>
        <w:noBreakHyphen/>
        <w:t>commercial Government property</w:t>
      </w:r>
      <w:r>
        <w:tab/>
      </w:r>
      <w:r>
        <w:fldChar w:fldCharType="begin"/>
      </w:r>
      <w:r>
        <w:instrText xml:space="preserve"> PAGEREF _Toc237309523 \h </w:instrText>
      </w:r>
      <w:r>
        <w:fldChar w:fldCharType="separate"/>
      </w:r>
      <w:r>
        <w:t>19</w:t>
      </w:r>
      <w:r>
        <w:fldChar w:fldCharType="end"/>
      </w:r>
    </w:p>
    <w:p>
      <w:pPr>
        <w:pStyle w:val="TOC8"/>
        <w:rPr>
          <w:sz w:val="24"/>
          <w:szCs w:val="24"/>
        </w:rPr>
      </w:pPr>
      <w:r>
        <w:rPr>
          <w:szCs w:val="24"/>
        </w:rPr>
        <w:t>8BA</w:t>
      </w:r>
      <w:r>
        <w:rPr>
          <w:snapToGrid w:val="0"/>
          <w:szCs w:val="24"/>
        </w:rPr>
        <w:t>.</w:t>
      </w:r>
      <w:r>
        <w:rPr>
          <w:snapToGrid w:val="0"/>
          <w:szCs w:val="24"/>
        </w:rPr>
        <w:tab/>
        <w:t>Annual charges to Government trading organisations that supply water to lessees or ships</w:t>
      </w:r>
      <w:r>
        <w:tab/>
      </w:r>
      <w:r>
        <w:fldChar w:fldCharType="begin"/>
      </w:r>
      <w:r>
        <w:instrText xml:space="preserve"> PAGEREF _Toc237309524 \h </w:instrText>
      </w:r>
      <w:r>
        <w:fldChar w:fldCharType="separate"/>
      </w:r>
      <w:r>
        <w:t>19</w:t>
      </w:r>
      <w:r>
        <w:fldChar w:fldCharType="end"/>
      </w:r>
    </w:p>
    <w:p>
      <w:pPr>
        <w:pStyle w:val="TOC8"/>
        <w:rPr>
          <w:sz w:val="24"/>
          <w:szCs w:val="24"/>
        </w:rPr>
      </w:pPr>
      <w:r>
        <w:rPr>
          <w:szCs w:val="24"/>
        </w:rPr>
        <w:t>9</w:t>
      </w:r>
      <w:r>
        <w:rPr>
          <w:snapToGrid w:val="0"/>
          <w:szCs w:val="24"/>
        </w:rPr>
        <w:t>.</w:t>
      </w:r>
      <w:r>
        <w:rPr>
          <w:snapToGrid w:val="0"/>
          <w:szCs w:val="24"/>
        </w:rPr>
        <w:tab/>
        <w:t>Interest on overdue amounts</w:t>
      </w:r>
      <w:r>
        <w:tab/>
      </w:r>
      <w:r>
        <w:fldChar w:fldCharType="begin"/>
      </w:r>
      <w:r>
        <w:instrText xml:space="preserve"> PAGEREF _Toc237309525 \h </w:instrText>
      </w:r>
      <w:r>
        <w:fldChar w:fldCharType="separate"/>
      </w:r>
      <w:r>
        <w:t>21</w:t>
      </w:r>
      <w:r>
        <w:fldChar w:fldCharType="end"/>
      </w:r>
    </w:p>
    <w:p>
      <w:pPr>
        <w:pStyle w:val="TOC8"/>
        <w:rPr>
          <w:sz w:val="24"/>
          <w:szCs w:val="24"/>
        </w:rPr>
      </w:pPr>
      <w:r>
        <w:rPr>
          <w:szCs w:val="24"/>
        </w:rPr>
        <w:t>9A</w:t>
      </w:r>
      <w:r>
        <w:rPr>
          <w:snapToGrid w:val="0"/>
          <w:szCs w:val="24"/>
        </w:rPr>
        <w:t>.</w:t>
      </w:r>
      <w:r>
        <w:rPr>
          <w:snapToGrid w:val="0"/>
          <w:szCs w:val="24"/>
        </w:rPr>
        <w:tab/>
        <w:t>Amounts rounded</w:t>
      </w:r>
      <w:r>
        <w:tab/>
      </w:r>
      <w:r>
        <w:fldChar w:fldCharType="begin"/>
      </w:r>
      <w:r>
        <w:instrText xml:space="preserve"> PAGEREF _Toc237309526 \h </w:instrText>
      </w:r>
      <w:r>
        <w:fldChar w:fldCharType="separate"/>
      </w:r>
      <w:r>
        <w:t>21</w:t>
      </w:r>
      <w:r>
        <w:fldChar w:fldCharType="end"/>
      </w:r>
    </w:p>
    <w:p>
      <w:pPr>
        <w:pStyle w:val="TOC8"/>
        <w:rPr>
          <w:sz w:val="24"/>
          <w:szCs w:val="24"/>
        </w:rPr>
      </w:pPr>
      <w:r>
        <w:rPr>
          <w:szCs w:val="24"/>
        </w:rPr>
        <w:t>9B.</w:t>
      </w:r>
      <w:r>
        <w:rPr>
          <w:szCs w:val="24"/>
        </w:rPr>
        <w:tab/>
        <w:t>Calculations, including maxima, for various GRV based charges</w:t>
      </w:r>
      <w:r>
        <w:tab/>
      </w:r>
      <w:r>
        <w:fldChar w:fldCharType="begin"/>
      </w:r>
      <w:r>
        <w:instrText xml:space="preserve"> PAGEREF _Toc237309527 \h </w:instrText>
      </w:r>
      <w:r>
        <w:fldChar w:fldCharType="separate"/>
      </w:r>
      <w:r>
        <w:t>21</w:t>
      </w:r>
      <w:r>
        <w:fldChar w:fldCharType="end"/>
      </w:r>
    </w:p>
    <w:p>
      <w:pPr>
        <w:pStyle w:val="TOC2"/>
        <w:tabs>
          <w:tab w:val="right" w:leader="dot" w:pos="7086"/>
        </w:tabs>
        <w:rPr>
          <w:b w:val="0"/>
          <w:sz w:val="24"/>
          <w:szCs w:val="24"/>
        </w:rPr>
      </w:pPr>
      <w:r>
        <w:rPr>
          <w:szCs w:val="30"/>
        </w:rPr>
        <w:t>Part 2 — Water supply</w:t>
      </w:r>
    </w:p>
    <w:p>
      <w:pPr>
        <w:pStyle w:val="TOC4"/>
        <w:tabs>
          <w:tab w:val="right" w:leader="dot" w:pos="7086"/>
        </w:tabs>
        <w:rPr>
          <w:b w:val="0"/>
          <w:sz w:val="24"/>
          <w:szCs w:val="24"/>
        </w:rPr>
      </w:pPr>
      <w:r>
        <w:rPr>
          <w:spacing w:val="-4"/>
          <w:szCs w:val="26"/>
        </w:rPr>
        <w:t>Division 1</w:t>
      </w:r>
      <w:r>
        <w:rPr>
          <w:snapToGrid w:val="0"/>
          <w:spacing w:val="-4"/>
          <w:szCs w:val="26"/>
        </w:rPr>
        <w:t> — </w:t>
      </w:r>
      <w:r>
        <w:rPr>
          <w:spacing w:val="-4"/>
          <w:szCs w:val="26"/>
        </w:rPr>
        <w:t xml:space="preserve">Water supply other than under </w:t>
      </w:r>
      <w:r>
        <w:rPr>
          <w:i/>
          <w:spacing w:val="-4"/>
          <w:szCs w:val="26"/>
        </w:rPr>
        <w:t>Rights in Water and Irrigation Act 1914</w:t>
      </w:r>
    </w:p>
    <w:p>
      <w:pPr>
        <w:pStyle w:val="TOC8"/>
        <w:rPr>
          <w:sz w:val="24"/>
          <w:szCs w:val="24"/>
        </w:rPr>
      </w:pPr>
      <w:r>
        <w:rPr>
          <w:szCs w:val="24"/>
        </w:rPr>
        <w:t>10</w:t>
      </w:r>
      <w:r>
        <w:rPr>
          <w:snapToGrid w:val="0"/>
          <w:szCs w:val="24"/>
        </w:rPr>
        <w:t>.</w:t>
      </w:r>
      <w:r>
        <w:rPr>
          <w:snapToGrid w:val="0"/>
          <w:szCs w:val="24"/>
        </w:rPr>
        <w:tab/>
        <w:t>Certain matters to be disregarded</w:t>
      </w:r>
      <w:r>
        <w:tab/>
      </w:r>
      <w:r>
        <w:fldChar w:fldCharType="begin"/>
      </w:r>
      <w:r>
        <w:instrText xml:space="preserve"> PAGEREF _Toc237309530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Land subject to water supply charges under this Division</w:t>
      </w:r>
      <w:r>
        <w:tab/>
      </w:r>
      <w:r>
        <w:fldChar w:fldCharType="begin"/>
      </w:r>
      <w:r>
        <w:instrText xml:space="preserve"> PAGEREF _Toc237309531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Exempt land</w:t>
      </w:r>
      <w:r>
        <w:tab/>
      </w:r>
      <w:r>
        <w:fldChar w:fldCharType="begin"/>
      </w:r>
      <w:r>
        <w:instrText xml:space="preserve"> PAGEREF _Toc237309532 \h </w:instrText>
      </w:r>
      <w:r>
        <w:fldChar w:fldCharType="separate"/>
      </w:r>
      <w:r>
        <w:t>23</w:t>
      </w:r>
      <w:r>
        <w:fldChar w:fldCharType="end"/>
      </w:r>
    </w:p>
    <w:p>
      <w:pPr>
        <w:pStyle w:val="TOC8"/>
        <w:rPr>
          <w:sz w:val="24"/>
          <w:szCs w:val="24"/>
        </w:rPr>
      </w:pPr>
      <w:r>
        <w:rPr>
          <w:szCs w:val="24"/>
        </w:rPr>
        <w:t>13.</w:t>
      </w:r>
      <w:r>
        <w:rPr>
          <w:szCs w:val="24"/>
        </w:rPr>
        <w:tab/>
        <w:t>Classification of land</w:t>
      </w:r>
      <w:r>
        <w:tab/>
      </w:r>
      <w:r>
        <w:fldChar w:fldCharType="begin"/>
      </w:r>
      <w:r>
        <w:instrText xml:space="preserve"> PAGEREF _Toc237309533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Indexation of certain valuations</w:t>
      </w:r>
      <w:r>
        <w:tab/>
      </w:r>
      <w:r>
        <w:fldChar w:fldCharType="begin"/>
      </w:r>
      <w:r>
        <w:instrText xml:space="preserve"> PAGEREF _Toc237309534 \h </w:instrText>
      </w:r>
      <w:r>
        <w:fldChar w:fldCharType="separate"/>
      </w:r>
      <w:r>
        <w:t>26</w:t>
      </w:r>
      <w:r>
        <w:fldChar w:fldCharType="end"/>
      </w:r>
    </w:p>
    <w:p>
      <w:pPr>
        <w:pStyle w:val="TOC8"/>
        <w:rPr>
          <w:sz w:val="24"/>
          <w:szCs w:val="24"/>
        </w:rPr>
      </w:pPr>
      <w:r>
        <w:rPr>
          <w:szCs w:val="24"/>
        </w:rPr>
        <w:t>16</w:t>
      </w:r>
      <w:r>
        <w:rPr>
          <w:snapToGrid w:val="0"/>
          <w:szCs w:val="24"/>
        </w:rPr>
        <w:t>.</w:t>
      </w:r>
      <w:r>
        <w:rPr>
          <w:snapToGrid w:val="0"/>
          <w:szCs w:val="24"/>
        </w:rPr>
        <w:tab/>
        <w:t>Discrete residential units</w:t>
      </w:r>
      <w:r>
        <w:tab/>
      </w:r>
      <w:r>
        <w:fldChar w:fldCharType="begin"/>
      </w:r>
      <w:r>
        <w:instrText xml:space="preserve"> PAGEREF _Toc237309535 \h </w:instrText>
      </w:r>
      <w:r>
        <w:fldChar w:fldCharType="separate"/>
      </w:r>
      <w:r>
        <w:t>27</w:t>
      </w:r>
      <w:r>
        <w:fldChar w:fldCharType="end"/>
      </w:r>
    </w:p>
    <w:p>
      <w:pPr>
        <w:pStyle w:val="TOC8"/>
        <w:rPr>
          <w:sz w:val="24"/>
          <w:szCs w:val="24"/>
        </w:rPr>
      </w:pPr>
      <w:r>
        <w:rPr>
          <w:szCs w:val="24"/>
        </w:rPr>
        <w:t>17</w:t>
      </w:r>
      <w:r>
        <w:rPr>
          <w:snapToGrid w:val="0"/>
          <w:szCs w:val="24"/>
        </w:rPr>
        <w:t>.</w:t>
      </w:r>
      <w:r>
        <w:rPr>
          <w:snapToGrid w:val="0"/>
          <w:szCs w:val="24"/>
        </w:rPr>
        <w:tab/>
        <w:t>Quantity charges for the supply of water</w:t>
      </w:r>
      <w:r>
        <w:tab/>
      </w:r>
      <w:r>
        <w:fldChar w:fldCharType="begin"/>
      </w:r>
      <w:r>
        <w:instrText xml:space="preserve"> PAGEREF _Toc237309536 \h </w:instrText>
      </w:r>
      <w:r>
        <w:fldChar w:fldCharType="separate"/>
      </w:r>
      <w:r>
        <w:t>27</w:t>
      </w:r>
      <w:r>
        <w:fldChar w:fldCharType="end"/>
      </w:r>
    </w:p>
    <w:p>
      <w:pPr>
        <w:pStyle w:val="TOC8"/>
        <w:rPr>
          <w:sz w:val="24"/>
          <w:szCs w:val="24"/>
        </w:rPr>
      </w:pPr>
      <w:r>
        <w:rPr>
          <w:szCs w:val="24"/>
        </w:rPr>
        <w:t>17A</w:t>
      </w:r>
      <w:r>
        <w:rPr>
          <w:snapToGrid w:val="0"/>
          <w:szCs w:val="24"/>
        </w:rPr>
        <w:t>.</w:t>
      </w:r>
      <w:r>
        <w:rPr>
          <w:snapToGrid w:val="0"/>
          <w:szCs w:val="24"/>
        </w:rPr>
        <w:tab/>
        <w:t>Caravan parks</w:t>
      </w:r>
      <w:r>
        <w:tab/>
      </w:r>
      <w:r>
        <w:fldChar w:fldCharType="begin"/>
      </w:r>
      <w:r>
        <w:instrText xml:space="preserve"> PAGEREF _Toc237309537 \h </w:instrText>
      </w:r>
      <w:r>
        <w:fldChar w:fldCharType="separate"/>
      </w:r>
      <w:r>
        <w:t>28</w:t>
      </w:r>
      <w:r>
        <w:fldChar w:fldCharType="end"/>
      </w:r>
    </w:p>
    <w:p>
      <w:pPr>
        <w:pStyle w:val="TOC8"/>
        <w:rPr>
          <w:sz w:val="24"/>
          <w:szCs w:val="24"/>
        </w:rPr>
      </w:pPr>
      <w:r>
        <w:rPr>
          <w:szCs w:val="24"/>
        </w:rPr>
        <w:t>17B.</w:t>
      </w:r>
      <w:r>
        <w:rPr>
          <w:szCs w:val="24"/>
        </w:rPr>
        <w:tab/>
      </w:r>
      <w:r>
        <w:rPr>
          <w:snapToGrid w:val="0"/>
          <w:szCs w:val="24"/>
        </w:rPr>
        <w:t>Metropolitan non</w:t>
      </w:r>
      <w:r>
        <w:rPr>
          <w:snapToGrid w:val="0"/>
          <w:szCs w:val="24"/>
        </w:rPr>
        <w:noBreakHyphen/>
        <w:t xml:space="preserve">residential </w:t>
      </w:r>
      <w:r>
        <w:rPr>
          <w:szCs w:val="24"/>
        </w:rPr>
        <w:t>or commercial residential</w:t>
      </w:r>
      <w:r>
        <w:rPr>
          <w:snapToGrid w:val="0"/>
          <w:szCs w:val="24"/>
        </w:rPr>
        <w:t xml:space="preserve"> property water supply charges</w:t>
      </w:r>
      <w:r>
        <w:tab/>
      </w:r>
      <w:r>
        <w:fldChar w:fldCharType="begin"/>
      </w:r>
      <w:r>
        <w:instrText xml:space="preserve"> PAGEREF _Toc237309538 \h </w:instrText>
      </w:r>
      <w:r>
        <w:fldChar w:fldCharType="separate"/>
      </w:r>
      <w:r>
        <w:t>30</w:t>
      </w:r>
      <w:r>
        <w:fldChar w:fldCharType="end"/>
      </w:r>
    </w:p>
    <w:p>
      <w:pPr>
        <w:pStyle w:val="TOC8"/>
        <w:rPr>
          <w:sz w:val="24"/>
          <w:szCs w:val="24"/>
        </w:rPr>
      </w:pPr>
      <w:r>
        <w:rPr>
          <w:szCs w:val="24"/>
        </w:rPr>
        <w:t>17C.</w:t>
      </w:r>
      <w:r>
        <w:rPr>
          <w:szCs w:val="24"/>
        </w:rPr>
        <w:tab/>
        <w:t>Non</w:t>
      </w:r>
      <w:r>
        <w:rPr>
          <w:szCs w:val="24"/>
        </w:rPr>
        <w:noBreakHyphen/>
        <w:t>metropolitan, non</w:t>
      </w:r>
      <w:r>
        <w:rPr>
          <w:szCs w:val="24"/>
        </w:rPr>
        <w:noBreakHyphen/>
        <w:t>strata titled, Commercial or Industrial property water supply charges</w:t>
      </w:r>
      <w:r>
        <w:tab/>
      </w:r>
      <w:r>
        <w:fldChar w:fldCharType="begin"/>
      </w:r>
      <w:r>
        <w:instrText xml:space="preserve"> PAGEREF _Toc237309539 \h </w:instrText>
      </w:r>
      <w:r>
        <w:fldChar w:fldCharType="separate"/>
      </w:r>
      <w:r>
        <w:t>30</w:t>
      </w:r>
      <w:r>
        <w:fldChar w:fldCharType="end"/>
      </w:r>
    </w:p>
    <w:p>
      <w:pPr>
        <w:pStyle w:val="TOC8"/>
        <w:rPr>
          <w:sz w:val="24"/>
          <w:szCs w:val="24"/>
        </w:rPr>
      </w:pPr>
      <w:r>
        <w:rPr>
          <w:szCs w:val="24"/>
        </w:rPr>
        <w:t>17D</w:t>
      </w:r>
      <w:r>
        <w:rPr>
          <w:snapToGrid w:val="0"/>
          <w:szCs w:val="24"/>
        </w:rPr>
        <w:t>.</w:t>
      </w:r>
      <w:r>
        <w:rPr>
          <w:snapToGrid w:val="0"/>
          <w:szCs w:val="24"/>
        </w:rPr>
        <w:tab/>
        <w:t>Various non</w:t>
      </w:r>
      <w:r>
        <w:rPr>
          <w:snapToGrid w:val="0"/>
          <w:szCs w:val="24"/>
        </w:rPr>
        <w:noBreakHyphen/>
        <w:t>metropolitan water supply charges and classifications</w:t>
      </w:r>
      <w:r>
        <w:tab/>
      </w:r>
      <w:r>
        <w:fldChar w:fldCharType="begin"/>
      </w:r>
      <w:r>
        <w:instrText xml:space="preserve"> PAGEREF _Toc237309540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Concessional non</w:t>
      </w:r>
      <w:r>
        <w:rPr>
          <w:snapToGrid w:val="0"/>
          <w:szCs w:val="24"/>
        </w:rPr>
        <w:noBreakHyphen/>
        <w:t>metropolitan quantity charge</w:t>
      </w:r>
      <w:r>
        <w:tab/>
      </w:r>
      <w:r>
        <w:fldChar w:fldCharType="begin"/>
      </w:r>
      <w:r>
        <w:instrText xml:space="preserve"> PAGEREF _Toc237309541 \h </w:instrText>
      </w:r>
      <w:r>
        <w:fldChar w:fldCharType="separate"/>
      </w:r>
      <w:r>
        <w:t>32</w:t>
      </w:r>
      <w:r>
        <w:fldChar w:fldCharType="end"/>
      </w:r>
    </w:p>
    <w:p>
      <w:pPr>
        <w:pStyle w:val="TOC8"/>
        <w:rPr>
          <w:sz w:val="24"/>
          <w:szCs w:val="24"/>
        </w:rPr>
      </w:pPr>
      <w:r>
        <w:rPr>
          <w:szCs w:val="24"/>
        </w:rPr>
        <w:t>18A</w:t>
      </w:r>
      <w:r>
        <w:rPr>
          <w:snapToGrid w:val="0"/>
          <w:szCs w:val="24"/>
        </w:rPr>
        <w:t>.</w:t>
      </w:r>
      <w:r>
        <w:rPr>
          <w:snapToGrid w:val="0"/>
          <w:szCs w:val="24"/>
        </w:rPr>
        <w:tab/>
        <w:t>Concessional metropolitan quantity charge</w:t>
      </w:r>
      <w:r>
        <w:tab/>
      </w:r>
      <w:r>
        <w:fldChar w:fldCharType="begin"/>
      </w:r>
      <w:r>
        <w:instrText xml:space="preserve"> PAGEREF _Toc237309542 \h </w:instrText>
      </w:r>
      <w:r>
        <w:fldChar w:fldCharType="separate"/>
      </w:r>
      <w:r>
        <w:t>34</w:t>
      </w:r>
      <w:r>
        <w:fldChar w:fldCharType="end"/>
      </w:r>
    </w:p>
    <w:p>
      <w:pPr>
        <w:pStyle w:val="TOC8"/>
        <w:rPr>
          <w:sz w:val="24"/>
          <w:szCs w:val="24"/>
        </w:rPr>
      </w:pPr>
      <w:r>
        <w:rPr>
          <w:szCs w:val="24"/>
        </w:rPr>
        <w:t>18B</w:t>
      </w:r>
      <w:r>
        <w:rPr>
          <w:snapToGrid w:val="0"/>
          <w:szCs w:val="24"/>
        </w:rPr>
        <w:t>.</w:t>
      </w:r>
      <w:r>
        <w:rPr>
          <w:snapToGrid w:val="0"/>
          <w:szCs w:val="24"/>
        </w:rPr>
        <w:tab/>
        <w:t>Residential multi</w:t>
      </w:r>
      <w:r>
        <w:rPr>
          <w:snapToGrid w:val="0"/>
          <w:szCs w:val="24"/>
        </w:rPr>
        <w:noBreakHyphen/>
        <w:t>unit properties — rebates for eligible pensioners</w:t>
      </w:r>
      <w:r>
        <w:tab/>
      </w:r>
      <w:r>
        <w:fldChar w:fldCharType="begin"/>
      </w:r>
      <w:r>
        <w:instrText xml:space="preserve"> PAGEREF _Toc237309543 \h </w:instrText>
      </w:r>
      <w:r>
        <w:fldChar w:fldCharType="separate"/>
      </w:r>
      <w:r>
        <w:t>35</w:t>
      </w:r>
      <w:r>
        <w:fldChar w:fldCharType="end"/>
      </w:r>
    </w:p>
    <w:p>
      <w:pPr>
        <w:pStyle w:val="TOC8"/>
        <w:rPr>
          <w:sz w:val="24"/>
          <w:szCs w:val="24"/>
        </w:rPr>
      </w:pPr>
      <w:r>
        <w:rPr>
          <w:szCs w:val="24"/>
        </w:rPr>
        <w:t>19A</w:t>
      </w:r>
      <w:r>
        <w:rPr>
          <w:snapToGrid w:val="0"/>
          <w:szCs w:val="24"/>
        </w:rPr>
        <w:t>.</w:t>
      </w:r>
      <w:r>
        <w:rPr>
          <w:snapToGrid w:val="0"/>
          <w:szCs w:val="24"/>
        </w:rPr>
        <w:tab/>
        <w:t>Capital infrastructure charges</w:t>
      </w:r>
      <w:r>
        <w:tab/>
      </w:r>
      <w:r>
        <w:fldChar w:fldCharType="begin"/>
      </w:r>
      <w:r>
        <w:instrText xml:space="preserve"> PAGEREF _Toc237309544 \h </w:instrText>
      </w:r>
      <w:r>
        <w:fldChar w:fldCharType="separate"/>
      </w:r>
      <w:r>
        <w:t>37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 xml:space="preserve">Water supply under </w:t>
      </w:r>
      <w:r>
        <w:rPr>
          <w:i/>
          <w:szCs w:val="26"/>
        </w:rPr>
        <w:t>Rights in Water and Irrigation Act 1914</w:t>
      </w:r>
      <w:r>
        <w:rPr>
          <w:szCs w:val="26"/>
        </w:rPr>
        <w:t xml:space="preserve"> other than for irrigation</w:t>
      </w:r>
    </w:p>
    <w:p>
      <w:pPr>
        <w:pStyle w:val="TOC8"/>
        <w:rPr>
          <w:sz w:val="24"/>
          <w:szCs w:val="24"/>
        </w:rPr>
      </w:pPr>
      <w:r>
        <w:rPr>
          <w:szCs w:val="24"/>
        </w:rPr>
        <w:t>20</w:t>
      </w:r>
      <w:r>
        <w:rPr>
          <w:snapToGrid w:val="0"/>
          <w:szCs w:val="24"/>
        </w:rPr>
        <w:t>.</w:t>
      </w:r>
      <w:r>
        <w:rPr>
          <w:snapToGrid w:val="0"/>
          <w:szCs w:val="24"/>
        </w:rPr>
        <w:tab/>
        <w:t>Land subject to water supply charges under this Division</w:t>
      </w:r>
      <w:r>
        <w:tab/>
      </w:r>
      <w:r>
        <w:fldChar w:fldCharType="begin"/>
      </w:r>
      <w:r>
        <w:instrText xml:space="preserve"> PAGEREF _Toc237309546 \h </w:instrText>
      </w:r>
      <w:r>
        <w:fldChar w:fldCharType="separate"/>
      </w:r>
      <w:r>
        <w:t>38</w:t>
      </w:r>
      <w:r>
        <w:fldChar w:fldCharType="end"/>
      </w:r>
    </w:p>
    <w:p>
      <w:pPr>
        <w:pStyle w:val="TOC2"/>
        <w:tabs>
          <w:tab w:val="right" w:leader="dot" w:pos="7086"/>
        </w:tabs>
        <w:rPr>
          <w:b w:val="0"/>
          <w:sz w:val="24"/>
          <w:szCs w:val="24"/>
        </w:rPr>
      </w:pPr>
      <w:r>
        <w:rPr>
          <w:szCs w:val="30"/>
        </w:rPr>
        <w:t>Part 3 — Sewerage</w:t>
      </w:r>
    </w:p>
    <w:p>
      <w:pPr>
        <w:pStyle w:val="TOC8"/>
        <w:rPr>
          <w:sz w:val="24"/>
          <w:szCs w:val="24"/>
        </w:rPr>
      </w:pPr>
      <w:r>
        <w:rPr>
          <w:szCs w:val="24"/>
        </w:rPr>
        <w:t>21A.</w:t>
      </w:r>
      <w:r>
        <w:rPr>
          <w:szCs w:val="24"/>
        </w:rPr>
        <w:tab/>
        <w:t>Terms used</w:t>
      </w:r>
      <w:r>
        <w:tab/>
      </w:r>
      <w:r>
        <w:fldChar w:fldCharType="begin"/>
      </w:r>
      <w:r>
        <w:instrText xml:space="preserve"> PAGEREF _Toc237309548 \h </w:instrText>
      </w:r>
      <w:r>
        <w:fldChar w:fldCharType="separate"/>
      </w:r>
      <w:r>
        <w:t>39</w:t>
      </w:r>
      <w:r>
        <w:fldChar w:fldCharType="end"/>
      </w:r>
    </w:p>
    <w:p>
      <w:pPr>
        <w:pStyle w:val="TOC8"/>
        <w:rPr>
          <w:sz w:val="24"/>
          <w:szCs w:val="24"/>
        </w:rPr>
      </w:pPr>
      <w:r>
        <w:rPr>
          <w:szCs w:val="24"/>
        </w:rPr>
        <w:t>21</w:t>
      </w:r>
      <w:r>
        <w:rPr>
          <w:snapToGrid w:val="0"/>
          <w:szCs w:val="24"/>
        </w:rPr>
        <w:t>.</w:t>
      </w:r>
      <w:r>
        <w:rPr>
          <w:snapToGrid w:val="0"/>
          <w:szCs w:val="24"/>
        </w:rPr>
        <w:tab/>
        <w:t>Land subject to sewerage charges</w:t>
      </w:r>
      <w:r>
        <w:tab/>
      </w:r>
      <w:r>
        <w:fldChar w:fldCharType="begin"/>
      </w:r>
      <w:r>
        <w:instrText xml:space="preserve"> PAGEREF _Toc237309549 \h </w:instrText>
      </w:r>
      <w:r>
        <w:fldChar w:fldCharType="separate"/>
      </w:r>
      <w:r>
        <w:t>39</w:t>
      </w:r>
      <w:r>
        <w:fldChar w:fldCharType="end"/>
      </w:r>
    </w:p>
    <w:p>
      <w:pPr>
        <w:pStyle w:val="TOC8"/>
        <w:rPr>
          <w:sz w:val="24"/>
          <w:szCs w:val="24"/>
        </w:rPr>
      </w:pPr>
      <w:r>
        <w:rPr>
          <w:szCs w:val="24"/>
        </w:rPr>
        <w:t>22</w:t>
      </w:r>
      <w:r>
        <w:rPr>
          <w:snapToGrid w:val="0"/>
          <w:szCs w:val="24"/>
        </w:rPr>
        <w:t>.</w:t>
      </w:r>
      <w:r>
        <w:rPr>
          <w:snapToGrid w:val="0"/>
          <w:szCs w:val="24"/>
        </w:rPr>
        <w:tab/>
        <w:t>Exempt land</w:t>
      </w:r>
      <w:r>
        <w:tab/>
      </w:r>
      <w:r>
        <w:fldChar w:fldCharType="begin"/>
      </w:r>
      <w:r>
        <w:instrText xml:space="preserve"> PAGEREF _Toc237309550 \h </w:instrText>
      </w:r>
      <w:r>
        <w:fldChar w:fldCharType="separate"/>
      </w:r>
      <w:r>
        <w:t>40</w:t>
      </w:r>
      <w:r>
        <w:fldChar w:fldCharType="end"/>
      </w:r>
    </w:p>
    <w:p>
      <w:pPr>
        <w:pStyle w:val="TOC8"/>
        <w:rPr>
          <w:sz w:val="24"/>
          <w:szCs w:val="24"/>
        </w:rPr>
      </w:pPr>
      <w:r>
        <w:rPr>
          <w:szCs w:val="24"/>
        </w:rPr>
        <w:t>23.</w:t>
      </w:r>
      <w:r>
        <w:rPr>
          <w:szCs w:val="24"/>
        </w:rPr>
        <w:tab/>
        <w:t>Classification of land</w:t>
      </w:r>
      <w:r>
        <w:tab/>
      </w:r>
      <w:r>
        <w:fldChar w:fldCharType="begin"/>
      </w:r>
      <w:r>
        <w:instrText xml:space="preserve"> PAGEREF _Toc237309551 \h </w:instrText>
      </w:r>
      <w:r>
        <w:fldChar w:fldCharType="separate"/>
      </w:r>
      <w:r>
        <w:t>40</w:t>
      </w:r>
      <w:r>
        <w:fldChar w:fldCharType="end"/>
      </w:r>
    </w:p>
    <w:p>
      <w:pPr>
        <w:pStyle w:val="TOC8"/>
        <w:rPr>
          <w:sz w:val="24"/>
          <w:szCs w:val="24"/>
        </w:rPr>
      </w:pPr>
      <w:r>
        <w:rPr>
          <w:szCs w:val="24"/>
        </w:rPr>
        <w:t>24</w:t>
      </w:r>
      <w:r>
        <w:rPr>
          <w:snapToGrid w:val="0"/>
          <w:szCs w:val="24"/>
        </w:rPr>
        <w:t>.</w:t>
      </w:r>
      <w:r>
        <w:rPr>
          <w:snapToGrid w:val="0"/>
          <w:szCs w:val="24"/>
        </w:rPr>
        <w:tab/>
        <w:t>Indexation of certain valuations</w:t>
      </w:r>
      <w:r>
        <w:tab/>
      </w:r>
      <w:r>
        <w:fldChar w:fldCharType="begin"/>
      </w:r>
      <w:r>
        <w:instrText xml:space="preserve"> PAGEREF _Toc237309552 \h </w:instrText>
      </w:r>
      <w:r>
        <w:fldChar w:fldCharType="separate"/>
      </w:r>
      <w:r>
        <w:t>41</w:t>
      </w:r>
      <w:r>
        <w:fldChar w:fldCharType="end"/>
      </w:r>
    </w:p>
    <w:p>
      <w:pPr>
        <w:pStyle w:val="TOC8"/>
        <w:rPr>
          <w:sz w:val="24"/>
          <w:szCs w:val="24"/>
        </w:rPr>
      </w:pPr>
      <w:r>
        <w:rPr>
          <w:szCs w:val="24"/>
        </w:rPr>
        <w:t>25A</w:t>
      </w:r>
      <w:r>
        <w:rPr>
          <w:snapToGrid w:val="0"/>
          <w:szCs w:val="24"/>
        </w:rPr>
        <w:t>.</w:t>
      </w:r>
      <w:r>
        <w:rPr>
          <w:snapToGrid w:val="0"/>
          <w:szCs w:val="24"/>
        </w:rPr>
        <w:tab/>
        <w:t>Metered metropolitan non</w:t>
      </w:r>
      <w:r>
        <w:rPr>
          <w:snapToGrid w:val="0"/>
          <w:szCs w:val="24"/>
        </w:rPr>
        <w:noBreakHyphen/>
        <w:t>residential property sewerage charges</w:t>
      </w:r>
      <w:r>
        <w:tab/>
      </w:r>
      <w:r>
        <w:fldChar w:fldCharType="begin"/>
      </w:r>
      <w:r>
        <w:instrText xml:space="preserve"> PAGEREF _Toc237309553 \h </w:instrText>
      </w:r>
      <w:r>
        <w:fldChar w:fldCharType="separate"/>
      </w:r>
      <w:r>
        <w:t>42</w:t>
      </w:r>
      <w:r>
        <w:fldChar w:fldCharType="end"/>
      </w:r>
    </w:p>
    <w:p>
      <w:pPr>
        <w:pStyle w:val="TOC8"/>
        <w:rPr>
          <w:sz w:val="24"/>
          <w:szCs w:val="24"/>
        </w:rPr>
      </w:pPr>
      <w:r>
        <w:rPr>
          <w:szCs w:val="24"/>
        </w:rPr>
        <w:t>25B</w:t>
      </w:r>
      <w:r>
        <w:rPr>
          <w:snapToGrid w:val="0"/>
          <w:szCs w:val="24"/>
        </w:rPr>
        <w:t>.</w:t>
      </w:r>
      <w:r>
        <w:rPr>
          <w:snapToGrid w:val="0"/>
          <w:szCs w:val="24"/>
        </w:rPr>
        <w:tab/>
        <w:t>Un</w:t>
      </w:r>
      <w:r>
        <w:rPr>
          <w:snapToGrid w:val="0"/>
          <w:szCs w:val="24"/>
        </w:rPr>
        <w:noBreakHyphen/>
        <w:t>metered or unconnected metropolitan non</w:t>
      </w:r>
      <w:r>
        <w:rPr>
          <w:snapToGrid w:val="0"/>
          <w:szCs w:val="24"/>
        </w:rPr>
        <w:noBreakHyphen/>
        <w:t>residential property sewerage charges</w:t>
      </w:r>
      <w:r>
        <w:tab/>
      </w:r>
      <w:r>
        <w:fldChar w:fldCharType="begin"/>
      </w:r>
      <w:r>
        <w:instrText xml:space="preserve"> PAGEREF _Toc237309554 \h </w:instrText>
      </w:r>
      <w:r>
        <w:fldChar w:fldCharType="separate"/>
      </w:r>
      <w:r>
        <w:t>44</w:t>
      </w:r>
      <w:r>
        <w:fldChar w:fldCharType="end"/>
      </w:r>
    </w:p>
    <w:p>
      <w:pPr>
        <w:pStyle w:val="TOC8"/>
        <w:rPr>
          <w:sz w:val="24"/>
          <w:szCs w:val="24"/>
        </w:rPr>
      </w:pPr>
      <w:r>
        <w:rPr>
          <w:szCs w:val="24"/>
        </w:rPr>
        <w:t>25C</w:t>
      </w:r>
      <w:r>
        <w:rPr>
          <w:snapToGrid w:val="0"/>
          <w:szCs w:val="24"/>
        </w:rPr>
        <w:t>.</w:t>
      </w:r>
      <w:r>
        <w:rPr>
          <w:snapToGrid w:val="0"/>
          <w:szCs w:val="24"/>
        </w:rPr>
        <w:tab/>
        <w:t>Charging for shared sewerage fixtures on metropolitan non</w:t>
      </w:r>
      <w:r>
        <w:rPr>
          <w:snapToGrid w:val="0"/>
          <w:szCs w:val="24"/>
        </w:rPr>
        <w:noBreakHyphen/>
        <w:t>residential property</w:t>
      </w:r>
      <w:r>
        <w:tab/>
      </w:r>
      <w:r>
        <w:fldChar w:fldCharType="begin"/>
      </w:r>
      <w:r>
        <w:instrText xml:space="preserve"> PAGEREF _Toc237309555 \h </w:instrText>
      </w:r>
      <w:r>
        <w:fldChar w:fldCharType="separate"/>
      </w:r>
      <w:r>
        <w:t>44</w:t>
      </w:r>
      <w:r>
        <w:fldChar w:fldCharType="end"/>
      </w:r>
    </w:p>
    <w:p>
      <w:pPr>
        <w:pStyle w:val="TOC8"/>
        <w:rPr>
          <w:sz w:val="24"/>
          <w:szCs w:val="24"/>
        </w:rPr>
      </w:pPr>
      <w:r>
        <w:rPr>
          <w:szCs w:val="24"/>
        </w:rPr>
        <w:t>26.</w:t>
      </w:r>
      <w:r>
        <w:rPr>
          <w:szCs w:val="24"/>
        </w:rPr>
        <w:tab/>
      </w:r>
      <w:r>
        <w:rPr>
          <w:snapToGrid w:val="0"/>
          <w:szCs w:val="24"/>
        </w:rPr>
        <w:t xml:space="preserve">Metered country </w:t>
      </w:r>
      <w:r>
        <w:rPr>
          <w:szCs w:val="24"/>
        </w:rPr>
        <w:t>non</w:t>
      </w:r>
      <w:r>
        <w:rPr>
          <w:szCs w:val="24"/>
        </w:rPr>
        <w:noBreakHyphen/>
        <w:t>residential or commercial residential</w:t>
      </w:r>
      <w:r>
        <w:rPr>
          <w:snapToGrid w:val="0"/>
          <w:szCs w:val="24"/>
        </w:rPr>
        <w:t xml:space="preserve"> property sewerage charges</w:t>
      </w:r>
      <w:r>
        <w:tab/>
      </w:r>
      <w:r>
        <w:fldChar w:fldCharType="begin"/>
      </w:r>
      <w:r>
        <w:instrText xml:space="preserve"> PAGEREF _Toc237309556 \h </w:instrText>
      </w:r>
      <w:r>
        <w:fldChar w:fldCharType="separate"/>
      </w:r>
      <w:r>
        <w:t>45</w:t>
      </w:r>
      <w:r>
        <w:fldChar w:fldCharType="end"/>
      </w:r>
    </w:p>
    <w:p>
      <w:pPr>
        <w:pStyle w:val="TOC8"/>
        <w:rPr>
          <w:sz w:val="24"/>
          <w:szCs w:val="24"/>
        </w:rPr>
      </w:pPr>
      <w:r>
        <w:rPr>
          <w:szCs w:val="24"/>
        </w:rPr>
        <w:t>26A.</w:t>
      </w:r>
      <w:r>
        <w:rPr>
          <w:szCs w:val="24"/>
        </w:rPr>
        <w:tab/>
        <w:t>Un</w:t>
      </w:r>
      <w:r>
        <w:rPr>
          <w:szCs w:val="24"/>
        </w:rPr>
        <w:noBreakHyphen/>
        <w:t xml:space="preserve">metered or unconnected </w:t>
      </w:r>
      <w:r>
        <w:rPr>
          <w:snapToGrid w:val="0"/>
          <w:szCs w:val="24"/>
        </w:rPr>
        <w:t>country non</w:t>
      </w:r>
      <w:r>
        <w:rPr>
          <w:snapToGrid w:val="0"/>
          <w:szCs w:val="24"/>
        </w:rPr>
        <w:noBreakHyphen/>
        <w:t>residential or commercial residential</w:t>
      </w:r>
      <w:r>
        <w:rPr>
          <w:szCs w:val="24"/>
        </w:rPr>
        <w:t xml:space="preserve"> property sewerage charges</w:t>
      </w:r>
      <w:r>
        <w:tab/>
      </w:r>
      <w:r>
        <w:fldChar w:fldCharType="begin"/>
      </w:r>
      <w:r>
        <w:instrText xml:space="preserve"> PAGEREF _Toc237309557 \h </w:instrText>
      </w:r>
      <w:r>
        <w:fldChar w:fldCharType="separate"/>
      </w:r>
      <w:r>
        <w:t>47</w:t>
      </w:r>
      <w:r>
        <w:fldChar w:fldCharType="end"/>
      </w:r>
    </w:p>
    <w:p>
      <w:pPr>
        <w:pStyle w:val="TOC8"/>
        <w:rPr>
          <w:sz w:val="24"/>
          <w:szCs w:val="24"/>
        </w:rPr>
      </w:pPr>
      <w:r>
        <w:rPr>
          <w:szCs w:val="24"/>
        </w:rPr>
        <w:t>26B.</w:t>
      </w:r>
      <w:r>
        <w:rPr>
          <w:szCs w:val="24"/>
        </w:rPr>
        <w:tab/>
        <w:t xml:space="preserve">Charging for shared sewerage fixtures on </w:t>
      </w:r>
      <w:r>
        <w:rPr>
          <w:snapToGrid w:val="0"/>
          <w:szCs w:val="24"/>
        </w:rPr>
        <w:t xml:space="preserve">country </w:t>
      </w:r>
      <w:r>
        <w:rPr>
          <w:szCs w:val="24"/>
        </w:rPr>
        <w:t>non</w:t>
      </w:r>
      <w:r>
        <w:rPr>
          <w:szCs w:val="24"/>
        </w:rPr>
        <w:noBreakHyphen/>
        <w:t>residential or commercial residential property</w:t>
      </w:r>
      <w:r>
        <w:tab/>
      </w:r>
      <w:r>
        <w:fldChar w:fldCharType="begin"/>
      </w:r>
      <w:r>
        <w:instrText xml:space="preserve"> PAGEREF _Toc237309558 \h </w:instrText>
      </w:r>
      <w:r>
        <w:fldChar w:fldCharType="separate"/>
      </w:r>
      <w:r>
        <w:t>47</w:t>
      </w:r>
      <w:r>
        <w:fldChar w:fldCharType="end"/>
      </w:r>
    </w:p>
    <w:p>
      <w:pPr>
        <w:pStyle w:val="TOC2"/>
        <w:tabs>
          <w:tab w:val="right" w:leader="dot" w:pos="7086"/>
        </w:tabs>
        <w:rPr>
          <w:b w:val="0"/>
          <w:sz w:val="24"/>
          <w:szCs w:val="24"/>
        </w:rPr>
      </w:pPr>
      <w:r>
        <w:rPr>
          <w:szCs w:val="30"/>
        </w:rPr>
        <w:t>Part 4 — Drainage</w:t>
      </w:r>
    </w:p>
    <w:p>
      <w:pPr>
        <w:pStyle w:val="TOC8"/>
        <w:rPr>
          <w:sz w:val="24"/>
          <w:szCs w:val="24"/>
        </w:rPr>
      </w:pPr>
      <w:r>
        <w:rPr>
          <w:szCs w:val="24"/>
        </w:rPr>
        <w:t>27</w:t>
      </w:r>
      <w:r>
        <w:rPr>
          <w:snapToGrid w:val="0"/>
          <w:szCs w:val="24"/>
        </w:rPr>
        <w:t>.</w:t>
      </w:r>
      <w:r>
        <w:rPr>
          <w:snapToGrid w:val="0"/>
          <w:szCs w:val="24"/>
        </w:rPr>
        <w:tab/>
        <w:t>Land subject to drainage charges</w:t>
      </w:r>
      <w:r>
        <w:tab/>
      </w:r>
      <w:r>
        <w:fldChar w:fldCharType="begin"/>
      </w:r>
      <w:r>
        <w:instrText xml:space="preserve"> PAGEREF _Toc237309560 \h </w:instrText>
      </w:r>
      <w:r>
        <w:fldChar w:fldCharType="separate"/>
      </w:r>
      <w:r>
        <w:t>49</w:t>
      </w:r>
      <w:r>
        <w:fldChar w:fldCharType="end"/>
      </w:r>
    </w:p>
    <w:p>
      <w:pPr>
        <w:pStyle w:val="TOC8"/>
        <w:rPr>
          <w:sz w:val="24"/>
          <w:szCs w:val="24"/>
        </w:rPr>
      </w:pPr>
      <w:r>
        <w:rPr>
          <w:szCs w:val="24"/>
        </w:rPr>
        <w:t>28</w:t>
      </w:r>
      <w:r>
        <w:rPr>
          <w:snapToGrid w:val="0"/>
          <w:szCs w:val="24"/>
        </w:rPr>
        <w:t>.</w:t>
      </w:r>
      <w:r>
        <w:rPr>
          <w:snapToGrid w:val="0"/>
          <w:szCs w:val="24"/>
        </w:rPr>
        <w:tab/>
        <w:t>Exempt land</w:t>
      </w:r>
      <w:r>
        <w:tab/>
      </w:r>
      <w:r>
        <w:fldChar w:fldCharType="begin"/>
      </w:r>
      <w:r>
        <w:instrText xml:space="preserve"> PAGEREF _Toc237309561 \h </w:instrText>
      </w:r>
      <w:r>
        <w:fldChar w:fldCharType="separate"/>
      </w:r>
      <w:r>
        <w:t>49</w:t>
      </w:r>
      <w:r>
        <w:fldChar w:fldCharType="end"/>
      </w:r>
    </w:p>
    <w:p>
      <w:pPr>
        <w:pStyle w:val="TOC8"/>
        <w:rPr>
          <w:sz w:val="24"/>
          <w:szCs w:val="24"/>
        </w:rPr>
      </w:pPr>
      <w:r>
        <w:rPr>
          <w:szCs w:val="24"/>
        </w:rPr>
        <w:t>29.</w:t>
      </w:r>
      <w:r>
        <w:rPr>
          <w:szCs w:val="24"/>
        </w:rPr>
        <w:tab/>
        <w:t>Classification of land</w:t>
      </w:r>
      <w:r>
        <w:tab/>
      </w:r>
      <w:r>
        <w:fldChar w:fldCharType="begin"/>
      </w:r>
      <w:r>
        <w:instrText xml:space="preserve"> PAGEREF _Toc237309562 \h </w:instrText>
      </w:r>
      <w:r>
        <w:fldChar w:fldCharType="separate"/>
      </w:r>
      <w:r>
        <w:t>50</w:t>
      </w:r>
      <w:r>
        <w:fldChar w:fldCharType="end"/>
      </w:r>
    </w:p>
    <w:p>
      <w:pPr>
        <w:pStyle w:val="TOC2"/>
        <w:tabs>
          <w:tab w:val="right" w:leader="dot" w:pos="7086"/>
        </w:tabs>
        <w:rPr>
          <w:b w:val="0"/>
          <w:sz w:val="24"/>
          <w:szCs w:val="24"/>
        </w:rPr>
      </w:pPr>
      <w:r>
        <w:rPr>
          <w:szCs w:val="30"/>
        </w:rPr>
        <w:t>Part 5 — Irrigation</w:t>
      </w:r>
    </w:p>
    <w:p>
      <w:pPr>
        <w:pStyle w:val="TOC8"/>
        <w:rPr>
          <w:sz w:val="24"/>
          <w:szCs w:val="24"/>
        </w:rPr>
      </w:pPr>
      <w:r>
        <w:rPr>
          <w:szCs w:val="24"/>
        </w:rPr>
        <w:t>31</w:t>
      </w:r>
      <w:r>
        <w:rPr>
          <w:snapToGrid w:val="0"/>
          <w:szCs w:val="24"/>
        </w:rPr>
        <w:t>.</w:t>
      </w:r>
      <w:r>
        <w:rPr>
          <w:snapToGrid w:val="0"/>
          <w:szCs w:val="24"/>
        </w:rPr>
        <w:tab/>
        <w:t>Land subject to irrigation charges</w:t>
      </w:r>
      <w:r>
        <w:tab/>
      </w:r>
      <w:r>
        <w:fldChar w:fldCharType="begin"/>
      </w:r>
      <w:r>
        <w:instrText xml:space="preserve"> PAGEREF _Toc237309564 \h </w:instrText>
      </w:r>
      <w:r>
        <w:fldChar w:fldCharType="separate"/>
      </w:r>
      <w:r>
        <w:t>51</w:t>
      </w:r>
      <w:r>
        <w:fldChar w:fldCharType="end"/>
      </w:r>
    </w:p>
    <w:p>
      <w:pPr>
        <w:pStyle w:val="TOC8"/>
        <w:rPr>
          <w:sz w:val="24"/>
          <w:szCs w:val="24"/>
        </w:rPr>
      </w:pPr>
      <w:r>
        <w:rPr>
          <w:szCs w:val="24"/>
        </w:rPr>
        <w:t>32</w:t>
      </w:r>
      <w:r>
        <w:rPr>
          <w:snapToGrid w:val="0"/>
          <w:szCs w:val="24"/>
        </w:rPr>
        <w:t>.</w:t>
      </w:r>
      <w:r>
        <w:rPr>
          <w:snapToGrid w:val="0"/>
          <w:szCs w:val="24"/>
        </w:rPr>
        <w:tab/>
        <w:t>Exempt land</w:t>
      </w:r>
      <w:r>
        <w:tab/>
      </w:r>
      <w:r>
        <w:fldChar w:fldCharType="begin"/>
      </w:r>
      <w:r>
        <w:instrText xml:space="preserve"> PAGEREF _Toc237309565 \h </w:instrText>
      </w:r>
      <w:r>
        <w:fldChar w:fldCharType="separate"/>
      </w:r>
      <w:r>
        <w:t>51</w:t>
      </w:r>
      <w:r>
        <w:fldChar w:fldCharType="end"/>
      </w:r>
    </w:p>
    <w:p>
      <w:pPr>
        <w:pStyle w:val="TOC8"/>
        <w:rPr>
          <w:sz w:val="24"/>
          <w:szCs w:val="24"/>
        </w:rPr>
      </w:pPr>
      <w:r>
        <w:rPr>
          <w:szCs w:val="24"/>
        </w:rPr>
        <w:t>33.</w:t>
      </w:r>
      <w:r>
        <w:rPr>
          <w:szCs w:val="24"/>
        </w:rPr>
        <w:tab/>
        <w:t>Charge options for land in Carnarvon Irrigation District</w:t>
      </w:r>
      <w:r>
        <w:tab/>
      </w:r>
      <w:r>
        <w:fldChar w:fldCharType="begin"/>
      </w:r>
      <w:r>
        <w:instrText xml:space="preserve"> PAGEREF _Toc237309566 \h </w:instrText>
      </w:r>
      <w:r>
        <w:fldChar w:fldCharType="separate"/>
      </w:r>
      <w:r>
        <w:t>51</w:t>
      </w:r>
      <w:r>
        <w:fldChar w:fldCharType="end"/>
      </w:r>
    </w:p>
    <w:p>
      <w:pPr>
        <w:pStyle w:val="TOC2"/>
        <w:tabs>
          <w:tab w:val="right" w:leader="dot" w:pos="7086"/>
        </w:tabs>
        <w:rPr>
          <w:b w:val="0"/>
          <w:sz w:val="24"/>
          <w:szCs w:val="24"/>
        </w:rPr>
      </w:pPr>
      <w:r>
        <w:rPr>
          <w:szCs w:val="28"/>
        </w:rPr>
        <w:t xml:space="preserve">Schedule 1 — Charges for water supply other than under the </w:t>
      </w:r>
      <w:r>
        <w:rPr>
          <w:i/>
          <w:iCs/>
          <w:szCs w:val="28"/>
        </w:rPr>
        <w:t>Rights in Water and Irrigation Act 1914</w:t>
      </w:r>
      <w:r>
        <w:rPr>
          <w:szCs w:val="28"/>
        </w:rPr>
        <w:t xml:space="preserve"> for 2009/2010</w:t>
      </w:r>
    </w:p>
    <w:p>
      <w:pPr>
        <w:pStyle w:val="TOC4"/>
        <w:tabs>
          <w:tab w:val="right" w:leader="dot" w:pos="7086"/>
        </w:tabs>
        <w:rPr>
          <w:b w:val="0"/>
          <w:sz w:val="24"/>
          <w:szCs w:val="24"/>
        </w:rPr>
      </w:pPr>
      <w:r>
        <w:rPr>
          <w:szCs w:val="24"/>
        </w:rPr>
        <w:t>Division 1</w:t>
      </w:r>
      <w:r>
        <w:rPr>
          <w:b w:val="0"/>
          <w:szCs w:val="24"/>
        </w:rPr>
        <w:t> — </w:t>
      </w:r>
      <w:r>
        <w:rPr>
          <w:szCs w:val="24"/>
        </w:rPr>
        <w:t>Fixed charges</w:t>
      </w:r>
    </w:p>
    <w:p>
      <w:pPr>
        <w:pStyle w:val="TOC8"/>
        <w:rPr>
          <w:sz w:val="24"/>
          <w:szCs w:val="24"/>
        </w:rPr>
      </w:pPr>
      <w:r>
        <w:rPr>
          <w:szCs w:val="22"/>
        </w:rPr>
        <w:t>1.</w:t>
      </w:r>
      <w:r>
        <w:rPr>
          <w:szCs w:val="22"/>
        </w:rPr>
        <w:tab/>
        <w:t>Residential</w:t>
      </w:r>
      <w:r>
        <w:tab/>
      </w:r>
      <w:r>
        <w:fldChar w:fldCharType="begin"/>
      </w:r>
      <w:r>
        <w:instrText xml:space="preserve"> PAGEREF _Toc237309569 \h </w:instrText>
      </w:r>
      <w:r>
        <w:fldChar w:fldCharType="separate"/>
      </w:r>
      <w:r>
        <w:t>53</w:t>
      </w:r>
      <w:r>
        <w:fldChar w:fldCharType="end"/>
      </w:r>
    </w:p>
    <w:p>
      <w:pPr>
        <w:pStyle w:val="TOC8"/>
        <w:rPr>
          <w:sz w:val="24"/>
          <w:szCs w:val="24"/>
        </w:rPr>
      </w:pPr>
      <w:r>
        <w:rPr>
          <w:szCs w:val="22"/>
        </w:rPr>
        <w:t>2.</w:t>
      </w:r>
      <w:r>
        <w:rPr>
          <w:szCs w:val="22"/>
        </w:rPr>
        <w:tab/>
        <w:t>Metropolitan residential garden supply</w:t>
      </w:r>
      <w:r>
        <w:tab/>
      </w:r>
      <w:r>
        <w:fldChar w:fldCharType="begin"/>
      </w:r>
      <w:r>
        <w:instrText xml:space="preserve"> PAGEREF _Toc237309570 \h </w:instrText>
      </w:r>
      <w:r>
        <w:fldChar w:fldCharType="separate"/>
      </w:r>
      <w:r>
        <w:t>53</w:t>
      </w:r>
      <w:r>
        <w:fldChar w:fldCharType="end"/>
      </w:r>
    </w:p>
    <w:p>
      <w:pPr>
        <w:pStyle w:val="TOC8"/>
        <w:rPr>
          <w:sz w:val="24"/>
          <w:szCs w:val="24"/>
        </w:rPr>
      </w:pPr>
      <w:r>
        <w:rPr>
          <w:szCs w:val="22"/>
        </w:rPr>
        <w:t>3.</w:t>
      </w:r>
      <w:r>
        <w:rPr>
          <w:szCs w:val="22"/>
        </w:rPr>
        <w:tab/>
        <w:t>Connected metropolitan exempt</w:t>
      </w:r>
      <w:r>
        <w:tab/>
      </w:r>
      <w:r>
        <w:fldChar w:fldCharType="begin"/>
      </w:r>
      <w:r>
        <w:instrText xml:space="preserve"> PAGEREF _Toc237309571 \h </w:instrText>
      </w:r>
      <w:r>
        <w:fldChar w:fldCharType="separate"/>
      </w:r>
      <w:r>
        <w:t>53</w:t>
      </w:r>
      <w:r>
        <w:fldChar w:fldCharType="end"/>
      </w:r>
    </w:p>
    <w:p>
      <w:pPr>
        <w:pStyle w:val="TOC8"/>
        <w:rPr>
          <w:sz w:val="24"/>
          <w:szCs w:val="24"/>
        </w:rPr>
      </w:pPr>
      <w:r>
        <w:rPr>
          <w:szCs w:val="22"/>
        </w:rPr>
        <w:t>4.</w:t>
      </w:r>
      <w:r>
        <w:rPr>
          <w:szCs w:val="22"/>
        </w:rPr>
        <w:tab/>
        <w:t>Strata</w:t>
      </w:r>
      <w:r>
        <w:rPr>
          <w:szCs w:val="22"/>
        </w:rPr>
        <w:noBreakHyphen/>
        <w:t>titled (or long-term residential) caravan bays</w:t>
      </w:r>
      <w:r>
        <w:tab/>
      </w:r>
      <w:r>
        <w:fldChar w:fldCharType="begin"/>
      </w:r>
      <w:r>
        <w:instrText xml:space="preserve"> PAGEREF _Toc237309572 \h </w:instrText>
      </w:r>
      <w:r>
        <w:fldChar w:fldCharType="separate"/>
      </w:r>
      <w:r>
        <w:t>54</w:t>
      </w:r>
      <w:r>
        <w:fldChar w:fldCharType="end"/>
      </w:r>
    </w:p>
    <w:p>
      <w:pPr>
        <w:pStyle w:val="TOC8"/>
        <w:rPr>
          <w:sz w:val="24"/>
          <w:szCs w:val="24"/>
        </w:rPr>
      </w:pPr>
      <w:r>
        <w:rPr>
          <w:szCs w:val="22"/>
        </w:rPr>
        <w:t>5.</w:t>
      </w:r>
      <w:r>
        <w:rPr>
          <w:szCs w:val="22"/>
        </w:rPr>
        <w:tab/>
        <w:t>Strata</w:t>
      </w:r>
      <w:r>
        <w:rPr>
          <w:szCs w:val="22"/>
        </w:rPr>
        <w:noBreakHyphen/>
        <w:t>titled storage unit and strata</w:t>
      </w:r>
      <w:r>
        <w:rPr>
          <w:szCs w:val="22"/>
        </w:rPr>
        <w:noBreakHyphen/>
        <w:t>titled parking bay</w:t>
      </w:r>
      <w:r>
        <w:tab/>
      </w:r>
      <w:r>
        <w:fldChar w:fldCharType="begin"/>
      </w:r>
      <w:r>
        <w:instrText xml:space="preserve"> PAGEREF _Toc237309573 \h </w:instrText>
      </w:r>
      <w:r>
        <w:fldChar w:fldCharType="separate"/>
      </w:r>
      <w:r>
        <w:t>54</w:t>
      </w:r>
      <w:r>
        <w:fldChar w:fldCharType="end"/>
      </w:r>
    </w:p>
    <w:p>
      <w:pPr>
        <w:pStyle w:val="TOC8"/>
        <w:rPr>
          <w:sz w:val="24"/>
          <w:szCs w:val="24"/>
        </w:rPr>
      </w:pPr>
      <w:r>
        <w:rPr>
          <w:szCs w:val="22"/>
        </w:rPr>
        <w:t>6.</w:t>
      </w:r>
      <w:r>
        <w:rPr>
          <w:szCs w:val="22"/>
        </w:rPr>
        <w:tab/>
        <w:t>Non</w:t>
      </w:r>
      <w:r>
        <w:rPr>
          <w:szCs w:val="22"/>
        </w:rPr>
        <w:noBreakHyphen/>
        <w:t>residential strata</w:t>
      </w:r>
      <w:r>
        <w:rPr>
          <w:szCs w:val="22"/>
        </w:rPr>
        <w:noBreakHyphen/>
        <w:t>titled units that share a service</w:t>
      </w:r>
      <w:r>
        <w:tab/>
      </w:r>
      <w:r>
        <w:fldChar w:fldCharType="begin"/>
      </w:r>
      <w:r>
        <w:instrText xml:space="preserve"> PAGEREF _Toc237309574 \h </w:instrText>
      </w:r>
      <w:r>
        <w:fldChar w:fldCharType="separate"/>
      </w:r>
      <w:r>
        <w:t>54</w:t>
      </w:r>
      <w:r>
        <w:fldChar w:fldCharType="end"/>
      </w:r>
    </w:p>
    <w:p>
      <w:pPr>
        <w:pStyle w:val="TOC8"/>
        <w:rPr>
          <w:sz w:val="24"/>
          <w:szCs w:val="24"/>
        </w:rPr>
      </w:pPr>
      <w:r>
        <w:rPr>
          <w:szCs w:val="22"/>
        </w:rPr>
        <w:t>7.</w:t>
      </w:r>
      <w:r>
        <w:rPr>
          <w:szCs w:val="22"/>
        </w:rPr>
        <w:tab/>
        <w:t>Community residential</w:t>
      </w:r>
      <w:r>
        <w:tab/>
      </w:r>
      <w:r>
        <w:fldChar w:fldCharType="begin"/>
      </w:r>
      <w:r>
        <w:instrText xml:space="preserve"> PAGEREF _Toc237309575 \h </w:instrText>
      </w:r>
      <w:r>
        <w:fldChar w:fldCharType="separate"/>
      </w:r>
      <w:r>
        <w:t>54</w:t>
      </w:r>
      <w:r>
        <w:fldChar w:fldCharType="end"/>
      </w:r>
    </w:p>
    <w:p>
      <w:pPr>
        <w:pStyle w:val="TOC8"/>
        <w:rPr>
          <w:sz w:val="24"/>
          <w:szCs w:val="24"/>
        </w:rPr>
      </w:pPr>
      <w:r>
        <w:rPr>
          <w:szCs w:val="22"/>
        </w:rPr>
        <w:t>8.</w:t>
      </w:r>
      <w:r>
        <w:rPr>
          <w:szCs w:val="22"/>
        </w:rPr>
        <w:tab/>
        <w:t>Semi</w:t>
      </w:r>
      <w:r>
        <w:rPr>
          <w:szCs w:val="22"/>
        </w:rPr>
        <w:noBreakHyphen/>
        <w:t>rural residential</w:t>
      </w:r>
      <w:r>
        <w:tab/>
      </w:r>
      <w:r>
        <w:fldChar w:fldCharType="begin"/>
      </w:r>
      <w:r>
        <w:instrText xml:space="preserve"> PAGEREF _Toc237309576 \h </w:instrText>
      </w:r>
      <w:r>
        <w:fldChar w:fldCharType="separate"/>
      </w:r>
      <w:r>
        <w:t>54</w:t>
      </w:r>
      <w:r>
        <w:fldChar w:fldCharType="end"/>
      </w:r>
    </w:p>
    <w:p>
      <w:pPr>
        <w:pStyle w:val="TOC8"/>
        <w:rPr>
          <w:sz w:val="24"/>
          <w:szCs w:val="24"/>
        </w:rPr>
      </w:pPr>
      <w:r>
        <w:rPr>
          <w:szCs w:val="22"/>
        </w:rPr>
        <w:t>9.</w:t>
      </w:r>
      <w:r>
        <w:rPr>
          <w:szCs w:val="22"/>
        </w:rPr>
        <w:tab/>
        <w:t>Connected non</w:t>
      </w:r>
      <w:r>
        <w:rPr>
          <w:szCs w:val="22"/>
        </w:rPr>
        <w:noBreakHyphen/>
        <w:t>metropolitan exempt</w:t>
      </w:r>
      <w:r>
        <w:tab/>
      </w:r>
      <w:r>
        <w:fldChar w:fldCharType="begin"/>
      </w:r>
      <w:r>
        <w:instrText xml:space="preserve"> PAGEREF _Toc237309577 \h </w:instrText>
      </w:r>
      <w:r>
        <w:fldChar w:fldCharType="separate"/>
      </w:r>
      <w:r>
        <w:t>54</w:t>
      </w:r>
      <w:r>
        <w:fldChar w:fldCharType="end"/>
      </w:r>
    </w:p>
    <w:p>
      <w:pPr>
        <w:pStyle w:val="TOC8"/>
        <w:rPr>
          <w:sz w:val="24"/>
          <w:szCs w:val="24"/>
        </w:rPr>
      </w:pPr>
      <w:r>
        <w:rPr>
          <w:szCs w:val="22"/>
        </w:rPr>
        <w:t>10.</w:t>
      </w:r>
      <w:r>
        <w:rPr>
          <w:szCs w:val="22"/>
        </w:rPr>
        <w:tab/>
        <w:t>Non</w:t>
      </w:r>
      <w:r>
        <w:rPr>
          <w:szCs w:val="22"/>
        </w:rPr>
        <w:noBreakHyphen/>
        <w:t>metropolitan non</w:t>
      </w:r>
      <w:r>
        <w:rPr>
          <w:szCs w:val="22"/>
        </w:rPr>
        <w:noBreakHyphen/>
        <w:t>residential or commercial residential</w:t>
      </w:r>
      <w:r>
        <w:tab/>
      </w:r>
      <w:r>
        <w:fldChar w:fldCharType="begin"/>
      </w:r>
      <w:r>
        <w:instrText xml:space="preserve"> PAGEREF _Toc237309578 \h </w:instrText>
      </w:r>
      <w:r>
        <w:fldChar w:fldCharType="separate"/>
      </w:r>
      <w:r>
        <w:t>55</w:t>
      </w:r>
      <w:r>
        <w:fldChar w:fldCharType="end"/>
      </w:r>
    </w:p>
    <w:p>
      <w:pPr>
        <w:pStyle w:val="TOC8"/>
        <w:rPr>
          <w:sz w:val="24"/>
          <w:szCs w:val="24"/>
        </w:rPr>
      </w:pPr>
      <w:r>
        <w:rPr>
          <w:szCs w:val="22"/>
        </w:rPr>
        <w:t>11.</w:t>
      </w:r>
      <w:r>
        <w:rPr>
          <w:szCs w:val="22"/>
        </w:rPr>
        <w:tab/>
        <w:t>Stock</w:t>
      </w:r>
      <w:r>
        <w:tab/>
      </w:r>
      <w:r>
        <w:fldChar w:fldCharType="begin"/>
      </w:r>
      <w:r>
        <w:instrText xml:space="preserve"> PAGEREF _Toc237309579 \h </w:instrText>
      </w:r>
      <w:r>
        <w:fldChar w:fldCharType="separate"/>
      </w:r>
      <w:r>
        <w:t>56</w:t>
      </w:r>
      <w:r>
        <w:fldChar w:fldCharType="end"/>
      </w:r>
    </w:p>
    <w:p>
      <w:pPr>
        <w:pStyle w:val="TOC8"/>
        <w:rPr>
          <w:sz w:val="24"/>
          <w:szCs w:val="24"/>
        </w:rPr>
      </w:pPr>
      <w:r>
        <w:rPr>
          <w:szCs w:val="22"/>
        </w:rPr>
        <w:t>12.</w:t>
      </w:r>
      <w:r>
        <w:rPr>
          <w:szCs w:val="22"/>
        </w:rPr>
        <w:tab/>
        <w:t>Additional connections</w:t>
      </w:r>
      <w:r>
        <w:tab/>
      </w:r>
      <w:r>
        <w:fldChar w:fldCharType="begin"/>
      </w:r>
      <w:r>
        <w:instrText xml:space="preserve"> PAGEREF _Toc237309580 \h </w:instrText>
      </w:r>
      <w:r>
        <w:fldChar w:fldCharType="separate"/>
      </w:r>
      <w:r>
        <w:t>56</w:t>
      </w:r>
      <w:r>
        <w:fldChar w:fldCharType="end"/>
      </w:r>
    </w:p>
    <w:p>
      <w:pPr>
        <w:pStyle w:val="TOC8"/>
        <w:rPr>
          <w:sz w:val="24"/>
          <w:szCs w:val="24"/>
        </w:rPr>
      </w:pPr>
      <w:r>
        <w:rPr>
          <w:szCs w:val="22"/>
        </w:rPr>
        <w:t>13.</w:t>
      </w:r>
      <w:r>
        <w:rPr>
          <w:szCs w:val="22"/>
        </w:rPr>
        <w:tab/>
        <w:t>Shipping (non</w:t>
      </w:r>
      <w:r>
        <w:rPr>
          <w:szCs w:val="22"/>
        </w:rPr>
        <w:noBreakHyphen/>
        <w:t>metropolitan)</w:t>
      </w:r>
      <w:r>
        <w:tab/>
      </w:r>
      <w:r>
        <w:fldChar w:fldCharType="begin"/>
      </w:r>
      <w:r>
        <w:instrText xml:space="preserve"> PAGEREF _Toc237309581 \h </w:instrText>
      </w:r>
      <w:r>
        <w:fldChar w:fldCharType="separate"/>
      </w:r>
      <w:r>
        <w:t>58</w:t>
      </w:r>
      <w:r>
        <w:fldChar w:fldCharType="end"/>
      </w:r>
    </w:p>
    <w:p>
      <w:pPr>
        <w:pStyle w:val="TOC8"/>
        <w:rPr>
          <w:sz w:val="24"/>
          <w:szCs w:val="24"/>
        </w:rPr>
      </w:pPr>
      <w:r>
        <w:rPr>
          <w:szCs w:val="22"/>
        </w:rPr>
        <w:t>14.</w:t>
      </w:r>
      <w:r>
        <w:rPr>
          <w:szCs w:val="22"/>
        </w:rPr>
        <w:tab/>
        <w:t>Local government standpipes</w:t>
      </w:r>
      <w:r>
        <w:tab/>
      </w:r>
      <w:r>
        <w:fldChar w:fldCharType="begin"/>
      </w:r>
      <w:r>
        <w:instrText xml:space="preserve"> PAGEREF _Toc237309582 \h </w:instrText>
      </w:r>
      <w:r>
        <w:fldChar w:fldCharType="separate"/>
      </w:r>
      <w:r>
        <w:t>58</w:t>
      </w:r>
      <w:r>
        <w:fldChar w:fldCharType="end"/>
      </w:r>
    </w:p>
    <w:p>
      <w:pPr>
        <w:pStyle w:val="TOC8"/>
        <w:rPr>
          <w:sz w:val="24"/>
          <w:szCs w:val="24"/>
        </w:rPr>
      </w:pPr>
      <w:r>
        <w:rPr>
          <w:szCs w:val="22"/>
        </w:rPr>
        <w:t>15.</w:t>
      </w:r>
      <w:r>
        <w:rPr>
          <w:szCs w:val="22"/>
        </w:rPr>
        <w:tab/>
        <w:t>Firefighting connections</w:t>
      </w:r>
      <w:r>
        <w:tab/>
      </w:r>
      <w:r>
        <w:fldChar w:fldCharType="begin"/>
      </w:r>
      <w:r>
        <w:instrText xml:space="preserve"> PAGEREF _Toc237309583 \h </w:instrText>
      </w:r>
      <w:r>
        <w:fldChar w:fldCharType="separate"/>
      </w:r>
      <w:r>
        <w:t>58</w:t>
      </w:r>
      <w:r>
        <w:fldChar w:fldCharType="end"/>
      </w:r>
    </w:p>
    <w:p>
      <w:pPr>
        <w:pStyle w:val="TOC8"/>
        <w:rPr>
          <w:sz w:val="24"/>
          <w:szCs w:val="24"/>
        </w:rPr>
      </w:pPr>
      <w:r>
        <w:rPr>
          <w:szCs w:val="22"/>
        </w:rPr>
        <w:t>16.</w:t>
      </w:r>
      <w:r>
        <w:rPr>
          <w:szCs w:val="22"/>
        </w:rPr>
        <w:tab/>
        <w:t>Farmland and metropolitan farmland</w:t>
      </w:r>
      <w:r>
        <w:tab/>
      </w:r>
      <w:r>
        <w:fldChar w:fldCharType="begin"/>
      </w:r>
      <w:r>
        <w:instrText xml:space="preserve"> PAGEREF _Toc237309584 \h </w:instrText>
      </w:r>
      <w:r>
        <w:fldChar w:fldCharType="separate"/>
      </w:r>
      <w:r>
        <w:t>58</w:t>
      </w:r>
      <w:r>
        <w:fldChar w:fldCharType="end"/>
      </w:r>
    </w:p>
    <w:p>
      <w:pPr>
        <w:pStyle w:val="TOC8"/>
        <w:rPr>
          <w:sz w:val="24"/>
          <w:szCs w:val="24"/>
        </w:rPr>
      </w:pPr>
      <w:r>
        <w:rPr>
          <w:szCs w:val="22"/>
        </w:rPr>
        <w:t>17.</w:t>
      </w:r>
      <w:r>
        <w:rPr>
          <w:szCs w:val="22"/>
        </w:rPr>
        <w:tab/>
        <w:t>Metropolitan non</w:t>
      </w:r>
      <w:r>
        <w:rPr>
          <w:szCs w:val="22"/>
        </w:rPr>
        <w:noBreakHyphen/>
        <w:t>residential (except strata</w:t>
      </w:r>
      <w:r>
        <w:rPr>
          <w:szCs w:val="22"/>
        </w:rPr>
        <w:noBreakHyphen/>
        <w:t>titled units that share a service)</w:t>
      </w:r>
      <w:r>
        <w:tab/>
      </w:r>
      <w:r>
        <w:fldChar w:fldCharType="begin"/>
      </w:r>
      <w:r>
        <w:instrText xml:space="preserve"> PAGEREF _Toc237309585 \h </w:instrText>
      </w:r>
      <w:r>
        <w:fldChar w:fldCharType="separate"/>
      </w:r>
      <w:r>
        <w:t>58</w:t>
      </w:r>
      <w:r>
        <w:fldChar w:fldCharType="end"/>
      </w:r>
    </w:p>
    <w:p>
      <w:pPr>
        <w:pStyle w:val="TOC8"/>
        <w:rPr>
          <w:sz w:val="24"/>
          <w:szCs w:val="24"/>
        </w:rPr>
      </w:pPr>
      <w:r>
        <w:rPr>
          <w:szCs w:val="22"/>
        </w:rPr>
        <w:t>18.</w:t>
      </w:r>
      <w:r>
        <w:rPr>
          <w:szCs w:val="22"/>
        </w:rPr>
        <w:tab/>
        <w:t>Vacant land</w:t>
      </w:r>
      <w:r>
        <w:tab/>
      </w:r>
      <w:r>
        <w:fldChar w:fldCharType="begin"/>
      </w:r>
      <w:r>
        <w:instrText xml:space="preserve"> PAGEREF _Toc237309586 \h </w:instrText>
      </w:r>
      <w:r>
        <w:fldChar w:fldCharType="separate"/>
      </w:r>
      <w:r>
        <w:t>59</w:t>
      </w:r>
      <w:r>
        <w:fldChar w:fldCharType="end"/>
      </w:r>
    </w:p>
    <w:p>
      <w:pPr>
        <w:pStyle w:val="TOC8"/>
        <w:rPr>
          <w:sz w:val="24"/>
          <w:szCs w:val="24"/>
        </w:rPr>
      </w:pPr>
      <w:r>
        <w:rPr>
          <w:szCs w:val="22"/>
        </w:rPr>
        <w:t>19.</w:t>
      </w:r>
      <w:r>
        <w:rPr>
          <w:szCs w:val="22"/>
        </w:rPr>
        <w:tab/>
        <w:t>Garden supply for metropolitan vacant land</w:t>
      </w:r>
      <w:r>
        <w:tab/>
      </w:r>
      <w:r>
        <w:fldChar w:fldCharType="begin"/>
      </w:r>
      <w:r>
        <w:instrText xml:space="preserve"> PAGEREF _Toc237309587 \h </w:instrText>
      </w:r>
      <w:r>
        <w:fldChar w:fldCharType="separate"/>
      </w:r>
      <w:r>
        <w:t>59</w:t>
      </w:r>
      <w:r>
        <w:fldChar w:fldCharType="end"/>
      </w:r>
    </w:p>
    <w:p>
      <w:pPr>
        <w:pStyle w:val="TOC4"/>
        <w:tabs>
          <w:tab w:val="right" w:leader="dot" w:pos="7086"/>
        </w:tabs>
        <w:rPr>
          <w:b w:val="0"/>
          <w:sz w:val="24"/>
          <w:szCs w:val="24"/>
        </w:rPr>
      </w:pPr>
      <w:r>
        <w:rPr>
          <w:szCs w:val="24"/>
        </w:rPr>
        <w:t>Division 2</w:t>
      </w:r>
      <w:r>
        <w:rPr>
          <w:b w:val="0"/>
          <w:szCs w:val="24"/>
        </w:rPr>
        <w:t> — </w:t>
      </w:r>
      <w:r>
        <w:rPr>
          <w:szCs w:val="24"/>
        </w:rPr>
        <w:t>Quantity charges</w:t>
      </w:r>
    </w:p>
    <w:p>
      <w:pPr>
        <w:pStyle w:val="TOC8"/>
        <w:rPr>
          <w:sz w:val="24"/>
          <w:szCs w:val="24"/>
        </w:rPr>
      </w:pPr>
      <w:r>
        <w:rPr>
          <w:szCs w:val="22"/>
        </w:rPr>
        <w:t>20.</w:t>
      </w:r>
      <w:r>
        <w:rPr>
          <w:szCs w:val="22"/>
        </w:rPr>
        <w:tab/>
        <w:t>Metropolitan residential</w:t>
      </w:r>
      <w:r>
        <w:tab/>
      </w:r>
      <w:r>
        <w:fldChar w:fldCharType="begin"/>
      </w:r>
      <w:r>
        <w:instrText xml:space="preserve"> PAGEREF _Toc237309589 \h </w:instrText>
      </w:r>
      <w:r>
        <w:fldChar w:fldCharType="separate"/>
      </w:r>
      <w:r>
        <w:t>59</w:t>
      </w:r>
      <w:r>
        <w:fldChar w:fldCharType="end"/>
      </w:r>
    </w:p>
    <w:p>
      <w:pPr>
        <w:pStyle w:val="TOC8"/>
        <w:rPr>
          <w:sz w:val="24"/>
          <w:szCs w:val="24"/>
        </w:rPr>
      </w:pPr>
      <w:r>
        <w:rPr>
          <w:szCs w:val="22"/>
        </w:rPr>
        <w:t>21.</w:t>
      </w:r>
      <w:r>
        <w:rPr>
          <w:szCs w:val="22"/>
        </w:rPr>
        <w:tab/>
        <w:t>Metropolitan semi</w:t>
      </w:r>
      <w:r>
        <w:rPr>
          <w:szCs w:val="22"/>
        </w:rPr>
        <w:noBreakHyphen/>
        <w:t>rural residential</w:t>
      </w:r>
      <w:r>
        <w:tab/>
      </w:r>
      <w:r>
        <w:fldChar w:fldCharType="begin"/>
      </w:r>
      <w:r>
        <w:instrText xml:space="preserve"> PAGEREF _Toc237309590 \h </w:instrText>
      </w:r>
      <w:r>
        <w:fldChar w:fldCharType="separate"/>
      </w:r>
      <w:r>
        <w:t>60</w:t>
      </w:r>
      <w:r>
        <w:fldChar w:fldCharType="end"/>
      </w:r>
    </w:p>
    <w:p>
      <w:pPr>
        <w:pStyle w:val="TOC8"/>
        <w:rPr>
          <w:sz w:val="24"/>
          <w:szCs w:val="24"/>
        </w:rPr>
      </w:pPr>
      <w:r>
        <w:rPr>
          <w:szCs w:val="22"/>
        </w:rPr>
        <w:t>22.</w:t>
      </w:r>
      <w:r>
        <w:rPr>
          <w:szCs w:val="22"/>
        </w:rPr>
        <w:tab/>
        <w:t>Non</w:t>
      </w:r>
      <w:r>
        <w:rPr>
          <w:szCs w:val="22"/>
        </w:rPr>
        <w:noBreakHyphen/>
        <w:t>metropolitan residential</w:t>
      </w:r>
      <w:r>
        <w:tab/>
      </w:r>
      <w:r>
        <w:fldChar w:fldCharType="begin"/>
      </w:r>
      <w:r>
        <w:instrText xml:space="preserve"> PAGEREF _Toc237309591 \h </w:instrText>
      </w:r>
      <w:r>
        <w:fldChar w:fldCharType="separate"/>
      </w:r>
      <w:r>
        <w:t>60</w:t>
      </w:r>
      <w:r>
        <w:fldChar w:fldCharType="end"/>
      </w:r>
    </w:p>
    <w:p>
      <w:pPr>
        <w:pStyle w:val="TOC8"/>
        <w:rPr>
          <w:sz w:val="24"/>
          <w:szCs w:val="24"/>
        </w:rPr>
      </w:pPr>
      <w:r>
        <w:rPr>
          <w:szCs w:val="22"/>
        </w:rPr>
        <w:t>23.</w:t>
      </w:r>
      <w:r>
        <w:rPr>
          <w:szCs w:val="22"/>
        </w:rPr>
        <w:tab/>
        <w:t>Community residential</w:t>
      </w:r>
      <w:r>
        <w:tab/>
      </w:r>
      <w:r>
        <w:fldChar w:fldCharType="begin"/>
      </w:r>
      <w:r>
        <w:instrText xml:space="preserve"> PAGEREF _Toc237309592 \h </w:instrText>
      </w:r>
      <w:r>
        <w:fldChar w:fldCharType="separate"/>
      </w:r>
      <w:r>
        <w:t>62</w:t>
      </w:r>
      <w:r>
        <w:fldChar w:fldCharType="end"/>
      </w:r>
    </w:p>
    <w:p>
      <w:pPr>
        <w:pStyle w:val="TOC8"/>
        <w:rPr>
          <w:sz w:val="24"/>
          <w:szCs w:val="24"/>
        </w:rPr>
      </w:pPr>
      <w:r>
        <w:rPr>
          <w:szCs w:val="22"/>
        </w:rPr>
        <w:t>24.</w:t>
      </w:r>
      <w:r>
        <w:rPr>
          <w:szCs w:val="22"/>
        </w:rPr>
        <w:tab/>
        <w:t>Metropolitan non</w:t>
      </w:r>
      <w:r>
        <w:rPr>
          <w:szCs w:val="22"/>
        </w:rPr>
        <w:noBreakHyphen/>
        <w:t>residential</w:t>
      </w:r>
      <w:r>
        <w:tab/>
      </w:r>
      <w:r>
        <w:fldChar w:fldCharType="begin"/>
      </w:r>
      <w:r>
        <w:instrText xml:space="preserve"> PAGEREF _Toc237309593 \h </w:instrText>
      </w:r>
      <w:r>
        <w:fldChar w:fldCharType="separate"/>
      </w:r>
      <w:r>
        <w:t>64</w:t>
      </w:r>
      <w:r>
        <w:fldChar w:fldCharType="end"/>
      </w:r>
    </w:p>
    <w:p>
      <w:pPr>
        <w:pStyle w:val="TOC8"/>
        <w:rPr>
          <w:sz w:val="24"/>
          <w:szCs w:val="24"/>
        </w:rPr>
      </w:pPr>
      <w:r>
        <w:rPr>
          <w:szCs w:val="22"/>
        </w:rPr>
        <w:t>25.</w:t>
      </w:r>
      <w:r>
        <w:rPr>
          <w:szCs w:val="22"/>
        </w:rPr>
        <w:tab/>
        <w:t>Connected metropolitan exempt</w:t>
      </w:r>
      <w:r>
        <w:tab/>
      </w:r>
      <w:r>
        <w:fldChar w:fldCharType="begin"/>
      </w:r>
      <w:r>
        <w:instrText xml:space="preserve"> PAGEREF _Toc237309594 \h </w:instrText>
      </w:r>
      <w:r>
        <w:fldChar w:fldCharType="separate"/>
      </w:r>
      <w:r>
        <w:t>65</w:t>
      </w:r>
      <w:r>
        <w:fldChar w:fldCharType="end"/>
      </w:r>
    </w:p>
    <w:p>
      <w:pPr>
        <w:pStyle w:val="TOC8"/>
        <w:rPr>
          <w:sz w:val="24"/>
          <w:szCs w:val="24"/>
        </w:rPr>
      </w:pPr>
      <w:r>
        <w:rPr>
          <w:szCs w:val="22"/>
        </w:rPr>
        <w:t>26.</w:t>
      </w:r>
      <w:r>
        <w:rPr>
          <w:szCs w:val="22"/>
        </w:rPr>
        <w:tab/>
        <w:t>Connected non</w:t>
      </w:r>
      <w:r>
        <w:rPr>
          <w:szCs w:val="22"/>
        </w:rPr>
        <w:noBreakHyphen/>
        <w:t>metropolitan residential exempt</w:t>
      </w:r>
      <w:r>
        <w:tab/>
      </w:r>
      <w:r>
        <w:fldChar w:fldCharType="begin"/>
      </w:r>
      <w:r>
        <w:instrText xml:space="preserve"> PAGEREF _Toc237309595 \h </w:instrText>
      </w:r>
      <w:r>
        <w:fldChar w:fldCharType="separate"/>
      </w:r>
      <w:r>
        <w:t>65</w:t>
      </w:r>
      <w:r>
        <w:fldChar w:fldCharType="end"/>
      </w:r>
    </w:p>
    <w:p>
      <w:pPr>
        <w:pStyle w:val="TOC8"/>
        <w:rPr>
          <w:sz w:val="24"/>
          <w:szCs w:val="24"/>
        </w:rPr>
      </w:pPr>
      <w:r>
        <w:rPr>
          <w:szCs w:val="22"/>
        </w:rPr>
        <w:t>27.</w:t>
      </w:r>
      <w:r>
        <w:rPr>
          <w:szCs w:val="22"/>
        </w:rPr>
        <w:tab/>
        <w:t>Non</w:t>
      </w:r>
      <w:r>
        <w:rPr>
          <w:szCs w:val="22"/>
        </w:rPr>
        <w:noBreakHyphen/>
        <w:t>metropolitan non</w:t>
      </w:r>
      <w:r>
        <w:rPr>
          <w:szCs w:val="22"/>
        </w:rPr>
        <w:noBreakHyphen/>
        <w:t>residential</w:t>
      </w:r>
      <w:r>
        <w:tab/>
      </w:r>
      <w:r>
        <w:fldChar w:fldCharType="begin"/>
      </w:r>
      <w:r>
        <w:instrText xml:space="preserve"> PAGEREF _Toc237309596 \h </w:instrText>
      </w:r>
      <w:r>
        <w:fldChar w:fldCharType="separate"/>
      </w:r>
      <w:r>
        <w:t>65</w:t>
      </w:r>
      <w:r>
        <w:fldChar w:fldCharType="end"/>
      </w:r>
    </w:p>
    <w:p>
      <w:pPr>
        <w:pStyle w:val="TOC8"/>
        <w:rPr>
          <w:sz w:val="24"/>
          <w:szCs w:val="24"/>
        </w:rPr>
      </w:pPr>
      <w:r>
        <w:rPr>
          <w:szCs w:val="22"/>
        </w:rPr>
        <w:t>28.</w:t>
      </w:r>
      <w:r>
        <w:rPr>
          <w:szCs w:val="22"/>
        </w:rPr>
        <w:tab/>
        <w:t>Coral Bay desalinated</w:t>
      </w:r>
      <w:r>
        <w:tab/>
      </w:r>
      <w:r>
        <w:fldChar w:fldCharType="begin"/>
      </w:r>
      <w:r>
        <w:instrText xml:space="preserve"> PAGEREF _Toc237309597 \h </w:instrText>
      </w:r>
      <w:r>
        <w:fldChar w:fldCharType="separate"/>
      </w:r>
      <w:r>
        <w:t>67</w:t>
      </w:r>
      <w:r>
        <w:fldChar w:fldCharType="end"/>
      </w:r>
    </w:p>
    <w:p>
      <w:pPr>
        <w:pStyle w:val="TOC8"/>
        <w:rPr>
          <w:sz w:val="24"/>
          <w:szCs w:val="24"/>
        </w:rPr>
      </w:pPr>
      <w:r>
        <w:rPr>
          <w:szCs w:val="22"/>
        </w:rPr>
        <w:t>29.</w:t>
      </w:r>
      <w:r>
        <w:rPr>
          <w:szCs w:val="22"/>
        </w:rPr>
        <w:tab/>
        <w:t>Denham desalinated</w:t>
      </w:r>
      <w:r>
        <w:tab/>
      </w:r>
      <w:r>
        <w:fldChar w:fldCharType="begin"/>
      </w:r>
      <w:r>
        <w:instrText xml:space="preserve"> PAGEREF _Toc237309598 \h </w:instrText>
      </w:r>
      <w:r>
        <w:fldChar w:fldCharType="separate"/>
      </w:r>
      <w:r>
        <w:t>68</w:t>
      </w:r>
      <w:r>
        <w:fldChar w:fldCharType="end"/>
      </w:r>
    </w:p>
    <w:p>
      <w:pPr>
        <w:pStyle w:val="TOC8"/>
        <w:rPr>
          <w:sz w:val="24"/>
          <w:szCs w:val="24"/>
        </w:rPr>
      </w:pPr>
      <w:r>
        <w:rPr>
          <w:szCs w:val="22"/>
        </w:rPr>
        <w:t>30.</w:t>
      </w:r>
      <w:r>
        <w:rPr>
          <w:szCs w:val="22"/>
        </w:rPr>
        <w:tab/>
        <w:t>Local government standpipes</w:t>
      </w:r>
      <w:r>
        <w:tab/>
      </w:r>
      <w:r>
        <w:fldChar w:fldCharType="begin"/>
      </w:r>
      <w:r>
        <w:instrText xml:space="preserve"> PAGEREF _Toc237309599 \h </w:instrText>
      </w:r>
      <w:r>
        <w:fldChar w:fldCharType="separate"/>
      </w:r>
      <w:r>
        <w:t>68</w:t>
      </w:r>
      <w:r>
        <w:fldChar w:fldCharType="end"/>
      </w:r>
    </w:p>
    <w:p>
      <w:pPr>
        <w:pStyle w:val="TOC8"/>
        <w:rPr>
          <w:sz w:val="24"/>
          <w:szCs w:val="24"/>
        </w:rPr>
      </w:pPr>
      <w:r>
        <w:rPr>
          <w:szCs w:val="22"/>
        </w:rPr>
        <w:t>31.</w:t>
      </w:r>
      <w:r>
        <w:rPr>
          <w:szCs w:val="22"/>
        </w:rPr>
        <w:tab/>
        <w:t>Shipping</w:t>
      </w:r>
      <w:r>
        <w:tab/>
      </w:r>
      <w:r>
        <w:fldChar w:fldCharType="begin"/>
      </w:r>
      <w:r>
        <w:instrText xml:space="preserve"> PAGEREF _Toc237309600 \h </w:instrText>
      </w:r>
      <w:r>
        <w:fldChar w:fldCharType="separate"/>
      </w:r>
      <w:r>
        <w:t>68</w:t>
      </w:r>
      <w:r>
        <w:fldChar w:fldCharType="end"/>
      </w:r>
    </w:p>
    <w:p>
      <w:pPr>
        <w:pStyle w:val="TOC8"/>
        <w:rPr>
          <w:sz w:val="24"/>
          <w:szCs w:val="24"/>
        </w:rPr>
      </w:pPr>
      <w:r>
        <w:rPr>
          <w:szCs w:val="22"/>
        </w:rPr>
        <w:t>32.</w:t>
      </w:r>
      <w:r>
        <w:rPr>
          <w:szCs w:val="22"/>
        </w:rPr>
        <w:tab/>
        <w:t>Stock</w:t>
      </w:r>
      <w:r>
        <w:tab/>
      </w:r>
      <w:r>
        <w:fldChar w:fldCharType="begin"/>
      </w:r>
      <w:r>
        <w:instrText xml:space="preserve"> PAGEREF _Toc237309601 \h </w:instrText>
      </w:r>
      <w:r>
        <w:fldChar w:fldCharType="separate"/>
      </w:r>
      <w:r>
        <w:t>69</w:t>
      </w:r>
      <w:r>
        <w:fldChar w:fldCharType="end"/>
      </w:r>
    </w:p>
    <w:p>
      <w:pPr>
        <w:pStyle w:val="TOC8"/>
        <w:rPr>
          <w:sz w:val="24"/>
          <w:szCs w:val="24"/>
        </w:rPr>
      </w:pPr>
      <w:r>
        <w:rPr>
          <w:szCs w:val="22"/>
        </w:rPr>
        <w:t>33.</w:t>
      </w:r>
      <w:r>
        <w:rPr>
          <w:szCs w:val="22"/>
        </w:rPr>
        <w:tab/>
        <w:t>Building</w:t>
      </w:r>
      <w:r>
        <w:tab/>
      </w:r>
      <w:r>
        <w:fldChar w:fldCharType="begin"/>
      </w:r>
      <w:r>
        <w:instrText xml:space="preserve"> PAGEREF _Toc237309602 \h </w:instrText>
      </w:r>
      <w:r>
        <w:fldChar w:fldCharType="separate"/>
      </w:r>
      <w:r>
        <w:t>69</w:t>
      </w:r>
      <w:r>
        <w:fldChar w:fldCharType="end"/>
      </w:r>
    </w:p>
    <w:p>
      <w:pPr>
        <w:pStyle w:val="TOC8"/>
        <w:rPr>
          <w:sz w:val="24"/>
          <w:szCs w:val="24"/>
        </w:rPr>
      </w:pPr>
      <w:r>
        <w:rPr>
          <w:szCs w:val="22"/>
        </w:rPr>
        <w:t>34.</w:t>
      </w:r>
      <w:r>
        <w:rPr>
          <w:szCs w:val="22"/>
        </w:rPr>
        <w:tab/>
        <w:t>Metropolitan hydrant standpipes</w:t>
      </w:r>
      <w:r>
        <w:tab/>
      </w:r>
      <w:r>
        <w:fldChar w:fldCharType="begin"/>
      </w:r>
      <w:r>
        <w:instrText xml:space="preserve"> PAGEREF _Toc237309603 \h </w:instrText>
      </w:r>
      <w:r>
        <w:fldChar w:fldCharType="separate"/>
      </w:r>
      <w:r>
        <w:t>70</w:t>
      </w:r>
      <w:r>
        <w:fldChar w:fldCharType="end"/>
      </w:r>
    </w:p>
    <w:p>
      <w:pPr>
        <w:pStyle w:val="TOC4"/>
        <w:tabs>
          <w:tab w:val="right" w:leader="dot" w:pos="7086"/>
        </w:tabs>
        <w:rPr>
          <w:b w:val="0"/>
          <w:sz w:val="24"/>
          <w:szCs w:val="24"/>
        </w:rPr>
      </w:pPr>
      <w:r>
        <w:rPr>
          <w:szCs w:val="24"/>
        </w:rPr>
        <w:t>Division 3</w:t>
      </w:r>
      <w:r>
        <w:rPr>
          <w:b w:val="0"/>
          <w:szCs w:val="24"/>
        </w:rPr>
        <w:t> — </w:t>
      </w:r>
      <w:r>
        <w:rPr>
          <w:szCs w:val="24"/>
        </w:rPr>
        <w:t>Formula for the purposes of by</w:t>
      </w:r>
      <w:r>
        <w:rPr>
          <w:szCs w:val="24"/>
        </w:rPr>
        <w:noBreakHyphen/>
        <w:t>law 17(3)</w:t>
      </w:r>
    </w:p>
    <w:p>
      <w:pPr>
        <w:pStyle w:val="TOC8"/>
        <w:rPr>
          <w:sz w:val="24"/>
          <w:szCs w:val="24"/>
        </w:rPr>
      </w:pPr>
      <w:r>
        <w:rPr>
          <w:szCs w:val="22"/>
        </w:rPr>
        <w:t>35.</w:t>
      </w:r>
      <w:r>
        <w:rPr>
          <w:szCs w:val="22"/>
        </w:rPr>
        <w:tab/>
        <w:t>Formula for the purposes of by</w:t>
      </w:r>
      <w:r>
        <w:rPr>
          <w:szCs w:val="22"/>
        </w:rPr>
        <w:noBreakHyphen/>
        <w:t>law 17(3)</w:t>
      </w:r>
      <w:r>
        <w:tab/>
      </w:r>
      <w:r>
        <w:fldChar w:fldCharType="begin"/>
      </w:r>
      <w:r>
        <w:instrText xml:space="preserve"> PAGEREF _Toc237309605 \h </w:instrText>
      </w:r>
      <w:r>
        <w:fldChar w:fldCharType="separate"/>
      </w:r>
      <w:r>
        <w:t>70</w:t>
      </w:r>
      <w:r>
        <w:fldChar w:fldCharType="end"/>
      </w:r>
    </w:p>
    <w:p>
      <w:pPr>
        <w:pStyle w:val="TOC4"/>
        <w:tabs>
          <w:tab w:val="right" w:leader="dot" w:pos="7086"/>
        </w:tabs>
        <w:rPr>
          <w:b w:val="0"/>
          <w:sz w:val="24"/>
          <w:szCs w:val="24"/>
        </w:rPr>
      </w:pPr>
      <w:r>
        <w:rPr>
          <w:szCs w:val="24"/>
        </w:rPr>
        <w:t>Division 4</w:t>
      </w:r>
      <w:r>
        <w:rPr>
          <w:b w:val="0"/>
          <w:szCs w:val="24"/>
        </w:rPr>
        <w:t> — </w:t>
      </w:r>
      <w:r>
        <w:rPr>
          <w:szCs w:val="24"/>
        </w:rPr>
        <w:t>Capital infrastructure charges determined under by</w:t>
      </w:r>
      <w:r>
        <w:rPr>
          <w:szCs w:val="24"/>
        </w:rPr>
        <w:noBreakHyphen/>
        <w:t>law 19A</w:t>
      </w:r>
    </w:p>
    <w:p>
      <w:pPr>
        <w:pStyle w:val="TOC8"/>
        <w:rPr>
          <w:sz w:val="24"/>
          <w:szCs w:val="24"/>
        </w:rPr>
      </w:pPr>
      <w:r>
        <w:rPr>
          <w:szCs w:val="22"/>
        </w:rPr>
        <w:t>36.</w:t>
      </w:r>
      <w:r>
        <w:rPr>
          <w:szCs w:val="22"/>
        </w:rPr>
        <w:tab/>
        <w:t>Capital infrastructure charges determined under by</w:t>
      </w:r>
      <w:r>
        <w:rPr>
          <w:szCs w:val="22"/>
        </w:rPr>
        <w:noBreakHyphen/>
        <w:t>law 19A</w:t>
      </w:r>
      <w:r>
        <w:tab/>
      </w:r>
      <w:r>
        <w:fldChar w:fldCharType="begin"/>
      </w:r>
      <w:r>
        <w:instrText xml:space="preserve"> PAGEREF _Toc237309607 \h </w:instrText>
      </w:r>
      <w:r>
        <w:fldChar w:fldCharType="separate"/>
      </w:r>
      <w:r>
        <w:t>71</w:t>
      </w:r>
      <w:r>
        <w:fldChar w:fldCharType="end"/>
      </w:r>
    </w:p>
    <w:p>
      <w:pPr>
        <w:pStyle w:val="TOC2"/>
        <w:keepLines/>
        <w:tabs>
          <w:tab w:val="right" w:leader="dot" w:pos="7086"/>
        </w:tabs>
        <w:rPr>
          <w:b w:val="0"/>
          <w:sz w:val="24"/>
          <w:szCs w:val="24"/>
        </w:rPr>
      </w:pPr>
      <w:r>
        <w:rPr>
          <w:szCs w:val="28"/>
        </w:rPr>
        <w:t xml:space="preserve">Schedule 2 — Charges for water supply under the </w:t>
      </w:r>
      <w:r>
        <w:rPr>
          <w:i/>
          <w:iCs/>
          <w:szCs w:val="28"/>
        </w:rPr>
        <w:t>Rights in Water and Irrigation Act 1914</w:t>
      </w:r>
      <w:r>
        <w:rPr>
          <w:szCs w:val="28"/>
        </w:rPr>
        <w:t xml:space="preserve"> for 2009/2010</w:t>
      </w:r>
    </w:p>
    <w:p>
      <w:pPr>
        <w:pStyle w:val="TOC4"/>
        <w:tabs>
          <w:tab w:val="right" w:leader="dot" w:pos="7086"/>
        </w:tabs>
        <w:rPr>
          <w:b w:val="0"/>
          <w:sz w:val="24"/>
          <w:szCs w:val="24"/>
        </w:rPr>
      </w:pPr>
      <w:r>
        <w:rPr>
          <w:szCs w:val="24"/>
        </w:rPr>
        <w:t>Division 1</w:t>
      </w:r>
      <w:r>
        <w:rPr>
          <w:b w:val="0"/>
          <w:szCs w:val="24"/>
        </w:rPr>
        <w:t> — </w:t>
      </w:r>
      <w:r>
        <w:rPr>
          <w:szCs w:val="24"/>
        </w:rPr>
        <w:t>Fixed charges</w:t>
      </w:r>
    </w:p>
    <w:p>
      <w:pPr>
        <w:pStyle w:val="TOC8"/>
        <w:rPr>
          <w:sz w:val="24"/>
          <w:szCs w:val="24"/>
        </w:rPr>
      </w:pPr>
      <w:r>
        <w:rPr>
          <w:szCs w:val="22"/>
        </w:rPr>
        <w:t>1.</w:t>
      </w:r>
      <w:r>
        <w:rPr>
          <w:szCs w:val="22"/>
        </w:rPr>
        <w:tab/>
        <w:t xml:space="preserve">Supply under the </w:t>
      </w:r>
      <w:r>
        <w:rPr>
          <w:i/>
          <w:szCs w:val="22"/>
        </w:rPr>
        <w:t>Ord Irrigation District By</w:t>
      </w:r>
      <w:r>
        <w:rPr>
          <w:i/>
          <w:szCs w:val="22"/>
        </w:rPr>
        <w:noBreakHyphen/>
        <w:t xml:space="preserve">laws 1963 </w:t>
      </w:r>
      <w:r>
        <w:rPr>
          <w:szCs w:val="22"/>
        </w:rPr>
        <w:t>by</w:t>
      </w:r>
      <w:r>
        <w:rPr>
          <w:szCs w:val="22"/>
        </w:rPr>
        <w:noBreakHyphen/>
        <w:t>law 31A</w:t>
      </w:r>
      <w:r>
        <w:rPr>
          <w:iCs/>
          <w:szCs w:val="22"/>
        </w:rPr>
        <w:t xml:space="preserve"> other</w:t>
      </w:r>
      <w:r>
        <w:rPr>
          <w:szCs w:val="22"/>
        </w:rPr>
        <w:t xml:space="preserve"> than under Division 2</w:t>
      </w:r>
      <w:r>
        <w:tab/>
      </w:r>
      <w:r>
        <w:fldChar w:fldCharType="begin"/>
      </w:r>
      <w:r>
        <w:instrText xml:space="preserve"> PAGEREF _Toc237309610 \h </w:instrText>
      </w:r>
      <w:r>
        <w:fldChar w:fldCharType="separate"/>
      </w:r>
      <w:r>
        <w:t>72</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Variable charges and charges by way of a rate</w:t>
      </w:r>
    </w:p>
    <w:p>
      <w:pPr>
        <w:pStyle w:val="TOC8"/>
        <w:rPr>
          <w:sz w:val="24"/>
          <w:szCs w:val="24"/>
        </w:rPr>
      </w:pPr>
      <w:r>
        <w:rPr>
          <w:szCs w:val="22"/>
        </w:rPr>
        <w:t>2.</w:t>
      </w:r>
      <w:r>
        <w:rPr>
          <w:szCs w:val="22"/>
        </w:rPr>
        <w:tab/>
        <w:t xml:space="preserve">Supply under the </w:t>
      </w:r>
      <w:r>
        <w:rPr>
          <w:i/>
          <w:szCs w:val="22"/>
        </w:rPr>
        <w:t>Ord Irrigation District By</w:t>
      </w:r>
      <w:r>
        <w:rPr>
          <w:i/>
          <w:szCs w:val="22"/>
        </w:rPr>
        <w:noBreakHyphen/>
        <w:t>laws 1963</w:t>
      </w:r>
      <w:r>
        <w:rPr>
          <w:iCs/>
          <w:szCs w:val="22"/>
        </w:rPr>
        <w:t xml:space="preserve"> </w:t>
      </w:r>
      <w:r>
        <w:rPr>
          <w:szCs w:val="22"/>
        </w:rPr>
        <w:t>by</w:t>
      </w:r>
      <w:r>
        <w:rPr>
          <w:szCs w:val="22"/>
        </w:rPr>
        <w:noBreakHyphen/>
        <w:t>law 31A</w:t>
      </w:r>
      <w:r>
        <w:tab/>
      </w:r>
      <w:r>
        <w:fldChar w:fldCharType="begin"/>
      </w:r>
      <w:r>
        <w:instrText xml:space="preserve"> PAGEREF _Toc237309612 \h </w:instrText>
      </w:r>
      <w:r>
        <w:fldChar w:fldCharType="separate"/>
      </w:r>
      <w:r>
        <w:t>72</w:t>
      </w:r>
      <w:r>
        <w:fldChar w:fldCharType="end"/>
      </w:r>
    </w:p>
    <w:p>
      <w:pPr>
        <w:pStyle w:val="TOC2"/>
        <w:tabs>
          <w:tab w:val="right" w:leader="dot" w:pos="7086"/>
        </w:tabs>
        <w:rPr>
          <w:b w:val="0"/>
          <w:sz w:val="24"/>
          <w:szCs w:val="24"/>
        </w:rPr>
      </w:pPr>
      <w:r>
        <w:rPr>
          <w:szCs w:val="28"/>
        </w:rPr>
        <w:t>Schedule 3 — Charges for sewerage for 2009/2010</w:t>
      </w:r>
    </w:p>
    <w:p>
      <w:pPr>
        <w:pStyle w:val="TOC4"/>
        <w:tabs>
          <w:tab w:val="right" w:leader="dot" w:pos="7086"/>
        </w:tabs>
        <w:rPr>
          <w:b w:val="0"/>
          <w:sz w:val="24"/>
          <w:szCs w:val="24"/>
        </w:rPr>
      </w:pPr>
      <w:r>
        <w:rPr>
          <w:szCs w:val="24"/>
        </w:rPr>
        <w:t>Division 1</w:t>
      </w:r>
      <w:r>
        <w:rPr>
          <w:b w:val="0"/>
          <w:szCs w:val="24"/>
        </w:rPr>
        <w:t> — </w:t>
      </w:r>
      <w:r>
        <w:rPr>
          <w:szCs w:val="24"/>
        </w:rPr>
        <w:t>Fixed charges</w:t>
      </w:r>
    </w:p>
    <w:p>
      <w:pPr>
        <w:pStyle w:val="TOC8"/>
        <w:rPr>
          <w:sz w:val="24"/>
          <w:szCs w:val="24"/>
        </w:rPr>
      </w:pPr>
      <w:r>
        <w:rPr>
          <w:szCs w:val="22"/>
        </w:rPr>
        <w:t>1.</w:t>
      </w:r>
      <w:r>
        <w:rPr>
          <w:szCs w:val="22"/>
        </w:rPr>
        <w:tab/>
        <w:t>Connected metropolitan exempt</w:t>
      </w:r>
      <w:r>
        <w:tab/>
      </w:r>
      <w:r>
        <w:fldChar w:fldCharType="begin"/>
      </w:r>
      <w:r>
        <w:instrText xml:space="preserve"> PAGEREF _Toc237309615 \h </w:instrText>
      </w:r>
      <w:r>
        <w:fldChar w:fldCharType="separate"/>
      </w:r>
      <w:r>
        <w:t>73</w:t>
      </w:r>
      <w:r>
        <w:fldChar w:fldCharType="end"/>
      </w:r>
    </w:p>
    <w:p>
      <w:pPr>
        <w:pStyle w:val="TOC8"/>
        <w:rPr>
          <w:sz w:val="24"/>
          <w:szCs w:val="24"/>
        </w:rPr>
      </w:pPr>
      <w:r>
        <w:rPr>
          <w:szCs w:val="22"/>
        </w:rPr>
        <w:t>2.</w:t>
      </w:r>
      <w:r>
        <w:rPr>
          <w:szCs w:val="22"/>
        </w:rPr>
        <w:tab/>
        <w:t>Connected country exempt</w:t>
      </w:r>
      <w:r>
        <w:tab/>
      </w:r>
      <w:r>
        <w:fldChar w:fldCharType="begin"/>
      </w:r>
      <w:r>
        <w:instrText xml:space="preserve"> PAGEREF _Toc237309616 \h </w:instrText>
      </w:r>
      <w:r>
        <w:fldChar w:fldCharType="separate"/>
      </w:r>
      <w:r>
        <w:t>73</w:t>
      </w:r>
      <w:r>
        <w:fldChar w:fldCharType="end"/>
      </w:r>
    </w:p>
    <w:p>
      <w:pPr>
        <w:pStyle w:val="TOC8"/>
        <w:rPr>
          <w:sz w:val="24"/>
          <w:szCs w:val="24"/>
        </w:rPr>
      </w:pPr>
      <w:r>
        <w:rPr>
          <w:szCs w:val="22"/>
        </w:rPr>
        <w:t>3.</w:t>
      </w:r>
      <w:r>
        <w:rPr>
          <w:szCs w:val="22"/>
        </w:rPr>
        <w:tab/>
        <w:t>Strata</w:t>
      </w:r>
      <w:r>
        <w:rPr>
          <w:szCs w:val="22"/>
        </w:rPr>
        <w:noBreakHyphen/>
        <w:t>titled caravan bay</w:t>
      </w:r>
      <w:r>
        <w:tab/>
      </w:r>
      <w:r>
        <w:fldChar w:fldCharType="begin"/>
      </w:r>
      <w:r>
        <w:instrText xml:space="preserve"> PAGEREF _Toc237309617 \h </w:instrText>
      </w:r>
      <w:r>
        <w:fldChar w:fldCharType="separate"/>
      </w:r>
      <w:r>
        <w:t>74</w:t>
      </w:r>
      <w:r>
        <w:fldChar w:fldCharType="end"/>
      </w:r>
    </w:p>
    <w:p>
      <w:pPr>
        <w:pStyle w:val="TOC8"/>
        <w:rPr>
          <w:sz w:val="24"/>
          <w:szCs w:val="24"/>
        </w:rPr>
      </w:pPr>
      <w:r>
        <w:rPr>
          <w:szCs w:val="22"/>
        </w:rPr>
        <w:t>4.</w:t>
      </w:r>
      <w:r>
        <w:rPr>
          <w:szCs w:val="22"/>
        </w:rPr>
        <w:tab/>
        <w:t>Strata</w:t>
      </w:r>
      <w:r>
        <w:rPr>
          <w:szCs w:val="22"/>
        </w:rPr>
        <w:noBreakHyphen/>
        <w:t>titled storage unit and strata</w:t>
      </w:r>
      <w:r>
        <w:rPr>
          <w:szCs w:val="22"/>
        </w:rPr>
        <w:noBreakHyphen/>
        <w:t>titled parking bay</w:t>
      </w:r>
      <w:r>
        <w:tab/>
      </w:r>
      <w:r>
        <w:fldChar w:fldCharType="begin"/>
      </w:r>
      <w:r>
        <w:instrText xml:space="preserve"> PAGEREF _Toc237309618 \h </w:instrText>
      </w:r>
      <w:r>
        <w:fldChar w:fldCharType="separate"/>
      </w:r>
      <w:r>
        <w:t>74</w:t>
      </w:r>
      <w:r>
        <w:fldChar w:fldCharType="end"/>
      </w:r>
    </w:p>
    <w:p>
      <w:pPr>
        <w:pStyle w:val="TOC8"/>
        <w:rPr>
          <w:sz w:val="24"/>
          <w:szCs w:val="24"/>
        </w:rPr>
      </w:pPr>
      <w:r>
        <w:rPr>
          <w:szCs w:val="22"/>
        </w:rPr>
        <w:t>5.</w:t>
      </w:r>
      <w:r>
        <w:rPr>
          <w:szCs w:val="22"/>
        </w:rPr>
        <w:tab/>
        <w:t>Non</w:t>
      </w:r>
      <w:r>
        <w:rPr>
          <w:szCs w:val="22"/>
        </w:rPr>
        <w:noBreakHyphen/>
        <w:t>residential strata</w:t>
      </w:r>
      <w:r>
        <w:rPr>
          <w:szCs w:val="22"/>
        </w:rPr>
        <w:noBreakHyphen/>
        <w:t>titled unit (except a storage unit or parking bay)</w:t>
      </w:r>
      <w:r>
        <w:tab/>
      </w:r>
      <w:r>
        <w:fldChar w:fldCharType="begin"/>
      </w:r>
      <w:r>
        <w:instrText xml:space="preserve"> PAGEREF _Toc237309619 \h </w:instrText>
      </w:r>
      <w:r>
        <w:fldChar w:fldCharType="separate"/>
      </w:r>
      <w:r>
        <w:t>74</w:t>
      </w:r>
      <w:r>
        <w:fldChar w:fldCharType="end"/>
      </w:r>
    </w:p>
    <w:p>
      <w:pPr>
        <w:pStyle w:val="TOC8"/>
        <w:rPr>
          <w:sz w:val="24"/>
          <w:szCs w:val="24"/>
        </w:rPr>
      </w:pPr>
      <w:r>
        <w:rPr>
          <w:szCs w:val="22"/>
        </w:rPr>
        <w:t>6.</w:t>
      </w:r>
      <w:r>
        <w:rPr>
          <w:szCs w:val="22"/>
        </w:rPr>
        <w:tab/>
        <w:t>Land from which industrial waste is discharged into a sewer of the Corporation</w:t>
      </w:r>
      <w:r>
        <w:tab/>
      </w:r>
      <w:r>
        <w:fldChar w:fldCharType="begin"/>
      </w:r>
      <w:r>
        <w:instrText xml:space="preserve"> PAGEREF _Toc237309620 \h </w:instrText>
      </w:r>
      <w:r>
        <w:fldChar w:fldCharType="separate"/>
      </w:r>
      <w:r>
        <w:t>75</w:t>
      </w:r>
      <w:r>
        <w:fldChar w:fldCharType="end"/>
      </w:r>
    </w:p>
    <w:p>
      <w:pPr>
        <w:pStyle w:val="TOC8"/>
        <w:rPr>
          <w:sz w:val="24"/>
          <w:szCs w:val="24"/>
        </w:rPr>
      </w:pPr>
      <w:r>
        <w:rPr>
          <w:szCs w:val="22"/>
        </w:rPr>
        <w:t>7.</w:t>
      </w:r>
      <w:r>
        <w:rPr>
          <w:szCs w:val="22"/>
        </w:rPr>
        <w:tab/>
        <w:t>Land from which industrial waste is discharged into a sewer of the Corporation through grease arrestor</w:t>
      </w:r>
      <w:r>
        <w:tab/>
      </w:r>
      <w:r>
        <w:fldChar w:fldCharType="begin"/>
      </w:r>
      <w:r>
        <w:instrText xml:space="preserve"> PAGEREF _Toc237309621 \h </w:instrText>
      </w:r>
      <w:r>
        <w:fldChar w:fldCharType="separate"/>
      </w:r>
      <w:r>
        <w:t>75</w:t>
      </w:r>
      <w:r>
        <w:fldChar w:fldCharType="end"/>
      </w:r>
    </w:p>
    <w:p>
      <w:pPr>
        <w:pStyle w:val="TOC4"/>
        <w:tabs>
          <w:tab w:val="right" w:leader="dot" w:pos="7086"/>
        </w:tabs>
        <w:rPr>
          <w:b w:val="0"/>
          <w:sz w:val="24"/>
          <w:szCs w:val="24"/>
        </w:rPr>
      </w:pPr>
      <w:r>
        <w:rPr>
          <w:szCs w:val="24"/>
        </w:rPr>
        <w:t>Division 2 — Variable charges and charges by way of a rate</w:t>
      </w:r>
    </w:p>
    <w:p>
      <w:pPr>
        <w:pStyle w:val="TOC8"/>
        <w:rPr>
          <w:sz w:val="24"/>
          <w:szCs w:val="24"/>
        </w:rPr>
      </w:pPr>
      <w:r>
        <w:rPr>
          <w:szCs w:val="22"/>
        </w:rPr>
        <w:t>8.</w:t>
      </w:r>
      <w:r>
        <w:rPr>
          <w:szCs w:val="22"/>
        </w:rPr>
        <w:tab/>
        <w:t>Metropolitan residential</w:t>
      </w:r>
      <w:r>
        <w:tab/>
      </w:r>
      <w:r>
        <w:fldChar w:fldCharType="begin"/>
      </w:r>
      <w:r>
        <w:instrText xml:space="preserve"> PAGEREF _Toc237309623 \h </w:instrText>
      </w:r>
      <w:r>
        <w:fldChar w:fldCharType="separate"/>
      </w:r>
      <w:r>
        <w:t>75</w:t>
      </w:r>
      <w:r>
        <w:fldChar w:fldCharType="end"/>
      </w:r>
    </w:p>
    <w:p>
      <w:pPr>
        <w:pStyle w:val="TOC8"/>
        <w:rPr>
          <w:sz w:val="24"/>
          <w:szCs w:val="24"/>
        </w:rPr>
      </w:pPr>
      <w:r>
        <w:rPr>
          <w:szCs w:val="22"/>
        </w:rPr>
        <w:t>9.</w:t>
      </w:r>
      <w:r>
        <w:rPr>
          <w:szCs w:val="22"/>
        </w:rPr>
        <w:tab/>
        <w:t>Vacant metropolitan non</w:t>
      </w:r>
      <w:r>
        <w:rPr>
          <w:szCs w:val="22"/>
        </w:rPr>
        <w:noBreakHyphen/>
        <w:t>residential</w:t>
      </w:r>
      <w:r>
        <w:tab/>
      </w:r>
      <w:r>
        <w:fldChar w:fldCharType="begin"/>
      </w:r>
      <w:r>
        <w:instrText xml:space="preserve"> PAGEREF _Toc237309624 \h </w:instrText>
      </w:r>
      <w:r>
        <w:fldChar w:fldCharType="separate"/>
      </w:r>
      <w:r>
        <w:t>76</w:t>
      </w:r>
      <w:r>
        <w:fldChar w:fldCharType="end"/>
      </w:r>
    </w:p>
    <w:p>
      <w:pPr>
        <w:pStyle w:val="TOC8"/>
        <w:rPr>
          <w:sz w:val="24"/>
          <w:szCs w:val="24"/>
        </w:rPr>
      </w:pPr>
      <w:r>
        <w:rPr>
          <w:szCs w:val="22"/>
        </w:rPr>
        <w:t>10.</w:t>
      </w:r>
      <w:r>
        <w:rPr>
          <w:szCs w:val="22"/>
        </w:rPr>
        <w:tab/>
        <w:t>Country</w:t>
      </w:r>
      <w:r>
        <w:tab/>
      </w:r>
      <w:r>
        <w:fldChar w:fldCharType="begin"/>
      </w:r>
      <w:r>
        <w:instrText xml:space="preserve"> PAGEREF _Toc237309625 \h </w:instrText>
      </w:r>
      <w:r>
        <w:fldChar w:fldCharType="separate"/>
      </w:r>
      <w:r>
        <w:t>76</w:t>
      </w:r>
      <w:r>
        <w:fldChar w:fldCharType="end"/>
      </w:r>
    </w:p>
    <w:p>
      <w:pPr>
        <w:pStyle w:val="TOC4"/>
        <w:tabs>
          <w:tab w:val="right" w:leader="dot" w:pos="7086"/>
        </w:tabs>
        <w:rPr>
          <w:b w:val="0"/>
          <w:sz w:val="24"/>
          <w:szCs w:val="24"/>
        </w:rPr>
      </w:pPr>
      <w:r>
        <w:rPr>
          <w:szCs w:val="24"/>
        </w:rPr>
        <w:t>Division 3</w:t>
      </w:r>
      <w:r>
        <w:rPr>
          <w:b w:val="0"/>
          <w:szCs w:val="24"/>
        </w:rPr>
        <w:t> — </w:t>
      </w:r>
      <w:r>
        <w:rPr>
          <w:szCs w:val="24"/>
        </w:rPr>
        <w:t>Variable charges</w:t>
      </w:r>
    </w:p>
    <w:p>
      <w:pPr>
        <w:pStyle w:val="TOC8"/>
        <w:rPr>
          <w:sz w:val="24"/>
          <w:szCs w:val="24"/>
        </w:rPr>
      </w:pPr>
      <w:r>
        <w:rPr>
          <w:szCs w:val="22"/>
        </w:rPr>
        <w:t>11.</w:t>
      </w:r>
      <w:r>
        <w:rPr>
          <w:szCs w:val="22"/>
        </w:rPr>
        <w:tab/>
        <w:t>Industrial waste discharged into a sewer of the Corporation pursuant to a permit</w:t>
      </w:r>
      <w:r>
        <w:tab/>
      </w:r>
      <w:r>
        <w:fldChar w:fldCharType="begin"/>
      </w:r>
      <w:r>
        <w:instrText xml:space="preserve"> PAGEREF _Toc237309627 \h </w:instrText>
      </w:r>
      <w:r>
        <w:fldChar w:fldCharType="separate"/>
      </w:r>
      <w:r>
        <w:t>80</w:t>
      </w:r>
      <w:r>
        <w:fldChar w:fldCharType="end"/>
      </w:r>
    </w:p>
    <w:p>
      <w:pPr>
        <w:pStyle w:val="TOC8"/>
        <w:rPr>
          <w:sz w:val="24"/>
          <w:szCs w:val="24"/>
        </w:rPr>
      </w:pPr>
      <w:r>
        <w:rPr>
          <w:szCs w:val="22"/>
        </w:rPr>
        <w:t>12.</w:t>
      </w:r>
      <w:r>
        <w:rPr>
          <w:szCs w:val="22"/>
        </w:rPr>
        <w:tab/>
        <w:t>Effluent discharged from a septic tank effluent pumping system into a sewer of the Corporation</w:t>
      </w:r>
      <w:r>
        <w:tab/>
      </w:r>
      <w:r>
        <w:fldChar w:fldCharType="begin"/>
      </w:r>
      <w:r>
        <w:instrText xml:space="preserve"> PAGEREF _Toc237309628 \h </w:instrText>
      </w:r>
      <w:r>
        <w:fldChar w:fldCharType="separate"/>
      </w:r>
      <w:r>
        <w:t>85</w:t>
      </w:r>
      <w:r>
        <w:fldChar w:fldCharType="end"/>
      </w:r>
    </w:p>
    <w:p>
      <w:pPr>
        <w:pStyle w:val="TOC4"/>
        <w:tabs>
          <w:tab w:val="right" w:leader="dot" w:pos="7086"/>
        </w:tabs>
        <w:rPr>
          <w:b w:val="0"/>
          <w:sz w:val="24"/>
          <w:szCs w:val="24"/>
        </w:rPr>
      </w:pPr>
      <w:r>
        <w:rPr>
          <w:szCs w:val="24"/>
        </w:rPr>
        <w:t>Division 4</w:t>
      </w:r>
      <w:r>
        <w:rPr>
          <w:b w:val="0"/>
          <w:szCs w:val="24"/>
        </w:rPr>
        <w:t> — </w:t>
      </w:r>
      <w:r>
        <w:rPr>
          <w:szCs w:val="24"/>
        </w:rPr>
        <w:t>Metropolitan combined charges</w:t>
      </w:r>
    </w:p>
    <w:p>
      <w:pPr>
        <w:pStyle w:val="TOC8"/>
        <w:rPr>
          <w:sz w:val="24"/>
          <w:szCs w:val="24"/>
        </w:rPr>
      </w:pPr>
      <w:r>
        <w:rPr>
          <w:szCs w:val="22"/>
        </w:rPr>
        <w:t>13.</w:t>
      </w:r>
      <w:r>
        <w:rPr>
          <w:szCs w:val="22"/>
        </w:rPr>
        <w:tab/>
        <w:t>Metropolitan non-residential (other than vacant land)</w:t>
      </w:r>
      <w:r>
        <w:tab/>
      </w:r>
      <w:r>
        <w:fldChar w:fldCharType="begin"/>
      </w:r>
      <w:r>
        <w:instrText xml:space="preserve"> PAGEREF _Toc237309630 \h </w:instrText>
      </w:r>
      <w:r>
        <w:fldChar w:fldCharType="separate"/>
      </w:r>
      <w:r>
        <w:t>85</w:t>
      </w:r>
      <w:r>
        <w:fldChar w:fldCharType="end"/>
      </w:r>
    </w:p>
    <w:p>
      <w:pPr>
        <w:pStyle w:val="TOC8"/>
        <w:rPr>
          <w:sz w:val="24"/>
          <w:szCs w:val="24"/>
        </w:rPr>
      </w:pPr>
      <w:r>
        <w:rPr>
          <w:bCs/>
          <w:szCs w:val="22"/>
        </w:rPr>
        <w:t>14.</w:t>
      </w:r>
      <w:r>
        <w:rPr>
          <w:szCs w:val="22"/>
        </w:rPr>
        <w:tab/>
        <w:t>Metropolitan Government trading organisation and non</w:t>
      </w:r>
      <w:r>
        <w:rPr>
          <w:szCs w:val="22"/>
        </w:rPr>
        <w:noBreakHyphen/>
        <w:t>commercial Government property</w:t>
      </w:r>
      <w:r>
        <w:tab/>
      </w:r>
      <w:r>
        <w:fldChar w:fldCharType="begin"/>
      </w:r>
      <w:r>
        <w:instrText xml:space="preserve"> PAGEREF _Toc237309631 \h </w:instrText>
      </w:r>
      <w:r>
        <w:fldChar w:fldCharType="separate"/>
      </w:r>
      <w:r>
        <w:t>86</w:t>
      </w:r>
      <w:r>
        <w:fldChar w:fldCharType="end"/>
      </w:r>
    </w:p>
    <w:p>
      <w:pPr>
        <w:pStyle w:val="TOC8"/>
        <w:rPr>
          <w:sz w:val="24"/>
          <w:szCs w:val="24"/>
        </w:rPr>
      </w:pPr>
      <w:r>
        <w:rPr>
          <w:bCs/>
          <w:szCs w:val="22"/>
        </w:rPr>
        <w:t>15.</w:t>
      </w:r>
      <w:r>
        <w:rPr>
          <w:szCs w:val="22"/>
        </w:rPr>
        <w:tab/>
        <w:t>Metropolitan non strata-titled caravan park with long</w:t>
      </w:r>
      <w:r>
        <w:rPr>
          <w:szCs w:val="22"/>
        </w:rPr>
        <w:noBreakHyphen/>
        <w:t>term residential caravan bays</w:t>
      </w:r>
      <w:r>
        <w:tab/>
      </w:r>
      <w:r>
        <w:fldChar w:fldCharType="begin"/>
      </w:r>
      <w:r>
        <w:instrText xml:space="preserve"> PAGEREF _Toc237309632 \h </w:instrText>
      </w:r>
      <w:r>
        <w:fldChar w:fldCharType="separate"/>
      </w:r>
      <w:r>
        <w:t>86</w:t>
      </w:r>
      <w:r>
        <w:fldChar w:fldCharType="end"/>
      </w:r>
    </w:p>
    <w:p>
      <w:pPr>
        <w:pStyle w:val="TOC8"/>
        <w:rPr>
          <w:sz w:val="24"/>
          <w:szCs w:val="24"/>
        </w:rPr>
      </w:pPr>
      <w:r>
        <w:rPr>
          <w:bCs/>
          <w:szCs w:val="22"/>
        </w:rPr>
        <w:t>16</w:t>
      </w:r>
      <w:r>
        <w:rPr>
          <w:szCs w:val="22"/>
        </w:rPr>
        <w:t>.</w:t>
      </w:r>
      <w:r>
        <w:rPr>
          <w:szCs w:val="22"/>
        </w:rPr>
        <w:tab/>
        <w:t>Metropolitan nursing home</w:t>
      </w:r>
      <w:r>
        <w:tab/>
      </w:r>
      <w:r>
        <w:fldChar w:fldCharType="begin"/>
      </w:r>
      <w:r>
        <w:instrText xml:space="preserve"> PAGEREF _Toc237309633 \h </w:instrText>
      </w:r>
      <w:r>
        <w:fldChar w:fldCharType="separate"/>
      </w:r>
      <w:r>
        <w:t>88</w:t>
      </w:r>
      <w:r>
        <w:fldChar w:fldCharType="end"/>
      </w:r>
    </w:p>
    <w:p>
      <w:pPr>
        <w:pStyle w:val="TOC8"/>
        <w:rPr>
          <w:sz w:val="24"/>
          <w:szCs w:val="24"/>
        </w:rPr>
      </w:pPr>
      <w:r>
        <w:rPr>
          <w:bCs/>
          <w:szCs w:val="22"/>
        </w:rPr>
        <w:t>17</w:t>
      </w:r>
      <w:r>
        <w:rPr>
          <w:szCs w:val="22"/>
        </w:rPr>
        <w:t>.</w:t>
      </w:r>
      <w:r>
        <w:rPr>
          <w:szCs w:val="22"/>
        </w:rPr>
        <w:tab/>
        <w:t>Certain metropolitan strata-titled units</w:t>
      </w:r>
      <w:r>
        <w:tab/>
      </w:r>
      <w:r>
        <w:fldChar w:fldCharType="begin"/>
      </w:r>
      <w:r>
        <w:instrText xml:space="preserve"> PAGEREF _Toc237309634 \h </w:instrText>
      </w:r>
      <w:r>
        <w:fldChar w:fldCharType="separate"/>
      </w:r>
      <w:r>
        <w:t>89</w:t>
      </w:r>
      <w:r>
        <w:fldChar w:fldCharType="end"/>
      </w:r>
    </w:p>
    <w:p>
      <w:pPr>
        <w:pStyle w:val="TOC4"/>
        <w:tabs>
          <w:tab w:val="right" w:leader="dot" w:pos="7086"/>
        </w:tabs>
        <w:rPr>
          <w:b w:val="0"/>
          <w:sz w:val="24"/>
          <w:szCs w:val="24"/>
        </w:rPr>
      </w:pPr>
      <w:r>
        <w:rPr>
          <w:szCs w:val="24"/>
        </w:rPr>
        <w:t>Division 5</w:t>
      </w:r>
      <w:r>
        <w:rPr>
          <w:b w:val="0"/>
          <w:szCs w:val="24"/>
        </w:rPr>
        <w:t> — </w:t>
      </w:r>
      <w:r>
        <w:rPr>
          <w:szCs w:val="24"/>
        </w:rPr>
        <w:t>Computation of combined metropolitan charges</w:t>
      </w:r>
    </w:p>
    <w:p>
      <w:pPr>
        <w:pStyle w:val="TOC8"/>
        <w:rPr>
          <w:sz w:val="24"/>
          <w:szCs w:val="24"/>
        </w:rPr>
      </w:pPr>
      <w:r>
        <w:rPr>
          <w:bCs/>
          <w:szCs w:val="22"/>
        </w:rPr>
        <w:t>18</w:t>
      </w:r>
      <w:r>
        <w:rPr>
          <w:szCs w:val="22"/>
        </w:rPr>
        <w:t>.</w:t>
      </w:r>
      <w:r>
        <w:rPr>
          <w:szCs w:val="22"/>
        </w:rPr>
        <w:tab/>
        <w:t>Formula for annual charge</w:t>
      </w:r>
      <w:r>
        <w:tab/>
      </w:r>
      <w:r>
        <w:fldChar w:fldCharType="begin"/>
      </w:r>
      <w:r>
        <w:instrText xml:space="preserve"> PAGEREF _Toc237309636 \h </w:instrText>
      </w:r>
      <w:r>
        <w:fldChar w:fldCharType="separate"/>
      </w:r>
      <w:r>
        <w:t>89</w:t>
      </w:r>
      <w:r>
        <w:fldChar w:fldCharType="end"/>
      </w:r>
    </w:p>
    <w:p>
      <w:pPr>
        <w:pStyle w:val="TOC8"/>
        <w:rPr>
          <w:sz w:val="24"/>
          <w:szCs w:val="24"/>
        </w:rPr>
      </w:pPr>
      <w:r>
        <w:rPr>
          <w:bCs/>
          <w:szCs w:val="22"/>
        </w:rPr>
        <w:t>19</w:t>
      </w:r>
      <w:r>
        <w:rPr>
          <w:szCs w:val="22"/>
        </w:rPr>
        <w:t>.</w:t>
      </w:r>
      <w:r>
        <w:rPr>
          <w:szCs w:val="22"/>
        </w:rPr>
        <w:tab/>
        <w:t>Formula for quantity charge</w:t>
      </w:r>
      <w:r>
        <w:tab/>
      </w:r>
      <w:r>
        <w:fldChar w:fldCharType="begin"/>
      </w:r>
      <w:r>
        <w:instrText xml:space="preserve"> PAGEREF _Toc237309637 \h </w:instrText>
      </w:r>
      <w:r>
        <w:fldChar w:fldCharType="separate"/>
      </w:r>
      <w:r>
        <w:t>90</w:t>
      </w:r>
      <w:r>
        <w:fldChar w:fldCharType="end"/>
      </w:r>
    </w:p>
    <w:p>
      <w:pPr>
        <w:pStyle w:val="TOC8"/>
        <w:rPr>
          <w:sz w:val="24"/>
          <w:szCs w:val="24"/>
        </w:rPr>
      </w:pPr>
      <w:r>
        <w:rPr>
          <w:bCs/>
          <w:szCs w:val="22"/>
        </w:rPr>
        <w:t>20</w:t>
      </w:r>
      <w:r>
        <w:rPr>
          <w:szCs w:val="22"/>
        </w:rPr>
        <w:t>.</w:t>
      </w:r>
      <w:r>
        <w:rPr>
          <w:szCs w:val="22"/>
        </w:rPr>
        <w:tab/>
        <w:t>Discharge allowance</w:t>
      </w:r>
      <w:r>
        <w:tab/>
      </w:r>
      <w:r>
        <w:fldChar w:fldCharType="begin"/>
      </w:r>
      <w:r>
        <w:instrText xml:space="preserve"> PAGEREF _Toc237309638 \h </w:instrText>
      </w:r>
      <w:r>
        <w:fldChar w:fldCharType="separate"/>
      </w:r>
      <w:r>
        <w:t>91</w:t>
      </w:r>
      <w:r>
        <w:fldChar w:fldCharType="end"/>
      </w:r>
    </w:p>
    <w:p>
      <w:pPr>
        <w:pStyle w:val="TOC4"/>
        <w:tabs>
          <w:tab w:val="right" w:leader="dot" w:pos="7086"/>
        </w:tabs>
        <w:rPr>
          <w:b w:val="0"/>
          <w:sz w:val="24"/>
          <w:szCs w:val="24"/>
        </w:rPr>
      </w:pPr>
      <w:r>
        <w:rPr>
          <w:szCs w:val="24"/>
        </w:rPr>
        <w:t>Division 6</w:t>
      </w:r>
      <w:r>
        <w:rPr>
          <w:b w:val="0"/>
          <w:szCs w:val="24"/>
        </w:rPr>
        <w:t> — </w:t>
      </w:r>
      <w:r>
        <w:rPr>
          <w:szCs w:val="24"/>
        </w:rPr>
        <w:t>Service charges for industrial waste</w:t>
      </w:r>
    </w:p>
    <w:p>
      <w:pPr>
        <w:pStyle w:val="TOC8"/>
        <w:rPr>
          <w:sz w:val="24"/>
          <w:szCs w:val="24"/>
        </w:rPr>
      </w:pPr>
      <w:r>
        <w:rPr>
          <w:bCs/>
          <w:szCs w:val="22"/>
        </w:rPr>
        <w:t>21</w:t>
      </w:r>
      <w:r>
        <w:rPr>
          <w:szCs w:val="22"/>
        </w:rPr>
        <w:t>.</w:t>
      </w:r>
      <w:r>
        <w:rPr>
          <w:szCs w:val="22"/>
        </w:rPr>
        <w:tab/>
        <w:t>Inspection — routine programme</w:t>
      </w:r>
      <w:r>
        <w:tab/>
      </w:r>
      <w:r>
        <w:fldChar w:fldCharType="begin"/>
      </w:r>
      <w:r>
        <w:instrText xml:space="preserve"> PAGEREF _Toc237309640 \h </w:instrText>
      </w:r>
      <w:r>
        <w:fldChar w:fldCharType="separate"/>
      </w:r>
      <w:r>
        <w:t>91</w:t>
      </w:r>
      <w:r>
        <w:fldChar w:fldCharType="end"/>
      </w:r>
    </w:p>
    <w:p>
      <w:pPr>
        <w:pStyle w:val="TOC8"/>
        <w:rPr>
          <w:sz w:val="24"/>
          <w:szCs w:val="24"/>
        </w:rPr>
      </w:pPr>
      <w:r>
        <w:rPr>
          <w:bCs/>
          <w:szCs w:val="22"/>
        </w:rPr>
        <w:t>22</w:t>
      </w:r>
      <w:r>
        <w:rPr>
          <w:szCs w:val="22"/>
        </w:rPr>
        <w:t>.</w:t>
      </w:r>
      <w:r>
        <w:rPr>
          <w:szCs w:val="22"/>
        </w:rPr>
        <w:tab/>
        <w:t>Meter reading — routine programme</w:t>
      </w:r>
      <w:r>
        <w:tab/>
      </w:r>
      <w:r>
        <w:fldChar w:fldCharType="begin"/>
      </w:r>
      <w:r>
        <w:instrText xml:space="preserve"> PAGEREF _Toc237309641 \h </w:instrText>
      </w:r>
      <w:r>
        <w:fldChar w:fldCharType="separate"/>
      </w:r>
      <w:r>
        <w:t>91</w:t>
      </w:r>
      <w:r>
        <w:fldChar w:fldCharType="end"/>
      </w:r>
    </w:p>
    <w:p>
      <w:pPr>
        <w:pStyle w:val="TOC8"/>
        <w:rPr>
          <w:sz w:val="24"/>
          <w:szCs w:val="24"/>
        </w:rPr>
      </w:pPr>
      <w:r>
        <w:rPr>
          <w:bCs/>
          <w:szCs w:val="22"/>
        </w:rPr>
        <w:t>23</w:t>
      </w:r>
      <w:r>
        <w:rPr>
          <w:szCs w:val="22"/>
        </w:rPr>
        <w:t>.</w:t>
      </w:r>
      <w:r>
        <w:rPr>
          <w:szCs w:val="22"/>
        </w:rPr>
        <w:tab/>
        <w:t>Grab samples — routine programme</w:t>
      </w:r>
      <w:r>
        <w:tab/>
      </w:r>
      <w:r>
        <w:fldChar w:fldCharType="begin"/>
      </w:r>
      <w:r>
        <w:instrText xml:space="preserve"> PAGEREF _Toc237309642 \h </w:instrText>
      </w:r>
      <w:r>
        <w:fldChar w:fldCharType="separate"/>
      </w:r>
      <w:r>
        <w:t>91</w:t>
      </w:r>
      <w:r>
        <w:fldChar w:fldCharType="end"/>
      </w:r>
    </w:p>
    <w:p>
      <w:pPr>
        <w:pStyle w:val="TOC8"/>
        <w:rPr>
          <w:sz w:val="24"/>
          <w:szCs w:val="24"/>
        </w:rPr>
      </w:pPr>
      <w:r>
        <w:rPr>
          <w:bCs/>
          <w:szCs w:val="22"/>
        </w:rPr>
        <w:t>24</w:t>
      </w:r>
      <w:r>
        <w:rPr>
          <w:szCs w:val="22"/>
        </w:rPr>
        <w:t>.</w:t>
      </w:r>
      <w:r>
        <w:rPr>
          <w:szCs w:val="22"/>
        </w:rPr>
        <w:tab/>
        <w:t>Composite samples — routine programme</w:t>
      </w:r>
      <w:r>
        <w:tab/>
      </w:r>
      <w:r>
        <w:fldChar w:fldCharType="begin"/>
      </w:r>
      <w:r>
        <w:instrText xml:space="preserve"> PAGEREF _Toc237309643 \h </w:instrText>
      </w:r>
      <w:r>
        <w:fldChar w:fldCharType="separate"/>
      </w:r>
      <w:r>
        <w:t>92</w:t>
      </w:r>
      <w:r>
        <w:fldChar w:fldCharType="end"/>
      </w:r>
    </w:p>
    <w:p>
      <w:pPr>
        <w:pStyle w:val="TOC8"/>
        <w:rPr>
          <w:sz w:val="24"/>
          <w:szCs w:val="24"/>
        </w:rPr>
      </w:pPr>
      <w:r>
        <w:rPr>
          <w:bCs/>
          <w:szCs w:val="22"/>
        </w:rPr>
        <w:t>25</w:t>
      </w:r>
      <w:r>
        <w:rPr>
          <w:szCs w:val="22"/>
        </w:rPr>
        <w:t>.</w:t>
      </w:r>
      <w:r>
        <w:rPr>
          <w:szCs w:val="22"/>
        </w:rPr>
        <w:tab/>
        <w:t>Establishment charge — unscheduled visit</w:t>
      </w:r>
      <w:r>
        <w:tab/>
      </w:r>
      <w:r>
        <w:fldChar w:fldCharType="begin"/>
      </w:r>
      <w:r>
        <w:instrText xml:space="preserve"> PAGEREF _Toc237309644 \h </w:instrText>
      </w:r>
      <w:r>
        <w:fldChar w:fldCharType="separate"/>
      </w:r>
      <w:r>
        <w:t>92</w:t>
      </w:r>
      <w:r>
        <w:fldChar w:fldCharType="end"/>
      </w:r>
    </w:p>
    <w:p>
      <w:pPr>
        <w:pStyle w:val="TOC8"/>
        <w:rPr>
          <w:sz w:val="24"/>
          <w:szCs w:val="24"/>
        </w:rPr>
      </w:pPr>
      <w:r>
        <w:rPr>
          <w:bCs/>
          <w:szCs w:val="22"/>
        </w:rPr>
        <w:t>26</w:t>
      </w:r>
      <w:r>
        <w:rPr>
          <w:szCs w:val="22"/>
        </w:rPr>
        <w:t>.</w:t>
      </w:r>
      <w:r>
        <w:rPr>
          <w:szCs w:val="22"/>
        </w:rPr>
        <w:tab/>
        <w:t>Product evaluation — unscheduled visit</w:t>
      </w:r>
      <w:r>
        <w:tab/>
      </w:r>
      <w:r>
        <w:fldChar w:fldCharType="begin"/>
      </w:r>
      <w:r>
        <w:instrText xml:space="preserve"> PAGEREF _Toc237309645 \h </w:instrText>
      </w:r>
      <w:r>
        <w:fldChar w:fldCharType="separate"/>
      </w:r>
      <w:r>
        <w:t>92</w:t>
      </w:r>
      <w:r>
        <w:fldChar w:fldCharType="end"/>
      </w:r>
    </w:p>
    <w:p>
      <w:pPr>
        <w:pStyle w:val="TOC8"/>
        <w:rPr>
          <w:sz w:val="24"/>
          <w:szCs w:val="24"/>
        </w:rPr>
      </w:pPr>
      <w:r>
        <w:rPr>
          <w:bCs/>
          <w:szCs w:val="22"/>
        </w:rPr>
        <w:t>27</w:t>
      </w:r>
      <w:r>
        <w:rPr>
          <w:szCs w:val="22"/>
        </w:rPr>
        <w:t>.</w:t>
      </w:r>
      <w:r>
        <w:rPr>
          <w:szCs w:val="22"/>
        </w:rPr>
        <w:tab/>
        <w:t>Grab samples — unscheduled visit</w:t>
      </w:r>
      <w:r>
        <w:tab/>
      </w:r>
      <w:r>
        <w:fldChar w:fldCharType="begin"/>
      </w:r>
      <w:r>
        <w:instrText xml:space="preserve"> PAGEREF _Toc237309646 \h </w:instrText>
      </w:r>
      <w:r>
        <w:fldChar w:fldCharType="separate"/>
      </w:r>
      <w:r>
        <w:t>92</w:t>
      </w:r>
      <w:r>
        <w:fldChar w:fldCharType="end"/>
      </w:r>
    </w:p>
    <w:p>
      <w:pPr>
        <w:pStyle w:val="TOC8"/>
        <w:rPr>
          <w:sz w:val="24"/>
          <w:szCs w:val="24"/>
        </w:rPr>
      </w:pPr>
      <w:r>
        <w:rPr>
          <w:bCs/>
          <w:szCs w:val="22"/>
        </w:rPr>
        <w:t>28</w:t>
      </w:r>
      <w:r>
        <w:rPr>
          <w:szCs w:val="22"/>
        </w:rPr>
        <w:t>.</w:t>
      </w:r>
      <w:r>
        <w:rPr>
          <w:szCs w:val="22"/>
        </w:rPr>
        <w:tab/>
        <w:t>Composite samples — unscheduled visit</w:t>
      </w:r>
      <w:r>
        <w:tab/>
      </w:r>
      <w:r>
        <w:fldChar w:fldCharType="begin"/>
      </w:r>
      <w:r>
        <w:instrText xml:space="preserve"> PAGEREF _Toc237309647 \h </w:instrText>
      </w:r>
      <w:r>
        <w:fldChar w:fldCharType="separate"/>
      </w:r>
      <w:r>
        <w:t>92</w:t>
      </w:r>
      <w:r>
        <w:fldChar w:fldCharType="end"/>
      </w:r>
    </w:p>
    <w:p>
      <w:pPr>
        <w:pStyle w:val="TOC8"/>
        <w:rPr>
          <w:sz w:val="24"/>
          <w:szCs w:val="24"/>
        </w:rPr>
      </w:pPr>
      <w:r>
        <w:rPr>
          <w:bCs/>
          <w:szCs w:val="22"/>
        </w:rPr>
        <w:t>29</w:t>
      </w:r>
      <w:r>
        <w:rPr>
          <w:szCs w:val="22"/>
        </w:rPr>
        <w:t>.</w:t>
      </w:r>
      <w:r>
        <w:rPr>
          <w:szCs w:val="22"/>
        </w:rPr>
        <w:tab/>
        <w:t>Non</w:t>
      </w:r>
      <w:r>
        <w:rPr>
          <w:szCs w:val="22"/>
        </w:rPr>
        <w:noBreakHyphen/>
        <w:t>permit holders discharging industrial waste</w:t>
      </w:r>
      <w:r>
        <w:tab/>
      </w:r>
      <w:r>
        <w:fldChar w:fldCharType="begin"/>
      </w:r>
      <w:r>
        <w:instrText xml:space="preserve"> PAGEREF _Toc237309648 \h </w:instrText>
      </w:r>
      <w:r>
        <w:fldChar w:fldCharType="separate"/>
      </w:r>
      <w:r>
        <w:t>92</w:t>
      </w:r>
      <w:r>
        <w:fldChar w:fldCharType="end"/>
      </w:r>
    </w:p>
    <w:p>
      <w:pPr>
        <w:pStyle w:val="TOC8"/>
        <w:rPr>
          <w:sz w:val="24"/>
          <w:szCs w:val="24"/>
        </w:rPr>
      </w:pPr>
      <w:r>
        <w:rPr>
          <w:bCs/>
          <w:szCs w:val="22"/>
        </w:rPr>
        <w:t>30</w:t>
      </w:r>
      <w:r>
        <w:rPr>
          <w:szCs w:val="22"/>
        </w:rPr>
        <w:t>.</w:t>
      </w:r>
      <w:r>
        <w:rPr>
          <w:szCs w:val="22"/>
        </w:rPr>
        <w:tab/>
        <w:t>Discharging industrial waste from an open area</w:t>
      </w:r>
      <w:r>
        <w:tab/>
      </w:r>
      <w:r>
        <w:fldChar w:fldCharType="begin"/>
      </w:r>
      <w:r>
        <w:instrText xml:space="preserve"> PAGEREF _Toc237309649 \h </w:instrText>
      </w:r>
      <w:r>
        <w:fldChar w:fldCharType="separate"/>
      </w:r>
      <w:r>
        <w:t>92</w:t>
      </w:r>
      <w:r>
        <w:fldChar w:fldCharType="end"/>
      </w:r>
    </w:p>
    <w:p>
      <w:pPr>
        <w:pStyle w:val="TOC4"/>
        <w:tabs>
          <w:tab w:val="right" w:leader="dot" w:pos="7086"/>
        </w:tabs>
        <w:rPr>
          <w:b w:val="0"/>
          <w:sz w:val="24"/>
          <w:szCs w:val="24"/>
        </w:rPr>
      </w:pPr>
      <w:r>
        <w:rPr>
          <w:szCs w:val="24"/>
        </w:rPr>
        <w:t>Division 7</w:t>
      </w:r>
      <w:r>
        <w:rPr>
          <w:b w:val="0"/>
          <w:szCs w:val="24"/>
        </w:rPr>
        <w:t> — </w:t>
      </w:r>
      <w:r>
        <w:rPr>
          <w:szCs w:val="24"/>
        </w:rPr>
        <w:t>Combined charges for country non</w:t>
      </w:r>
      <w:r>
        <w:rPr>
          <w:szCs w:val="24"/>
        </w:rPr>
        <w:noBreakHyphen/>
        <w:t>residential or commercial residential</w:t>
      </w:r>
    </w:p>
    <w:p>
      <w:pPr>
        <w:pStyle w:val="TOC8"/>
        <w:rPr>
          <w:sz w:val="24"/>
          <w:szCs w:val="24"/>
        </w:rPr>
      </w:pPr>
      <w:r>
        <w:rPr>
          <w:bCs/>
          <w:szCs w:val="22"/>
        </w:rPr>
        <w:t>31</w:t>
      </w:r>
      <w:r>
        <w:rPr>
          <w:szCs w:val="22"/>
        </w:rPr>
        <w:t>.</w:t>
      </w:r>
      <w:r>
        <w:rPr>
          <w:szCs w:val="22"/>
        </w:rPr>
        <w:tab/>
        <w:t>Country non-residential or commercial residential</w:t>
      </w:r>
      <w:r>
        <w:tab/>
      </w:r>
      <w:r>
        <w:fldChar w:fldCharType="begin"/>
      </w:r>
      <w:r>
        <w:instrText xml:space="preserve"> PAGEREF _Toc237309651 \h </w:instrText>
      </w:r>
      <w:r>
        <w:fldChar w:fldCharType="separate"/>
      </w:r>
      <w:r>
        <w:t>92</w:t>
      </w:r>
      <w:r>
        <w:fldChar w:fldCharType="end"/>
      </w:r>
    </w:p>
    <w:p>
      <w:pPr>
        <w:pStyle w:val="TOC8"/>
        <w:rPr>
          <w:sz w:val="24"/>
          <w:szCs w:val="24"/>
        </w:rPr>
      </w:pPr>
      <w:r>
        <w:rPr>
          <w:bCs/>
          <w:szCs w:val="22"/>
        </w:rPr>
        <w:t>32</w:t>
      </w:r>
      <w:r>
        <w:rPr>
          <w:szCs w:val="22"/>
        </w:rPr>
        <w:t>.</w:t>
      </w:r>
      <w:r>
        <w:rPr>
          <w:szCs w:val="22"/>
        </w:rPr>
        <w:tab/>
        <w:t>Country non strata-titled caravan park with long</w:t>
      </w:r>
      <w:r>
        <w:rPr>
          <w:szCs w:val="22"/>
        </w:rPr>
        <w:noBreakHyphen/>
        <w:t>term residential caravan bays</w:t>
      </w:r>
      <w:r>
        <w:tab/>
      </w:r>
      <w:r>
        <w:fldChar w:fldCharType="begin"/>
      </w:r>
      <w:r>
        <w:instrText xml:space="preserve"> PAGEREF _Toc237309652 \h </w:instrText>
      </w:r>
      <w:r>
        <w:fldChar w:fldCharType="separate"/>
      </w:r>
      <w:r>
        <w:t>93</w:t>
      </w:r>
      <w:r>
        <w:fldChar w:fldCharType="end"/>
      </w:r>
    </w:p>
    <w:p>
      <w:pPr>
        <w:pStyle w:val="TOC8"/>
        <w:rPr>
          <w:sz w:val="24"/>
          <w:szCs w:val="24"/>
        </w:rPr>
      </w:pPr>
      <w:r>
        <w:rPr>
          <w:bCs/>
          <w:szCs w:val="22"/>
        </w:rPr>
        <w:t>33</w:t>
      </w:r>
      <w:r>
        <w:rPr>
          <w:szCs w:val="22"/>
        </w:rPr>
        <w:t>.</w:t>
      </w:r>
      <w:r>
        <w:rPr>
          <w:szCs w:val="22"/>
        </w:rPr>
        <w:tab/>
        <w:t>Country nursing home</w:t>
      </w:r>
      <w:r>
        <w:tab/>
      </w:r>
      <w:r>
        <w:fldChar w:fldCharType="begin"/>
      </w:r>
      <w:r>
        <w:instrText xml:space="preserve"> PAGEREF _Toc237309653 \h </w:instrText>
      </w:r>
      <w:r>
        <w:fldChar w:fldCharType="separate"/>
      </w:r>
      <w:r>
        <w:t>94</w:t>
      </w:r>
      <w:r>
        <w:fldChar w:fldCharType="end"/>
      </w:r>
    </w:p>
    <w:p>
      <w:pPr>
        <w:pStyle w:val="TOC8"/>
        <w:rPr>
          <w:sz w:val="24"/>
          <w:szCs w:val="24"/>
        </w:rPr>
      </w:pPr>
      <w:r>
        <w:rPr>
          <w:bCs/>
          <w:szCs w:val="22"/>
        </w:rPr>
        <w:t>34</w:t>
      </w:r>
      <w:r>
        <w:rPr>
          <w:szCs w:val="22"/>
        </w:rPr>
        <w:t>.</w:t>
      </w:r>
      <w:r>
        <w:rPr>
          <w:szCs w:val="22"/>
        </w:rPr>
        <w:tab/>
        <w:t>Certain country strata-titled units</w:t>
      </w:r>
      <w:r>
        <w:tab/>
      </w:r>
      <w:r>
        <w:fldChar w:fldCharType="begin"/>
      </w:r>
      <w:r>
        <w:instrText xml:space="preserve"> PAGEREF _Toc237309654 \h </w:instrText>
      </w:r>
      <w:r>
        <w:fldChar w:fldCharType="separate"/>
      </w:r>
      <w:r>
        <w:t>95</w:t>
      </w:r>
      <w:r>
        <w:fldChar w:fldCharType="end"/>
      </w:r>
    </w:p>
    <w:p>
      <w:pPr>
        <w:pStyle w:val="TOC8"/>
        <w:rPr>
          <w:sz w:val="24"/>
          <w:szCs w:val="24"/>
        </w:rPr>
      </w:pPr>
      <w:r>
        <w:rPr>
          <w:bCs/>
          <w:szCs w:val="22"/>
        </w:rPr>
        <w:t>35</w:t>
      </w:r>
      <w:r>
        <w:rPr>
          <w:szCs w:val="22"/>
        </w:rPr>
        <w:t>.</w:t>
      </w:r>
      <w:r>
        <w:rPr>
          <w:szCs w:val="22"/>
        </w:rPr>
        <w:tab/>
        <w:t>Limit on increase</w:t>
      </w:r>
      <w:r>
        <w:tab/>
      </w:r>
      <w:r>
        <w:fldChar w:fldCharType="begin"/>
      </w:r>
      <w:r>
        <w:instrText xml:space="preserve"> PAGEREF _Toc237309655 \h </w:instrText>
      </w:r>
      <w:r>
        <w:fldChar w:fldCharType="separate"/>
      </w:r>
      <w:r>
        <w:t>96</w:t>
      </w:r>
      <w:r>
        <w:fldChar w:fldCharType="end"/>
      </w:r>
    </w:p>
    <w:p>
      <w:pPr>
        <w:pStyle w:val="TOC4"/>
        <w:tabs>
          <w:tab w:val="right" w:leader="dot" w:pos="7086"/>
        </w:tabs>
        <w:rPr>
          <w:b w:val="0"/>
          <w:sz w:val="24"/>
          <w:szCs w:val="24"/>
        </w:rPr>
      </w:pPr>
      <w:r>
        <w:rPr>
          <w:szCs w:val="24"/>
        </w:rPr>
        <w:t>Division 8</w:t>
      </w:r>
      <w:r>
        <w:rPr>
          <w:b w:val="0"/>
          <w:szCs w:val="24"/>
        </w:rPr>
        <w:t> — </w:t>
      </w:r>
      <w:r>
        <w:rPr>
          <w:szCs w:val="24"/>
        </w:rPr>
        <w:t>Computation of combined charges for country non</w:t>
      </w:r>
      <w:r>
        <w:rPr>
          <w:szCs w:val="24"/>
        </w:rPr>
        <w:noBreakHyphen/>
        <w:t>residential or commercial residential property</w:t>
      </w:r>
    </w:p>
    <w:p>
      <w:pPr>
        <w:pStyle w:val="TOC8"/>
        <w:rPr>
          <w:sz w:val="24"/>
          <w:szCs w:val="24"/>
        </w:rPr>
      </w:pPr>
      <w:r>
        <w:rPr>
          <w:bCs/>
          <w:szCs w:val="22"/>
        </w:rPr>
        <w:t>36</w:t>
      </w:r>
      <w:r>
        <w:rPr>
          <w:szCs w:val="22"/>
        </w:rPr>
        <w:t>.</w:t>
      </w:r>
      <w:r>
        <w:rPr>
          <w:szCs w:val="22"/>
        </w:rPr>
        <w:tab/>
        <w:t>Formula for annual charge</w:t>
      </w:r>
      <w:r>
        <w:tab/>
      </w:r>
      <w:r>
        <w:fldChar w:fldCharType="begin"/>
      </w:r>
      <w:r>
        <w:instrText xml:space="preserve"> PAGEREF _Toc237309657 \h </w:instrText>
      </w:r>
      <w:r>
        <w:fldChar w:fldCharType="separate"/>
      </w:r>
      <w:r>
        <w:t>97</w:t>
      </w:r>
      <w:r>
        <w:fldChar w:fldCharType="end"/>
      </w:r>
    </w:p>
    <w:p>
      <w:pPr>
        <w:pStyle w:val="TOC8"/>
        <w:rPr>
          <w:sz w:val="24"/>
          <w:szCs w:val="24"/>
        </w:rPr>
      </w:pPr>
      <w:r>
        <w:rPr>
          <w:bCs/>
          <w:szCs w:val="22"/>
        </w:rPr>
        <w:t>37</w:t>
      </w:r>
      <w:r>
        <w:rPr>
          <w:szCs w:val="22"/>
        </w:rPr>
        <w:t>.</w:t>
      </w:r>
      <w:r>
        <w:rPr>
          <w:szCs w:val="22"/>
        </w:rPr>
        <w:tab/>
        <w:t>Formula for quantity charge</w:t>
      </w:r>
      <w:r>
        <w:tab/>
      </w:r>
      <w:r>
        <w:fldChar w:fldCharType="begin"/>
      </w:r>
      <w:r>
        <w:instrText xml:space="preserve"> PAGEREF _Toc237309658 \h </w:instrText>
      </w:r>
      <w:r>
        <w:fldChar w:fldCharType="separate"/>
      </w:r>
      <w:r>
        <w:t>98</w:t>
      </w:r>
      <w:r>
        <w:fldChar w:fldCharType="end"/>
      </w:r>
    </w:p>
    <w:p>
      <w:pPr>
        <w:pStyle w:val="TOC8"/>
        <w:rPr>
          <w:sz w:val="24"/>
          <w:szCs w:val="24"/>
        </w:rPr>
      </w:pPr>
      <w:r>
        <w:rPr>
          <w:bCs/>
          <w:szCs w:val="22"/>
        </w:rPr>
        <w:t>38</w:t>
      </w:r>
      <w:r>
        <w:rPr>
          <w:szCs w:val="22"/>
        </w:rPr>
        <w:t>.</w:t>
      </w:r>
      <w:r>
        <w:rPr>
          <w:szCs w:val="22"/>
        </w:rPr>
        <w:tab/>
        <w:t>Discharge allowance</w:t>
      </w:r>
      <w:r>
        <w:tab/>
      </w:r>
      <w:r>
        <w:fldChar w:fldCharType="begin"/>
      </w:r>
      <w:r>
        <w:instrText xml:space="preserve"> PAGEREF _Toc237309659 \h </w:instrText>
      </w:r>
      <w:r>
        <w:fldChar w:fldCharType="separate"/>
      </w:r>
      <w:r>
        <w:t>98</w:t>
      </w:r>
      <w:r>
        <w:fldChar w:fldCharType="end"/>
      </w:r>
    </w:p>
    <w:p>
      <w:pPr>
        <w:pStyle w:val="TOC2"/>
        <w:tabs>
          <w:tab w:val="right" w:leader="dot" w:pos="7086"/>
        </w:tabs>
        <w:rPr>
          <w:b w:val="0"/>
          <w:sz w:val="24"/>
          <w:szCs w:val="24"/>
        </w:rPr>
      </w:pPr>
      <w:r>
        <w:rPr>
          <w:szCs w:val="28"/>
        </w:rPr>
        <w:t>Schedule 4 — Charges for drainage for 2009/2010</w:t>
      </w:r>
    </w:p>
    <w:p>
      <w:pPr>
        <w:pStyle w:val="TOC4"/>
        <w:tabs>
          <w:tab w:val="right" w:leader="dot" w:pos="7086"/>
        </w:tabs>
        <w:rPr>
          <w:b w:val="0"/>
          <w:sz w:val="24"/>
          <w:szCs w:val="24"/>
        </w:rPr>
      </w:pPr>
      <w:r>
        <w:rPr>
          <w:szCs w:val="24"/>
        </w:rPr>
        <w:t>Division 1</w:t>
      </w:r>
      <w:r>
        <w:rPr>
          <w:b w:val="0"/>
          <w:szCs w:val="24"/>
        </w:rPr>
        <w:t> — </w:t>
      </w:r>
      <w:r>
        <w:rPr>
          <w:szCs w:val="24"/>
        </w:rPr>
        <w:t>Fixed charges</w:t>
      </w:r>
    </w:p>
    <w:p>
      <w:pPr>
        <w:pStyle w:val="TOC8"/>
        <w:rPr>
          <w:sz w:val="24"/>
          <w:szCs w:val="24"/>
        </w:rPr>
      </w:pPr>
      <w:r>
        <w:rPr>
          <w:szCs w:val="22"/>
        </w:rPr>
        <w:t>1.</w:t>
      </w:r>
      <w:r>
        <w:rPr>
          <w:szCs w:val="22"/>
        </w:rPr>
        <w:tab/>
        <w:t>Strata</w:t>
      </w:r>
      <w:r>
        <w:rPr>
          <w:szCs w:val="22"/>
        </w:rPr>
        <w:noBreakHyphen/>
        <w:t>titled caravan bay</w:t>
      </w:r>
      <w:r>
        <w:tab/>
      </w:r>
      <w:r>
        <w:fldChar w:fldCharType="begin"/>
      </w:r>
      <w:r>
        <w:instrText xml:space="preserve"> PAGEREF _Toc237309662 \h </w:instrText>
      </w:r>
      <w:r>
        <w:fldChar w:fldCharType="separate"/>
      </w:r>
      <w:r>
        <w:t>100</w:t>
      </w:r>
      <w:r>
        <w:fldChar w:fldCharType="end"/>
      </w:r>
    </w:p>
    <w:p>
      <w:pPr>
        <w:pStyle w:val="TOC8"/>
        <w:rPr>
          <w:sz w:val="24"/>
          <w:szCs w:val="24"/>
        </w:rPr>
      </w:pPr>
      <w:r>
        <w:rPr>
          <w:szCs w:val="22"/>
        </w:rPr>
        <w:t>2.</w:t>
      </w:r>
      <w:r>
        <w:rPr>
          <w:szCs w:val="22"/>
        </w:rPr>
        <w:tab/>
        <w:t>Strata</w:t>
      </w:r>
      <w:r>
        <w:rPr>
          <w:szCs w:val="22"/>
        </w:rPr>
        <w:noBreakHyphen/>
        <w:t>titled storage unit and strata</w:t>
      </w:r>
      <w:r>
        <w:rPr>
          <w:szCs w:val="22"/>
        </w:rPr>
        <w:noBreakHyphen/>
        <w:t>titled parking bay</w:t>
      </w:r>
      <w:r>
        <w:tab/>
      </w:r>
      <w:r>
        <w:fldChar w:fldCharType="begin"/>
      </w:r>
      <w:r>
        <w:instrText xml:space="preserve"> PAGEREF _Toc237309663 \h </w:instrText>
      </w:r>
      <w:r>
        <w:fldChar w:fldCharType="separate"/>
      </w:r>
      <w:r>
        <w:t>100</w:t>
      </w:r>
      <w:r>
        <w:fldChar w:fldCharType="end"/>
      </w:r>
    </w:p>
    <w:p>
      <w:pPr>
        <w:pStyle w:val="TOC4"/>
        <w:tabs>
          <w:tab w:val="right" w:leader="dot" w:pos="7086"/>
        </w:tabs>
        <w:rPr>
          <w:b w:val="0"/>
          <w:sz w:val="24"/>
          <w:szCs w:val="24"/>
        </w:rPr>
      </w:pPr>
      <w:r>
        <w:rPr>
          <w:szCs w:val="24"/>
        </w:rPr>
        <w:t>Division 2</w:t>
      </w:r>
      <w:r>
        <w:rPr>
          <w:b w:val="0"/>
          <w:szCs w:val="24"/>
        </w:rPr>
        <w:t> — </w:t>
      </w:r>
      <w:r>
        <w:rPr>
          <w:szCs w:val="24"/>
        </w:rPr>
        <w:t>Charges by way of rate</w:t>
      </w:r>
    </w:p>
    <w:p>
      <w:pPr>
        <w:pStyle w:val="TOC8"/>
        <w:rPr>
          <w:sz w:val="24"/>
          <w:szCs w:val="24"/>
        </w:rPr>
      </w:pPr>
      <w:r>
        <w:rPr>
          <w:rFonts w:ascii="Times" w:hAnsi="Times"/>
          <w:szCs w:val="22"/>
        </w:rPr>
        <w:t>3</w:t>
      </w:r>
      <w:r>
        <w:rPr>
          <w:szCs w:val="22"/>
        </w:rPr>
        <w:t>.</w:t>
      </w:r>
      <w:r>
        <w:rPr>
          <w:szCs w:val="22"/>
        </w:rPr>
        <w:tab/>
        <w:t>Land in a drainage area as referred to in by</w:t>
      </w:r>
      <w:r>
        <w:rPr>
          <w:szCs w:val="22"/>
        </w:rPr>
        <w:noBreakHyphen/>
        <w:t>law 27 classified as residential or semi</w:t>
      </w:r>
      <w:r>
        <w:rPr>
          <w:szCs w:val="22"/>
        </w:rPr>
        <w:noBreakHyphen/>
        <w:t>rural residential</w:t>
      </w:r>
      <w:r>
        <w:tab/>
      </w:r>
      <w:r>
        <w:fldChar w:fldCharType="begin"/>
      </w:r>
      <w:r>
        <w:instrText xml:space="preserve"> PAGEREF _Toc237309665 \h </w:instrText>
      </w:r>
      <w:r>
        <w:fldChar w:fldCharType="separate"/>
      </w:r>
      <w:r>
        <w:t>100</w:t>
      </w:r>
      <w:r>
        <w:fldChar w:fldCharType="end"/>
      </w:r>
    </w:p>
    <w:p>
      <w:pPr>
        <w:pStyle w:val="TOC8"/>
        <w:rPr>
          <w:sz w:val="24"/>
          <w:szCs w:val="24"/>
        </w:rPr>
      </w:pPr>
      <w:r>
        <w:rPr>
          <w:rFonts w:ascii="Times" w:hAnsi="Times"/>
          <w:szCs w:val="22"/>
        </w:rPr>
        <w:t>4</w:t>
      </w:r>
      <w:r>
        <w:rPr>
          <w:szCs w:val="22"/>
        </w:rPr>
        <w:t>.</w:t>
      </w:r>
      <w:r>
        <w:rPr>
          <w:szCs w:val="22"/>
        </w:rPr>
        <w:tab/>
        <w:t>Land in a drainage area classified as vacant land</w:t>
      </w:r>
      <w:r>
        <w:tab/>
      </w:r>
      <w:r>
        <w:fldChar w:fldCharType="begin"/>
      </w:r>
      <w:r>
        <w:instrText xml:space="preserve"> PAGEREF _Toc237309666 \h </w:instrText>
      </w:r>
      <w:r>
        <w:fldChar w:fldCharType="separate"/>
      </w:r>
      <w:r>
        <w:t>100</w:t>
      </w:r>
      <w:r>
        <w:fldChar w:fldCharType="end"/>
      </w:r>
    </w:p>
    <w:p>
      <w:pPr>
        <w:pStyle w:val="TOC8"/>
        <w:rPr>
          <w:sz w:val="24"/>
          <w:szCs w:val="24"/>
        </w:rPr>
      </w:pPr>
      <w:r>
        <w:rPr>
          <w:szCs w:val="22"/>
        </w:rPr>
        <w:t>5.</w:t>
      </w:r>
      <w:r>
        <w:rPr>
          <w:szCs w:val="22"/>
        </w:rPr>
        <w:tab/>
        <w:t>Land in a drainage area as referred to in by</w:t>
      </w:r>
      <w:r>
        <w:rPr>
          <w:szCs w:val="22"/>
        </w:rPr>
        <w:noBreakHyphen/>
        <w:t>law 27 other than land to which item 1, 2, 3 or 4 applies</w:t>
      </w:r>
      <w:r>
        <w:tab/>
      </w:r>
      <w:r>
        <w:fldChar w:fldCharType="begin"/>
      </w:r>
      <w:r>
        <w:instrText xml:space="preserve"> PAGEREF _Toc237309667 \h </w:instrText>
      </w:r>
      <w:r>
        <w:fldChar w:fldCharType="separate"/>
      </w:r>
      <w:r>
        <w:t>101</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Charges for irrigation for 2009/2010</w:t>
      </w:r>
    </w:p>
    <w:p>
      <w:pPr>
        <w:pStyle w:val="TOC8"/>
        <w:rPr>
          <w:sz w:val="24"/>
          <w:szCs w:val="24"/>
        </w:rPr>
      </w:pPr>
      <w:r>
        <w:rPr>
          <w:rFonts w:ascii="Times" w:hAnsi="Times"/>
          <w:szCs w:val="22"/>
        </w:rPr>
        <w:t>1</w:t>
      </w:r>
      <w:r>
        <w:rPr>
          <w:szCs w:val="22"/>
        </w:rPr>
        <w:t>.</w:t>
      </w:r>
      <w:r>
        <w:rPr>
          <w:rFonts w:ascii="Times" w:hAnsi="Times"/>
          <w:szCs w:val="22"/>
        </w:rPr>
        <w:tab/>
      </w:r>
      <w:r>
        <w:rPr>
          <w:szCs w:val="22"/>
        </w:rPr>
        <w:t>Ord Irrigation District</w:t>
      </w:r>
      <w:r>
        <w:tab/>
      </w:r>
      <w:r>
        <w:fldChar w:fldCharType="begin"/>
      </w:r>
      <w:r>
        <w:instrText xml:space="preserve"> PAGEREF _Toc237309669 \h </w:instrText>
      </w:r>
      <w:r>
        <w:fldChar w:fldCharType="separate"/>
      </w:r>
      <w:r>
        <w:t>102</w:t>
      </w:r>
      <w:r>
        <w:fldChar w:fldCharType="end"/>
      </w:r>
    </w:p>
    <w:p>
      <w:pPr>
        <w:pStyle w:val="TOC2"/>
        <w:tabs>
          <w:tab w:val="right" w:leader="dot" w:pos="7086"/>
        </w:tabs>
        <w:rPr>
          <w:b w:val="0"/>
          <w:sz w:val="24"/>
          <w:szCs w:val="24"/>
        </w:rPr>
      </w:pPr>
      <w:r>
        <w:rPr>
          <w:szCs w:val="28"/>
        </w:rPr>
        <w:t>Schedule 6 — Formula for calculating AGRV</w:t>
      </w:r>
    </w:p>
    <w:p>
      <w:pPr>
        <w:pStyle w:val="TOC8"/>
        <w:rPr>
          <w:sz w:val="24"/>
          <w:szCs w:val="24"/>
        </w:rPr>
      </w:pPr>
      <w:r>
        <w:rPr>
          <w:szCs w:val="22"/>
        </w:rPr>
        <w:t>1.</w:t>
      </w:r>
      <w:r>
        <w:rPr>
          <w:szCs w:val="22"/>
        </w:rPr>
        <w:tab/>
        <w:t>Term used: relevant general valuation</w:t>
      </w:r>
      <w:r>
        <w:tab/>
      </w:r>
      <w:r>
        <w:fldChar w:fldCharType="begin"/>
      </w:r>
      <w:r>
        <w:instrText xml:space="preserve"> PAGEREF _Toc237309671 \h </w:instrText>
      </w:r>
      <w:r>
        <w:fldChar w:fldCharType="separate"/>
      </w:r>
      <w:r>
        <w:t>103</w:t>
      </w:r>
      <w:r>
        <w:fldChar w:fldCharType="end"/>
      </w:r>
    </w:p>
    <w:p>
      <w:pPr>
        <w:pStyle w:val="TOC8"/>
        <w:rPr>
          <w:sz w:val="24"/>
          <w:szCs w:val="24"/>
        </w:rPr>
      </w:pPr>
      <w:r>
        <w:rPr>
          <w:szCs w:val="22"/>
        </w:rPr>
        <w:t>2.</w:t>
      </w:r>
      <w:r>
        <w:rPr>
          <w:szCs w:val="22"/>
        </w:rPr>
        <w:tab/>
        <w:t>Formula for calculating AGRV</w:t>
      </w:r>
      <w:r>
        <w:tab/>
      </w:r>
      <w:r>
        <w:fldChar w:fldCharType="begin"/>
      </w:r>
      <w:r>
        <w:instrText xml:space="preserve"> PAGEREF _Toc237309672 \h </w:instrText>
      </w:r>
      <w:r>
        <w:fldChar w:fldCharType="separate"/>
      </w:r>
      <w:r>
        <w:t>103</w:t>
      </w:r>
      <w:r>
        <w:fldChar w:fldCharType="end"/>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Discounts and additional charges</w:t>
      </w:r>
    </w:p>
    <w:p>
      <w:pPr>
        <w:pStyle w:val="TOC8"/>
        <w:rPr>
          <w:sz w:val="24"/>
          <w:szCs w:val="24"/>
        </w:rPr>
      </w:pPr>
      <w:r>
        <w:rPr>
          <w:szCs w:val="22"/>
        </w:rPr>
        <w:t>1.</w:t>
      </w:r>
      <w:r>
        <w:rPr>
          <w:szCs w:val="22"/>
        </w:rPr>
        <w:tab/>
        <w:t>Discount</w:t>
      </w:r>
      <w:r>
        <w:tab/>
      </w:r>
      <w:r>
        <w:fldChar w:fldCharType="begin"/>
      </w:r>
      <w:r>
        <w:instrText xml:space="preserve"> PAGEREF _Toc237309674 \h </w:instrText>
      </w:r>
      <w:r>
        <w:fldChar w:fldCharType="separate"/>
      </w:r>
      <w:r>
        <w:t>104</w:t>
      </w:r>
      <w:r>
        <w:fldChar w:fldCharType="end"/>
      </w:r>
    </w:p>
    <w:p>
      <w:pPr>
        <w:pStyle w:val="TOC8"/>
        <w:rPr>
          <w:sz w:val="24"/>
          <w:szCs w:val="24"/>
        </w:rPr>
      </w:pPr>
      <w:r>
        <w:rPr>
          <w:szCs w:val="22"/>
        </w:rPr>
        <w:t>2.</w:t>
      </w:r>
      <w:r>
        <w:rPr>
          <w:szCs w:val="22"/>
        </w:rPr>
        <w:tab/>
        <w:t>Additional charges</w:t>
      </w:r>
      <w:r>
        <w:tab/>
      </w:r>
      <w:r>
        <w:fldChar w:fldCharType="begin"/>
      </w:r>
      <w:r>
        <w:instrText xml:space="preserve"> PAGEREF _Toc237309675 \h </w:instrText>
      </w:r>
      <w:r>
        <w:fldChar w:fldCharType="separate"/>
      </w:r>
      <w:r>
        <w:t>104</w:t>
      </w:r>
      <w:r>
        <w:fldChar w:fldCharType="end"/>
      </w:r>
    </w:p>
    <w:p>
      <w:pPr>
        <w:pStyle w:val="TOC8"/>
        <w:rPr>
          <w:sz w:val="24"/>
          <w:szCs w:val="24"/>
        </w:rPr>
      </w:pPr>
      <w:r>
        <w:rPr>
          <w:szCs w:val="22"/>
        </w:rPr>
        <w:t>3.</w:t>
      </w:r>
      <w:r>
        <w:rPr>
          <w:szCs w:val="22"/>
        </w:rPr>
        <w:tab/>
        <w:t>Rates of interest</w:t>
      </w:r>
      <w:r>
        <w:tab/>
      </w:r>
      <w:r>
        <w:fldChar w:fldCharType="begin"/>
      </w:r>
      <w:r>
        <w:instrText xml:space="preserve"> PAGEREF _Toc237309676 \h </w:instrText>
      </w:r>
      <w:r>
        <w:fldChar w:fldCharType="separate"/>
      </w:r>
      <w:r>
        <w:t>104</w:t>
      </w:r>
      <w:r>
        <w:fldChar w:fldCharType="end"/>
      </w:r>
    </w:p>
    <w:p>
      <w:pPr>
        <w:pStyle w:val="TOC8"/>
        <w:rPr>
          <w:sz w:val="24"/>
          <w:szCs w:val="24"/>
        </w:rPr>
      </w:pPr>
      <w:r>
        <w:rPr>
          <w:szCs w:val="22"/>
        </w:rPr>
        <w:t>4.</w:t>
      </w:r>
      <w:r>
        <w:rPr>
          <w:szCs w:val="22"/>
        </w:rPr>
        <w:tab/>
        <w:t>Concession (by</w:t>
      </w:r>
      <w:r>
        <w:rPr>
          <w:szCs w:val="22"/>
        </w:rPr>
        <w:noBreakHyphen/>
        <w:t>law 8A(2))</w:t>
      </w:r>
      <w:r>
        <w:tab/>
      </w:r>
      <w:r>
        <w:fldChar w:fldCharType="begin"/>
      </w:r>
      <w:r>
        <w:instrText xml:space="preserve"> PAGEREF _Toc237309677 \h </w:instrText>
      </w:r>
      <w:r>
        <w:fldChar w:fldCharType="separate"/>
      </w:r>
      <w:r>
        <w:t>104</w:t>
      </w:r>
      <w:r>
        <w:fldChar w:fldCharType="end"/>
      </w:r>
    </w:p>
    <w:p>
      <w:pPr>
        <w:pStyle w:val="TOC8"/>
        <w:rPr>
          <w:sz w:val="24"/>
          <w:szCs w:val="24"/>
        </w:rPr>
      </w:pPr>
      <w:r>
        <w:rPr>
          <w:szCs w:val="22"/>
        </w:rPr>
        <w:t>5.</w:t>
      </w:r>
      <w:r>
        <w:rPr>
          <w:szCs w:val="22"/>
        </w:rPr>
        <w:tab/>
        <w:t>Interest on overdue amounts (by</w:t>
      </w:r>
      <w:r>
        <w:rPr>
          <w:szCs w:val="22"/>
        </w:rPr>
        <w:noBreakHyphen/>
        <w:t>law 9)</w:t>
      </w:r>
      <w:r>
        <w:tab/>
      </w:r>
      <w:r>
        <w:fldChar w:fldCharType="begin"/>
      </w:r>
      <w:r>
        <w:instrText xml:space="preserve"> PAGEREF _Toc237309678 \h </w:instrText>
      </w:r>
      <w:r>
        <w:fldChar w:fldCharType="separate"/>
      </w:r>
      <w:r>
        <w:t>104</w:t>
      </w:r>
      <w:r>
        <w:fldChar w:fldCharType="end"/>
      </w:r>
    </w:p>
    <w:p>
      <w:pPr>
        <w:pStyle w:val="TOC2"/>
        <w:keepLines/>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Water supply charges for Government trading organisations and non</w:t>
      </w:r>
      <w:r>
        <w:rPr>
          <w:szCs w:val="28"/>
        </w:rPr>
        <w:noBreakHyphen/>
        <w:t>commercial Government property</w:t>
      </w:r>
    </w:p>
    <w:p>
      <w:pPr>
        <w:pStyle w:val="TOC8"/>
        <w:rPr>
          <w:sz w:val="24"/>
          <w:szCs w:val="24"/>
        </w:rPr>
      </w:pPr>
      <w:r>
        <w:rPr>
          <w:bCs/>
          <w:szCs w:val="22"/>
        </w:rPr>
        <w:t>1</w:t>
      </w:r>
      <w:r>
        <w:rPr>
          <w:szCs w:val="22"/>
        </w:rPr>
        <w:t>.</w:t>
      </w:r>
      <w:r>
        <w:rPr>
          <w:szCs w:val="22"/>
        </w:rPr>
        <w:tab/>
        <w:t>Annual charge (based on meter size)</w:t>
      </w:r>
      <w:r>
        <w:tab/>
      </w:r>
      <w:r>
        <w:fldChar w:fldCharType="begin"/>
      </w:r>
      <w:r>
        <w:instrText xml:space="preserve"> PAGEREF _Toc237309680 \h </w:instrText>
      </w:r>
      <w:r>
        <w:fldChar w:fldCharType="separate"/>
      </w:r>
      <w:r>
        <w:t>105</w:t>
      </w:r>
      <w:r>
        <w:fldChar w:fldCharType="end"/>
      </w:r>
    </w:p>
    <w:p>
      <w:pPr>
        <w:pStyle w:val="TOC8"/>
        <w:rPr>
          <w:sz w:val="24"/>
          <w:szCs w:val="24"/>
        </w:rPr>
      </w:pPr>
      <w:r>
        <w:rPr>
          <w:szCs w:val="22"/>
        </w:rPr>
        <w:t>2.</w:t>
      </w:r>
      <w:r>
        <w:rPr>
          <w:szCs w:val="22"/>
        </w:rPr>
        <w:tab/>
        <w:t>Volume charge (c/kL)</w:t>
      </w:r>
      <w:r>
        <w:tab/>
      </w:r>
      <w:r>
        <w:fldChar w:fldCharType="begin"/>
      </w:r>
      <w:r>
        <w:instrText xml:space="preserve"> PAGEREF _Toc237309681 \h </w:instrText>
      </w:r>
      <w:r>
        <w:fldChar w:fldCharType="separate"/>
      </w:r>
      <w:r>
        <w:t>105</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Classification of towns/areas for the purpose of determining quantity charges in the previous year</w:t>
      </w:r>
    </w:p>
    <w:p>
      <w:pPr>
        <w:pStyle w:val="TOC2"/>
        <w:tabs>
          <w:tab w:val="right" w:leader="dot" w:pos="7086"/>
        </w:tabs>
        <w:rPr>
          <w:b w:val="0"/>
          <w:sz w:val="24"/>
          <w:szCs w:val="24"/>
        </w:rPr>
      </w:pPr>
      <w:r>
        <w:rPr>
          <w:szCs w:val="28"/>
        </w:rPr>
        <w:t>Schedule 10</w:t>
      </w:r>
      <w:r>
        <w:rPr>
          <w:sz w:val="24"/>
          <w:szCs w:val="28"/>
        </w:rPr>
        <w:t> </w:t>
      </w:r>
      <w:r>
        <w:rPr>
          <w:szCs w:val="28"/>
        </w:rPr>
        <w:t>—</w:t>
      </w:r>
      <w:r>
        <w:rPr>
          <w:sz w:val="24"/>
          <w:szCs w:val="28"/>
        </w:rPr>
        <w:t> </w:t>
      </w:r>
      <w:r>
        <w:rPr>
          <w:szCs w:val="28"/>
        </w:rPr>
        <w:t>Classification of towns/areas for the purpose of determining quantity charges in the current year</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_Toc237309685 \h </w:instrText>
      </w:r>
      <w:r>
        <w:fldChar w:fldCharType="separate"/>
      </w:r>
      <w:r>
        <w:t>123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August 2009</w:t>
            </w:r>
          </w:p>
        </w:tc>
      </w:tr>
    </w:tbl>
    <w:p>
      <w:pPr>
        <w:pStyle w:val="WA"/>
        <w:spacing w:before="120"/>
      </w:pPr>
      <w:r>
        <w:t>Western Australia</w:t>
      </w:r>
    </w:p>
    <w:p>
      <w:pPr>
        <w:pStyle w:val="PrincipalActReg"/>
        <w:rPr>
          <w:snapToGrid w:val="0"/>
        </w:rPr>
      </w:pPr>
      <w:r>
        <w:rPr>
          <w:snapToGrid w:val="0"/>
        </w:rPr>
        <w:t>Water Agencies (Powers) Act 1984</w:t>
      </w:r>
    </w:p>
    <w:p>
      <w:pPr>
        <w:pStyle w:val="NameofActReg"/>
        <w:spacing w:before="600" w:after="720"/>
      </w:pPr>
      <w:r>
        <w:t>Water Agencies (Charges) By</w:t>
      </w:r>
      <w:r>
        <w:noBreakHyphen/>
        <w:t>laws 1987</w:t>
      </w:r>
    </w:p>
    <w:p>
      <w:pPr>
        <w:pStyle w:val="Heading5"/>
        <w:spacing w:before="160"/>
        <w:rPr>
          <w:snapToGrid w:val="0"/>
        </w:rPr>
      </w:pPr>
      <w:bookmarkStart w:id="1" w:name="_Toc487428937"/>
      <w:bookmarkStart w:id="2" w:name="_Toc17278645"/>
      <w:bookmarkStart w:id="3" w:name="_Toc180204742"/>
      <w:bookmarkStart w:id="4" w:name="_Toc237309510"/>
      <w:r>
        <w:rPr>
          <w:rStyle w:val="CharSectno"/>
        </w:rPr>
        <w:t>1</w:t>
      </w:r>
      <w:r>
        <w:rPr>
          <w:snapToGrid w:val="0"/>
        </w:rPr>
        <w:t>.</w:t>
      </w:r>
      <w:r>
        <w:rPr>
          <w:snapToGrid w:val="0"/>
        </w:rPr>
        <w:tab/>
        <w:t>Citation</w:t>
      </w:r>
      <w:bookmarkEnd w:id="1"/>
      <w:bookmarkEnd w:id="2"/>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5" w:name="_Toc487428938"/>
      <w:bookmarkStart w:id="6" w:name="_Toc17278646"/>
      <w:bookmarkStart w:id="7" w:name="_Toc180204743"/>
      <w:bookmarkStart w:id="8" w:name="_Toc237309511"/>
      <w:r>
        <w:rPr>
          <w:rStyle w:val="CharSectno"/>
        </w:rPr>
        <w:t>2</w:t>
      </w:r>
      <w:r>
        <w:rPr>
          <w:snapToGrid w:val="0"/>
        </w:rPr>
        <w:t>.</w:t>
      </w:r>
      <w:r>
        <w:rPr>
          <w:snapToGrid w:val="0"/>
        </w:rPr>
        <w:tab/>
      </w:r>
      <w:bookmarkEnd w:id="5"/>
      <w:bookmarkEnd w:id="6"/>
      <w:r>
        <w:rPr>
          <w:snapToGrid w:val="0"/>
        </w:rPr>
        <w:t>Terms used</w:t>
      </w:r>
      <w:bookmarkEnd w:id="7"/>
      <w:bookmarkEnd w:id="8"/>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caravan bay</w:t>
      </w:r>
      <w:r>
        <w:t xml:space="preserve"> means </w:t>
      </w:r>
      <w:r>
        <w:rPr>
          <w:rStyle w:val="CharDefText"/>
        </w:rPr>
        <w:t>site</w:t>
      </w:r>
      <w:r>
        <w:t xml:space="preserve"> as that word is defined in the </w:t>
      </w:r>
      <w:r>
        <w:rPr>
          <w:i/>
        </w:rPr>
        <w:t>Caravan Parks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rPr>
          <w:b/>
        </w:rPr>
        <w:tab/>
      </w:r>
      <w:r>
        <w:rPr>
          <w:rStyle w:val="CharDefText"/>
        </w:rPr>
        <w:t>country sewerage area</w:t>
      </w:r>
      <w:r>
        <w:t xml:space="preserve"> means a sewerage area constituted under the </w:t>
      </w:r>
      <w:r>
        <w:rPr>
          <w:i/>
        </w:rPr>
        <w:t>Country Towns Sewerage Act 1948</w:t>
      </w:r>
      <w:r>
        <w:t>;</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keepNex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r>
      <w:r>
        <w:rPr>
          <w:rStyle w:val="CharDefText"/>
        </w:rPr>
        <w:t>GRV</w:t>
      </w:r>
      <w:r>
        <w:t>, in relation to land, means the gross rental value of the land;</w:t>
      </w:r>
    </w:p>
    <w:p>
      <w:pPr>
        <w:pStyle w:val="Defstart"/>
        <w:keepNex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home for the aged</w:t>
      </w:r>
      <w:r>
        <w:t xml:space="preserve"> means an institution that, in the opinion of the Corporation, provides accommodation for aged persons and is not operated for the purpose of profit or gain;</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r>
      <w:r>
        <w:rPr>
          <w:rStyle w:val="CharDefText"/>
        </w:rPr>
        <w:t>metropolitan area</w:t>
      </w:r>
      <w:r>
        <w:t xml:space="preserve"> means Metropolitan Water, Sewerage, and Drainage Area constituted under the </w:t>
      </w:r>
      <w:r>
        <w:rPr>
          <w:i/>
        </w:rPr>
        <w:t>Metropolitan Water Supply, Sewerage, and Drainage Act 1909</w:t>
      </w:r>
      <w:r>
        <w:t>;</w:t>
      </w:r>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keepNext/>
      </w:pPr>
      <w:r>
        <w:rPr>
          <w:b/>
        </w:rPr>
        <w:tab/>
      </w:r>
      <w:r>
        <w:rPr>
          <w:rStyle w:val="CharDefText"/>
        </w:rPr>
        <w:t>quantity charge</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rPr>
          <w:b/>
        </w:rPr>
        <w:tab/>
      </w:r>
      <w:r>
        <w:rPr>
          <w:rStyle w:val="CharDefText"/>
        </w:rPr>
        <w:t>UV</w:t>
      </w:r>
      <w:r>
        <w:t>, in relation to land, means the unimproved value of the land;</w:t>
      </w:r>
    </w:p>
    <w:p>
      <w:pPr>
        <w:pStyle w:val="Defstart"/>
      </w:pPr>
      <w:r>
        <w:rPr>
          <w:b/>
        </w:rPr>
        <w:tab/>
      </w:r>
      <w:r>
        <w:rPr>
          <w:rStyle w:val="CharDefText"/>
        </w:rPr>
        <w:t>water supply</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r>
      <w:r>
        <w:rPr>
          <w:rStyle w:val="CharDefText"/>
        </w:rPr>
        <w:t>year</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bookmarkStart w:id="9" w:name="_Toc91580397"/>
      <w:bookmarkStart w:id="10" w:name="_Toc103667082"/>
      <w:bookmarkStart w:id="11" w:name="_Toc103741601"/>
      <w:bookmarkStart w:id="12" w:name="_Toc107981844"/>
      <w:bookmarkStart w:id="13" w:name="_Toc118800011"/>
      <w:bookmarkStart w:id="14" w:name="_Toc118860019"/>
      <w:bookmarkStart w:id="15" w:name="_Toc121545519"/>
      <w:bookmarkStart w:id="16" w:name="_Toc121801042"/>
      <w:bookmarkStart w:id="17" w:name="_Toc121818155"/>
      <w:bookmarkStart w:id="18" w:name="_Toc121880765"/>
      <w:bookmarkStart w:id="19" w:name="_Toc129481836"/>
      <w:bookmarkStart w:id="20" w:name="_Toc130095205"/>
      <w:bookmarkStart w:id="21"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w:t>
      </w:r>
    </w:p>
    <w:p>
      <w:pPr>
        <w:pStyle w:val="Heading2"/>
      </w:pPr>
      <w:bookmarkStart w:id="22" w:name="_Toc139770942"/>
      <w:bookmarkStart w:id="23" w:name="_Toc139771320"/>
      <w:bookmarkStart w:id="24" w:name="_Toc151191535"/>
      <w:bookmarkStart w:id="25" w:name="_Toc151260428"/>
      <w:bookmarkStart w:id="26" w:name="_Toc164158533"/>
      <w:bookmarkStart w:id="27" w:name="_Toc164220905"/>
      <w:bookmarkStart w:id="28" w:name="_Toc170878864"/>
      <w:bookmarkStart w:id="29" w:name="_Toc170894617"/>
      <w:bookmarkStart w:id="30" w:name="_Toc175712583"/>
      <w:bookmarkStart w:id="31" w:name="_Toc175970524"/>
      <w:bookmarkStart w:id="32" w:name="_Toc176335243"/>
      <w:bookmarkStart w:id="33" w:name="_Toc176338818"/>
      <w:bookmarkStart w:id="34" w:name="_Toc178742843"/>
      <w:bookmarkStart w:id="35" w:name="_Toc179363266"/>
      <w:bookmarkStart w:id="36" w:name="_Toc179604335"/>
      <w:bookmarkStart w:id="37" w:name="_Toc180204528"/>
      <w:bookmarkStart w:id="38" w:name="_Toc180204744"/>
      <w:bookmarkStart w:id="39" w:name="_Toc185844489"/>
      <w:bookmarkStart w:id="40" w:name="_Toc185845109"/>
      <w:bookmarkStart w:id="41" w:name="_Toc185927074"/>
      <w:bookmarkStart w:id="42" w:name="_Toc202505821"/>
      <w:bookmarkStart w:id="43" w:name="_Toc202672607"/>
      <w:bookmarkStart w:id="44" w:name="_Toc202691698"/>
      <w:bookmarkStart w:id="45" w:name="_Toc233448320"/>
      <w:bookmarkStart w:id="46" w:name="_Toc233611634"/>
      <w:bookmarkStart w:id="47" w:name="_Toc234730641"/>
      <w:bookmarkStart w:id="48" w:name="_Toc234733167"/>
      <w:bookmarkStart w:id="49" w:name="_Toc235863904"/>
      <w:bookmarkStart w:id="50" w:name="_Toc235933379"/>
      <w:bookmarkStart w:id="51" w:name="_Toc237164367"/>
      <w:bookmarkStart w:id="52" w:name="_Toc237244250"/>
      <w:bookmarkStart w:id="53" w:name="_Toc237245551"/>
      <w:bookmarkStart w:id="54" w:name="_Toc237245682"/>
      <w:bookmarkStart w:id="55" w:name="_Toc237247790"/>
      <w:bookmarkStart w:id="56" w:name="_Toc237254093"/>
      <w:bookmarkStart w:id="57" w:name="_Toc237309512"/>
      <w:r>
        <w:rPr>
          <w:rStyle w:val="CharPartNo"/>
        </w:rPr>
        <w:t>Part 1</w:t>
      </w:r>
      <w:r>
        <w:rPr>
          <w:rStyle w:val="CharDivNo"/>
        </w:rPr>
        <w:t> </w:t>
      </w:r>
      <w:r>
        <w:t>—</w:t>
      </w:r>
      <w:r>
        <w:rPr>
          <w:rStyle w:val="CharDivText"/>
        </w:rPr>
        <w:t> </w:t>
      </w:r>
      <w:r>
        <w:rPr>
          <w:rStyle w:val="CharPartText"/>
        </w:rPr>
        <w:t>General</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487428939"/>
      <w:bookmarkStart w:id="59" w:name="_Toc17278647"/>
      <w:bookmarkStart w:id="60" w:name="_Toc180204745"/>
      <w:bookmarkStart w:id="61" w:name="_Toc237309513"/>
      <w:r>
        <w:rPr>
          <w:rStyle w:val="CharSectno"/>
        </w:rPr>
        <w:t>3</w:t>
      </w:r>
      <w:r>
        <w:rPr>
          <w:snapToGrid w:val="0"/>
        </w:rPr>
        <w:t>.</w:t>
      </w:r>
      <w:r>
        <w:rPr>
          <w:snapToGrid w:val="0"/>
        </w:rPr>
        <w:tab/>
        <w:t>Proportionate charges for part of year</w:t>
      </w:r>
      <w:bookmarkEnd w:id="58"/>
      <w:bookmarkEnd w:id="59"/>
      <w:bookmarkEnd w:id="60"/>
      <w:bookmarkEnd w:id="61"/>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62" w:name="_Toc487428940"/>
      <w:bookmarkStart w:id="63" w:name="_Toc17278648"/>
      <w:bookmarkStart w:id="64" w:name="_Toc180204746"/>
      <w:bookmarkStart w:id="65" w:name="_Toc237309514"/>
      <w:r>
        <w:rPr>
          <w:rStyle w:val="CharSectno"/>
        </w:rPr>
        <w:t>3A</w:t>
      </w:r>
      <w:r>
        <w:rPr>
          <w:snapToGrid w:val="0"/>
        </w:rPr>
        <w:t>.</w:t>
      </w:r>
      <w:r>
        <w:rPr>
          <w:snapToGrid w:val="0"/>
        </w:rPr>
        <w:tab/>
        <w:t>Minimum charge prior to revaluation</w:t>
      </w:r>
      <w:bookmarkEnd w:id="62"/>
      <w:bookmarkEnd w:id="63"/>
      <w:bookmarkEnd w:id="64"/>
      <w:bookmarkEnd w:id="65"/>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66" w:name="_Toc487428941"/>
      <w:bookmarkStart w:id="67" w:name="_Toc17278649"/>
      <w:bookmarkStart w:id="68" w:name="_Toc180204747"/>
      <w:bookmarkStart w:id="69" w:name="_Toc237309515"/>
      <w:r>
        <w:rPr>
          <w:rStyle w:val="CharSectno"/>
        </w:rPr>
        <w:t>4</w:t>
      </w:r>
      <w:r>
        <w:rPr>
          <w:snapToGrid w:val="0"/>
        </w:rPr>
        <w:t>.</w:t>
      </w:r>
      <w:r>
        <w:rPr>
          <w:snapToGrid w:val="0"/>
        </w:rPr>
        <w:tab/>
        <w:t>Exempt land</w:t>
      </w:r>
      <w:bookmarkEnd w:id="66"/>
      <w:bookmarkEnd w:id="67"/>
      <w:bookmarkEnd w:id="68"/>
      <w:bookmarkEnd w:id="69"/>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THeadingNAm"/>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rPr>
          <w:cantSplit/>
        </w:trPr>
        <w:tc>
          <w:tcPr>
            <w:tcW w:w="4880" w:type="dxa"/>
          </w:tcPr>
          <w:p>
            <w:pPr>
              <w:pStyle w:val="TableNAm"/>
              <w:ind w:left="568" w:hanging="568"/>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880" w:type="dxa"/>
          </w:tcPr>
          <w:p>
            <w:pPr>
              <w:pStyle w:val="TableNAm"/>
              <w:ind w:left="568" w:hanging="568"/>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ind w:left="568" w:hanging="568"/>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vertAlign w:val="superscript"/>
        </w:rPr>
        <w:t> 11</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rPr>
          <w:snapToGrid w:val="0"/>
        </w:rPr>
      </w:pPr>
      <w:bookmarkStart w:id="70" w:name="_Toc487428942"/>
      <w:bookmarkStart w:id="71" w:name="_Toc17278650"/>
      <w:bookmarkStart w:id="72" w:name="_Toc180204748"/>
      <w:bookmarkStart w:id="73" w:name="_Toc237309516"/>
      <w:r>
        <w:rPr>
          <w:rStyle w:val="CharSectno"/>
        </w:rPr>
        <w:t>5</w:t>
      </w:r>
      <w:r>
        <w:rPr>
          <w:snapToGrid w:val="0"/>
        </w:rPr>
        <w:t>.</w:t>
      </w:r>
      <w:r>
        <w:rPr>
          <w:snapToGrid w:val="0"/>
        </w:rPr>
        <w:tab/>
        <w:t>Separately assessable residential land</w:t>
      </w:r>
      <w:bookmarkEnd w:id="70"/>
      <w:bookmarkEnd w:id="71"/>
      <w:bookmarkEnd w:id="72"/>
      <w:bookmarkEnd w:id="73"/>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[By</w:t>
      </w:r>
      <w:r>
        <w:noBreakHyphen/>
        <w:t xml:space="preserve">law 5 amended in Gazette 29 Jun 2007 p. 3246.] </w:t>
      </w:r>
    </w:p>
    <w:p>
      <w:pPr>
        <w:pStyle w:val="Heading5"/>
        <w:rPr>
          <w:snapToGrid w:val="0"/>
        </w:rPr>
      </w:pPr>
      <w:bookmarkStart w:id="74" w:name="_Toc487428943"/>
      <w:bookmarkStart w:id="75" w:name="_Toc17278651"/>
      <w:bookmarkStart w:id="76" w:name="_Toc180204749"/>
      <w:bookmarkStart w:id="77" w:name="_Toc237309517"/>
      <w:r>
        <w:rPr>
          <w:rStyle w:val="CharSectno"/>
        </w:rPr>
        <w:t>6</w:t>
      </w:r>
      <w:r>
        <w:rPr>
          <w:snapToGrid w:val="0"/>
        </w:rPr>
        <w:t>.</w:t>
      </w:r>
      <w:r>
        <w:rPr>
          <w:snapToGrid w:val="0"/>
        </w:rPr>
        <w:tab/>
        <w:t>Estimation upon meter malfunction or of non</w:t>
      </w:r>
      <w:r>
        <w:rPr>
          <w:snapToGrid w:val="0"/>
        </w:rPr>
        <w:noBreakHyphen/>
        <w:t>metered quantity</w:t>
      </w:r>
      <w:bookmarkEnd w:id="74"/>
      <w:bookmarkEnd w:id="75"/>
      <w:bookmarkEnd w:id="76"/>
      <w:bookmarkEnd w:id="77"/>
    </w:p>
    <w:p>
      <w:pPr>
        <w:pStyle w:val="Subsection"/>
        <w:rPr>
          <w:rFonts w:ascii="Times" w:hAnsi="Times"/>
          <w:snapToGrid w:val="0"/>
        </w:rPr>
      </w:pPr>
      <w:r>
        <w:rPr>
          <w:snapToGrid w:val="0"/>
          <w:spacing w:val="-4"/>
        </w:rPr>
        <w:tab/>
        <w:t>(1)</w:t>
      </w:r>
      <w:r>
        <w:rPr>
          <w:snapToGrid w:val="0"/>
          <w:spacing w:val="-4"/>
        </w:rPr>
        <w:tab/>
      </w:r>
      <w:r>
        <w:rPr>
          <w:rFonts w:ascii="Times" w:hAnsi="Times"/>
          <w:snapToGrid w:val="0"/>
        </w:rPr>
        <w:t>Where a charge is to be assessed by reference to the quantity of water concerned and a meter for measuring that quantity is found not to be in proper order</w:t>
      </w:r>
      <w:r>
        <w:rPr>
          <w:rFonts w:ascii="Times" w:hAnsi="Times"/>
        </w:rPr>
        <w:t xml:space="preserve">, has been removed for repair or a meter reading cannot be obtained </w:t>
      </w:r>
      <w:r>
        <w:t xml:space="preserve">because of a physical obstruction preventing practicable access to the meter or because the face of the meter is obscured by damage, marking, dirt or any other substance, </w:t>
      </w:r>
      <w:r>
        <w:rPr>
          <w:rFonts w:ascii="Times" w:hAnsi="Times"/>
          <w:snapToGrid w:val="0"/>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w:t>
      </w:r>
    </w:p>
    <w:p>
      <w:pPr>
        <w:pStyle w:val="Heading5"/>
        <w:rPr>
          <w:snapToGrid w:val="0"/>
        </w:rPr>
      </w:pPr>
      <w:bookmarkStart w:id="78" w:name="_Toc487428944"/>
      <w:bookmarkStart w:id="79" w:name="_Toc17278652"/>
      <w:bookmarkStart w:id="80" w:name="_Toc180204750"/>
      <w:bookmarkStart w:id="81" w:name="_Toc237309518"/>
      <w:r>
        <w:rPr>
          <w:rStyle w:val="CharSectno"/>
        </w:rPr>
        <w:t>7</w:t>
      </w:r>
      <w:r>
        <w:rPr>
          <w:snapToGrid w:val="0"/>
        </w:rPr>
        <w:t>.</w:t>
      </w:r>
      <w:r>
        <w:rPr>
          <w:snapToGrid w:val="0"/>
        </w:rPr>
        <w:tab/>
        <w:t>Manner of payment of charges other than quantity and single capital infrastructure charges</w:t>
      </w:r>
      <w:bookmarkEnd w:id="78"/>
      <w:bookmarkEnd w:id="79"/>
      <w:bookmarkEnd w:id="80"/>
      <w:bookmarkEnd w:id="81"/>
    </w:p>
    <w:p>
      <w:pPr>
        <w:pStyle w:val="Subsection"/>
        <w:keepNext/>
        <w:rPr>
          <w:snapToGrid w:val="0"/>
        </w:rPr>
      </w:pPr>
      <w:r>
        <w:rPr>
          <w:snapToGrid w:val="0"/>
        </w:rPr>
        <w:tab/>
        <w:t>(1)</w:t>
      </w:r>
      <w:r>
        <w:rPr>
          <w:snapToGrid w:val="0"/>
        </w:rPr>
        <w:tab/>
        <w:t>In this by</w:t>
      </w:r>
      <w:r>
        <w:rPr>
          <w:snapToGrid w:val="0"/>
        </w:rPr>
        <w:noBreakHyphen/>
        <w:t>law —</w:t>
      </w:r>
    </w:p>
    <w:p>
      <w:pPr>
        <w:pStyle w:val="Defstart"/>
        <w:keepNext/>
      </w:pPr>
      <w:r>
        <w:rPr>
          <w:b/>
        </w:rPr>
        <w:tab/>
      </w:r>
      <w:r>
        <w:rPr>
          <w:rStyle w:val="CharDefText"/>
        </w:rPr>
        <w:t>charge</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keepNext/>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sub</w:t>
      </w:r>
      <w:r>
        <w:rPr>
          <w:rFonts w:ascii="Times" w:hAnsi="Times"/>
          <w:snapToGrid w:val="0"/>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82" w:name="_Toc487428945"/>
      <w:bookmarkStart w:id="83" w:name="_Toc17278653"/>
      <w:bookmarkStart w:id="84" w:name="_Toc180204751"/>
      <w:bookmarkStart w:id="85" w:name="_Toc237309519"/>
      <w:r>
        <w:rPr>
          <w:rStyle w:val="CharSectno"/>
        </w:rPr>
        <w:t>7A</w:t>
      </w:r>
      <w:r>
        <w:rPr>
          <w:snapToGrid w:val="0"/>
        </w:rPr>
        <w:t>.</w:t>
      </w:r>
      <w:r>
        <w:rPr>
          <w:snapToGrid w:val="0"/>
        </w:rPr>
        <w:tab/>
        <w:t>Manner of payment of quantity charges</w:t>
      </w:r>
      <w:bookmarkEnd w:id="82"/>
      <w:bookmarkEnd w:id="83"/>
      <w:bookmarkEnd w:id="84"/>
      <w:bookmarkEnd w:id="85"/>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spacing w:before="240"/>
        <w:rPr>
          <w:snapToGrid w:val="0"/>
        </w:rPr>
      </w:pPr>
      <w:bookmarkStart w:id="86" w:name="_Toc487428946"/>
      <w:bookmarkStart w:id="87" w:name="_Toc17278654"/>
      <w:bookmarkStart w:id="88" w:name="_Toc180204752"/>
      <w:bookmarkStart w:id="89" w:name="_Toc237309520"/>
      <w:r>
        <w:rPr>
          <w:rStyle w:val="CharSectno"/>
        </w:rPr>
        <w:t>7B</w:t>
      </w:r>
      <w:r>
        <w:rPr>
          <w:snapToGrid w:val="0"/>
        </w:rPr>
        <w:t>.</w:t>
      </w:r>
      <w:r>
        <w:rPr>
          <w:snapToGrid w:val="0"/>
        </w:rPr>
        <w:tab/>
        <w:t>Manner of payment of single capital infrastructure charges</w:t>
      </w:r>
      <w:bookmarkEnd w:id="86"/>
      <w:bookmarkEnd w:id="87"/>
      <w:bookmarkEnd w:id="88"/>
      <w:bookmarkEnd w:id="89"/>
    </w:p>
    <w:p>
      <w:pPr>
        <w:pStyle w:val="Subsection"/>
        <w:spacing w:before="200"/>
        <w:rPr>
          <w:snapToGrid w:val="0"/>
        </w:rPr>
      </w:pPr>
      <w:r>
        <w:rPr>
          <w:snapToGrid w:val="0"/>
        </w:rPr>
        <w:tab/>
        <w:t>(1)</w:t>
      </w:r>
      <w:r>
        <w:rPr>
          <w:snapToGrid w:val="0"/>
        </w:rPr>
        <w:tab/>
        <w:t>A single capital infrastructure charge is due in full on the date stated in the account given for that charge.</w:t>
      </w:r>
    </w:p>
    <w:p>
      <w:pPr>
        <w:pStyle w:val="Subsection"/>
        <w:spacing w:before="200"/>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pPr>
      <w:bookmarkStart w:id="90" w:name="_Toc237309521"/>
      <w:bookmarkStart w:id="91" w:name="_Toc487428948"/>
      <w:bookmarkStart w:id="92" w:name="_Toc17278656"/>
      <w:bookmarkStart w:id="93" w:name="_Toc180204754"/>
      <w:r>
        <w:rPr>
          <w:rStyle w:val="CharSectno"/>
        </w:rPr>
        <w:t>8</w:t>
      </w:r>
      <w:r>
        <w:t>.</w:t>
      </w:r>
      <w:r>
        <w:tab/>
        <w:t>Special arrangements</w:t>
      </w:r>
      <w:bookmarkEnd w:id="90"/>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Indenta"/>
      </w:pPr>
      <w:r>
        <w:tab/>
        <w:t>(b)</w:t>
      </w:r>
      <w:r>
        <w:tab/>
        <w:t>if additional charges are payable under the arrangement — the amount of each additional charge must not exceed the amount set out in Schedule 7 item 2; and</w:t>
      </w:r>
    </w:p>
    <w:p>
      <w:pPr>
        <w:pStyle w:val="Indenta"/>
      </w:pPr>
      <w:r>
        <w:tab/>
        <w:t>(c)</w:t>
      </w:r>
      <w:r>
        <w:tab/>
        <w:t>if interest is payable under the arrangement — the rate at which the interest is calculated must not exceed the amount set out in Schedule 7 item 5.</w:t>
      </w:r>
    </w:p>
    <w:p>
      <w:pPr>
        <w:pStyle w:val="Footnotesection"/>
      </w:pPr>
      <w:r>
        <w:tab/>
        <w:t>[By-law 8 inserted in Gazette 27 Jun 2008 p. 2984.]</w:t>
      </w:r>
    </w:p>
    <w:p>
      <w:pPr>
        <w:pStyle w:val="Heading5"/>
        <w:rPr>
          <w:snapToGrid w:val="0"/>
        </w:rPr>
      </w:pPr>
      <w:bookmarkStart w:id="94" w:name="_Toc237309522"/>
      <w:r>
        <w:rPr>
          <w:rStyle w:val="CharSectno"/>
        </w:rPr>
        <w:t>8A</w:t>
      </w:r>
      <w:r>
        <w:rPr>
          <w:snapToGrid w:val="0"/>
        </w:rPr>
        <w:t>.</w:t>
      </w:r>
      <w:r>
        <w:rPr>
          <w:snapToGrid w:val="0"/>
        </w:rPr>
        <w:tab/>
        <w:t>Concessional charges for retirement village residents</w:t>
      </w:r>
      <w:bookmarkEnd w:id="91"/>
      <w:bookmarkEnd w:id="92"/>
      <w:bookmarkEnd w:id="93"/>
      <w:bookmarkEnd w:id="94"/>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rStyle w:val="CharDefText"/>
          <w:spacing w:val="-4"/>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95" w:name="_Toc17278657"/>
      <w:bookmarkStart w:id="96" w:name="_Toc180204755"/>
      <w:bookmarkStart w:id="97" w:name="_Toc237309523"/>
      <w:bookmarkStart w:id="98" w:name="_Toc487428950"/>
      <w:r>
        <w:rPr>
          <w:rStyle w:val="CharSectno"/>
        </w:rPr>
        <w:t>8B</w:t>
      </w:r>
      <w:r>
        <w:t>.</w:t>
      </w:r>
      <w:r>
        <w:tab/>
        <w:t>Government trading organisation and non</w:t>
      </w:r>
      <w:r>
        <w:noBreakHyphen/>
        <w:t>commercial Government property</w:t>
      </w:r>
      <w:bookmarkEnd w:id="95"/>
      <w:bookmarkEnd w:id="96"/>
      <w:bookmarkEnd w:id="97"/>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99" w:name="_Toc17278658"/>
      <w:bookmarkStart w:id="100" w:name="_Toc180204756"/>
      <w:bookmarkStart w:id="101" w:name="_Toc237309524"/>
      <w:r>
        <w:rPr>
          <w:rStyle w:val="CharSectno"/>
        </w:rPr>
        <w:t>8BA</w:t>
      </w:r>
      <w:r>
        <w:rPr>
          <w:snapToGrid w:val="0"/>
        </w:rPr>
        <w:t>.</w:t>
      </w:r>
      <w:r>
        <w:rPr>
          <w:snapToGrid w:val="0"/>
        </w:rPr>
        <w:tab/>
        <w:t>Annual charges to Government trading organisations that supply water to lessees or ships</w:t>
      </w:r>
      <w:bookmarkEnd w:id="98"/>
      <w:bookmarkEnd w:id="99"/>
      <w:bookmarkEnd w:id="100"/>
      <w:bookmarkEnd w:id="101"/>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rPr>
          <w:snapToGrid w:val="0"/>
        </w:rPr>
      </w:pPr>
      <w:bookmarkStart w:id="102" w:name="_Toc487428951"/>
      <w:bookmarkStart w:id="103" w:name="_Toc17278659"/>
      <w:bookmarkStart w:id="104" w:name="_Toc180204757"/>
      <w:bookmarkStart w:id="105" w:name="_Toc237309525"/>
      <w:r>
        <w:rPr>
          <w:rStyle w:val="CharSectno"/>
        </w:rPr>
        <w:t>9</w:t>
      </w:r>
      <w:r>
        <w:rPr>
          <w:snapToGrid w:val="0"/>
        </w:rPr>
        <w:t>.</w:t>
      </w:r>
      <w:r>
        <w:rPr>
          <w:snapToGrid w:val="0"/>
        </w:rPr>
        <w:tab/>
        <w:t>Interest on overdue amounts</w:t>
      </w:r>
      <w:bookmarkEnd w:id="102"/>
      <w:bookmarkEnd w:id="103"/>
      <w:bookmarkEnd w:id="104"/>
      <w:bookmarkEnd w:id="105"/>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106" w:name="_Toc487428952"/>
      <w:bookmarkStart w:id="107" w:name="_Toc17278660"/>
      <w:bookmarkStart w:id="108" w:name="_Toc180204758"/>
      <w:bookmarkStart w:id="109" w:name="_Toc237309526"/>
      <w:r>
        <w:rPr>
          <w:rStyle w:val="CharSectno"/>
        </w:rPr>
        <w:t>9A</w:t>
      </w:r>
      <w:r>
        <w:rPr>
          <w:snapToGrid w:val="0"/>
        </w:rPr>
        <w:t>.</w:t>
      </w:r>
      <w:r>
        <w:rPr>
          <w:snapToGrid w:val="0"/>
        </w:rPr>
        <w:tab/>
        <w:t>Amounts rounded</w:t>
      </w:r>
      <w:bookmarkEnd w:id="106"/>
      <w:bookmarkEnd w:id="107"/>
      <w:bookmarkEnd w:id="108"/>
      <w:bookmarkEnd w:id="109"/>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110" w:name="_Toc180204759"/>
      <w:bookmarkStart w:id="111" w:name="_Toc237309527"/>
      <w:bookmarkStart w:id="112" w:name="_Toc91580413"/>
      <w:bookmarkStart w:id="113" w:name="_Toc103667098"/>
      <w:bookmarkStart w:id="114" w:name="_Toc103741617"/>
      <w:bookmarkStart w:id="115" w:name="_Toc107981860"/>
      <w:bookmarkStart w:id="116" w:name="_Toc118800027"/>
      <w:bookmarkStart w:id="117" w:name="_Toc118860035"/>
      <w:bookmarkStart w:id="118" w:name="_Toc121545535"/>
      <w:bookmarkStart w:id="119" w:name="_Toc121801058"/>
      <w:bookmarkStart w:id="120" w:name="_Toc121818171"/>
      <w:bookmarkStart w:id="121" w:name="_Toc121880781"/>
      <w:bookmarkStart w:id="122" w:name="_Toc129481852"/>
      <w:bookmarkStart w:id="123" w:name="_Toc130095221"/>
      <w:bookmarkStart w:id="124" w:name="_Toc130273285"/>
      <w:r>
        <w:rPr>
          <w:rStyle w:val="CharSectno"/>
        </w:rPr>
        <w:t>9B</w:t>
      </w:r>
      <w:r>
        <w:t>.</w:t>
      </w:r>
      <w:r>
        <w:tab/>
        <w:t>Calculations, including maxima, for various GRV based charges</w:t>
      </w:r>
      <w:bookmarkEnd w:id="110"/>
      <w:bookmarkEnd w:id="111"/>
    </w:p>
    <w:p>
      <w:pPr>
        <w:pStyle w:val="Subsection"/>
      </w:pPr>
      <w:r>
        <w:tab/>
        <w:t>(1)</w:t>
      </w:r>
      <w:r>
        <w:tab/>
        <w:t>Where a charge that is determined by reference to the GRV of the relevant land under Schedule 3 items 8 or 10, or Schedule 4 items 3, 4 or 5, for the current year, is more than 14.2% greater than the charge calculated for the same service (and under the same circumstances) in the previous year, the charge is only payable up to that 14.2% increase.</w:t>
      </w:r>
    </w:p>
    <w:p>
      <w:pPr>
        <w:pStyle w:val="Subsection"/>
      </w:pPr>
      <w:r>
        <w:tab/>
        <w:t>(2)</w:t>
      </w:r>
      <w:r>
        <w:tab/>
        <w:t>Where, for a portion of the current year, in respect of property subject to a charge that is determined by reference to the GRV of the relevant land under Schedule 3 items 8 or 10, or Schedule 4 items 3, 4 or 5, there is a change in the circumstances that affect the method of calculating the charge for that property, the Corporation may, for the purposes of sub</w:t>
      </w:r>
      <w:r>
        <w:noBreakHyphen/>
        <w:t>bylaw (3), estimate a notional charge for the previous year in respect of that property, being the charge that would have been payable for that year if the matters and circumstances currently prevailing had prevailed for the whole of that year.</w:t>
      </w:r>
    </w:p>
    <w:p>
      <w:pPr>
        <w:pStyle w:val="Subsection"/>
      </w:pPr>
      <w:r>
        <w:tab/>
        <w:t>(3)</w:t>
      </w:r>
      <w:r>
        <w:tab/>
        <w:t>A charge payable for the portion of the current year referred to in sub</w:t>
      </w:r>
      <w:r>
        <w:noBreakHyphen/>
        <w:t>bylaw (2) is payable in the same ratio as the portion bears to the full year.</w:t>
      </w:r>
    </w:p>
    <w:p>
      <w:pPr>
        <w:pStyle w:val="Footnotesection"/>
      </w:pPr>
      <w:r>
        <w:tab/>
        <w:t>[By-law 9B inserted in Gazette 30 Jun 2006 p. 2415</w:t>
      </w:r>
      <w:r>
        <w:noBreakHyphen/>
        <w:t>6; amended in Gazette 29 Jun 2007 p. 3246; 27 Jun 2008 p. 2985; 19 Jun 2009 p. 2322.]</w:t>
      </w:r>
    </w:p>
    <w:p>
      <w:pPr>
        <w:pStyle w:val="Heading2"/>
      </w:pPr>
      <w:bookmarkStart w:id="125" w:name="_Toc139770958"/>
      <w:bookmarkStart w:id="126" w:name="_Toc139771336"/>
      <w:bookmarkStart w:id="127" w:name="_Toc151191551"/>
      <w:bookmarkStart w:id="128" w:name="_Toc151260444"/>
      <w:bookmarkStart w:id="129" w:name="_Toc164158549"/>
      <w:bookmarkStart w:id="130" w:name="_Toc164220921"/>
      <w:bookmarkStart w:id="131" w:name="_Toc170878880"/>
      <w:bookmarkStart w:id="132" w:name="_Toc170894633"/>
      <w:bookmarkStart w:id="133" w:name="_Toc175712599"/>
      <w:bookmarkStart w:id="134" w:name="_Toc175970540"/>
      <w:bookmarkStart w:id="135" w:name="_Toc176335259"/>
      <w:bookmarkStart w:id="136" w:name="_Toc176338834"/>
      <w:bookmarkStart w:id="137" w:name="_Toc178742859"/>
      <w:bookmarkStart w:id="138" w:name="_Toc179363282"/>
      <w:bookmarkStart w:id="139" w:name="_Toc179604351"/>
      <w:bookmarkStart w:id="140" w:name="_Toc180204544"/>
      <w:bookmarkStart w:id="141" w:name="_Toc180204760"/>
      <w:bookmarkStart w:id="142" w:name="_Toc185844505"/>
      <w:bookmarkStart w:id="143" w:name="_Toc185845125"/>
      <w:bookmarkStart w:id="144" w:name="_Toc185927090"/>
      <w:bookmarkStart w:id="145" w:name="_Toc202505838"/>
      <w:bookmarkStart w:id="146" w:name="_Toc202672623"/>
      <w:bookmarkStart w:id="147" w:name="_Toc202691714"/>
      <w:bookmarkStart w:id="148" w:name="_Toc233448336"/>
      <w:bookmarkStart w:id="149" w:name="_Toc233611650"/>
      <w:bookmarkStart w:id="150" w:name="_Toc234730657"/>
      <w:bookmarkStart w:id="151" w:name="_Toc234733183"/>
      <w:bookmarkStart w:id="152" w:name="_Toc235863920"/>
      <w:bookmarkStart w:id="153" w:name="_Toc235933395"/>
      <w:bookmarkStart w:id="154" w:name="_Toc237164383"/>
      <w:bookmarkStart w:id="155" w:name="_Toc237244266"/>
      <w:bookmarkStart w:id="156" w:name="_Toc237245567"/>
      <w:bookmarkStart w:id="157" w:name="_Toc237245698"/>
      <w:bookmarkStart w:id="158" w:name="_Toc237247806"/>
      <w:bookmarkStart w:id="159" w:name="_Toc237254109"/>
      <w:bookmarkStart w:id="160" w:name="_Toc237309528"/>
      <w:r>
        <w:rPr>
          <w:rStyle w:val="CharPartNo"/>
        </w:rPr>
        <w:t>Part 2</w:t>
      </w:r>
      <w:r>
        <w:t> — </w:t>
      </w:r>
      <w:r>
        <w:rPr>
          <w:rStyle w:val="CharPartText"/>
        </w:rPr>
        <w:t>Water supply</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3"/>
        <w:rPr>
          <w:snapToGrid w:val="0"/>
          <w:spacing w:val="-4"/>
        </w:rPr>
      </w:pPr>
      <w:bookmarkStart w:id="161" w:name="_Toc91580414"/>
      <w:bookmarkStart w:id="162" w:name="_Toc103667099"/>
      <w:bookmarkStart w:id="163" w:name="_Toc103741618"/>
      <w:bookmarkStart w:id="164" w:name="_Toc107981861"/>
      <w:bookmarkStart w:id="165" w:name="_Toc118800028"/>
      <w:bookmarkStart w:id="166" w:name="_Toc118860036"/>
      <w:bookmarkStart w:id="167" w:name="_Toc121545536"/>
      <w:bookmarkStart w:id="168" w:name="_Toc121801059"/>
      <w:bookmarkStart w:id="169" w:name="_Toc121818172"/>
      <w:bookmarkStart w:id="170" w:name="_Toc121880782"/>
      <w:bookmarkStart w:id="171" w:name="_Toc129481853"/>
      <w:bookmarkStart w:id="172" w:name="_Toc130095222"/>
      <w:bookmarkStart w:id="173" w:name="_Toc130273286"/>
      <w:bookmarkStart w:id="174" w:name="_Toc139770959"/>
      <w:bookmarkStart w:id="175" w:name="_Toc139771337"/>
      <w:bookmarkStart w:id="176" w:name="_Toc151191552"/>
      <w:bookmarkStart w:id="177" w:name="_Toc151260445"/>
      <w:bookmarkStart w:id="178" w:name="_Toc164158550"/>
      <w:bookmarkStart w:id="179" w:name="_Toc164220922"/>
      <w:bookmarkStart w:id="180" w:name="_Toc170878881"/>
      <w:bookmarkStart w:id="181" w:name="_Toc170894634"/>
      <w:bookmarkStart w:id="182" w:name="_Toc175712600"/>
      <w:bookmarkStart w:id="183" w:name="_Toc175970541"/>
      <w:bookmarkStart w:id="184" w:name="_Toc176335260"/>
      <w:bookmarkStart w:id="185" w:name="_Toc176338835"/>
      <w:bookmarkStart w:id="186" w:name="_Toc178742860"/>
      <w:bookmarkStart w:id="187" w:name="_Toc179363283"/>
      <w:bookmarkStart w:id="188" w:name="_Toc179604352"/>
      <w:bookmarkStart w:id="189" w:name="_Toc180204545"/>
      <w:bookmarkStart w:id="190" w:name="_Toc180204761"/>
      <w:bookmarkStart w:id="191" w:name="_Toc185844506"/>
      <w:bookmarkStart w:id="192" w:name="_Toc185845126"/>
      <w:bookmarkStart w:id="193" w:name="_Toc185927091"/>
      <w:bookmarkStart w:id="194" w:name="_Toc202505839"/>
      <w:bookmarkStart w:id="195" w:name="_Toc202672624"/>
      <w:bookmarkStart w:id="196" w:name="_Toc202691715"/>
      <w:bookmarkStart w:id="197" w:name="_Toc233448337"/>
      <w:bookmarkStart w:id="198" w:name="_Toc233611651"/>
      <w:bookmarkStart w:id="199" w:name="_Toc234730658"/>
      <w:bookmarkStart w:id="200" w:name="_Toc234733184"/>
      <w:bookmarkStart w:id="201" w:name="_Toc235863921"/>
      <w:bookmarkStart w:id="202" w:name="_Toc235933396"/>
      <w:bookmarkStart w:id="203" w:name="_Toc237164384"/>
      <w:bookmarkStart w:id="204" w:name="_Toc237244267"/>
      <w:bookmarkStart w:id="205" w:name="_Toc237245568"/>
      <w:bookmarkStart w:id="206" w:name="_Toc237245699"/>
      <w:bookmarkStart w:id="207" w:name="_Toc237247807"/>
      <w:bookmarkStart w:id="208" w:name="_Toc237254110"/>
      <w:bookmarkStart w:id="209" w:name="_Toc237309529"/>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487428954"/>
      <w:bookmarkStart w:id="211" w:name="_Toc17278662"/>
      <w:bookmarkStart w:id="212" w:name="_Toc180204762"/>
      <w:bookmarkStart w:id="213" w:name="_Toc237309530"/>
      <w:r>
        <w:rPr>
          <w:rStyle w:val="CharSectno"/>
        </w:rPr>
        <w:t>10</w:t>
      </w:r>
      <w:r>
        <w:rPr>
          <w:snapToGrid w:val="0"/>
        </w:rPr>
        <w:t>.</w:t>
      </w:r>
      <w:r>
        <w:rPr>
          <w:snapToGrid w:val="0"/>
        </w:rPr>
        <w:tab/>
        <w:t>Certain matters to be disregarded</w:t>
      </w:r>
      <w:bookmarkEnd w:id="210"/>
      <w:bookmarkEnd w:id="211"/>
      <w:bookmarkEnd w:id="212"/>
      <w:bookmarkEnd w:id="213"/>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214" w:name="_Toc487428955"/>
      <w:bookmarkStart w:id="215" w:name="_Toc17278663"/>
      <w:bookmarkStart w:id="216" w:name="_Toc180204763"/>
      <w:bookmarkStart w:id="217" w:name="_Toc237309531"/>
      <w:r>
        <w:rPr>
          <w:rStyle w:val="CharSectno"/>
        </w:rPr>
        <w:t>11</w:t>
      </w:r>
      <w:r>
        <w:rPr>
          <w:snapToGrid w:val="0"/>
        </w:rPr>
        <w:t>.</w:t>
      </w:r>
      <w:r>
        <w:rPr>
          <w:snapToGrid w:val="0"/>
        </w:rPr>
        <w:tab/>
        <w:t>Land subject to water supply charges under this Division</w:t>
      </w:r>
      <w:bookmarkEnd w:id="214"/>
      <w:bookmarkEnd w:id="215"/>
      <w:bookmarkEnd w:id="216"/>
      <w:bookmarkEnd w:id="217"/>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218" w:name="_Toc487428956"/>
      <w:bookmarkStart w:id="219" w:name="_Toc17278664"/>
      <w:bookmarkStart w:id="220" w:name="_Toc180204764"/>
      <w:bookmarkStart w:id="221" w:name="_Toc237309532"/>
      <w:r>
        <w:rPr>
          <w:rStyle w:val="CharSectno"/>
        </w:rPr>
        <w:t>12</w:t>
      </w:r>
      <w:r>
        <w:rPr>
          <w:snapToGrid w:val="0"/>
        </w:rPr>
        <w:t>.</w:t>
      </w:r>
      <w:r>
        <w:rPr>
          <w:snapToGrid w:val="0"/>
        </w:rPr>
        <w:tab/>
        <w:t>Exempt land</w:t>
      </w:r>
      <w:bookmarkEnd w:id="218"/>
      <w:bookmarkEnd w:id="219"/>
      <w:bookmarkEnd w:id="220"/>
      <w:bookmarkEnd w:id="221"/>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w:t>
      </w:r>
    </w:p>
    <w:p>
      <w:pPr>
        <w:pStyle w:val="Heading5"/>
      </w:pPr>
      <w:bookmarkStart w:id="222" w:name="_Toc180204765"/>
      <w:bookmarkStart w:id="223" w:name="_Toc237309533"/>
      <w:r>
        <w:rPr>
          <w:rStyle w:val="CharSectno"/>
        </w:rPr>
        <w:t>13</w:t>
      </w:r>
      <w:r>
        <w:t>.</w:t>
      </w:r>
      <w:r>
        <w:tab/>
        <w:t>Classification of land</w:t>
      </w:r>
      <w:bookmarkEnd w:id="222"/>
      <w:bookmarkEnd w:id="223"/>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r>
        <w:rPr>
          <w:b/>
          <w:bCs/>
          <w:i/>
          <w:iCs/>
        </w:rPr>
        <w:t>farm land</w:t>
      </w:r>
      <w:r>
        <w:t xml:space="preserve"> in the </w:t>
      </w:r>
      <w:r>
        <w:rPr>
          <w:i/>
          <w:iCs/>
        </w:rPr>
        <w:t>Country Areas Water Supply Act 1947</w:t>
      </w:r>
      <w:r>
        <w:t xml:space="preserve"> section 5(1) and is within 2.5 kilometres of a main or other pipe from which the Corporation is prepared to supply water to the land;</w:t>
      </w:r>
    </w:p>
    <w:p>
      <w:pPr>
        <w:pStyle w:val="Indenta"/>
      </w:pPr>
      <w:r>
        <w:tab/>
        <w:t>(g)</w:t>
      </w:r>
      <w:r>
        <w:tab/>
        <w:t>metropolitan farmland, if the land is in the metropolitan area and was immediately before 1 July 1989 classified as farmland;</w:t>
      </w:r>
    </w:p>
    <w:p>
      <w:pPr>
        <w:pStyle w:val="Indenta"/>
      </w:pPr>
      <w:r>
        <w:tab/>
        <w:t>(h)</w:t>
      </w:r>
      <w: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36; and</w:t>
      </w:r>
    </w:p>
    <w:p>
      <w:pPr>
        <w:pStyle w:val="Indenta"/>
      </w:pPr>
      <w:r>
        <w:tab/>
        <w:t>(b)</w:t>
      </w:r>
      <w:r>
        <w:tab/>
        <w:t>the Corporation provides or is to provide works to ensure the supply of water to the land.</w:t>
      </w:r>
    </w:p>
    <w:p>
      <w:pPr>
        <w:pStyle w:val="Footnotesection"/>
      </w:pPr>
      <w:r>
        <w:tab/>
        <w:t>[By</w:t>
      </w:r>
      <w:r>
        <w:noBreakHyphen/>
        <w:t>law 13 inserted in Gazette 29 Jun 2007 p. 3247</w:t>
      </w:r>
      <w:r>
        <w:noBreakHyphen/>
        <w:t xml:space="preserve">8; amended in Gazette 19 Jun 2009 p. 2322.] </w:t>
      </w:r>
    </w:p>
    <w:p>
      <w:pPr>
        <w:pStyle w:val="Ednotesection"/>
      </w:pPr>
      <w:r>
        <w:t>[</w:t>
      </w:r>
      <w:r>
        <w:rPr>
          <w:b/>
        </w:rPr>
        <w:t>13A.</w:t>
      </w:r>
      <w:r>
        <w:tab/>
        <w:t>Deleted in Gazette 29 Jun 1988 p. 2113.]</w:t>
      </w:r>
    </w:p>
    <w:p>
      <w:pPr>
        <w:pStyle w:val="Heading5"/>
        <w:rPr>
          <w:snapToGrid w:val="0"/>
        </w:rPr>
      </w:pPr>
      <w:bookmarkStart w:id="224" w:name="_Toc487428958"/>
      <w:bookmarkStart w:id="225" w:name="_Toc17278666"/>
      <w:bookmarkStart w:id="226" w:name="_Toc180204766"/>
      <w:bookmarkStart w:id="227" w:name="_Toc237309534"/>
      <w:r>
        <w:rPr>
          <w:rStyle w:val="CharSectno"/>
        </w:rPr>
        <w:t>14</w:t>
      </w:r>
      <w:r>
        <w:rPr>
          <w:snapToGrid w:val="0"/>
        </w:rPr>
        <w:t>.</w:t>
      </w:r>
      <w:r>
        <w:rPr>
          <w:snapToGrid w:val="0"/>
        </w:rPr>
        <w:tab/>
        <w:t>Indexation of certain valuations</w:t>
      </w:r>
      <w:bookmarkEnd w:id="224"/>
      <w:bookmarkEnd w:id="225"/>
      <w:bookmarkEnd w:id="226"/>
      <w:bookmarkEnd w:id="227"/>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Deleted in Gazette 1 Jul 2002 p. 3156.]</w:t>
      </w:r>
    </w:p>
    <w:p>
      <w:pPr>
        <w:pStyle w:val="Heading5"/>
        <w:rPr>
          <w:snapToGrid w:val="0"/>
        </w:rPr>
      </w:pPr>
      <w:bookmarkStart w:id="228" w:name="_Toc487428960"/>
      <w:bookmarkStart w:id="229" w:name="_Toc17278667"/>
      <w:bookmarkStart w:id="230" w:name="_Toc180204767"/>
      <w:bookmarkStart w:id="231" w:name="_Toc237309535"/>
      <w:r>
        <w:rPr>
          <w:rStyle w:val="CharSectno"/>
        </w:rPr>
        <w:t>16</w:t>
      </w:r>
      <w:r>
        <w:rPr>
          <w:snapToGrid w:val="0"/>
        </w:rPr>
        <w:t>.</w:t>
      </w:r>
      <w:r>
        <w:rPr>
          <w:snapToGrid w:val="0"/>
        </w:rPr>
        <w:tab/>
        <w:t>Discrete residential units</w:t>
      </w:r>
      <w:bookmarkEnd w:id="228"/>
      <w:bookmarkEnd w:id="229"/>
      <w:bookmarkEnd w:id="230"/>
      <w:bookmarkEnd w:id="231"/>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pPr>
      <w:r>
        <w:tab/>
        <w:t>[By</w:t>
      </w:r>
      <w:r>
        <w:noBreakHyphen/>
        <w:t>law 16 amended in Gazette 29 Dec 1995 p. 6331; 29 Jun 2007 p. 3248; 27 Jun 2008 p. 2985.]</w:t>
      </w:r>
    </w:p>
    <w:p>
      <w:pPr>
        <w:pStyle w:val="Heading5"/>
        <w:spacing w:before="240"/>
        <w:rPr>
          <w:snapToGrid w:val="0"/>
        </w:rPr>
      </w:pPr>
      <w:bookmarkStart w:id="232" w:name="_Toc487428961"/>
      <w:bookmarkStart w:id="233" w:name="_Toc17278668"/>
      <w:bookmarkStart w:id="234" w:name="_Toc180204768"/>
      <w:bookmarkStart w:id="235" w:name="_Toc237309536"/>
      <w:r>
        <w:rPr>
          <w:rStyle w:val="CharSectno"/>
        </w:rPr>
        <w:t>17</w:t>
      </w:r>
      <w:r>
        <w:rPr>
          <w:snapToGrid w:val="0"/>
        </w:rPr>
        <w:t>.</w:t>
      </w:r>
      <w:r>
        <w:rPr>
          <w:snapToGrid w:val="0"/>
        </w:rPr>
        <w:tab/>
        <w:t>Quantity charges for the supply of water</w:t>
      </w:r>
      <w:bookmarkEnd w:id="232"/>
      <w:bookmarkEnd w:id="233"/>
      <w:bookmarkEnd w:id="234"/>
      <w:bookmarkEnd w:id="235"/>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236" w:name="_Toc487428962"/>
      <w:bookmarkStart w:id="237" w:name="_Toc17278669"/>
      <w:bookmarkStart w:id="238" w:name="_Toc180204769"/>
      <w:bookmarkStart w:id="239" w:name="_Toc237309537"/>
      <w:r>
        <w:rPr>
          <w:rStyle w:val="CharSectno"/>
        </w:rPr>
        <w:t>17A</w:t>
      </w:r>
      <w:r>
        <w:rPr>
          <w:snapToGrid w:val="0"/>
        </w:rPr>
        <w:t>.</w:t>
      </w:r>
      <w:r>
        <w:rPr>
          <w:snapToGrid w:val="0"/>
        </w:rPr>
        <w:tab/>
        <w:t>Caravan parks</w:t>
      </w:r>
      <w:bookmarkEnd w:id="236"/>
      <w:bookmarkEnd w:id="237"/>
      <w:bookmarkEnd w:id="238"/>
      <w:bookmarkEnd w:id="239"/>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24(c);</w:t>
      </w:r>
    </w:p>
    <w:p>
      <w:pPr>
        <w:pStyle w:val="Indenta"/>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w:t>
      </w:r>
    </w:p>
    <w:p>
      <w:pPr>
        <w:pStyle w:val="Heading5"/>
        <w:rPr>
          <w:snapToGrid w:val="0"/>
        </w:rPr>
      </w:pPr>
      <w:bookmarkStart w:id="240" w:name="_Toc17278670"/>
      <w:bookmarkStart w:id="241" w:name="_Toc180204770"/>
      <w:bookmarkStart w:id="242" w:name="_Toc237309538"/>
      <w:bookmarkStart w:id="243" w:name="_Toc48742896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240"/>
      <w:bookmarkEnd w:id="241"/>
      <w:bookmarkEnd w:id="242"/>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 amended in Gazette 29 Jun 2007 p. 3250.]</w:t>
      </w:r>
    </w:p>
    <w:p>
      <w:pPr>
        <w:pStyle w:val="Heading5"/>
      </w:pPr>
      <w:bookmarkStart w:id="244" w:name="_Toc17278671"/>
      <w:bookmarkStart w:id="245" w:name="_Toc180204771"/>
      <w:bookmarkStart w:id="246" w:name="_Toc237309539"/>
      <w:r>
        <w:rPr>
          <w:rStyle w:val="CharSectno"/>
        </w:rPr>
        <w:t>17C</w:t>
      </w:r>
      <w:r>
        <w:t>.</w:t>
      </w:r>
      <w:r>
        <w:tab/>
        <w:t>Non</w:t>
      </w:r>
      <w:r>
        <w:noBreakHyphen/>
        <w:t>metropolitan, non</w:t>
      </w:r>
      <w:r>
        <w:noBreakHyphen/>
        <w:t>strata titled, Commercial or Industrial property water supply charges</w:t>
      </w:r>
      <w:bookmarkEnd w:id="243"/>
      <w:bookmarkEnd w:id="244"/>
      <w:bookmarkEnd w:id="245"/>
      <w:bookmarkEnd w:id="246"/>
    </w:p>
    <w:p>
      <w:pPr>
        <w:pStyle w:val="Subsection"/>
      </w:pPr>
      <w:r>
        <w:tab/>
        <w:t>(1)</w:t>
      </w:r>
      <w:r>
        <w:tab/>
        <w:t>Where a property referred to in Schedule 1 item 10(c)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Where a property referred to in Schedule 1 item 10(c)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10(c) is more than 14.2% greater than the charge calculated for the same service (and under the same circumstances) in the previous year, the charge is only payable up to that 14.2%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w:t>
      </w:r>
    </w:p>
    <w:p>
      <w:pPr>
        <w:pStyle w:val="Heading5"/>
        <w:rPr>
          <w:snapToGrid w:val="0"/>
        </w:rPr>
      </w:pPr>
      <w:bookmarkStart w:id="247" w:name="_Toc487428965"/>
      <w:bookmarkStart w:id="248" w:name="_Toc17278672"/>
      <w:bookmarkStart w:id="249" w:name="_Toc180204772"/>
      <w:bookmarkStart w:id="250" w:name="_Toc237309540"/>
      <w:r>
        <w:rPr>
          <w:rStyle w:val="CharSectno"/>
        </w:rPr>
        <w:t>17D</w:t>
      </w:r>
      <w:r>
        <w:rPr>
          <w:snapToGrid w:val="0"/>
        </w:rPr>
        <w:t>.</w:t>
      </w:r>
      <w:r>
        <w:rPr>
          <w:snapToGrid w:val="0"/>
        </w:rPr>
        <w:tab/>
        <w:t>Various non</w:t>
      </w:r>
      <w:r>
        <w:rPr>
          <w:snapToGrid w:val="0"/>
        </w:rPr>
        <w:noBreakHyphen/>
        <w:t>metropolitan water supply charges and classifications</w:t>
      </w:r>
      <w:bookmarkEnd w:id="247"/>
      <w:bookmarkEnd w:id="248"/>
      <w:bookmarkEnd w:id="249"/>
      <w:bookmarkEnd w:id="250"/>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251" w:name="_Toc487428966"/>
      <w:bookmarkStart w:id="252" w:name="_Toc17278673"/>
      <w:bookmarkStart w:id="253" w:name="_Toc180204773"/>
      <w:bookmarkStart w:id="254" w:name="_Toc237309541"/>
      <w:r>
        <w:rPr>
          <w:rStyle w:val="CharSectno"/>
        </w:rPr>
        <w:t>18</w:t>
      </w:r>
      <w:r>
        <w:rPr>
          <w:snapToGrid w:val="0"/>
        </w:rPr>
        <w:t>.</w:t>
      </w:r>
      <w:r>
        <w:rPr>
          <w:snapToGrid w:val="0"/>
        </w:rPr>
        <w:tab/>
        <w:t>Concessional non</w:t>
      </w:r>
      <w:r>
        <w:rPr>
          <w:snapToGrid w:val="0"/>
        </w:rPr>
        <w:noBreakHyphen/>
        <w:t>metropolitan quantity charge</w:t>
      </w:r>
      <w:bookmarkEnd w:id="251"/>
      <w:bookmarkEnd w:id="252"/>
      <w:bookmarkEnd w:id="253"/>
      <w:bookmarkEnd w:id="254"/>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spacing w:before="120"/>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discount under this by</w:t>
      </w:r>
      <w:r>
        <w:rPr>
          <w:snapToGrid w:val="0"/>
        </w:rPr>
        <w:noBreakHyphen/>
        <w:t>law in respect of the charge if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2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120"/>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w:t>
      </w:r>
    </w:p>
    <w:p>
      <w:pPr>
        <w:pStyle w:val="Heading5"/>
        <w:rPr>
          <w:snapToGrid w:val="0"/>
        </w:rPr>
      </w:pPr>
      <w:bookmarkStart w:id="255" w:name="_Toc487428967"/>
      <w:bookmarkStart w:id="256" w:name="_Toc17278674"/>
      <w:bookmarkStart w:id="257" w:name="_Toc180204774"/>
      <w:bookmarkStart w:id="258" w:name="_Toc237309542"/>
      <w:r>
        <w:rPr>
          <w:rStyle w:val="CharSectno"/>
        </w:rPr>
        <w:t>18A</w:t>
      </w:r>
      <w:r>
        <w:rPr>
          <w:snapToGrid w:val="0"/>
        </w:rPr>
        <w:t>.</w:t>
      </w:r>
      <w:r>
        <w:rPr>
          <w:snapToGrid w:val="0"/>
        </w:rPr>
        <w:tab/>
        <w:t>Concessional metropolitan quantity charge</w:t>
      </w:r>
      <w:bookmarkEnd w:id="255"/>
      <w:bookmarkEnd w:id="256"/>
      <w:bookmarkEnd w:id="257"/>
      <w:bookmarkEnd w:id="258"/>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law in respect of that charge if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w:t>
      </w:r>
    </w:p>
    <w:p>
      <w:pPr>
        <w:pStyle w:val="Heading5"/>
        <w:rPr>
          <w:snapToGrid w:val="0"/>
        </w:rPr>
      </w:pPr>
      <w:bookmarkStart w:id="259" w:name="_Toc487428968"/>
      <w:bookmarkStart w:id="260" w:name="_Toc17278675"/>
      <w:bookmarkStart w:id="261" w:name="_Toc180204775"/>
      <w:bookmarkStart w:id="262" w:name="_Toc237309543"/>
      <w:r>
        <w:rPr>
          <w:rStyle w:val="CharSectno"/>
        </w:rPr>
        <w:t>18B</w:t>
      </w:r>
      <w:r>
        <w:rPr>
          <w:snapToGrid w:val="0"/>
        </w:rPr>
        <w:t>.</w:t>
      </w:r>
      <w:r>
        <w:rPr>
          <w:snapToGrid w:val="0"/>
        </w:rPr>
        <w:tab/>
        <w:t>Residential multi</w:t>
      </w:r>
      <w:r>
        <w:rPr>
          <w:snapToGrid w:val="0"/>
        </w:rPr>
        <w:noBreakHyphen/>
        <w:t>unit properties — rebates for eligible pensioners</w:t>
      </w:r>
      <w:bookmarkEnd w:id="259"/>
      <w:bookmarkEnd w:id="260"/>
      <w:bookmarkEnd w:id="261"/>
      <w:bookmarkEnd w:id="262"/>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w:t>
      </w:r>
    </w:p>
    <w:p>
      <w:pPr>
        <w:pStyle w:val="Ednotesection"/>
      </w:pPr>
      <w:r>
        <w:t>[</w:t>
      </w:r>
      <w:r>
        <w:rPr>
          <w:b/>
        </w:rPr>
        <w:t>19.</w:t>
      </w:r>
      <w:r>
        <w:rPr>
          <w:b/>
        </w:rPr>
        <w:tab/>
      </w:r>
      <w:r>
        <w:t>Deleted in Gazette 26 Jun 1998 p. 3400.]</w:t>
      </w:r>
    </w:p>
    <w:p>
      <w:pPr>
        <w:pStyle w:val="Heading5"/>
        <w:rPr>
          <w:snapToGrid w:val="0"/>
        </w:rPr>
      </w:pPr>
      <w:bookmarkStart w:id="263" w:name="_Toc487428969"/>
      <w:bookmarkStart w:id="264" w:name="_Toc17278676"/>
      <w:bookmarkStart w:id="265" w:name="_Toc180204776"/>
      <w:bookmarkStart w:id="266" w:name="_Toc237309544"/>
      <w:r>
        <w:rPr>
          <w:rStyle w:val="CharSectno"/>
        </w:rPr>
        <w:t>19A</w:t>
      </w:r>
      <w:r>
        <w:rPr>
          <w:snapToGrid w:val="0"/>
        </w:rPr>
        <w:t>.</w:t>
      </w:r>
      <w:r>
        <w:rPr>
          <w:snapToGrid w:val="0"/>
        </w:rPr>
        <w:tab/>
        <w:t>Capital infrastructure charges</w:t>
      </w:r>
      <w:bookmarkEnd w:id="263"/>
      <w:bookmarkEnd w:id="264"/>
      <w:bookmarkEnd w:id="265"/>
      <w:bookmarkEnd w:id="266"/>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267" w:name="_Toc91580430"/>
      <w:bookmarkStart w:id="268" w:name="_Toc103667115"/>
      <w:bookmarkStart w:id="269" w:name="_Toc103741634"/>
      <w:bookmarkStart w:id="270" w:name="_Toc107981877"/>
      <w:bookmarkStart w:id="271" w:name="_Toc118800044"/>
      <w:bookmarkStart w:id="272" w:name="_Toc118860052"/>
      <w:bookmarkStart w:id="273" w:name="_Toc121545552"/>
      <w:bookmarkStart w:id="274" w:name="_Toc121801075"/>
      <w:bookmarkStart w:id="275" w:name="_Toc121818188"/>
      <w:bookmarkStart w:id="276" w:name="_Toc121880798"/>
      <w:bookmarkStart w:id="277" w:name="_Toc129481869"/>
      <w:bookmarkStart w:id="278" w:name="_Toc130095238"/>
      <w:bookmarkStart w:id="279" w:name="_Toc130273302"/>
      <w:bookmarkStart w:id="280" w:name="_Toc139770975"/>
      <w:bookmarkStart w:id="281" w:name="_Toc139771353"/>
      <w:bookmarkStart w:id="282" w:name="_Toc151191568"/>
      <w:bookmarkStart w:id="283" w:name="_Toc151260461"/>
      <w:bookmarkStart w:id="284" w:name="_Toc164158566"/>
      <w:bookmarkStart w:id="285" w:name="_Toc164220938"/>
      <w:bookmarkStart w:id="286" w:name="_Toc170878898"/>
      <w:bookmarkStart w:id="287" w:name="_Toc170894650"/>
      <w:bookmarkStart w:id="288" w:name="_Toc175712616"/>
      <w:bookmarkStart w:id="289" w:name="_Toc175970557"/>
      <w:bookmarkStart w:id="290" w:name="_Toc176335276"/>
      <w:bookmarkStart w:id="291" w:name="_Toc176338851"/>
      <w:bookmarkStart w:id="292" w:name="_Toc178742876"/>
      <w:bookmarkStart w:id="293" w:name="_Toc179363299"/>
      <w:bookmarkStart w:id="294" w:name="_Toc179604368"/>
      <w:bookmarkStart w:id="295" w:name="_Toc180204561"/>
      <w:bookmarkStart w:id="296" w:name="_Toc180204777"/>
      <w:bookmarkStart w:id="297" w:name="_Toc185844522"/>
      <w:bookmarkStart w:id="298" w:name="_Toc185845142"/>
      <w:bookmarkStart w:id="299" w:name="_Toc185927107"/>
      <w:bookmarkStart w:id="300" w:name="_Toc202505855"/>
      <w:bookmarkStart w:id="301" w:name="_Toc202672640"/>
      <w:bookmarkStart w:id="302" w:name="_Toc202691731"/>
      <w:bookmarkStart w:id="303" w:name="_Toc233448353"/>
      <w:bookmarkStart w:id="304" w:name="_Toc233611667"/>
      <w:bookmarkStart w:id="305" w:name="_Toc234730674"/>
      <w:bookmarkStart w:id="306" w:name="_Toc234733200"/>
      <w:bookmarkStart w:id="307" w:name="_Toc235863937"/>
      <w:bookmarkStart w:id="308" w:name="_Toc235933412"/>
      <w:bookmarkStart w:id="309" w:name="_Toc237164400"/>
      <w:bookmarkStart w:id="310" w:name="_Toc237244283"/>
      <w:bookmarkStart w:id="311" w:name="_Toc237245584"/>
      <w:bookmarkStart w:id="312" w:name="_Toc237245715"/>
      <w:bookmarkStart w:id="313" w:name="_Toc237247823"/>
      <w:bookmarkStart w:id="314" w:name="_Toc237254126"/>
      <w:bookmarkStart w:id="315" w:name="_Toc237309545"/>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Toc487428970"/>
      <w:bookmarkStart w:id="317" w:name="_Toc17278677"/>
      <w:bookmarkStart w:id="318" w:name="_Toc180204778"/>
      <w:bookmarkStart w:id="319" w:name="_Toc237309546"/>
      <w:r>
        <w:rPr>
          <w:rStyle w:val="CharSectno"/>
        </w:rPr>
        <w:t>20</w:t>
      </w:r>
      <w:r>
        <w:rPr>
          <w:snapToGrid w:val="0"/>
        </w:rPr>
        <w:t>.</w:t>
      </w:r>
      <w:r>
        <w:rPr>
          <w:snapToGrid w:val="0"/>
        </w:rPr>
        <w:tab/>
        <w:t>Land subject to water supply charges under this Division</w:t>
      </w:r>
      <w:bookmarkEnd w:id="316"/>
      <w:bookmarkEnd w:id="317"/>
      <w:bookmarkEnd w:id="318"/>
      <w:bookmarkEnd w:id="319"/>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deleted in Gazette 27 Jun 1997 p. 3180.]</w:t>
      </w:r>
    </w:p>
    <w:p>
      <w:pPr>
        <w:pStyle w:val="Heading2"/>
      </w:pPr>
      <w:bookmarkStart w:id="320" w:name="_Toc91580432"/>
      <w:bookmarkStart w:id="321" w:name="_Toc103667117"/>
      <w:bookmarkStart w:id="322" w:name="_Toc103741636"/>
      <w:bookmarkStart w:id="323" w:name="_Toc107981879"/>
      <w:bookmarkStart w:id="324" w:name="_Toc118800046"/>
      <w:bookmarkStart w:id="325" w:name="_Toc118860054"/>
      <w:bookmarkStart w:id="326" w:name="_Toc121545554"/>
      <w:bookmarkStart w:id="327" w:name="_Toc121801077"/>
      <w:bookmarkStart w:id="328" w:name="_Toc121818190"/>
      <w:bookmarkStart w:id="329" w:name="_Toc121880800"/>
      <w:bookmarkStart w:id="330" w:name="_Toc129481871"/>
      <w:bookmarkStart w:id="331" w:name="_Toc130095240"/>
      <w:bookmarkStart w:id="332" w:name="_Toc130273304"/>
      <w:bookmarkStart w:id="333" w:name="_Toc139770977"/>
      <w:bookmarkStart w:id="334" w:name="_Toc139771355"/>
      <w:bookmarkStart w:id="335" w:name="_Toc151191570"/>
      <w:bookmarkStart w:id="336" w:name="_Toc151260463"/>
      <w:bookmarkStart w:id="337" w:name="_Toc164158568"/>
      <w:bookmarkStart w:id="338" w:name="_Toc164220940"/>
      <w:bookmarkStart w:id="339" w:name="_Toc170878900"/>
      <w:bookmarkStart w:id="340" w:name="_Toc170894652"/>
      <w:bookmarkStart w:id="341" w:name="_Toc175712618"/>
      <w:bookmarkStart w:id="342" w:name="_Toc175970559"/>
      <w:bookmarkStart w:id="343" w:name="_Toc176335278"/>
      <w:bookmarkStart w:id="344" w:name="_Toc176338853"/>
      <w:bookmarkStart w:id="345" w:name="_Toc178742878"/>
      <w:bookmarkStart w:id="346" w:name="_Toc179363301"/>
      <w:bookmarkStart w:id="347" w:name="_Toc179604370"/>
      <w:bookmarkStart w:id="348" w:name="_Toc180204563"/>
      <w:bookmarkStart w:id="349" w:name="_Toc180204779"/>
      <w:bookmarkStart w:id="350" w:name="_Toc185844524"/>
      <w:bookmarkStart w:id="351" w:name="_Toc185845144"/>
      <w:bookmarkStart w:id="352" w:name="_Toc185927109"/>
      <w:bookmarkStart w:id="353" w:name="_Toc202505857"/>
      <w:bookmarkStart w:id="354" w:name="_Toc202672642"/>
      <w:bookmarkStart w:id="355" w:name="_Toc202691733"/>
      <w:bookmarkStart w:id="356" w:name="_Toc233448355"/>
      <w:bookmarkStart w:id="357" w:name="_Toc233611669"/>
      <w:bookmarkStart w:id="358" w:name="_Toc234730676"/>
      <w:bookmarkStart w:id="359" w:name="_Toc234733202"/>
      <w:bookmarkStart w:id="360" w:name="_Toc235863939"/>
      <w:bookmarkStart w:id="361" w:name="_Toc235933414"/>
      <w:bookmarkStart w:id="362" w:name="_Toc237164402"/>
      <w:bookmarkStart w:id="363" w:name="_Toc237244285"/>
      <w:bookmarkStart w:id="364" w:name="_Toc237245586"/>
      <w:bookmarkStart w:id="365" w:name="_Toc237245717"/>
      <w:bookmarkStart w:id="366" w:name="_Toc237247825"/>
      <w:bookmarkStart w:id="367" w:name="_Toc237254128"/>
      <w:bookmarkStart w:id="368" w:name="_Toc237309547"/>
      <w:r>
        <w:rPr>
          <w:rStyle w:val="CharPartNo"/>
        </w:rPr>
        <w:t>Part 3</w:t>
      </w:r>
      <w:r>
        <w:rPr>
          <w:rStyle w:val="CharDivNo"/>
        </w:rPr>
        <w:t> </w:t>
      </w:r>
      <w:r>
        <w:t>—</w:t>
      </w:r>
      <w:r>
        <w:rPr>
          <w:rStyle w:val="CharDivText"/>
        </w:rPr>
        <w:t> </w:t>
      </w:r>
      <w:r>
        <w:rPr>
          <w:rStyle w:val="CharPartText"/>
        </w:rPr>
        <w:t>Sewerage</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180204780"/>
      <w:bookmarkStart w:id="370" w:name="_Toc237309548"/>
      <w:bookmarkStart w:id="371" w:name="_Toc487428972"/>
      <w:bookmarkStart w:id="372" w:name="_Toc17278679"/>
      <w:r>
        <w:rPr>
          <w:rStyle w:val="CharSectno"/>
        </w:rPr>
        <w:t>21A</w:t>
      </w:r>
      <w:r>
        <w:t>.</w:t>
      </w:r>
      <w:r>
        <w:tab/>
        <w:t>Terms used</w:t>
      </w:r>
      <w:bookmarkEnd w:id="369"/>
      <w:bookmarkEnd w:id="370"/>
    </w:p>
    <w:p>
      <w:pPr>
        <w:pStyle w:val="Subsection"/>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outlineLvl w:val="0"/>
      </w:pPr>
      <w:r>
        <w:tab/>
      </w:r>
      <w:r>
        <w:rPr>
          <w:rStyle w:val="CharDefText"/>
        </w:rPr>
        <w:t>Table</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373" w:name="_Toc180204781"/>
      <w:bookmarkStart w:id="374" w:name="_Toc237309549"/>
      <w:r>
        <w:rPr>
          <w:rStyle w:val="CharSectno"/>
        </w:rPr>
        <w:t>21</w:t>
      </w:r>
      <w:r>
        <w:rPr>
          <w:snapToGrid w:val="0"/>
        </w:rPr>
        <w:t>.</w:t>
      </w:r>
      <w:r>
        <w:rPr>
          <w:snapToGrid w:val="0"/>
        </w:rPr>
        <w:tab/>
        <w:t>Land subject to sewerage charges</w:t>
      </w:r>
      <w:bookmarkEnd w:id="371"/>
      <w:bookmarkEnd w:id="372"/>
      <w:bookmarkEnd w:id="373"/>
      <w:bookmarkEnd w:id="374"/>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p>
    <w:p>
      <w:pPr>
        <w:pStyle w:val="Heading5"/>
        <w:rPr>
          <w:snapToGrid w:val="0"/>
        </w:rPr>
      </w:pPr>
      <w:bookmarkStart w:id="375" w:name="_Toc487428973"/>
      <w:bookmarkStart w:id="376" w:name="_Toc17278680"/>
      <w:bookmarkStart w:id="377" w:name="_Toc180204782"/>
      <w:bookmarkStart w:id="378" w:name="_Toc237309550"/>
      <w:r>
        <w:rPr>
          <w:rStyle w:val="CharSectno"/>
        </w:rPr>
        <w:t>22</w:t>
      </w:r>
      <w:r>
        <w:rPr>
          <w:snapToGrid w:val="0"/>
        </w:rPr>
        <w:t>.</w:t>
      </w:r>
      <w:r>
        <w:rPr>
          <w:snapToGrid w:val="0"/>
        </w:rPr>
        <w:tab/>
        <w:t>Exempt land</w:t>
      </w:r>
      <w:bookmarkEnd w:id="375"/>
      <w:bookmarkEnd w:id="376"/>
      <w:bookmarkEnd w:id="377"/>
      <w:bookmarkEnd w:id="378"/>
    </w:p>
    <w:p>
      <w:pPr>
        <w:pStyle w:val="Subsection"/>
        <w:spacing w:before="120"/>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spacing w:before="100"/>
        <w:ind w:left="890" w:hanging="890"/>
      </w:pPr>
      <w:r>
        <w:tab/>
        <w:t>[By</w:t>
      </w:r>
      <w:r>
        <w:noBreakHyphen/>
        <w:t>law 22 amended in Gazette 29 Jun 2001 p. 3194.]</w:t>
      </w:r>
    </w:p>
    <w:p>
      <w:pPr>
        <w:pStyle w:val="Heading5"/>
        <w:rPr>
          <w:rStyle w:val="CharSectno"/>
        </w:rPr>
      </w:pPr>
      <w:bookmarkStart w:id="379" w:name="_Toc180204783"/>
      <w:bookmarkStart w:id="380" w:name="_Toc237309551"/>
      <w:bookmarkStart w:id="381" w:name="_Toc487428975"/>
      <w:bookmarkStart w:id="382" w:name="_Toc17278682"/>
      <w:r>
        <w:rPr>
          <w:rStyle w:val="CharSectno"/>
        </w:rPr>
        <w:t>23.</w:t>
      </w:r>
      <w:r>
        <w:rPr>
          <w:rStyle w:val="CharSectno"/>
        </w:rPr>
        <w:tab/>
        <w:t>Classification of land</w:t>
      </w:r>
      <w:bookmarkEnd w:id="379"/>
      <w:bookmarkEnd w:id="380"/>
    </w:p>
    <w:p>
      <w:pPr>
        <w:pStyle w:val="Subsection"/>
        <w:spacing w:before="120"/>
      </w:pPr>
      <w:r>
        <w:rPr>
          <w:snapToGrid w:val="0"/>
        </w:rPr>
        <w:tab/>
        <w:t>(1)</w:t>
      </w:r>
      <w:r>
        <w:rPr>
          <w:snapToGrid w:val="0"/>
        </w:rPr>
        <w:tab/>
        <w:t>For the purposes of this Part, land described in by</w:t>
      </w:r>
      <w:r>
        <w:rPr>
          <w:snapToGrid w:val="0"/>
        </w:rPr>
        <w:noBreakHyphen/>
        <w:t>law 4 that is</w:t>
      </w:r>
      <w:r>
        <w:t xml:space="preserve"> in a country sewerage area and is connected with a sewer may, irrespective of any other classification under these by</w:t>
      </w:r>
      <w:r>
        <w:noBreakHyphen/>
        <w:t xml:space="preserve">laws, be classified by the Corporation as follows — </w:t>
      </w:r>
    </w:p>
    <w:p>
      <w:pPr>
        <w:pStyle w:val="Indenta"/>
      </w:pPr>
      <w:r>
        <w:tab/>
        <w:t>(a)</w:t>
      </w:r>
      <w:r>
        <w:tab/>
        <w:t>institutional public, if the land is used for such club, institutional or public purpose as the Corporation approves, not being a purpose mentioned in paragraph (b);</w:t>
      </w:r>
    </w:p>
    <w:p>
      <w:pPr>
        <w:pStyle w:val="Indenta"/>
      </w:pPr>
      <w:r>
        <w:tab/>
        <w:t>(b)</w:t>
      </w:r>
      <w:r>
        <w:tab/>
        <w:t xml:space="preserve">charitable purposes, if, in the opinion of the Corporation, the land is used for the purpose of —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(c)</w:t>
      </w:r>
      <w:r>
        <w:tab/>
        <w:t>community residential, if the land is occupied as a communal property on which several family units dwell at the same time and is managed by the persons dwelling on the land or a committee of them,</w:t>
      </w:r>
    </w:p>
    <w:p>
      <w:pPr>
        <w:pStyle w:val="Subsection"/>
        <w:spacing w:before="120"/>
      </w:pPr>
      <w:r>
        <w:tab/>
      </w:r>
      <w:r>
        <w:tab/>
        <w:t>and, where it is not classified under paragraph (a), (b) or (c), shall be taken to have been classified as general exempt.</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23 inserted in Gazette 29 Jun 2007 p. 3252-3; amended in Gazette 19 Jun 2009 p. 2322.] </w:t>
      </w:r>
    </w:p>
    <w:p>
      <w:pPr>
        <w:pStyle w:val="Heading5"/>
        <w:rPr>
          <w:snapToGrid w:val="0"/>
        </w:rPr>
      </w:pPr>
      <w:bookmarkStart w:id="383" w:name="_Toc180204784"/>
      <w:bookmarkStart w:id="384" w:name="_Toc237309552"/>
      <w:r>
        <w:rPr>
          <w:rStyle w:val="CharSectno"/>
        </w:rPr>
        <w:t>24</w:t>
      </w:r>
      <w:r>
        <w:rPr>
          <w:snapToGrid w:val="0"/>
        </w:rPr>
        <w:t>.</w:t>
      </w:r>
      <w:r>
        <w:rPr>
          <w:snapToGrid w:val="0"/>
        </w:rPr>
        <w:tab/>
        <w:t>Indexation of certain valuations</w:t>
      </w:r>
      <w:bookmarkEnd w:id="381"/>
      <w:bookmarkEnd w:id="382"/>
      <w:bookmarkEnd w:id="383"/>
      <w:bookmarkEnd w:id="384"/>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Deleted in Gazette 1 Jul 2002 p. 3157.]</w:t>
      </w:r>
    </w:p>
    <w:p>
      <w:pPr>
        <w:pStyle w:val="Heading5"/>
        <w:rPr>
          <w:snapToGrid w:val="0"/>
        </w:rPr>
      </w:pPr>
      <w:bookmarkStart w:id="385" w:name="_Toc487428977"/>
      <w:bookmarkStart w:id="386" w:name="_Toc17278683"/>
      <w:bookmarkStart w:id="387" w:name="_Toc180204785"/>
      <w:bookmarkStart w:id="388" w:name="_Toc237309553"/>
      <w:r>
        <w:rPr>
          <w:rStyle w:val="CharSectno"/>
        </w:rPr>
        <w:t>25A</w:t>
      </w:r>
      <w:r>
        <w:rPr>
          <w:snapToGrid w:val="0"/>
        </w:rPr>
        <w:t>.</w:t>
      </w:r>
      <w:r>
        <w:rPr>
          <w:snapToGrid w:val="0"/>
        </w:rPr>
        <w:tab/>
        <w:t>Metered metropolitan non</w:t>
      </w:r>
      <w:r>
        <w:rPr>
          <w:snapToGrid w:val="0"/>
        </w:rPr>
        <w:noBreakHyphen/>
        <w:t>residential property sewerage charges</w:t>
      </w:r>
      <w:bookmarkEnd w:id="385"/>
      <w:bookmarkEnd w:id="386"/>
      <w:bookmarkEnd w:id="387"/>
      <w:bookmarkEnd w:id="388"/>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14.2% </w:t>
      </w:r>
      <w:r>
        <w:rPr>
          <w:snapToGrid w:val="0"/>
        </w:rPr>
        <w:t xml:space="preserve">greater than the charge calculated for the same service (and under the same circumstances) in the previous year, the charge is only payable up to that </w:t>
      </w:r>
      <w:r>
        <w:t xml:space="preserve">14.2%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w:t>
      </w:r>
    </w:p>
    <w:p>
      <w:pPr>
        <w:pStyle w:val="Heading5"/>
        <w:keepLines w:val="0"/>
        <w:spacing w:before="180"/>
        <w:rPr>
          <w:snapToGrid w:val="0"/>
        </w:rPr>
      </w:pPr>
      <w:bookmarkStart w:id="389" w:name="_Toc487428978"/>
      <w:bookmarkStart w:id="390" w:name="_Toc17278684"/>
      <w:bookmarkStart w:id="391" w:name="_Toc180204786"/>
      <w:bookmarkStart w:id="392" w:name="_Toc237309554"/>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389"/>
      <w:bookmarkEnd w:id="390"/>
      <w:bookmarkEnd w:id="391"/>
      <w:bookmarkEnd w:id="392"/>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393" w:name="_Toc487428979"/>
      <w:bookmarkStart w:id="394" w:name="_Toc17278685"/>
      <w:bookmarkStart w:id="395" w:name="_Toc180204787"/>
      <w:bookmarkStart w:id="396" w:name="_Toc237309555"/>
      <w:r>
        <w:rPr>
          <w:rStyle w:val="CharSectno"/>
        </w:rPr>
        <w:t>25C</w:t>
      </w:r>
      <w:r>
        <w:rPr>
          <w:snapToGrid w:val="0"/>
        </w:rPr>
        <w:t>.</w:t>
      </w:r>
      <w:r>
        <w:rPr>
          <w:snapToGrid w:val="0"/>
        </w:rPr>
        <w:tab/>
        <w:t>Charging for shared sewerage fixtures on metropolitan non</w:t>
      </w:r>
      <w:r>
        <w:rPr>
          <w:snapToGrid w:val="0"/>
        </w:rPr>
        <w:noBreakHyphen/>
        <w:t>residential property</w:t>
      </w:r>
      <w:bookmarkEnd w:id="393"/>
      <w:bookmarkEnd w:id="394"/>
      <w:bookmarkEnd w:id="395"/>
      <w:bookmarkEnd w:id="396"/>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397" w:name="_Toc180204788"/>
      <w:bookmarkStart w:id="398" w:name="_Toc237309556"/>
      <w:r>
        <w:rPr>
          <w:rStyle w:val="CharSectno"/>
        </w:rPr>
        <w:t>26</w:t>
      </w:r>
      <w:r>
        <w:t>.</w:t>
      </w:r>
      <w:r>
        <w:tab/>
      </w:r>
      <w:bookmarkStart w:id="399" w:name="_Toc43099247"/>
      <w:r>
        <w:rPr>
          <w:snapToGrid w:val="0"/>
        </w:rPr>
        <w:t xml:space="preserve">Metered country </w:t>
      </w:r>
      <w:r>
        <w:t>non</w:t>
      </w:r>
      <w:r>
        <w:noBreakHyphen/>
        <w:t>residential or commercial residential</w:t>
      </w:r>
      <w:r>
        <w:rPr>
          <w:snapToGrid w:val="0"/>
        </w:rPr>
        <w:t xml:space="preserve"> property sewerage charges</w:t>
      </w:r>
      <w:bookmarkEnd w:id="397"/>
      <w:bookmarkEnd w:id="398"/>
      <w:bookmarkEnd w:id="399"/>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400" w:name="_Toc43099248"/>
      <w:r>
        <w:tab/>
        <w:t>[By</w:t>
      </w:r>
      <w:r>
        <w:noBreakHyphen/>
        <w:t>law 26 inserted in Gazette 27 Jun 2003 p. 2288-90; amended in Gazette 29 Jun 2007 p. 3253.]</w:t>
      </w:r>
    </w:p>
    <w:p>
      <w:pPr>
        <w:pStyle w:val="Heading5"/>
      </w:pPr>
      <w:bookmarkStart w:id="401" w:name="_Toc180204789"/>
      <w:bookmarkStart w:id="402" w:name="_Toc237309557"/>
      <w:r>
        <w:rPr>
          <w:rStyle w:val="CharSectno"/>
        </w:rPr>
        <w:t>26A</w:t>
      </w:r>
      <w:r>
        <w:t>.</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bookmarkEnd w:id="400"/>
      <w:bookmarkEnd w:id="401"/>
      <w:bookmarkEnd w:id="402"/>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403" w:name="_Toc43099249"/>
      <w:r>
        <w:tab/>
        <w:t>[By</w:t>
      </w:r>
      <w:r>
        <w:noBreakHyphen/>
        <w:t>law 26A inserted in Gazette 27 Jun 2003 p. 2290-1; amended in Gazette 29 Jun 2007 p. 3253.]</w:t>
      </w:r>
    </w:p>
    <w:p>
      <w:pPr>
        <w:pStyle w:val="Heading5"/>
      </w:pPr>
      <w:bookmarkStart w:id="404" w:name="_Toc180204790"/>
      <w:bookmarkStart w:id="405" w:name="_Toc237309558"/>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403"/>
      <w:bookmarkEnd w:id="404"/>
      <w:bookmarkEnd w:id="405"/>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406" w:name="_Toc91580444"/>
      <w:bookmarkStart w:id="407" w:name="_Toc103667129"/>
      <w:bookmarkStart w:id="408" w:name="_Toc103741648"/>
      <w:bookmarkStart w:id="409" w:name="_Toc107981891"/>
      <w:bookmarkStart w:id="410" w:name="_Toc118800058"/>
      <w:bookmarkStart w:id="411" w:name="_Toc118860066"/>
      <w:bookmarkStart w:id="412" w:name="_Toc121545566"/>
      <w:bookmarkStart w:id="413" w:name="_Toc121801089"/>
      <w:bookmarkStart w:id="414" w:name="_Toc121818202"/>
      <w:bookmarkStart w:id="415" w:name="_Toc121880812"/>
      <w:bookmarkStart w:id="416" w:name="_Toc129481883"/>
      <w:bookmarkStart w:id="417" w:name="_Toc130095252"/>
      <w:bookmarkStart w:id="418" w:name="_Toc130273316"/>
      <w:bookmarkStart w:id="419" w:name="_Toc139770989"/>
      <w:bookmarkStart w:id="420" w:name="_Toc139771367"/>
      <w:bookmarkStart w:id="421" w:name="_Toc151191582"/>
      <w:bookmarkStart w:id="422" w:name="_Toc151260475"/>
      <w:bookmarkStart w:id="423" w:name="_Toc164158580"/>
      <w:bookmarkStart w:id="424" w:name="_Toc164220952"/>
      <w:bookmarkStart w:id="425" w:name="_Toc170878913"/>
      <w:bookmarkStart w:id="426" w:name="_Toc170894664"/>
      <w:bookmarkStart w:id="427" w:name="_Toc175712630"/>
      <w:bookmarkStart w:id="428" w:name="_Toc175970571"/>
      <w:bookmarkStart w:id="429" w:name="_Toc176335290"/>
      <w:bookmarkStart w:id="430" w:name="_Toc176338865"/>
      <w:bookmarkStart w:id="431" w:name="_Toc178742890"/>
      <w:bookmarkStart w:id="432" w:name="_Toc179363313"/>
      <w:bookmarkStart w:id="433" w:name="_Toc179604382"/>
      <w:bookmarkStart w:id="434" w:name="_Toc180204575"/>
      <w:bookmarkStart w:id="435" w:name="_Toc180204791"/>
      <w:bookmarkStart w:id="436" w:name="_Toc185844536"/>
      <w:bookmarkStart w:id="437" w:name="_Toc185845156"/>
      <w:bookmarkStart w:id="438" w:name="_Toc185927121"/>
      <w:bookmarkStart w:id="439" w:name="_Toc202505869"/>
      <w:bookmarkStart w:id="440" w:name="_Toc202672654"/>
      <w:bookmarkStart w:id="441" w:name="_Toc202691745"/>
      <w:bookmarkStart w:id="442" w:name="_Toc233448367"/>
      <w:bookmarkStart w:id="443" w:name="_Toc233611681"/>
      <w:bookmarkStart w:id="444" w:name="_Toc234730688"/>
      <w:bookmarkStart w:id="445" w:name="_Toc234733214"/>
      <w:bookmarkStart w:id="446" w:name="_Toc235863951"/>
      <w:bookmarkStart w:id="447" w:name="_Toc235933426"/>
      <w:bookmarkStart w:id="448" w:name="_Toc237164414"/>
      <w:bookmarkStart w:id="449" w:name="_Toc237244297"/>
      <w:bookmarkStart w:id="450" w:name="_Toc237245598"/>
      <w:bookmarkStart w:id="451" w:name="_Toc237245729"/>
      <w:bookmarkStart w:id="452" w:name="_Toc237247837"/>
      <w:bookmarkStart w:id="453" w:name="_Toc237254140"/>
      <w:bookmarkStart w:id="454" w:name="_Toc237309559"/>
      <w:r>
        <w:rPr>
          <w:rStyle w:val="CharPartNo"/>
        </w:rPr>
        <w:t>Part 4</w:t>
      </w:r>
      <w:r>
        <w:rPr>
          <w:rStyle w:val="CharDivNo"/>
        </w:rPr>
        <w:t> </w:t>
      </w:r>
      <w:r>
        <w:t>—</w:t>
      </w:r>
      <w:r>
        <w:rPr>
          <w:rStyle w:val="CharDivText"/>
        </w:rPr>
        <w:t> </w:t>
      </w:r>
      <w:r>
        <w:rPr>
          <w:rStyle w:val="CharPartText"/>
        </w:rPr>
        <w:t>Drainage</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rPr>
          <w:snapToGrid w:val="0"/>
        </w:rPr>
      </w:pPr>
      <w:bookmarkStart w:id="455" w:name="_Toc487428980"/>
      <w:bookmarkStart w:id="456" w:name="_Toc17278686"/>
      <w:bookmarkStart w:id="457" w:name="_Toc180204792"/>
      <w:bookmarkStart w:id="458" w:name="_Toc237309560"/>
      <w:r>
        <w:rPr>
          <w:rStyle w:val="CharSectno"/>
        </w:rPr>
        <w:t>27</w:t>
      </w:r>
      <w:r>
        <w:rPr>
          <w:snapToGrid w:val="0"/>
        </w:rPr>
        <w:t>.</w:t>
      </w:r>
      <w:r>
        <w:rPr>
          <w:snapToGrid w:val="0"/>
        </w:rPr>
        <w:tab/>
        <w:t>Land subject to drainage charges</w:t>
      </w:r>
      <w:bookmarkEnd w:id="455"/>
      <w:bookmarkEnd w:id="456"/>
      <w:bookmarkEnd w:id="457"/>
      <w:bookmarkEnd w:id="458"/>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w:t>
      </w:r>
    </w:p>
    <w:p>
      <w:pPr>
        <w:pStyle w:val="Heading5"/>
        <w:rPr>
          <w:snapToGrid w:val="0"/>
        </w:rPr>
      </w:pPr>
      <w:bookmarkStart w:id="459" w:name="_Toc487428981"/>
      <w:bookmarkStart w:id="460" w:name="_Toc17278687"/>
      <w:bookmarkStart w:id="461" w:name="_Toc180204793"/>
      <w:bookmarkStart w:id="462" w:name="_Toc237309561"/>
      <w:r>
        <w:rPr>
          <w:rStyle w:val="CharSectno"/>
        </w:rPr>
        <w:t>28</w:t>
      </w:r>
      <w:r>
        <w:rPr>
          <w:snapToGrid w:val="0"/>
        </w:rPr>
        <w:t>.</w:t>
      </w:r>
      <w:r>
        <w:rPr>
          <w:snapToGrid w:val="0"/>
        </w:rPr>
        <w:tab/>
        <w:t>Exempt land</w:t>
      </w:r>
      <w:bookmarkEnd w:id="459"/>
      <w:bookmarkEnd w:id="460"/>
      <w:bookmarkEnd w:id="461"/>
      <w:bookmarkEnd w:id="462"/>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463" w:name="_Toc180204794"/>
      <w:bookmarkStart w:id="464" w:name="_Toc237309562"/>
      <w:r>
        <w:rPr>
          <w:rStyle w:val="CharSectno"/>
        </w:rPr>
        <w:t>29</w:t>
      </w:r>
      <w:r>
        <w:t>.</w:t>
      </w:r>
      <w:r>
        <w:tab/>
        <w:t>Classification of land</w:t>
      </w:r>
      <w:bookmarkEnd w:id="463"/>
      <w:bookmarkEnd w:id="464"/>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29 inserted in Gazette 29 Jun 2007 p. 3254; amended in Gazette 19 Jun 2009 p. 2323.] </w:t>
      </w:r>
    </w:p>
    <w:p>
      <w:pPr>
        <w:pStyle w:val="Ednotesection"/>
      </w:pPr>
      <w:r>
        <w:t>[</w:t>
      </w:r>
      <w:r>
        <w:rPr>
          <w:b/>
        </w:rPr>
        <w:t>30.</w:t>
      </w:r>
      <w:r>
        <w:tab/>
        <w:t>Deleted in Gazette 1 Jul 2002 p. 3157.]</w:t>
      </w:r>
    </w:p>
    <w:p>
      <w:pPr>
        <w:pStyle w:val="Heading2"/>
      </w:pPr>
      <w:bookmarkStart w:id="465" w:name="_Toc91580448"/>
      <w:bookmarkStart w:id="466" w:name="_Toc103667133"/>
      <w:bookmarkStart w:id="467" w:name="_Toc103741652"/>
      <w:bookmarkStart w:id="468" w:name="_Toc107981895"/>
      <w:bookmarkStart w:id="469" w:name="_Toc118800062"/>
      <w:bookmarkStart w:id="470" w:name="_Toc118860070"/>
      <w:bookmarkStart w:id="471" w:name="_Toc121545570"/>
      <w:bookmarkStart w:id="472" w:name="_Toc121801093"/>
      <w:bookmarkStart w:id="473" w:name="_Toc121818206"/>
      <w:bookmarkStart w:id="474" w:name="_Toc121880816"/>
      <w:bookmarkStart w:id="475" w:name="_Toc129481887"/>
      <w:bookmarkStart w:id="476" w:name="_Toc130095256"/>
      <w:bookmarkStart w:id="477" w:name="_Toc130273320"/>
      <w:bookmarkStart w:id="478" w:name="_Toc139770993"/>
      <w:bookmarkStart w:id="479" w:name="_Toc139771371"/>
      <w:bookmarkStart w:id="480" w:name="_Toc151191586"/>
      <w:bookmarkStart w:id="481" w:name="_Toc151260479"/>
      <w:bookmarkStart w:id="482" w:name="_Toc164158584"/>
      <w:bookmarkStart w:id="483" w:name="_Toc164220956"/>
      <w:bookmarkStart w:id="484" w:name="_Toc170878918"/>
      <w:bookmarkStart w:id="485" w:name="_Toc170894668"/>
      <w:bookmarkStart w:id="486" w:name="_Toc175712634"/>
      <w:bookmarkStart w:id="487" w:name="_Toc175970575"/>
      <w:bookmarkStart w:id="488" w:name="_Toc176335294"/>
      <w:bookmarkStart w:id="489" w:name="_Toc176338869"/>
      <w:bookmarkStart w:id="490" w:name="_Toc178742894"/>
      <w:bookmarkStart w:id="491" w:name="_Toc179363317"/>
      <w:bookmarkStart w:id="492" w:name="_Toc179604386"/>
      <w:bookmarkStart w:id="493" w:name="_Toc180204579"/>
      <w:bookmarkStart w:id="494" w:name="_Toc180204795"/>
      <w:bookmarkStart w:id="495" w:name="_Toc185844540"/>
      <w:bookmarkStart w:id="496" w:name="_Toc185845160"/>
      <w:bookmarkStart w:id="497" w:name="_Toc185927125"/>
      <w:bookmarkStart w:id="498" w:name="_Toc202505873"/>
      <w:bookmarkStart w:id="499" w:name="_Toc202672658"/>
      <w:bookmarkStart w:id="500" w:name="_Toc202691749"/>
      <w:bookmarkStart w:id="501" w:name="_Toc233448371"/>
      <w:bookmarkStart w:id="502" w:name="_Toc233611685"/>
      <w:bookmarkStart w:id="503" w:name="_Toc234730692"/>
      <w:bookmarkStart w:id="504" w:name="_Toc234733218"/>
      <w:bookmarkStart w:id="505" w:name="_Toc235863955"/>
      <w:bookmarkStart w:id="506" w:name="_Toc235933430"/>
      <w:bookmarkStart w:id="507" w:name="_Toc237164418"/>
      <w:bookmarkStart w:id="508" w:name="_Toc237244301"/>
      <w:bookmarkStart w:id="509" w:name="_Toc237245602"/>
      <w:bookmarkStart w:id="510" w:name="_Toc237245733"/>
      <w:bookmarkStart w:id="511" w:name="_Toc237247841"/>
      <w:bookmarkStart w:id="512" w:name="_Toc237254144"/>
      <w:bookmarkStart w:id="513" w:name="_Toc237309563"/>
      <w:r>
        <w:rPr>
          <w:rStyle w:val="CharPartNo"/>
        </w:rPr>
        <w:t>Part 5</w:t>
      </w:r>
      <w:r>
        <w:rPr>
          <w:rStyle w:val="CharDivNo"/>
        </w:rPr>
        <w:t> </w:t>
      </w:r>
      <w:r>
        <w:t>—</w:t>
      </w:r>
      <w:r>
        <w:rPr>
          <w:rStyle w:val="CharDivText"/>
        </w:rPr>
        <w:t> </w:t>
      </w:r>
      <w:r>
        <w:rPr>
          <w:rStyle w:val="CharPartText"/>
        </w:rPr>
        <w:t>Irrigation</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rPr>
          <w:snapToGrid w:val="0"/>
        </w:rPr>
      </w:pPr>
      <w:bookmarkStart w:id="514" w:name="_Toc487428984"/>
      <w:bookmarkStart w:id="515" w:name="_Toc17278689"/>
      <w:bookmarkStart w:id="516" w:name="_Toc180204796"/>
      <w:bookmarkStart w:id="517" w:name="_Toc237309564"/>
      <w:r>
        <w:rPr>
          <w:rStyle w:val="CharSectno"/>
        </w:rPr>
        <w:t>31</w:t>
      </w:r>
      <w:r>
        <w:rPr>
          <w:snapToGrid w:val="0"/>
        </w:rPr>
        <w:t>.</w:t>
      </w:r>
      <w:r>
        <w:rPr>
          <w:snapToGrid w:val="0"/>
        </w:rPr>
        <w:tab/>
        <w:t>Land subject to irrigation charges</w:t>
      </w:r>
      <w:bookmarkEnd w:id="514"/>
      <w:bookmarkEnd w:id="515"/>
      <w:bookmarkEnd w:id="516"/>
      <w:bookmarkEnd w:id="517"/>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518" w:name="_Toc487428985"/>
      <w:bookmarkStart w:id="519" w:name="_Toc17278690"/>
      <w:bookmarkStart w:id="520" w:name="_Toc180204797"/>
      <w:bookmarkStart w:id="521" w:name="_Toc237309565"/>
      <w:r>
        <w:rPr>
          <w:rStyle w:val="CharSectno"/>
        </w:rPr>
        <w:t>32</w:t>
      </w:r>
      <w:r>
        <w:rPr>
          <w:snapToGrid w:val="0"/>
        </w:rPr>
        <w:t>.</w:t>
      </w:r>
      <w:r>
        <w:rPr>
          <w:snapToGrid w:val="0"/>
        </w:rPr>
        <w:tab/>
        <w:t>Exempt land</w:t>
      </w:r>
      <w:bookmarkEnd w:id="518"/>
      <w:bookmarkEnd w:id="519"/>
      <w:bookmarkEnd w:id="520"/>
      <w:bookmarkEnd w:id="521"/>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522" w:name="_Toc17278691"/>
      <w:bookmarkStart w:id="523" w:name="_Toc180204798"/>
      <w:bookmarkStart w:id="524" w:name="_Toc237309566"/>
      <w:r>
        <w:rPr>
          <w:rStyle w:val="CharSectno"/>
        </w:rPr>
        <w:t>33</w:t>
      </w:r>
      <w:r>
        <w:t>.</w:t>
      </w:r>
      <w:r>
        <w:tab/>
        <w:t>Charge options for land in Carnarvon Irrigation District</w:t>
      </w:r>
      <w:bookmarkEnd w:id="522"/>
      <w:bookmarkEnd w:id="523"/>
      <w:bookmarkEnd w:id="524"/>
    </w:p>
    <w:p>
      <w:pPr>
        <w:pStyle w:val="Subsection"/>
      </w:pPr>
      <w:r>
        <w:tab/>
        <w:t>(1)</w:t>
      </w:r>
      <w:r>
        <w:tab/>
        <w:t>In this by</w:t>
      </w:r>
      <w:r>
        <w:noBreakHyphen/>
        <w:t>law —</w:t>
      </w:r>
    </w:p>
    <w:p>
      <w:pPr>
        <w:pStyle w:val="Defstart"/>
      </w:pPr>
      <w:r>
        <w:tab/>
      </w:r>
      <w:r>
        <w:rPr>
          <w:rStyle w:val="CharDefText"/>
        </w:rPr>
        <w:t>customer</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rStyle w:val="CharDefText"/>
        </w:rPr>
        <w:t>option A</w:t>
      </w:r>
      <w:r>
        <w:t>); or</w:t>
      </w:r>
    </w:p>
    <w:p>
      <w:pPr>
        <w:pStyle w:val="Indenta"/>
      </w:pPr>
      <w:r>
        <w:tab/>
        <w:t>(b)</w:t>
      </w:r>
      <w:r>
        <w:tab/>
        <w:t>Schedule 5 clause 1(1)(b) (</w:t>
      </w:r>
      <w:r>
        <w:rPr>
          <w:rStyle w:val="CharDefText"/>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deleted in Gazette 29 Jun 1989 p. 1871.]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25" w:name="_Toc233448382"/>
      <w:bookmarkStart w:id="526" w:name="_Toc233611689"/>
      <w:bookmarkStart w:id="527" w:name="_Toc234730696"/>
      <w:bookmarkStart w:id="528" w:name="_Toc234733222"/>
      <w:bookmarkStart w:id="529" w:name="_Toc235863959"/>
      <w:bookmarkStart w:id="530" w:name="_Toc235933434"/>
      <w:bookmarkStart w:id="531" w:name="_Toc237164422"/>
      <w:bookmarkStart w:id="532" w:name="_Toc237244305"/>
      <w:bookmarkStart w:id="533" w:name="_Toc237245606"/>
      <w:bookmarkStart w:id="534" w:name="_Toc237245737"/>
      <w:bookmarkStart w:id="535" w:name="_Toc237247845"/>
      <w:bookmarkStart w:id="536" w:name="_Toc237254148"/>
      <w:bookmarkStart w:id="537" w:name="_Toc237309567"/>
      <w:bookmarkStart w:id="538" w:name="_Toc139771087"/>
      <w:bookmarkStart w:id="539" w:name="_Toc139771465"/>
      <w:bookmarkStart w:id="540" w:name="_Toc151191680"/>
      <w:bookmarkStart w:id="541" w:name="_Toc151260573"/>
      <w:bookmarkStart w:id="542" w:name="_Toc164158680"/>
      <w:bookmarkStart w:id="543" w:name="_Toc164221052"/>
      <w:bookmarkStart w:id="544" w:name="_Toc170879060"/>
      <w:bookmarkStart w:id="545" w:name="_Toc170894718"/>
      <w:bookmarkStart w:id="546" w:name="_Toc175712684"/>
      <w:bookmarkStart w:id="547" w:name="_Toc175970625"/>
      <w:bookmarkStart w:id="548" w:name="_Toc176335344"/>
      <w:bookmarkStart w:id="549" w:name="_Toc176338919"/>
      <w:bookmarkStart w:id="550" w:name="_Toc178742944"/>
      <w:bookmarkStart w:id="551" w:name="_Toc179363367"/>
      <w:bookmarkStart w:id="552" w:name="_Toc179604436"/>
      <w:bookmarkStart w:id="553" w:name="_Toc180204629"/>
      <w:bookmarkStart w:id="554" w:name="_Toc180204845"/>
      <w:bookmarkStart w:id="555" w:name="_Toc185844590"/>
      <w:bookmarkStart w:id="556" w:name="_Toc185845210"/>
      <w:bookmarkStart w:id="557" w:name="_Toc185927175"/>
      <w:bookmarkStart w:id="558" w:name="_Toc202505964"/>
      <w:bookmarkStart w:id="559" w:name="_Toc202672696"/>
      <w:bookmarkStart w:id="560" w:name="_Toc202691760"/>
      <w:bookmarkStart w:id="561" w:name="_Toc121801198"/>
      <w:bookmarkStart w:id="562" w:name="_Toc121818311"/>
      <w:bookmarkStart w:id="563" w:name="_Toc121880921"/>
      <w:bookmarkStart w:id="564" w:name="_Toc129481992"/>
      <w:bookmarkStart w:id="565" w:name="_Toc130095361"/>
      <w:bookmarkStart w:id="566" w:name="_Toc130273425"/>
      <w:r>
        <w:rPr>
          <w:rStyle w:val="CharSchNo"/>
        </w:rPr>
        <w:t>Schedule 1</w:t>
      </w:r>
      <w:r>
        <w:t> — </w:t>
      </w:r>
      <w:r>
        <w:rPr>
          <w:rStyle w:val="CharSchText"/>
        </w:rPr>
        <w:t xml:space="preserve">Charges for water supply other than under the </w:t>
      </w:r>
      <w:r>
        <w:rPr>
          <w:rStyle w:val="CharSchText"/>
          <w:i/>
          <w:iCs/>
        </w:rPr>
        <w:t>Rights in Water and Irrigation Act 1914</w:t>
      </w:r>
      <w:r>
        <w:rPr>
          <w:rStyle w:val="CharSchText"/>
        </w:rPr>
        <w:t xml:space="preserve"> for 2009/2010</w:t>
      </w:r>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yShoulderClause"/>
      </w:pPr>
      <w:r>
        <w:t xml:space="preserve">[bl. </w:t>
      </w:r>
      <w:r>
        <w:rPr>
          <w:snapToGrid w:val="0"/>
        </w:rPr>
        <w:t>11, 17B, 17C and 19A</w:t>
      </w:r>
      <w:r>
        <w:t>]</w:t>
      </w:r>
    </w:p>
    <w:p>
      <w:pPr>
        <w:pStyle w:val="yFootnoteheading"/>
      </w:pPr>
      <w:r>
        <w:tab/>
        <w:t>[Heading inserted in Gazette 19 Jun 2009 p. 2323.]</w:t>
      </w:r>
    </w:p>
    <w:p>
      <w:pPr>
        <w:pStyle w:val="yHeading3"/>
      </w:pPr>
      <w:bookmarkStart w:id="567" w:name="_Toc233448383"/>
      <w:bookmarkStart w:id="568" w:name="_Toc233611690"/>
      <w:bookmarkStart w:id="569" w:name="_Toc234730697"/>
      <w:bookmarkStart w:id="570" w:name="_Toc234733223"/>
      <w:bookmarkStart w:id="571" w:name="_Toc235863960"/>
      <w:bookmarkStart w:id="572" w:name="_Toc235933435"/>
      <w:bookmarkStart w:id="573" w:name="_Toc237164423"/>
      <w:bookmarkStart w:id="574" w:name="_Toc237244306"/>
      <w:bookmarkStart w:id="575" w:name="_Toc237245607"/>
      <w:bookmarkStart w:id="576" w:name="_Toc237245738"/>
      <w:bookmarkStart w:id="577" w:name="_Toc237247846"/>
      <w:bookmarkStart w:id="578" w:name="_Toc237254149"/>
      <w:bookmarkStart w:id="579" w:name="_Toc237309568"/>
      <w:r>
        <w:rPr>
          <w:rStyle w:val="CharSDivNo"/>
        </w:rPr>
        <w:t>Division 1</w:t>
      </w:r>
      <w:r>
        <w:rPr>
          <w:b w:val="0"/>
        </w:rPr>
        <w:t> — </w:t>
      </w:r>
      <w:r>
        <w:rPr>
          <w:rStyle w:val="CharSDivText"/>
        </w:rPr>
        <w:t>Fixed charges</w:t>
      </w:r>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yFootnoteheading"/>
        <w:spacing w:after="120"/>
      </w:pPr>
      <w:r>
        <w:tab/>
        <w:t>[Heading inserted in Gazette 19 Jun 2009 p. 2323.]</w:t>
      </w:r>
    </w:p>
    <w:p>
      <w:pPr>
        <w:pStyle w:val="yHeading5"/>
        <w:tabs>
          <w:tab w:val="clear" w:pos="879"/>
        </w:tabs>
        <w:spacing w:before="180"/>
        <w:ind w:left="964" w:hanging="964"/>
      </w:pPr>
      <w:bookmarkStart w:id="580" w:name="_Toc237309569"/>
      <w:r>
        <w:rPr>
          <w:rStyle w:val="CharSClsNo"/>
        </w:rPr>
        <w:t>1</w:t>
      </w:r>
      <w:r>
        <w:t>.</w:t>
      </w:r>
      <w:r>
        <w:tab/>
        <w:t>Residential</w:t>
      </w:r>
      <w:bookmarkEnd w:id="580"/>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tabs>
                <w:tab w:val="left" w:leader="dot" w:pos="4572"/>
              </w:tabs>
            </w:pPr>
            <w:r>
              <w:t>In respect of each residential property, not being land mentioned in item 3, 4, 7, 8 or 9</w:t>
            </w:r>
            <w:r>
              <w:tab/>
            </w:r>
          </w:p>
        </w:tc>
        <w:tc>
          <w:tcPr>
            <w:tcW w:w="1440" w:type="dxa"/>
          </w:tcPr>
          <w:p>
            <w:pPr>
              <w:pStyle w:val="yTableNAm"/>
            </w:pPr>
            <w:r>
              <w:br/>
              <w:t>$200.40</w:t>
            </w:r>
          </w:p>
        </w:tc>
      </w:tr>
    </w:tbl>
    <w:p>
      <w:pPr>
        <w:pStyle w:val="yHeading5"/>
        <w:tabs>
          <w:tab w:val="clear" w:pos="879"/>
        </w:tabs>
        <w:spacing w:before="180"/>
        <w:ind w:left="964" w:hanging="964"/>
      </w:pPr>
      <w:bookmarkStart w:id="581" w:name="_Toc237309570"/>
      <w:r>
        <w:rPr>
          <w:rStyle w:val="CharSClsNo"/>
        </w:rPr>
        <w:t>2</w:t>
      </w:r>
      <w:r>
        <w:t>.</w:t>
      </w:r>
      <w:r>
        <w:tab/>
        <w:t>Metropolitan residential garden supply</w:t>
      </w:r>
      <w:bookmarkEnd w:id="581"/>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 w:val="left" w:leader="dot" w:pos="4572"/>
              </w:tabs>
              <w:ind w:left="1016" w:right="12" w:hanging="1016"/>
            </w:pPr>
            <w:r>
              <w:tab/>
              <w:t>(a)</w:t>
            </w:r>
            <w:r>
              <w:tab/>
              <w:t>if the area of land is less than 400 m</w:t>
            </w:r>
            <w:r>
              <w:rPr>
                <w:vertAlign w:val="superscript"/>
              </w:rPr>
              <w:t>2</w:t>
            </w:r>
            <w:r>
              <w:t xml:space="preserve">, in addition to any other charge applicable to the land under this Schedule, a charge of </w:t>
            </w:r>
            <w:r>
              <w:tab/>
            </w:r>
          </w:p>
        </w:tc>
        <w:tc>
          <w:tcPr>
            <w:tcW w:w="1440" w:type="dxa"/>
          </w:tcPr>
          <w:p>
            <w:pPr>
              <w:pStyle w:val="yTableNAm"/>
            </w:pPr>
            <w:r>
              <w:br/>
            </w:r>
            <w:r>
              <w:br/>
            </w:r>
            <w:r>
              <w:br/>
              <w:t>$67.90</w:t>
            </w:r>
          </w:p>
        </w:tc>
      </w:tr>
      <w:tr>
        <w:tc>
          <w:tcPr>
            <w:tcW w:w="960" w:type="dxa"/>
          </w:tcPr>
          <w:p>
            <w:pPr>
              <w:pStyle w:val="yTableNAm"/>
            </w:pPr>
          </w:p>
        </w:tc>
        <w:tc>
          <w:tcPr>
            <w:tcW w:w="4800" w:type="dxa"/>
          </w:tcPr>
          <w:p>
            <w:pPr>
              <w:pStyle w:val="yTableNAm"/>
              <w:tabs>
                <w:tab w:val="clear" w:pos="567"/>
                <w:tab w:val="left" w:pos="416"/>
                <w:tab w:val="left" w:pos="1016"/>
                <w:tab w:val="left" w:leader="dot" w:pos="4572"/>
              </w:tabs>
              <w:ind w:left="1016" w:right="12" w:hanging="1016"/>
            </w:pPr>
            <w:r>
              <w:tab/>
              <w:t>(b)</w:t>
            </w:r>
            <w:r>
              <w:tab/>
              <w:t>if the area of land is equal to or greater than 400 m</w:t>
            </w:r>
            <w:r>
              <w:rPr>
                <w:vertAlign w:val="superscript"/>
              </w:rPr>
              <w:t>2</w:t>
            </w:r>
            <w:r>
              <w:t xml:space="preserve">, in addition to any other charge applicable to the land under this Schedule, a charge of </w:t>
            </w:r>
            <w:r>
              <w:tab/>
            </w:r>
          </w:p>
        </w:tc>
        <w:tc>
          <w:tcPr>
            <w:tcW w:w="1440" w:type="dxa"/>
          </w:tcPr>
          <w:p>
            <w:pPr>
              <w:pStyle w:val="yTableNAm"/>
            </w:pPr>
            <w:r>
              <w:br/>
            </w:r>
            <w:r>
              <w:br/>
            </w:r>
            <w:r>
              <w:br/>
              <w:t>$135.80</w:t>
            </w:r>
          </w:p>
        </w:tc>
      </w:tr>
    </w:tbl>
    <w:p>
      <w:pPr>
        <w:pStyle w:val="yHeading5"/>
        <w:tabs>
          <w:tab w:val="clear" w:pos="879"/>
        </w:tabs>
        <w:spacing w:before="180"/>
        <w:ind w:left="964" w:hanging="964"/>
      </w:pPr>
      <w:bookmarkStart w:id="582" w:name="_Toc237309571"/>
      <w:r>
        <w:rPr>
          <w:rStyle w:val="CharSClsNo"/>
        </w:rPr>
        <w:t>3</w:t>
      </w:r>
      <w:r>
        <w:t>.</w:t>
      </w:r>
      <w:r>
        <w:tab/>
        <w:t>Connected metropolitan exempt</w:t>
      </w:r>
      <w:bookmarkEnd w:id="582"/>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In respect of land described in by</w:t>
            </w:r>
            <w:r>
              <w:noBreakHyphen/>
              <w:t>law 4 that is in the metropolitan area —</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 w:val="left" w:leader="dot" w:pos="4572"/>
              </w:tabs>
              <w:ind w:left="1016" w:right="12" w:hanging="1016"/>
            </w:pPr>
            <w:r>
              <w:tab/>
              <w:t>(a)</w:t>
            </w:r>
            <w:r>
              <w:tab/>
              <w:t>in the case of land described in by</w:t>
            </w:r>
            <w:r>
              <w:noBreakHyphen/>
              <w:t xml:space="preserve">law 4(1)(e) </w:t>
            </w:r>
            <w:r>
              <w:tab/>
            </w:r>
          </w:p>
        </w:tc>
        <w:tc>
          <w:tcPr>
            <w:tcW w:w="1440" w:type="dxa"/>
          </w:tcPr>
          <w:p>
            <w:pPr>
              <w:pStyle w:val="yTableNAm"/>
            </w:pPr>
            <w:r>
              <w:br/>
              <w:t>No charge</w:t>
            </w:r>
          </w:p>
        </w:tc>
      </w:tr>
      <w:tr>
        <w:tc>
          <w:tcPr>
            <w:tcW w:w="960" w:type="dxa"/>
          </w:tcPr>
          <w:p>
            <w:pPr>
              <w:pStyle w:val="yTableNAm"/>
            </w:pPr>
          </w:p>
        </w:tc>
        <w:tc>
          <w:tcPr>
            <w:tcW w:w="4800" w:type="dxa"/>
          </w:tcPr>
          <w:p>
            <w:pPr>
              <w:pStyle w:val="yTableNAm"/>
              <w:tabs>
                <w:tab w:val="clear" w:pos="567"/>
                <w:tab w:val="left" w:pos="416"/>
                <w:tab w:val="left" w:pos="1016"/>
                <w:tab w:val="left" w:leader="dot" w:pos="4572"/>
              </w:tabs>
              <w:ind w:left="1016" w:right="12" w:hanging="1016"/>
            </w:pPr>
            <w:r>
              <w:tab/>
              <w:t>(b)</w:t>
            </w:r>
            <w:r>
              <w:tab/>
              <w:t xml:space="preserve">in any other case </w:t>
            </w:r>
            <w:r>
              <w:tab/>
            </w:r>
          </w:p>
        </w:tc>
        <w:tc>
          <w:tcPr>
            <w:tcW w:w="1440" w:type="dxa"/>
          </w:tcPr>
          <w:p>
            <w:pPr>
              <w:pStyle w:val="yTableNAm"/>
            </w:pPr>
            <w:r>
              <w:t>No charge</w:t>
            </w:r>
          </w:p>
        </w:tc>
      </w:tr>
    </w:tbl>
    <w:p>
      <w:pPr>
        <w:pStyle w:val="yHeading5"/>
        <w:tabs>
          <w:tab w:val="clear" w:pos="879"/>
        </w:tabs>
        <w:ind w:left="964" w:hanging="966"/>
        <w:rPr>
          <w:b w:val="0"/>
          <w:bCs/>
        </w:rPr>
      </w:pPr>
      <w:bookmarkStart w:id="583" w:name="_Toc237309572"/>
      <w:r>
        <w:rPr>
          <w:rStyle w:val="CharSClsNo"/>
        </w:rPr>
        <w:t>4</w:t>
      </w:r>
      <w:r>
        <w:t>.</w:t>
      </w:r>
      <w:r>
        <w:tab/>
        <w:t>Strata</w:t>
      </w:r>
      <w:r>
        <w:noBreakHyphen/>
        <w:t xml:space="preserve">titled (or long-term residential) caravan </w:t>
      </w:r>
      <w:r>
        <w:br/>
        <w:t>bays</w:t>
      </w:r>
      <w:bookmarkEnd w:id="583"/>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tabs>
                <w:tab w:val="left" w:leader="dot" w:pos="4572"/>
              </w:tabs>
            </w:pPr>
            <w:r>
              <w:t xml:space="preserve">In respect of each caravan bay that is a residential property and a lot within the meaning of the </w:t>
            </w:r>
            <w:r>
              <w:rPr>
                <w:i/>
                <w:iCs/>
              </w:rPr>
              <w:t>Strata Titles Act 1985</w:t>
            </w:r>
            <w:r>
              <w:t xml:space="preserve">, or a caravan bay designated as a long-term residential caravan bay </w:t>
            </w:r>
            <w:r>
              <w:tab/>
            </w:r>
          </w:p>
        </w:tc>
        <w:tc>
          <w:tcPr>
            <w:tcW w:w="1440" w:type="dxa"/>
          </w:tcPr>
          <w:p>
            <w:pPr>
              <w:pStyle w:val="yTableNAm"/>
            </w:pPr>
            <w:r>
              <w:br/>
            </w:r>
            <w:r>
              <w:br/>
            </w:r>
            <w:r>
              <w:br/>
              <w:t>$140.80</w:t>
            </w:r>
          </w:p>
        </w:tc>
      </w:tr>
    </w:tbl>
    <w:p>
      <w:pPr>
        <w:pStyle w:val="yHeading5"/>
        <w:tabs>
          <w:tab w:val="clear" w:pos="879"/>
        </w:tabs>
        <w:ind w:left="964" w:hanging="966"/>
        <w:rPr>
          <w:b w:val="0"/>
          <w:bCs/>
        </w:rPr>
      </w:pPr>
      <w:bookmarkStart w:id="584" w:name="_Toc237309573"/>
      <w:r>
        <w:rPr>
          <w:rStyle w:val="CharSClsNo"/>
        </w:rPr>
        <w:t>5</w:t>
      </w:r>
      <w:r>
        <w:t>.</w:t>
      </w:r>
      <w:r>
        <w:tab/>
        <w:t>Strata</w:t>
      </w:r>
      <w:r>
        <w:noBreakHyphen/>
        <w:t>titled storage unit and strata</w:t>
      </w:r>
      <w:r>
        <w:noBreakHyphen/>
        <w:t xml:space="preserve">titled </w:t>
      </w:r>
      <w:r>
        <w:br/>
        <w:t>parking bay</w:t>
      </w:r>
      <w:bookmarkEnd w:id="584"/>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tabs>
                <w:tab w:val="left" w:leader="dot" w:pos="4572"/>
              </w:tabs>
            </w:pPr>
            <w:r>
              <w:t xml:space="preserve">In respect of land comprised in a unit used for storage purposes or as a parking bay that is a lot within the meaning of the </w:t>
            </w:r>
            <w:r>
              <w:rPr>
                <w:i/>
                <w:iCs/>
              </w:rPr>
              <w:t>Strata Titles Act 1985</w:t>
            </w:r>
            <w:r>
              <w:t xml:space="preserve"> </w:t>
            </w:r>
            <w:r>
              <w:tab/>
            </w:r>
          </w:p>
        </w:tc>
        <w:tc>
          <w:tcPr>
            <w:tcW w:w="1440" w:type="dxa"/>
          </w:tcPr>
          <w:p>
            <w:pPr>
              <w:pStyle w:val="yTableNAm"/>
            </w:pPr>
            <w:r>
              <w:br/>
            </w:r>
            <w:r>
              <w:br/>
              <w:t>$70.60</w:t>
            </w:r>
          </w:p>
        </w:tc>
      </w:tr>
    </w:tbl>
    <w:p>
      <w:pPr>
        <w:pStyle w:val="yHeading5"/>
        <w:tabs>
          <w:tab w:val="clear" w:pos="879"/>
        </w:tabs>
        <w:ind w:left="964" w:hanging="966"/>
      </w:pPr>
      <w:bookmarkStart w:id="585" w:name="_Toc237309574"/>
      <w:r>
        <w:rPr>
          <w:rStyle w:val="CharSClsNo"/>
        </w:rPr>
        <w:t>6</w:t>
      </w:r>
      <w:r>
        <w:t>.</w:t>
      </w:r>
      <w:r>
        <w:tab/>
        <w:t>Non</w:t>
      </w:r>
      <w:r>
        <w:noBreakHyphen/>
        <w:t>residential strata</w:t>
      </w:r>
      <w:r>
        <w:noBreakHyphen/>
        <w:t xml:space="preserve">titled units that share a </w:t>
      </w:r>
      <w:r>
        <w:br/>
        <w:t>service</w:t>
      </w:r>
      <w:bookmarkEnd w:id="585"/>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In respect of land that —</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s>
              <w:ind w:left="1016" w:hanging="1016"/>
            </w:pPr>
            <w:r>
              <w:tab/>
              <w:t>(a)</w:t>
            </w:r>
            <w:r>
              <w:tab/>
              <w:t>is not referred to in item 4 or 5; and</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s>
              <w:ind w:left="1016" w:hanging="1016"/>
            </w:pPr>
            <w:r>
              <w:tab/>
              <w:t>(b)</w:t>
            </w:r>
            <w:r>
              <w:tab/>
              <w:t xml:space="preserve">comprises a unit that is a lot within the meaning of the </w:t>
            </w:r>
            <w:r>
              <w:rPr>
                <w:i/>
                <w:iCs/>
              </w:rPr>
              <w:t>Strata Titles Act 1985</w:t>
            </w:r>
            <w:r>
              <w:t>; and</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 w:val="left" w:leader="dot" w:pos="4572"/>
              </w:tabs>
              <w:ind w:left="1016" w:right="12" w:hanging="1016"/>
            </w:pPr>
            <w:r>
              <w:tab/>
              <w:t>(c)</w:t>
            </w:r>
            <w:r>
              <w:tab/>
              <w:t xml:space="preserve">shares a service with another unit described in paragraph (b) </w:t>
            </w:r>
            <w:r>
              <w:tab/>
            </w:r>
          </w:p>
        </w:tc>
        <w:tc>
          <w:tcPr>
            <w:tcW w:w="1440" w:type="dxa"/>
          </w:tcPr>
          <w:p>
            <w:pPr>
              <w:pStyle w:val="yTableNAm"/>
            </w:pPr>
            <w:r>
              <w:br/>
              <w:t>$200.40</w:t>
            </w:r>
          </w:p>
        </w:tc>
      </w:tr>
    </w:tbl>
    <w:p>
      <w:pPr>
        <w:pStyle w:val="yHeading5"/>
        <w:tabs>
          <w:tab w:val="clear" w:pos="879"/>
        </w:tabs>
        <w:ind w:left="964" w:hanging="966"/>
        <w:rPr>
          <w:b w:val="0"/>
          <w:bCs/>
        </w:rPr>
      </w:pPr>
      <w:bookmarkStart w:id="586" w:name="_Toc237309575"/>
      <w:r>
        <w:rPr>
          <w:rStyle w:val="CharSClsNo"/>
        </w:rPr>
        <w:t>7</w:t>
      </w:r>
      <w:r>
        <w:t>.</w:t>
      </w:r>
      <w:r>
        <w:tab/>
        <w:t>Community residential</w:t>
      </w:r>
      <w:bookmarkEnd w:id="586"/>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tabs>
                <w:tab w:val="left" w:leader="dot" w:pos="4572"/>
              </w:tabs>
            </w:pPr>
            <w:r>
              <w:t>In respect of each discrete residential unit as determined under by</w:t>
            </w:r>
            <w:r>
              <w:noBreakHyphen/>
              <w:t xml:space="preserve">law 16 </w:t>
            </w:r>
            <w:r>
              <w:tab/>
            </w:r>
          </w:p>
        </w:tc>
        <w:tc>
          <w:tcPr>
            <w:tcW w:w="1440" w:type="dxa"/>
          </w:tcPr>
          <w:p>
            <w:pPr>
              <w:pStyle w:val="yTableNAm"/>
            </w:pPr>
            <w:r>
              <w:br/>
              <w:t>$100.20</w:t>
            </w:r>
          </w:p>
        </w:tc>
      </w:tr>
    </w:tbl>
    <w:p>
      <w:pPr>
        <w:pStyle w:val="yHeading5"/>
        <w:tabs>
          <w:tab w:val="clear" w:pos="879"/>
        </w:tabs>
        <w:ind w:left="964" w:hanging="966"/>
        <w:rPr>
          <w:b w:val="0"/>
          <w:bCs/>
        </w:rPr>
      </w:pPr>
      <w:bookmarkStart w:id="587" w:name="_Toc237309576"/>
      <w:r>
        <w:rPr>
          <w:rStyle w:val="CharSClsNo"/>
        </w:rPr>
        <w:t>8</w:t>
      </w:r>
      <w:r>
        <w:t>.</w:t>
      </w:r>
      <w:r>
        <w:tab/>
        <w:t>Semi</w:t>
      </w:r>
      <w:r>
        <w:noBreakHyphen/>
        <w:t>rural residential</w:t>
      </w:r>
      <w:bookmarkEnd w:id="587"/>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tabs>
                <w:tab w:val="left" w:leader="dot" w:pos="4572"/>
              </w:tabs>
            </w:pPr>
            <w:r>
              <w:t>In respect of each semi</w:t>
            </w:r>
            <w:r>
              <w:noBreakHyphen/>
              <w:t xml:space="preserve">rural residential property not being land mentioned in item 3 </w:t>
            </w:r>
            <w:r>
              <w:tab/>
            </w:r>
          </w:p>
        </w:tc>
        <w:tc>
          <w:tcPr>
            <w:tcW w:w="1440" w:type="dxa"/>
          </w:tcPr>
          <w:p>
            <w:pPr>
              <w:pStyle w:val="yTableNAm"/>
            </w:pPr>
            <w:r>
              <w:br/>
              <w:t>$200.40</w:t>
            </w:r>
          </w:p>
        </w:tc>
      </w:tr>
    </w:tbl>
    <w:p>
      <w:pPr>
        <w:pStyle w:val="yHeading5"/>
        <w:tabs>
          <w:tab w:val="clear" w:pos="879"/>
        </w:tabs>
        <w:ind w:left="964" w:hanging="966"/>
        <w:rPr>
          <w:b w:val="0"/>
          <w:bCs/>
        </w:rPr>
      </w:pPr>
      <w:bookmarkStart w:id="588" w:name="_Toc237309577"/>
      <w:r>
        <w:rPr>
          <w:rStyle w:val="CharSClsNo"/>
        </w:rPr>
        <w:t>9</w:t>
      </w:r>
      <w:r>
        <w:t>.</w:t>
      </w:r>
      <w:r>
        <w:tab/>
        <w:t>Connected non</w:t>
      </w:r>
      <w:r>
        <w:noBreakHyphen/>
        <w:t>metropolitan exempt</w:t>
      </w:r>
      <w:bookmarkEnd w:id="588"/>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tabs>
                <w:tab w:val="left" w:leader="dot" w:pos="4572"/>
              </w:tabs>
            </w:pPr>
            <w:r>
              <w:t>In respect of land described in by</w:t>
            </w:r>
            <w:r>
              <w:noBreakHyphen/>
              <w:t xml:space="preserve">law 4 that is comprised in a residential property and is not in the metropolitan area </w:t>
            </w:r>
            <w:r>
              <w:tab/>
            </w:r>
          </w:p>
        </w:tc>
        <w:tc>
          <w:tcPr>
            <w:tcW w:w="1440" w:type="dxa"/>
          </w:tcPr>
          <w:p>
            <w:pPr>
              <w:pStyle w:val="yTableNAm"/>
            </w:pPr>
            <w:r>
              <w:br/>
            </w:r>
            <w:r>
              <w:br/>
              <w:t>No charge</w:t>
            </w:r>
          </w:p>
        </w:tc>
      </w:tr>
    </w:tbl>
    <w:p>
      <w:pPr>
        <w:pStyle w:val="yHeading5"/>
        <w:tabs>
          <w:tab w:val="clear" w:pos="879"/>
        </w:tabs>
        <w:ind w:left="964" w:hanging="966"/>
        <w:rPr>
          <w:b w:val="0"/>
          <w:bCs/>
        </w:rPr>
      </w:pPr>
      <w:bookmarkStart w:id="589" w:name="_Toc237309578"/>
      <w:r>
        <w:rPr>
          <w:rStyle w:val="CharSClsNo"/>
        </w:rPr>
        <w:t>10</w:t>
      </w:r>
      <w:r>
        <w:t>.</w:t>
      </w:r>
      <w:r>
        <w:tab/>
        <w:t>Non</w:t>
      </w:r>
      <w:r>
        <w:noBreakHyphen/>
        <w:t>metropolitan non</w:t>
      </w:r>
      <w:r>
        <w:noBreakHyphen/>
        <w:t xml:space="preserve">residential or commercial </w:t>
      </w:r>
      <w:r>
        <w:br/>
        <w:t>residential</w:t>
      </w:r>
      <w:bookmarkEnd w:id="589"/>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keepNext/>
            </w:pPr>
          </w:p>
        </w:tc>
        <w:tc>
          <w:tcPr>
            <w:tcW w:w="4800" w:type="dxa"/>
          </w:tcPr>
          <w:p>
            <w:pPr>
              <w:pStyle w:val="yTableNAm"/>
              <w:keepNext/>
            </w:pPr>
            <w:r>
              <w:t>In respect of land that is neither in the metropolitan area nor comprised in a residential property, where —</w:t>
            </w:r>
          </w:p>
        </w:tc>
        <w:tc>
          <w:tcPr>
            <w:tcW w:w="1440" w:type="dxa"/>
          </w:tcPr>
          <w:p>
            <w:pPr>
              <w:pStyle w:val="yTableNAm"/>
              <w:keepNext/>
            </w:pPr>
          </w:p>
        </w:tc>
      </w:tr>
      <w:tr>
        <w:tc>
          <w:tcPr>
            <w:tcW w:w="960" w:type="dxa"/>
          </w:tcPr>
          <w:p>
            <w:pPr>
              <w:pStyle w:val="yTableNAm"/>
            </w:pPr>
          </w:p>
        </w:tc>
        <w:tc>
          <w:tcPr>
            <w:tcW w:w="4800" w:type="dxa"/>
          </w:tcPr>
          <w:p>
            <w:pPr>
              <w:pStyle w:val="yTableNAm"/>
              <w:tabs>
                <w:tab w:val="clear" w:pos="567"/>
                <w:tab w:val="left" w:pos="416"/>
                <w:tab w:val="left" w:pos="1016"/>
                <w:tab w:val="left" w:leader="dot" w:pos="4572"/>
              </w:tabs>
              <w:ind w:left="1016" w:right="12" w:hanging="1016"/>
            </w:pPr>
            <w:r>
              <w:tab/>
              <w:t>(a)</w:t>
            </w:r>
            <w:r>
              <w:tab/>
              <w:t xml:space="preserve">the land is classified as government or charitable purposes </w:t>
            </w:r>
            <w:r>
              <w:tab/>
            </w:r>
          </w:p>
        </w:tc>
        <w:tc>
          <w:tcPr>
            <w:tcW w:w="1440" w:type="dxa"/>
          </w:tcPr>
          <w:p>
            <w:pPr>
              <w:pStyle w:val="yTableNAm"/>
            </w:pPr>
            <w:r>
              <w:br/>
              <w:t>No charge</w:t>
            </w:r>
          </w:p>
        </w:tc>
      </w:tr>
      <w:tr>
        <w:tc>
          <w:tcPr>
            <w:tcW w:w="960" w:type="dxa"/>
          </w:tcPr>
          <w:p>
            <w:pPr>
              <w:pStyle w:val="yTableNAm"/>
            </w:pPr>
          </w:p>
        </w:tc>
        <w:tc>
          <w:tcPr>
            <w:tcW w:w="4800" w:type="dxa"/>
          </w:tcPr>
          <w:p>
            <w:pPr>
              <w:pStyle w:val="yTableNAm"/>
              <w:tabs>
                <w:tab w:val="clear" w:pos="567"/>
                <w:tab w:val="left" w:pos="416"/>
                <w:tab w:val="left" w:pos="1016"/>
                <w:tab w:val="left" w:leader="dot" w:pos="4572"/>
              </w:tabs>
              <w:ind w:left="1016" w:right="12" w:hanging="1016"/>
            </w:pPr>
            <w:r>
              <w:tab/>
              <w:t>(b)</w:t>
            </w:r>
            <w:r>
              <w:tab/>
              <w:t xml:space="preserve">the land is classified as institutional public </w:t>
            </w:r>
            <w:r>
              <w:tab/>
            </w:r>
          </w:p>
        </w:tc>
        <w:tc>
          <w:tcPr>
            <w:tcW w:w="1440" w:type="dxa"/>
          </w:tcPr>
          <w:p>
            <w:pPr>
              <w:pStyle w:val="yTableNAm"/>
            </w:pPr>
            <w:r>
              <w:br/>
              <w:t>No charge</w:t>
            </w:r>
          </w:p>
        </w:tc>
      </w:tr>
      <w:tr>
        <w:tc>
          <w:tcPr>
            <w:tcW w:w="960" w:type="dxa"/>
          </w:tcPr>
          <w:p>
            <w:pPr>
              <w:pStyle w:val="yTableNAm"/>
            </w:pPr>
          </w:p>
        </w:tc>
        <w:tc>
          <w:tcPr>
            <w:tcW w:w="4800" w:type="dxa"/>
          </w:tcPr>
          <w:p>
            <w:pPr>
              <w:pStyle w:val="yTableNAm"/>
              <w:tabs>
                <w:tab w:val="clear" w:pos="567"/>
                <w:tab w:val="left" w:pos="416"/>
                <w:tab w:val="left" w:pos="1016"/>
              </w:tabs>
              <w:ind w:left="1016" w:hanging="1016"/>
            </w:pPr>
            <w:r>
              <w:tab/>
              <w:t>(c)</w:t>
            </w:r>
            <w:r>
              <w:tab/>
              <w:t>the land —</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1016"/>
                <w:tab w:val="left" w:pos="1616"/>
              </w:tabs>
              <w:ind w:left="1616" w:hanging="1616"/>
            </w:pPr>
            <w:r>
              <w:tab/>
              <w:t>(i)</w:t>
            </w:r>
            <w:r>
              <w:tab/>
              <w:t>is classified as non</w:t>
            </w:r>
            <w:r>
              <w:noBreakHyphen/>
              <w:t>residential or commercial residential; and</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1016"/>
                <w:tab w:val="left" w:pos="1616"/>
              </w:tabs>
              <w:ind w:left="1616" w:hanging="1616"/>
            </w:pPr>
            <w:r>
              <w:tab/>
              <w:t>(ii)</w:t>
            </w:r>
            <w:r>
              <w:tab/>
              <w:t>is not mentioned in item 5 or 6,</w:t>
            </w:r>
          </w:p>
        </w:tc>
        <w:tc>
          <w:tcPr>
            <w:tcW w:w="1440" w:type="dxa"/>
          </w:tcPr>
          <w:p>
            <w:pPr>
              <w:pStyle w:val="yTableNAm"/>
            </w:pPr>
          </w:p>
        </w:tc>
      </w:tr>
      <w:tr>
        <w:tc>
          <w:tcPr>
            <w:tcW w:w="960" w:type="dxa"/>
          </w:tcPr>
          <w:p>
            <w:pPr>
              <w:pStyle w:val="yTableNAm"/>
            </w:pPr>
          </w:p>
        </w:tc>
        <w:tc>
          <w:tcPr>
            <w:tcW w:w="4800" w:type="dxa"/>
          </w:tcPr>
          <w:p>
            <w:pPr>
              <w:pStyle w:val="yTableNAm"/>
            </w:pPr>
            <w:r>
              <w:t>a charge payable for the relevant meter size as set out in the following Table —</w:t>
            </w:r>
          </w:p>
        </w:tc>
        <w:tc>
          <w:tcPr>
            <w:tcW w:w="1440" w:type="dxa"/>
          </w:tcPr>
          <w:p>
            <w:pPr>
              <w:pStyle w:val="yTableNAm"/>
            </w:pPr>
          </w:p>
        </w:tc>
      </w:tr>
    </w:tbl>
    <w:p>
      <w:pPr>
        <w:pStyle w:val="yTHeadingNAm"/>
      </w:pPr>
      <w:r>
        <w:t>Table of meter</w:t>
      </w:r>
      <w:r>
        <w:noBreakHyphen/>
        <w:t>based fixed charges</w:t>
      </w:r>
    </w:p>
    <w:tbl>
      <w:tblPr>
        <w:tblW w:w="0" w:type="auto"/>
        <w:jc w:val="center"/>
        <w:tblInd w:w="1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tblHeader/>
          <w:jc w:val="center"/>
        </w:trPr>
        <w:tc>
          <w:tcPr>
            <w:tcW w:w="3187" w:type="dxa"/>
            <w:tcBorders>
              <w:top w:val="single" w:sz="4" w:space="0" w:color="auto"/>
              <w:left w:val="nil"/>
              <w:bottom w:val="single" w:sz="4" w:space="0" w:color="auto"/>
              <w:right w:val="nil"/>
            </w:tcBorders>
          </w:tcPr>
          <w:p>
            <w:pPr>
              <w:pStyle w:val="yTableNAm"/>
              <w:spacing w:before="60"/>
              <w:jc w:val="center"/>
              <w:rPr>
                <w:b/>
                <w:bCs/>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spacing w:before="60"/>
              <w:jc w:val="center"/>
              <w:rPr>
                <w:b/>
                <w:bCs/>
              </w:rPr>
            </w:pPr>
            <w:r>
              <w:rPr>
                <w:b/>
                <w:bCs/>
              </w:rPr>
              <w:t>Charge</w:t>
            </w:r>
            <w:r>
              <w:rPr>
                <w:b/>
                <w:bCs/>
              </w:rPr>
              <w:br/>
              <w:t>$</w:t>
            </w:r>
          </w:p>
        </w:tc>
      </w:tr>
      <w:tr>
        <w:trPr>
          <w:jc w:val="center"/>
        </w:trPr>
        <w:tc>
          <w:tcPr>
            <w:tcW w:w="3187" w:type="dxa"/>
            <w:tcBorders>
              <w:top w:val="nil"/>
              <w:left w:val="nil"/>
              <w:bottom w:val="nil"/>
              <w:right w:val="nil"/>
            </w:tcBorders>
          </w:tcPr>
          <w:p>
            <w:pPr>
              <w:pStyle w:val="yTableNAm"/>
              <w:spacing w:before="60"/>
              <w:jc w:val="center"/>
            </w:pPr>
            <w:r>
              <w:t>15</w:t>
            </w:r>
          </w:p>
        </w:tc>
        <w:tc>
          <w:tcPr>
            <w:tcW w:w="3084" w:type="dxa"/>
            <w:tcBorders>
              <w:top w:val="nil"/>
              <w:left w:val="nil"/>
              <w:bottom w:val="nil"/>
              <w:right w:val="nil"/>
            </w:tcBorders>
          </w:tcPr>
          <w:p>
            <w:pPr>
              <w:pStyle w:val="yTableNAm"/>
              <w:spacing w:before="60"/>
              <w:jc w:val="center"/>
            </w:pPr>
            <w:r>
              <w:t>463.80</w:t>
            </w:r>
          </w:p>
        </w:tc>
      </w:tr>
      <w:tr>
        <w:trPr>
          <w:jc w:val="center"/>
        </w:trPr>
        <w:tc>
          <w:tcPr>
            <w:tcW w:w="3187" w:type="dxa"/>
            <w:tcBorders>
              <w:top w:val="nil"/>
              <w:left w:val="nil"/>
              <w:bottom w:val="nil"/>
              <w:right w:val="nil"/>
            </w:tcBorders>
          </w:tcPr>
          <w:p>
            <w:pPr>
              <w:pStyle w:val="yTableNAm"/>
              <w:spacing w:before="60"/>
              <w:jc w:val="center"/>
            </w:pPr>
            <w:r>
              <w:t>20</w:t>
            </w:r>
          </w:p>
        </w:tc>
        <w:tc>
          <w:tcPr>
            <w:tcW w:w="3084" w:type="dxa"/>
            <w:tcBorders>
              <w:top w:val="nil"/>
              <w:left w:val="nil"/>
              <w:bottom w:val="nil"/>
              <w:right w:val="nil"/>
            </w:tcBorders>
          </w:tcPr>
          <w:p>
            <w:pPr>
              <w:pStyle w:val="yTableNAm"/>
              <w:spacing w:before="60"/>
              <w:jc w:val="center"/>
            </w:pPr>
            <w:r>
              <w:t>463.80</w:t>
            </w:r>
          </w:p>
        </w:tc>
      </w:tr>
      <w:tr>
        <w:trPr>
          <w:jc w:val="center"/>
        </w:trPr>
        <w:tc>
          <w:tcPr>
            <w:tcW w:w="3187" w:type="dxa"/>
            <w:tcBorders>
              <w:top w:val="nil"/>
              <w:left w:val="nil"/>
              <w:bottom w:val="nil"/>
              <w:right w:val="nil"/>
            </w:tcBorders>
          </w:tcPr>
          <w:p>
            <w:pPr>
              <w:pStyle w:val="yTableNAm"/>
              <w:spacing w:before="60"/>
              <w:jc w:val="center"/>
            </w:pPr>
            <w:r>
              <w:t>25</w:t>
            </w:r>
          </w:p>
        </w:tc>
        <w:tc>
          <w:tcPr>
            <w:tcW w:w="3084" w:type="dxa"/>
            <w:tcBorders>
              <w:top w:val="nil"/>
              <w:left w:val="nil"/>
              <w:bottom w:val="nil"/>
              <w:right w:val="nil"/>
            </w:tcBorders>
          </w:tcPr>
          <w:p>
            <w:pPr>
              <w:pStyle w:val="yTableNAm"/>
              <w:spacing w:before="60"/>
              <w:jc w:val="center"/>
            </w:pPr>
            <w:r>
              <w:t>724.80</w:t>
            </w:r>
          </w:p>
        </w:tc>
      </w:tr>
      <w:tr>
        <w:trPr>
          <w:jc w:val="center"/>
        </w:trPr>
        <w:tc>
          <w:tcPr>
            <w:tcW w:w="3187" w:type="dxa"/>
            <w:tcBorders>
              <w:top w:val="nil"/>
              <w:left w:val="nil"/>
              <w:bottom w:val="nil"/>
              <w:right w:val="nil"/>
            </w:tcBorders>
          </w:tcPr>
          <w:p>
            <w:pPr>
              <w:pStyle w:val="yTableNAm"/>
              <w:spacing w:before="60"/>
              <w:jc w:val="center"/>
            </w:pPr>
            <w:r>
              <w:t>30</w:t>
            </w:r>
          </w:p>
        </w:tc>
        <w:tc>
          <w:tcPr>
            <w:tcW w:w="3084" w:type="dxa"/>
            <w:tcBorders>
              <w:top w:val="nil"/>
              <w:left w:val="nil"/>
              <w:bottom w:val="nil"/>
              <w:right w:val="nil"/>
            </w:tcBorders>
          </w:tcPr>
          <w:p>
            <w:pPr>
              <w:pStyle w:val="yTableNAm"/>
              <w:spacing w:before="60"/>
              <w:jc w:val="center"/>
            </w:pPr>
            <w:r>
              <w:t>1 044.00</w:t>
            </w:r>
          </w:p>
        </w:tc>
      </w:tr>
      <w:tr>
        <w:trPr>
          <w:jc w:val="center"/>
        </w:trPr>
        <w:tc>
          <w:tcPr>
            <w:tcW w:w="3187" w:type="dxa"/>
            <w:tcBorders>
              <w:top w:val="nil"/>
              <w:left w:val="nil"/>
              <w:bottom w:val="nil"/>
              <w:right w:val="nil"/>
            </w:tcBorders>
          </w:tcPr>
          <w:p>
            <w:pPr>
              <w:pStyle w:val="yTableNAm"/>
              <w:spacing w:before="60"/>
              <w:jc w:val="center"/>
            </w:pPr>
            <w:r>
              <w:t>35</w:t>
            </w:r>
          </w:p>
        </w:tc>
        <w:tc>
          <w:tcPr>
            <w:tcW w:w="3084" w:type="dxa"/>
            <w:tcBorders>
              <w:top w:val="nil"/>
              <w:left w:val="nil"/>
              <w:bottom w:val="nil"/>
              <w:right w:val="nil"/>
            </w:tcBorders>
          </w:tcPr>
          <w:p>
            <w:pPr>
              <w:pStyle w:val="yTableNAm"/>
              <w:spacing w:before="60"/>
              <w:jc w:val="center"/>
            </w:pPr>
            <w:r>
              <w:t>1 855.00</w:t>
            </w:r>
          </w:p>
        </w:tc>
      </w:tr>
      <w:tr>
        <w:trPr>
          <w:jc w:val="center"/>
        </w:trPr>
        <w:tc>
          <w:tcPr>
            <w:tcW w:w="3187" w:type="dxa"/>
            <w:tcBorders>
              <w:top w:val="nil"/>
              <w:left w:val="nil"/>
              <w:bottom w:val="nil"/>
              <w:right w:val="nil"/>
            </w:tcBorders>
          </w:tcPr>
          <w:p>
            <w:pPr>
              <w:pStyle w:val="yTableNAm"/>
              <w:spacing w:before="60"/>
              <w:jc w:val="center"/>
            </w:pPr>
            <w:r>
              <w:t>38</w:t>
            </w:r>
          </w:p>
        </w:tc>
        <w:tc>
          <w:tcPr>
            <w:tcW w:w="3084" w:type="dxa"/>
            <w:tcBorders>
              <w:top w:val="nil"/>
              <w:left w:val="nil"/>
              <w:bottom w:val="nil"/>
              <w:right w:val="nil"/>
            </w:tcBorders>
          </w:tcPr>
          <w:p>
            <w:pPr>
              <w:pStyle w:val="yTableNAm"/>
              <w:spacing w:before="60"/>
              <w:jc w:val="center"/>
            </w:pPr>
            <w:r>
              <w:t>1 855.00</w:t>
            </w:r>
          </w:p>
        </w:tc>
      </w:tr>
      <w:tr>
        <w:trPr>
          <w:jc w:val="center"/>
        </w:trPr>
        <w:tc>
          <w:tcPr>
            <w:tcW w:w="3187" w:type="dxa"/>
            <w:tcBorders>
              <w:top w:val="nil"/>
              <w:left w:val="nil"/>
              <w:bottom w:val="nil"/>
              <w:right w:val="nil"/>
            </w:tcBorders>
          </w:tcPr>
          <w:p>
            <w:pPr>
              <w:pStyle w:val="yTableNAm"/>
              <w:spacing w:before="60"/>
              <w:jc w:val="center"/>
            </w:pPr>
            <w:r>
              <w:t>40</w:t>
            </w:r>
          </w:p>
        </w:tc>
        <w:tc>
          <w:tcPr>
            <w:tcW w:w="3084" w:type="dxa"/>
            <w:tcBorders>
              <w:top w:val="nil"/>
              <w:left w:val="nil"/>
              <w:bottom w:val="nil"/>
              <w:right w:val="nil"/>
            </w:tcBorders>
          </w:tcPr>
          <w:p>
            <w:pPr>
              <w:pStyle w:val="yTableNAm"/>
              <w:spacing w:before="60"/>
              <w:jc w:val="center"/>
            </w:pPr>
            <w:r>
              <w:t>1 855.00</w:t>
            </w:r>
          </w:p>
        </w:tc>
      </w:tr>
      <w:tr>
        <w:trPr>
          <w:jc w:val="center"/>
        </w:trPr>
        <w:tc>
          <w:tcPr>
            <w:tcW w:w="3187" w:type="dxa"/>
            <w:tcBorders>
              <w:top w:val="nil"/>
              <w:left w:val="nil"/>
              <w:bottom w:val="nil"/>
              <w:right w:val="nil"/>
            </w:tcBorders>
          </w:tcPr>
          <w:p>
            <w:pPr>
              <w:pStyle w:val="yTableNAm"/>
              <w:spacing w:before="60"/>
              <w:jc w:val="center"/>
            </w:pPr>
            <w:r>
              <w:t>50</w:t>
            </w:r>
          </w:p>
        </w:tc>
        <w:tc>
          <w:tcPr>
            <w:tcW w:w="3084" w:type="dxa"/>
            <w:tcBorders>
              <w:top w:val="nil"/>
              <w:left w:val="nil"/>
              <w:bottom w:val="nil"/>
              <w:right w:val="nil"/>
            </w:tcBorders>
          </w:tcPr>
          <w:p>
            <w:pPr>
              <w:pStyle w:val="yTableNAm"/>
              <w:spacing w:before="60"/>
              <w:jc w:val="center"/>
            </w:pPr>
            <w:r>
              <w:t>2 899.00</w:t>
            </w:r>
          </w:p>
        </w:tc>
      </w:tr>
      <w:tr>
        <w:trPr>
          <w:jc w:val="center"/>
        </w:trPr>
        <w:tc>
          <w:tcPr>
            <w:tcW w:w="3187" w:type="dxa"/>
            <w:tcBorders>
              <w:top w:val="nil"/>
              <w:left w:val="nil"/>
              <w:bottom w:val="nil"/>
              <w:right w:val="nil"/>
            </w:tcBorders>
          </w:tcPr>
          <w:p>
            <w:pPr>
              <w:pStyle w:val="yTableNAm"/>
              <w:spacing w:before="60"/>
              <w:jc w:val="center"/>
            </w:pPr>
            <w:r>
              <w:t>70</w:t>
            </w:r>
          </w:p>
        </w:tc>
        <w:tc>
          <w:tcPr>
            <w:tcW w:w="3084" w:type="dxa"/>
            <w:tcBorders>
              <w:top w:val="nil"/>
              <w:left w:val="nil"/>
              <w:bottom w:val="nil"/>
              <w:right w:val="nil"/>
            </w:tcBorders>
          </w:tcPr>
          <w:p>
            <w:pPr>
              <w:pStyle w:val="yTableNAm"/>
              <w:spacing w:before="60"/>
              <w:jc w:val="center"/>
            </w:pPr>
            <w:r>
              <w:t>7 422.00</w:t>
            </w:r>
          </w:p>
        </w:tc>
      </w:tr>
      <w:tr>
        <w:trPr>
          <w:jc w:val="center"/>
        </w:trPr>
        <w:tc>
          <w:tcPr>
            <w:tcW w:w="3187" w:type="dxa"/>
            <w:tcBorders>
              <w:top w:val="nil"/>
              <w:left w:val="nil"/>
              <w:bottom w:val="nil"/>
              <w:right w:val="nil"/>
            </w:tcBorders>
          </w:tcPr>
          <w:p>
            <w:pPr>
              <w:pStyle w:val="yTableNAm"/>
              <w:spacing w:before="60"/>
              <w:jc w:val="center"/>
            </w:pPr>
            <w:r>
              <w:t>75</w:t>
            </w:r>
          </w:p>
        </w:tc>
        <w:tc>
          <w:tcPr>
            <w:tcW w:w="3084" w:type="dxa"/>
            <w:tcBorders>
              <w:top w:val="nil"/>
              <w:left w:val="nil"/>
              <w:bottom w:val="nil"/>
              <w:right w:val="nil"/>
            </w:tcBorders>
          </w:tcPr>
          <w:p>
            <w:pPr>
              <w:pStyle w:val="yTableNAm"/>
              <w:spacing w:before="60"/>
              <w:jc w:val="center"/>
            </w:pPr>
            <w:r>
              <w:t>7 422.00</w:t>
            </w:r>
          </w:p>
        </w:tc>
      </w:tr>
      <w:tr>
        <w:trPr>
          <w:jc w:val="center"/>
        </w:trPr>
        <w:tc>
          <w:tcPr>
            <w:tcW w:w="3187" w:type="dxa"/>
            <w:tcBorders>
              <w:top w:val="nil"/>
              <w:left w:val="nil"/>
              <w:bottom w:val="nil"/>
              <w:right w:val="nil"/>
            </w:tcBorders>
          </w:tcPr>
          <w:p>
            <w:pPr>
              <w:pStyle w:val="yTableNAm"/>
              <w:spacing w:before="60"/>
              <w:jc w:val="center"/>
            </w:pPr>
            <w:r>
              <w:t>80</w:t>
            </w:r>
          </w:p>
        </w:tc>
        <w:tc>
          <w:tcPr>
            <w:tcW w:w="3084" w:type="dxa"/>
            <w:tcBorders>
              <w:top w:val="nil"/>
              <w:left w:val="nil"/>
              <w:bottom w:val="nil"/>
              <w:right w:val="nil"/>
            </w:tcBorders>
          </w:tcPr>
          <w:p>
            <w:pPr>
              <w:pStyle w:val="yTableNAm"/>
              <w:spacing w:before="60"/>
              <w:jc w:val="center"/>
            </w:pPr>
            <w:r>
              <w:t>7 422.00</w:t>
            </w:r>
          </w:p>
        </w:tc>
      </w:tr>
      <w:tr>
        <w:trPr>
          <w:jc w:val="center"/>
        </w:trPr>
        <w:tc>
          <w:tcPr>
            <w:tcW w:w="3187" w:type="dxa"/>
            <w:tcBorders>
              <w:top w:val="nil"/>
              <w:left w:val="nil"/>
              <w:bottom w:val="nil"/>
              <w:right w:val="nil"/>
            </w:tcBorders>
          </w:tcPr>
          <w:p>
            <w:pPr>
              <w:pStyle w:val="yTableNAm"/>
              <w:spacing w:before="60"/>
              <w:jc w:val="center"/>
            </w:pPr>
            <w:r>
              <w:t>100</w:t>
            </w:r>
          </w:p>
        </w:tc>
        <w:tc>
          <w:tcPr>
            <w:tcW w:w="3084" w:type="dxa"/>
            <w:tcBorders>
              <w:top w:val="nil"/>
              <w:left w:val="nil"/>
              <w:bottom w:val="nil"/>
              <w:right w:val="nil"/>
            </w:tcBorders>
          </w:tcPr>
          <w:p>
            <w:pPr>
              <w:pStyle w:val="yTableNAm"/>
              <w:spacing w:before="60"/>
              <w:jc w:val="center"/>
            </w:pPr>
            <w:r>
              <w:t>11 596.00</w:t>
            </w:r>
          </w:p>
        </w:tc>
      </w:tr>
      <w:tr>
        <w:trPr>
          <w:jc w:val="center"/>
        </w:trPr>
        <w:tc>
          <w:tcPr>
            <w:tcW w:w="3187" w:type="dxa"/>
            <w:tcBorders>
              <w:top w:val="nil"/>
              <w:left w:val="nil"/>
              <w:bottom w:val="nil"/>
              <w:right w:val="nil"/>
            </w:tcBorders>
          </w:tcPr>
          <w:p>
            <w:pPr>
              <w:pStyle w:val="yTableNAm"/>
              <w:spacing w:before="60"/>
              <w:jc w:val="center"/>
            </w:pPr>
            <w:r>
              <w:t>140</w:t>
            </w:r>
          </w:p>
        </w:tc>
        <w:tc>
          <w:tcPr>
            <w:tcW w:w="3084" w:type="dxa"/>
            <w:tcBorders>
              <w:top w:val="nil"/>
              <w:left w:val="nil"/>
              <w:bottom w:val="nil"/>
              <w:right w:val="nil"/>
            </w:tcBorders>
          </w:tcPr>
          <w:p>
            <w:pPr>
              <w:pStyle w:val="yTableNAm"/>
              <w:spacing w:before="60"/>
              <w:jc w:val="center"/>
            </w:pPr>
            <w:r>
              <w:t>26 091.00</w:t>
            </w:r>
          </w:p>
        </w:tc>
      </w:tr>
      <w:tr>
        <w:trPr>
          <w:jc w:val="center"/>
        </w:trPr>
        <w:tc>
          <w:tcPr>
            <w:tcW w:w="3187" w:type="dxa"/>
            <w:tcBorders>
              <w:top w:val="nil"/>
              <w:left w:val="nil"/>
              <w:bottom w:val="single" w:sz="4" w:space="0" w:color="auto"/>
              <w:right w:val="nil"/>
            </w:tcBorders>
          </w:tcPr>
          <w:p>
            <w:pPr>
              <w:pStyle w:val="yTableNAm"/>
              <w:spacing w:before="60"/>
              <w:jc w:val="center"/>
            </w:pPr>
            <w:r>
              <w:t>150</w:t>
            </w:r>
          </w:p>
        </w:tc>
        <w:tc>
          <w:tcPr>
            <w:tcW w:w="3084" w:type="dxa"/>
            <w:tcBorders>
              <w:top w:val="nil"/>
              <w:left w:val="nil"/>
              <w:bottom w:val="single" w:sz="4" w:space="0" w:color="auto"/>
              <w:right w:val="nil"/>
            </w:tcBorders>
          </w:tcPr>
          <w:p>
            <w:pPr>
              <w:pStyle w:val="yTableNAm"/>
              <w:spacing w:before="60"/>
              <w:jc w:val="center"/>
            </w:pPr>
            <w:r>
              <w:t>26 091.00</w:t>
            </w:r>
          </w:p>
        </w:tc>
      </w:tr>
    </w:tbl>
    <w:p>
      <w:pPr>
        <w:pStyle w:val="ySubsection"/>
        <w:spacing w:before="0"/>
      </w:pPr>
    </w:p>
    <w:p>
      <w:pPr>
        <w:pStyle w:val="yHeading5"/>
        <w:keepNext w:val="0"/>
        <w:keepLines w:val="0"/>
        <w:tabs>
          <w:tab w:val="clear" w:pos="879"/>
        </w:tabs>
        <w:ind w:left="964" w:hanging="964"/>
        <w:rPr>
          <w:b w:val="0"/>
          <w:bCs/>
        </w:rPr>
      </w:pPr>
      <w:bookmarkStart w:id="590" w:name="_Toc237309579"/>
      <w:r>
        <w:rPr>
          <w:rStyle w:val="CharSClsNo"/>
        </w:rPr>
        <w:t>11</w:t>
      </w:r>
      <w:r>
        <w:t>.</w:t>
      </w:r>
      <w:r>
        <w:tab/>
        <w:t>Stock</w:t>
      </w:r>
      <w:bookmarkEnd w:id="590"/>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tabs>
                <w:tab w:val="left" w:leader="dot" w:pos="4572"/>
              </w:tabs>
              <w:spacing w:before="160"/>
            </w:pPr>
            <w:r>
              <w:t xml:space="preserve">For the supply of water for the purpose of watering stock on land that is not the subject of a charge under item 10 </w:t>
            </w:r>
            <w:r>
              <w:tab/>
            </w:r>
          </w:p>
        </w:tc>
        <w:tc>
          <w:tcPr>
            <w:tcW w:w="1440" w:type="dxa"/>
          </w:tcPr>
          <w:p>
            <w:pPr>
              <w:pStyle w:val="yTableNAm"/>
            </w:pPr>
            <w:r>
              <w:br/>
            </w:r>
            <w:r>
              <w:br/>
              <w:t>$200.40</w:t>
            </w:r>
          </w:p>
        </w:tc>
      </w:tr>
    </w:tbl>
    <w:p>
      <w:pPr>
        <w:pStyle w:val="yHeading5"/>
        <w:keepNext w:val="0"/>
        <w:keepLines w:val="0"/>
        <w:tabs>
          <w:tab w:val="clear" w:pos="879"/>
        </w:tabs>
        <w:ind w:left="964" w:hanging="964"/>
        <w:rPr>
          <w:b w:val="0"/>
          <w:bCs/>
        </w:rPr>
      </w:pPr>
      <w:bookmarkStart w:id="591" w:name="_Toc237309580"/>
      <w:r>
        <w:rPr>
          <w:rStyle w:val="CharSClsNo"/>
        </w:rPr>
        <w:t>12</w:t>
      </w:r>
      <w:r>
        <w:t>.</w:t>
      </w:r>
      <w:r>
        <w:tab/>
        <w:t>Additional connections</w:t>
      </w:r>
      <w:bookmarkEnd w:id="591"/>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tabs>
                <w:tab w:val="left" w:leader="dot" w:pos="4572"/>
              </w:tabs>
              <w:spacing w:before="160"/>
            </w:pPr>
            <w:r>
              <w:t>Where water is supplied to land through more than one water supply connection, for each additional connection, not being a connection the subject of a charge under item 15 or a connection for a water supply the subject of item 2 or 19 —</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s>
              <w:ind w:left="1015" w:hanging="1015"/>
            </w:pPr>
            <w:r>
              <w:tab/>
              <w:t>(a)</w:t>
            </w:r>
            <w:r>
              <w:tab/>
              <w:t>for —</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1016"/>
                <w:tab w:val="left" w:pos="1616"/>
                <w:tab w:val="left" w:leader="dot" w:pos="4572"/>
              </w:tabs>
              <w:ind w:left="1616" w:hanging="1616"/>
            </w:pPr>
            <w:r>
              <w:tab/>
              <w:t>(i)</w:t>
            </w:r>
            <w:r>
              <w:tab/>
              <w:t xml:space="preserve">for land that is in the metropolitan area, other than land to which subparagraph (ii) applies, a charge of </w:t>
            </w:r>
            <w:r>
              <w:tab/>
            </w:r>
          </w:p>
        </w:tc>
        <w:tc>
          <w:tcPr>
            <w:tcW w:w="1440" w:type="dxa"/>
          </w:tcPr>
          <w:p>
            <w:pPr>
              <w:pStyle w:val="yTableNAm"/>
            </w:pPr>
            <w:r>
              <w:br/>
            </w:r>
            <w:r>
              <w:br/>
            </w:r>
            <w:r>
              <w:br/>
              <w:t>$200.40</w:t>
            </w:r>
          </w:p>
        </w:tc>
      </w:tr>
      <w:tr>
        <w:tc>
          <w:tcPr>
            <w:tcW w:w="960" w:type="dxa"/>
          </w:tcPr>
          <w:p>
            <w:pPr>
              <w:pStyle w:val="yTableNAm"/>
            </w:pPr>
          </w:p>
        </w:tc>
        <w:tc>
          <w:tcPr>
            <w:tcW w:w="4800" w:type="dxa"/>
          </w:tcPr>
          <w:p>
            <w:pPr>
              <w:pStyle w:val="yTableNAm"/>
              <w:tabs>
                <w:tab w:val="clear" w:pos="567"/>
                <w:tab w:val="left" w:pos="1016"/>
                <w:tab w:val="left" w:pos="1616"/>
              </w:tabs>
              <w:ind w:left="1616" w:hanging="1616"/>
            </w:pPr>
            <w:r>
              <w:tab/>
              <w:t>(ii)</w:t>
            </w:r>
            <w:r>
              <w:tab/>
              <w:t>land that is in the metropolitan area and is classified as non</w:t>
            </w:r>
            <w:r>
              <w:noBreakHyphen/>
              <w:t>residential or commercial residential, a charge based on meter size of the additional service as set out in the following Table —</w:t>
            </w:r>
          </w:p>
        </w:tc>
        <w:tc>
          <w:tcPr>
            <w:tcW w:w="1440" w:type="dxa"/>
          </w:tcPr>
          <w:p>
            <w:pPr>
              <w:pStyle w:val="yTableNAm"/>
            </w:pPr>
          </w:p>
        </w:tc>
      </w:tr>
    </w:tbl>
    <w:p>
      <w:pPr>
        <w:pStyle w:val="yTHeadingNAm"/>
      </w:pPr>
      <w:r>
        <w:t>Table of meter</w:t>
      </w:r>
      <w:r>
        <w:noBreakHyphen/>
        <w:t>based fixed charges</w:t>
      </w:r>
    </w:p>
    <w:tbl>
      <w:tblPr>
        <w:tblW w:w="0" w:type="auto"/>
        <w:jc w:val="center"/>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tblHeader/>
          <w:jc w:val="center"/>
        </w:trPr>
        <w:tc>
          <w:tcPr>
            <w:tcW w:w="3215" w:type="dxa"/>
            <w:tcBorders>
              <w:top w:val="single" w:sz="4" w:space="0" w:color="auto"/>
              <w:left w:val="nil"/>
              <w:bottom w:val="single" w:sz="4" w:space="0" w:color="auto"/>
              <w:right w:val="nil"/>
            </w:tcBorders>
          </w:tcPr>
          <w:p>
            <w:pPr>
              <w:pStyle w:val="yTableNAm"/>
              <w:spacing w:before="60"/>
              <w:jc w:val="center"/>
              <w:rPr>
                <w:b/>
                <w:bCs/>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spacing w:before="60"/>
              <w:jc w:val="center"/>
              <w:rPr>
                <w:b/>
                <w:bCs/>
              </w:rPr>
            </w:pPr>
            <w:r>
              <w:rPr>
                <w:b/>
                <w:bCs/>
              </w:rPr>
              <w:t>Charge</w:t>
            </w:r>
            <w:r>
              <w:rPr>
                <w:b/>
                <w:bCs/>
              </w:rPr>
              <w:br/>
              <w:t>$</w:t>
            </w:r>
          </w:p>
        </w:tc>
      </w:tr>
      <w:tr>
        <w:trPr>
          <w:jc w:val="center"/>
        </w:trPr>
        <w:tc>
          <w:tcPr>
            <w:tcW w:w="3215" w:type="dxa"/>
            <w:tcBorders>
              <w:top w:val="nil"/>
              <w:left w:val="nil"/>
              <w:bottom w:val="nil"/>
              <w:right w:val="nil"/>
            </w:tcBorders>
          </w:tcPr>
          <w:p>
            <w:pPr>
              <w:pStyle w:val="yTableNAm"/>
              <w:spacing w:before="60"/>
              <w:jc w:val="center"/>
            </w:pPr>
            <w:r>
              <w:t>20</w:t>
            </w:r>
          </w:p>
        </w:tc>
        <w:tc>
          <w:tcPr>
            <w:tcW w:w="3084" w:type="dxa"/>
            <w:tcBorders>
              <w:top w:val="nil"/>
              <w:left w:val="nil"/>
              <w:bottom w:val="nil"/>
              <w:right w:val="nil"/>
            </w:tcBorders>
          </w:tcPr>
          <w:p>
            <w:pPr>
              <w:pStyle w:val="yTableNAm"/>
              <w:spacing w:before="60"/>
              <w:jc w:val="center"/>
            </w:pPr>
            <w:r>
              <w:t>463.80</w:t>
            </w:r>
          </w:p>
        </w:tc>
      </w:tr>
      <w:tr>
        <w:trPr>
          <w:jc w:val="center"/>
        </w:trPr>
        <w:tc>
          <w:tcPr>
            <w:tcW w:w="3215" w:type="dxa"/>
            <w:tcBorders>
              <w:top w:val="nil"/>
              <w:left w:val="nil"/>
              <w:bottom w:val="nil"/>
              <w:right w:val="nil"/>
            </w:tcBorders>
          </w:tcPr>
          <w:p>
            <w:pPr>
              <w:pStyle w:val="yTableNAm"/>
              <w:spacing w:before="60"/>
              <w:jc w:val="center"/>
            </w:pPr>
            <w:r>
              <w:t>25</w:t>
            </w:r>
          </w:p>
        </w:tc>
        <w:tc>
          <w:tcPr>
            <w:tcW w:w="3084" w:type="dxa"/>
            <w:tcBorders>
              <w:top w:val="nil"/>
              <w:left w:val="nil"/>
              <w:bottom w:val="nil"/>
              <w:right w:val="nil"/>
            </w:tcBorders>
          </w:tcPr>
          <w:p>
            <w:pPr>
              <w:pStyle w:val="yTableNAm"/>
              <w:spacing w:before="60"/>
              <w:jc w:val="center"/>
            </w:pPr>
            <w:r>
              <w:t>724.80</w:t>
            </w:r>
          </w:p>
        </w:tc>
      </w:tr>
      <w:tr>
        <w:trPr>
          <w:jc w:val="center"/>
        </w:trPr>
        <w:tc>
          <w:tcPr>
            <w:tcW w:w="3215" w:type="dxa"/>
            <w:tcBorders>
              <w:top w:val="nil"/>
              <w:left w:val="nil"/>
              <w:bottom w:val="nil"/>
              <w:right w:val="nil"/>
            </w:tcBorders>
          </w:tcPr>
          <w:p>
            <w:pPr>
              <w:pStyle w:val="yTableNAm"/>
              <w:spacing w:before="60"/>
              <w:jc w:val="center"/>
            </w:pPr>
            <w:r>
              <w:t>30</w:t>
            </w:r>
          </w:p>
        </w:tc>
        <w:tc>
          <w:tcPr>
            <w:tcW w:w="3084" w:type="dxa"/>
            <w:tcBorders>
              <w:top w:val="nil"/>
              <w:left w:val="nil"/>
              <w:bottom w:val="nil"/>
              <w:right w:val="nil"/>
            </w:tcBorders>
          </w:tcPr>
          <w:p>
            <w:pPr>
              <w:pStyle w:val="yTableNAm"/>
              <w:spacing w:before="60"/>
              <w:jc w:val="center"/>
            </w:pPr>
            <w:r>
              <w:t>1 044.00</w:t>
            </w:r>
          </w:p>
        </w:tc>
      </w:tr>
      <w:tr>
        <w:trPr>
          <w:jc w:val="center"/>
        </w:trPr>
        <w:tc>
          <w:tcPr>
            <w:tcW w:w="3215" w:type="dxa"/>
            <w:tcBorders>
              <w:top w:val="nil"/>
              <w:left w:val="nil"/>
              <w:bottom w:val="nil"/>
              <w:right w:val="nil"/>
            </w:tcBorders>
          </w:tcPr>
          <w:p>
            <w:pPr>
              <w:pStyle w:val="yTableNAm"/>
              <w:spacing w:before="60"/>
              <w:jc w:val="center"/>
            </w:pPr>
            <w:r>
              <w:t>40</w:t>
            </w:r>
          </w:p>
        </w:tc>
        <w:tc>
          <w:tcPr>
            <w:tcW w:w="3084" w:type="dxa"/>
            <w:tcBorders>
              <w:top w:val="nil"/>
              <w:left w:val="nil"/>
              <w:bottom w:val="nil"/>
              <w:right w:val="nil"/>
            </w:tcBorders>
          </w:tcPr>
          <w:p>
            <w:pPr>
              <w:pStyle w:val="yTableNAm"/>
              <w:spacing w:before="60"/>
              <w:jc w:val="center"/>
            </w:pPr>
            <w:r>
              <w:t>1 855.00</w:t>
            </w:r>
          </w:p>
        </w:tc>
      </w:tr>
      <w:tr>
        <w:trPr>
          <w:jc w:val="center"/>
        </w:trPr>
        <w:tc>
          <w:tcPr>
            <w:tcW w:w="3215" w:type="dxa"/>
            <w:tcBorders>
              <w:top w:val="nil"/>
              <w:left w:val="nil"/>
              <w:bottom w:val="nil"/>
              <w:right w:val="nil"/>
            </w:tcBorders>
          </w:tcPr>
          <w:p>
            <w:pPr>
              <w:pStyle w:val="yTableNAm"/>
              <w:spacing w:before="60"/>
              <w:jc w:val="center"/>
            </w:pPr>
            <w:r>
              <w:t>50</w:t>
            </w:r>
          </w:p>
        </w:tc>
        <w:tc>
          <w:tcPr>
            <w:tcW w:w="3084" w:type="dxa"/>
            <w:tcBorders>
              <w:top w:val="nil"/>
              <w:left w:val="nil"/>
              <w:bottom w:val="nil"/>
              <w:right w:val="nil"/>
            </w:tcBorders>
          </w:tcPr>
          <w:p>
            <w:pPr>
              <w:pStyle w:val="yTableNAm"/>
              <w:spacing w:before="60"/>
              <w:jc w:val="center"/>
            </w:pPr>
            <w:r>
              <w:t>2 899.00</w:t>
            </w:r>
          </w:p>
        </w:tc>
      </w:tr>
      <w:tr>
        <w:trPr>
          <w:jc w:val="center"/>
        </w:trPr>
        <w:tc>
          <w:tcPr>
            <w:tcW w:w="3215" w:type="dxa"/>
            <w:tcBorders>
              <w:top w:val="nil"/>
              <w:left w:val="nil"/>
              <w:bottom w:val="nil"/>
              <w:right w:val="nil"/>
            </w:tcBorders>
          </w:tcPr>
          <w:p>
            <w:pPr>
              <w:pStyle w:val="yTableNAm"/>
              <w:spacing w:before="60"/>
              <w:jc w:val="center"/>
            </w:pPr>
            <w:r>
              <w:t>80</w:t>
            </w:r>
          </w:p>
        </w:tc>
        <w:tc>
          <w:tcPr>
            <w:tcW w:w="3084" w:type="dxa"/>
            <w:tcBorders>
              <w:top w:val="nil"/>
              <w:left w:val="nil"/>
              <w:bottom w:val="nil"/>
              <w:right w:val="nil"/>
            </w:tcBorders>
          </w:tcPr>
          <w:p>
            <w:pPr>
              <w:pStyle w:val="yTableNAm"/>
              <w:spacing w:before="60"/>
              <w:jc w:val="center"/>
            </w:pPr>
            <w:r>
              <w:t>7 422.00</w:t>
            </w:r>
          </w:p>
        </w:tc>
      </w:tr>
      <w:tr>
        <w:trPr>
          <w:jc w:val="center"/>
        </w:trPr>
        <w:tc>
          <w:tcPr>
            <w:tcW w:w="3215" w:type="dxa"/>
            <w:tcBorders>
              <w:top w:val="nil"/>
              <w:left w:val="nil"/>
              <w:bottom w:val="nil"/>
              <w:right w:val="nil"/>
            </w:tcBorders>
          </w:tcPr>
          <w:p>
            <w:pPr>
              <w:pStyle w:val="yTableNAm"/>
              <w:spacing w:before="60"/>
              <w:jc w:val="center"/>
            </w:pPr>
            <w:r>
              <w:t>100</w:t>
            </w:r>
          </w:p>
        </w:tc>
        <w:tc>
          <w:tcPr>
            <w:tcW w:w="3084" w:type="dxa"/>
            <w:tcBorders>
              <w:top w:val="nil"/>
              <w:left w:val="nil"/>
              <w:bottom w:val="nil"/>
              <w:right w:val="nil"/>
            </w:tcBorders>
          </w:tcPr>
          <w:p>
            <w:pPr>
              <w:pStyle w:val="yTableNAm"/>
              <w:spacing w:before="60"/>
              <w:jc w:val="center"/>
            </w:pPr>
            <w:r>
              <w:t>11 596.00</w:t>
            </w:r>
          </w:p>
        </w:tc>
      </w:tr>
      <w:tr>
        <w:trPr>
          <w:jc w:val="center"/>
        </w:trPr>
        <w:tc>
          <w:tcPr>
            <w:tcW w:w="3215" w:type="dxa"/>
            <w:tcBorders>
              <w:top w:val="nil"/>
              <w:left w:val="nil"/>
              <w:bottom w:val="nil"/>
              <w:right w:val="nil"/>
            </w:tcBorders>
          </w:tcPr>
          <w:p>
            <w:pPr>
              <w:pStyle w:val="yTableNAm"/>
              <w:spacing w:before="60"/>
              <w:jc w:val="center"/>
            </w:pPr>
            <w:r>
              <w:t>150</w:t>
            </w:r>
          </w:p>
        </w:tc>
        <w:tc>
          <w:tcPr>
            <w:tcW w:w="3084" w:type="dxa"/>
            <w:tcBorders>
              <w:top w:val="nil"/>
              <w:left w:val="nil"/>
              <w:bottom w:val="nil"/>
              <w:right w:val="nil"/>
            </w:tcBorders>
          </w:tcPr>
          <w:p>
            <w:pPr>
              <w:pStyle w:val="yTableNAm"/>
              <w:spacing w:before="60"/>
              <w:jc w:val="center"/>
            </w:pPr>
            <w:r>
              <w:t>26 091.00</w:t>
            </w:r>
          </w:p>
        </w:tc>
      </w:tr>
      <w:tr>
        <w:trPr>
          <w:jc w:val="center"/>
        </w:trPr>
        <w:tc>
          <w:tcPr>
            <w:tcW w:w="3215" w:type="dxa"/>
            <w:tcBorders>
              <w:top w:val="nil"/>
              <w:left w:val="nil"/>
              <w:bottom w:val="nil"/>
              <w:right w:val="nil"/>
            </w:tcBorders>
          </w:tcPr>
          <w:p>
            <w:pPr>
              <w:pStyle w:val="yTableNAm"/>
              <w:spacing w:before="60"/>
              <w:jc w:val="center"/>
            </w:pPr>
            <w:r>
              <w:t>200</w:t>
            </w:r>
          </w:p>
        </w:tc>
        <w:tc>
          <w:tcPr>
            <w:tcW w:w="3084" w:type="dxa"/>
            <w:tcBorders>
              <w:top w:val="nil"/>
              <w:left w:val="nil"/>
              <w:bottom w:val="nil"/>
              <w:right w:val="nil"/>
            </w:tcBorders>
          </w:tcPr>
          <w:p>
            <w:pPr>
              <w:pStyle w:val="yTableNAm"/>
              <w:spacing w:before="60"/>
              <w:jc w:val="center"/>
            </w:pPr>
            <w:r>
              <w:t>46 385.00</w:t>
            </w:r>
          </w:p>
        </w:tc>
      </w:tr>
      <w:tr>
        <w:trPr>
          <w:jc w:val="center"/>
        </w:trPr>
        <w:tc>
          <w:tcPr>
            <w:tcW w:w="3215" w:type="dxa"/>
            <w:tcBorders>
              <w:top w:val="nil"/>
              <w:left w:val="nil"/>
              <w:bottom w:val="nil"/>
              <w:right w:val="nil"/>
            </w:tcBorders>
          </w:tcPr>
          <w:p>
            <w:pPr>
              <w:pStyle w:val="yTableNAm"/>
              <w:spacing w:before="60"/>
              <w:jc w:val="center"/>
            </w:pPr>
            <w:r>
              <w:t>250</w:t>
            </w:r>
          </w:p>
        </w:tc>
        <w:tc>
          <w:tcPr>
            <w:tcW w:w="3084" w:type="dxa"/>
            <w:tcBorders>
              <w:top w:val="nil"/>
              <w:left w:val="nil"/>
              <w:bottom w:val="nil"/>
              <w:right w:val="nil"/>
            </w:tcBorders>
          </w:tcPr>
          <w:p>
            <w:pPr>
              <w:pStyle w:val="yTableNAm"/>
              <w:spacing w:before="60"/>
              <w:jc w:val="center"/>
            </w:pPr>
            <w:r>
              <w:t>72 476.00</w:t>
            </w:r>
          </w:p>
        </w:tc>
      </w:tr>
      <w:tr>
        <w:trPr>
          <w:jc w:val="center"/>
        </w:trPr>
        <w:tc>
          <w:tcPr>
            <w:tcW w:w="3215" w:type="dxa"/>
            <w:tcBorders>
              <w:top w:val="nil"/>
              <w:left w:val="nil"/>
              <w:bottom w:val="nil"/>
              <w:right w:val="nil"/>
            </w:tcBorders>
          </w:tcPr>
          <w:p>
            <w:pPr>
              <w:pStyle w:val="yTableNAm"/>
              <w:spacing w:before="60"/>
              <w:jc w:val="center"/>
            </w:pPr>
            <w:r>
              <w:t>300</w:t>
            </w:r>
          </w:p>
        </w:tc>
        <w:tc>
          <w:tcPr>
            <w:tcW w:w="3084" w:type="dxa"/>
            <w:tcBorders>
              <w:top w:val="nil"/>
              <w:left w:val="nil"/>
              <w:bottom w:val="nil"/>
              <w:right w:val="nil"/>
            </w:tcBorders>
          </w:tcPr>
          <w:p>
            <w:pPr>
              <w:pStyle w:val="yTableNAm"/>
              <w:spacing w:before="60"/>
              <w:jc w:val="center"/>
            </w:pPr>
            <w:r>
              <w:t>104 366.00</w:t>
            </w:r>
          </w:p>
        </w:tc>
      </w:tr>
      <w:tr>
        <w:trPr>
          <w:jc w:val="center"/>
        </w:trPr>
        <w:tc>
          <w:tcPr>
            <w:tcW w:w="3215" w:type="dxa"/>
            <w:tcBorders>
              <w:top w:val="nil"/>
              <w:left w:val="nil"/>
              <w:bottom w:val="single" w:sz="4" w:space="0" w:color="auto"/>
              <w:right w:val="nil"/>
            </w:tcBorders>
          </w:tcPr>
          <w:p>
            <w:pPr>
              <w:pStyle w:val="yTableNAm"/>
              <w:spacing w:before="60"/>
              <w:jc w:val="center"/>
            </w:pPr>
            <w:r>
              <w:t>350</w:t>
            </w:r>
          </w:p>
        </w:tc>
        <w:tc>
          <w:tcPr>
            <w:tcW w:w="3084" w:type="dxa"/>
            <w:tcBorders>
              <w:top w:val="nil"/>
              <w:left w:val="nil"/>
              <w:bottom w:val="single" w:sz="4" w:space="0" w:color="auto"/>
              <w:right w:val="nil"/>
            </w:tcBorders>
          </w:tcPr>
          <w:p>
            <w:pPr>
              <w:pStyle w:val="yTableNAm"/>
              <w:spacing w:before="60"/>
              <w:jc w:val="center"/>
            </w:pPr>
            <w:r>
              <w:t>142 053.00</w:t>
            </w:r>
          </w:p>
        </w:tc>
      </w:tr>
    </w:tbl>
    <w:p>
      <w:pPr>
        <w:pStyle w:val="ySubsection"/>
        <w:spacing w:before="0"/>
      </w:pPr>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spacing w:before="0"/>
            </w:pPr>
          </w:p>
        </w:tc>
        <w:tc>
          <w:tcPr>
            <w:tcW w:w="4800" w:type="dxa"/>
          </w:tcPr>
          <w:p>
            <w:pPr>
              <w:pStyle w:val="yTableNAm"/>
              <w:tabs>
                <w:tab w:val="clear" w:pos="567"/>
                <w:tab w:val="left" w:pos="416"/>
                <w:tab w:val="left" w:pos="1016"/>
                <w:tab w:val="left" w:leader="dot" w:pos="4572"/>
              </w:tabs>
              <w:spacing w:before="0"/>
              <w:ind w:left="1016" w:right="12" w:hanging="1016"/>
            </w:pPr>
            <w:r>
              <w:tab/>
              <w:t>(b)</w:t>
            </w:r>
            <w:r>
              <w:tab/>
              <w:t xml:space="preserve">for land that is not in the metropolitan area, other than land to which paragraph (c) applies, a charge of </w:t>
            </w:r>
            <w:r>
              <w:tab/>
            </w:r>
          </w:p>
        </w:tc>
        <w:tc>
          <w:tcPr>
            <w:tcW w:w="1440" w:type="dxa"/>
          </w:tcPr>
          <w:p>
            <w:pPr>
              <w:pStyle w:val="yTableNAm"/>
              <w:spacing w:before="0"/>
            </w:pPr>
            <w:r>
              <w:br/>
            </w:r>
            <w:r>
              <w:br/>
              <w:t>$200.40</w:t>
            </w:r>
          </w:p>
        </w:tc>
      </w:tr>
      <w:tr>
        <w:tc>
          <w:tcPr>
            <w:tcW w:w="960" w:type="dxa"/>
          </w:tcPr>
          <w:p>
            <w:pPr>
              <w:pStyle w:val="yTableNAm"/>
            </w:pPr>
          </w:p>
        </w:tc>
        <w:tc>
          <w:tcPr>
            <w:tcW w:w="4800" w:type="dxa"/>
          </w:tcPr>
          <w:p>
            <w:pPr>
              <w:pStyle w:val="yTableNAm"/>
              <w:tabs>
                <w:tab w:val="clear" w:pos="567"/>
                <w:tab w:val="left" w:pos="416"/>
                <w:tab w:val="left" w:pos="1016"/>
              </w:tabs>
              <w:ind w:left="1016" w:hanging="1016"/>
            </w:pPr>
            <w:r>
              <w:tab/>
              <w:t>(c)</w:t>
            </w:r>
            <w:r>
              <w:tab/>
              <w:t>for land that is not in the metropolitan area and is classified as non</w:t>
            </w:r>
            <w:r>
              <w:noBreakHyphen/>
              <w:t>residential or commercial residential, a charge based on meter size of the additional service as set out in the following Table —</w:t>
            </w:r>
          </w:p>
        </w:tc>
        <w:tc>
          <w:tcPr>
            <w:tcW w:w="1440" w:type="dxa"/>
          </w:tcPr>
          <w:p>
            <w:pPr>
              <w:pStyle w:val="yTableNAm"/>
            </w:pPr>
          </w:p>
        </w:tc>
      </w:tr>
    </w:tbl>
    <w:p>
      <w:pPr>
        <w:pStyle w:val="yTHeadingNAm"/>
      </w:pPr>
      <w:r>
        <w:t>Table of meter</w:t>
      </w:r>
      <w:r>
        <w:noBreakHyphen/>
        <w:t>based fixed charges</w:t>
      </w:r>
    </w:p>
    <w:tbl>
      <w:tblPr>
        <w:tblW w:w="0" w:type="auto"/>
        <w:jc w:val="center"/>
        <w:tblInd w:w="990" w:type="dxa"/>
        <w:tblLayout w:type="fixed"/>
        <w:tblLook w:val="0000" w:firstRow="0" w:lastRow="0" w:firstColumn="0" w:lastColumn="0" w:noHBand="0" w:noVBand="0"/>
      </w:tblPr>
      <w:tblGrid>
        <w:gridCol w:w="3229"/>
        <w:gridCol w:w="3041"/>
      </w:tblGrid>
      <w:tr>
        <w:trPr>
          <w:tblHeader/>
          <w:jc w:val="center"/>
        </w:trPr>
        <w:tc>
          <w:tcPr>
            <w:tcW w:w="3229" w:type="dxa"/>
            <w:tcBorders>
              <w:top w:val="single" w:sz="4" w:space="0" w:color="auto"/>
              <w:bottom w:val="single" w:sz="4" w:space="0" w:color="auto"/>
            </w:tcBorders>
          </w:tcPr>
          <w:p>
            <w:pPr>
              <w:pStyle w:val="yTableNAm"/>
              <w:spacing w:before="60"/>
              <w:jc w:val="center"/>
              <w:rPr>
                <w:b/>
                <w:bCs/>
              </w:rPr>
            </w:pPr>
            <w:r>
              <w:rPr>
                <w:b/>
                <w:bCs/>
              </w:rPr>
              <w:t>Meter size</w:t>
            </w:r>
            <w:r>
              <w:rPr>
                <w:b/>
                <w:bCs/>
              </w:rPr>
              <w:br/>
              <w:t>mm</w:t>
            </w:r>
          </w:p>
        </w:tc>
        <w:tc>
          <w:tcPr>
            <w:tcW w:w="3041" w:type="dxa"/>
            <w:tcBorders>
              <w:top w:val="single" w:sz="4" w:space="0" w:color="auto"/>
              <w:bottom w:val="single" w:sz="4" w:space="0" w:color="auto"/>
            </w:tcBorders>
          </w:tcPr>
          <w:p>
            <w:pPr>
              <w:pStyle w:val="yTableNAm"/>
              <w:spacing w:before="60"/>
              <w:jc w:val="center"/>
              <w:rPr>
                <w:b/>
                <w:bCs/>
              </w:rPr>
            </w:pPr>
            <w:r>
              <w:rPr>
                <w:b/>
                <w:bCs/>
              </w:rPr>
              <w:t>Charge</w:t>
            </w:r>
            <w:r>
              <w:rPr>
                <w:b/>
                <w:bCs/>
              </w:rPr>
              <w:br/>
              <w:t>$</w:t>
            </w:r>
          </w:p>
        </w:tc>
      </w:tr>
      <w:tr>
        <w:trPr>
          <w:jc w:val="center"/>
        </w:trPr>
        <w:tc>
          <w:tcPr>
            <w:tcW w:w="3229" w:type="dxa"/>
          </w:tcPr>
          <w:p>
            <w:pPr>
              <w:pStyle w:val="yTableNAm"/>
              <w:spacing w:before="60"/>
              <w:jc w:val="center"/>
            </w:pPr>
            <w:r>
              <w:t>15</w:t>
            </w:r>
          </w:p>
        </w:tc>
        <w:tc>
          <w:tcPr>
            <w:tcW w:w="3041" w:type="dxa"/>
          </w:tcPr>
          <w:p>
            <w:pPr>
              <w:pStyle w:val="yTableNAm"/>
              <w:spacing w:before="60"/>
              <w:jc w:val="center"/>
            </w:pPr>
            <w:r>
              <w:t>463.80</w:t>
            </w:r>
          </w:p>
        </w:tc>
      </w:tr>
      <w:tr>
        <w:trPr>
          <w:jc w:val="center"/>
        </w:trPr>
        <w:tc>
          <w:tcPr>
            <w:tcW w:w="3229" w:type="dxa"/>
          </w:tcPr>
          <w:p>
            <w:pPr>
              <w:pStyle w:val="yTableNAm"/>
              <w:spacing w:before="60"/>
              <w:jc w:val="center"/>
            </w:pPr>
            <w:r>
              <w:t>20</w:t>
            </w:r>
          </w:p>
        </w:tc>
        <w:tc>
          <w:tcPr>
            <w:tcW w:w="3041" w:type="dxa"/>
          </w:tcPr>
          <w:p>
            <w:pPr>
              <w:pStyle w:val="yTableNAm"/>
              <w:spacing w:before="60"/>
              <w:jc w:val="center"/>
            </w:pPr>
            <w:r>
              <w:t>463.80</w:t>
            </w:r>
          </w:p>
        </w:tc>
      </w:tr>
      <w:tr>
        <w:trPr>
          <w:jc w:val="center"/>
        </w:trPr>
        <w:tc>
          <w:tcPr>
            <w:tcW w:w="3229" w:type="dxa"/>
          </w:tcPr>
          <w:p>
            <w:pPr>
              <w:pStyle w:val="yTableNAm"/>
              <w:spacing w:before="60"/>
              <w:jc w:val="center"/>
            </w:pPr>
            <w:r>
              <w:t>25</w:t>
            </w:r>
          </w:p>
        </w:tc>
        <w:tc>
          <w:tcPr>
            <w:tcW w:w="3041" w:type="dxa"/>
          </w:tcPr>
          <w:p>
            <w:pPr>
              <w:pStyle w:val="yTableNAm"/>
              <w:spacing w:before="60"/>
              <w:jc w:val="center"/>
            </w:pPr>
            <w:r>
              <w:t>724.80</w:t>
            </w:r>
          </w:p>
        </w:tc>
      </w:tr>
      <w:tr>
        <w:trPr>
          <w:jc w:val="center"/>
        </w:trPr>
        <w:tc>
          <w:tcPr>
            <w:tcW w:w="3229" w:type="dxa"/>
          </w:tcPr>
          <w:p>
            <w:pPr>
              <w:pStyle w:val="yTableNAm"/>
              <w:spacing w:before="60"/>
              <w:jc w:val="center"/>
            </w:pPr>
            <w:r>
              <w:t>30</w:t>
            </w:r>
          </w:p>
        </w:tc>
        <w:tc>
          <w:tcPr>
            <w:tcW w:w="3041" w:type="dxa"/>
          </w:tcPr>
          <w:p>
            <w:pPr>
              <w:pStyle w:val="yTableNAm"/>
              <w:spacing w:before="60"/>
              <w:jc w:val="center"/>
            </w:pPr>
            <w:r>
              <w:t>1 044.00</w:t>
            </w:r>
          </w:p>
        </w:tc>
      </w:tr>
      <w:tr>
        <w:trPr>
          <w:jc w:val="center"/>
        </w:trPr>
        <w:tc>
          <w:tcPr>
            <w:tcW w:w="3229" w:type="dxa"/>
          </w:tcPr>
          <w:p>
            <w:pPr>
              <w:pStyle w:val="yTableNAm"/>
              <w:spacing w:before="60"/>
              <w:jc w:val="center"/>
            </w:pPr>
            <w:r>
              <w:t>35</w:t>
            </w:r>
          </w:p>
        </w:tc>
        <w:tc>
          <w:tcPr>
            <w:tcW w:w="3041" w:type="dxa"/>
          </w:tcPr>
          <w:p>
            <w:pPr>
              <w:pStyle w:val="yTableNAm"/>
              <w:spacing w:before="60"/>
              <w:jc w:val="center"/>
            </w:pPr>
            <w:r>
              <w:t>1 855.00</w:t>
            </w:r>
          </w:p>
        </w:tc>
      </w:tr>
      <w:tr>
        <w:trPr>
          <w:jc w:val="center"/>
        </w:trPr>
        <w:tc>
          <w:tcPr>
            <w:tcW w:w="3229" w:type="dxa"/>
          </w:tcPr>
          <w:p>
            <w:pPr>
              <w:pStyle w:val="yTableNAm"/>
              <w:spacing w:before="60"/>
              <w:jc w:val="center"/>
            </w:pPr>
            <w:r>
              <w:t>38</w:t>
            </w:r>
          </w:p>
        </w:tc>
        <w:tc>
          <w:tcPr>
            <w:tcW w:w="3041" w:type="dxa"/>
          </w:tcPr>
          <w:p>
            <w:pPr>
              <w:pStyle w:val="yTableNAm"/>
              <w:spacing w:before="60"/>
              <w:jc w:val="center"/>
            </w:pPr>
            <w:r>
              <w:t>1 855.00</w:t>
            </w:r>
          </w:p>
        </w:tc>
      </w:tr>
      <w:tr>
        <w:trPr>
          <w:jc w:val="center"/>
        </w:trPr>
        <w:tc>
          <w:tcPr>
            <w:tcW w:w="3229" w:type="dxa"/>
          </w:tcPr>
          <w:p>
            <w:pPr>
              <w:pStyle w:val="yTableNAm"/>
              <w:spacing w:before="60"/>
              <w:jc w:val="center"/>
            </w:pPr>
            <w:r>
              <w:t>40</w:t>
            </w:r>
          </w:p>
        </w:tc>
        <w:tc>
          <w:tcPr>
            <w:tcW w:w="3041" w:type="dxa"/>
          </w:tcPr>
          <w:p>
            <w:pPr>
              <w:pStyle w:val="yTableNAm"/>
              <w:spacing w:before="60"/>
              <w:jc w:val="center"/>
            </w:pPr>
            <w:r>
              <w:t>1 855.00</w:t>
            </w:r>
          </w:p>
        </w:tc>
      </w:tr>
      <w:tr>
        <w:trPr>
          <w:jc w:val="center"/>
        </w:trPr>
        <w:tc>
          <w:tcPr>
            <w:tcW w:w="3229" w:type="dxa"/>
          </w:tcPr>
          <w:p>
            <w:pPr>
              <w:pStyle w:val="yTableNAm"/>
              <w:spacing w:before="60"/>
              <w:jc w:val="center"/>
            </w:pPr>
            <w:r>
              <w:t>50</w:t>
            </w:r>
          </w:p>
        </w:tc>
        <w:tc>
          <w:tcPr>
            <w:tcW w:w="3041" w:type="dxa"/>
          </w:tcPr>
          <w:p>
            <w:pPr>
              <w:pStyle w:val="yTableNAm"/>
              <w:spacing w:before="60"/>
              <w:jc w:val="center"/>
            </w:pPr>
            <w:r>
              <w:t>2 899.00</w:t>
            </w:r>
          </w:p>
        </w:tc>
      </w:tr>
      <w:tr>
        <w:trPr>
          <w:jc w:val="center"/>
        </w:trPr>
        <w:tc>
          <w:tcPr>
            <w:tcW w:w="3229" w:type="dxa"/>
          </w:tcPr>
          <w:p>
            <w:pPr>
              <w:pStyle w:val="yTableNAm"/>
              <w:spacing w:before="60"/>
              <w:jc w:val="center"/>
            </w:pPr>
            <w:r>
              <w:t>70</w:t>
            </w:r>
          </w:p>
        </w:tc>
        <w:tc>
          <w:tcPr>
            <w:tcW w:w="3041" w:type="dxa"/>
          </w:tcPr>
          <w:p>
            <w:pPr>
              <w:pStyle w:val="yTableNAm"/>
              <w:spacing w:before="60"/>
              <w:jc w:val="center"/>
            </w:pPr>
            <w:r>
              <w:t>6 846.00</w:t>
            </w:r>
          </w:p>
        </w:tc>
      </w:tr>
      <w:tr>
        <w:trPr>
          <w:jc w:val="center"/>
        </w:trPr>
        <w:tc>
          <w:tcPr>
            <w:tcW w:w="3229" w:type="dxa"/>
          </w:tcPr>
          <w:p>
            <w:pPr>
              <w:pStyle w:val="yTableNAm"/>
              <w:spacing w:before="60"/>
              <w:jc w:val="center"/>
            </w:pPr>
            <w:r>
              <w:t>75</w:t>
            </w:r>
          </w:p>
        </w:tc>
        <w:tc>
          <w:tcPr>
            <w:tcW w:w="3041" w:type="dxa"/>
          </w:tcPr>
          <w:p>
            <w:pPr>
              <w:pStyle w:val="yTableNAm"/>
              <w:spacing w:before="60"/>
              <w:jc w:val="center"/>
            </w:pPr>
            <w:r>
              <w:t>6 846.00</w:t>
            </w:r>
          </w:p>
        </w:tc>
      </w:tr>
      <w:tr>
        <w:trPr>
          <w:jc w:val="center"/>
        </w:trPr>
        <w:tc>
          <w:tcPr>
            <w:tcW w:w="3229" w:type="dxa"/>
          </w:tcPr>
          <w:p>
            <w:pPr>
              <w:pStyle w:val="yTableNAm"/>
              <w:spacing w:before="60"/>
              <w:jc w:val="center"/>
            </w:pPr>
            <w:r>
              <w:t>80</w:t>
            </w:r>
          </w:p>
        </w:tc>
        <w:tc>
          <w:tcPr>
            <w:tcW w:w="3041" w:type="dxa"/>
          </w:tcPr>
          <w:p>
            <w:pPr>
              <w:pStyle w:val="yTableNAm"/>
              <w:spacing w:before="60"/>
              <w:jc w:val="center"/>
            </w:pPr>
            <w:r>
              <w:t>6 846.00</w:t>
            </w:r>
          </w:p>
        </w:tc>
      </w:tr>
      <w:tr>
        <w:trPr>
          <w:jc w:val="center"/>
        </w:trPr>
        <w:tc>
          <w:tcPr>
            <w:tcW w:w="3229" w:type="dxa"/>
          </w:tcPr>
          <w:p>
            <w:pPr>
              <w:pStyle w:val="yTableNAm"/>
              <w:spacing w:before="60"/>
              <w:jc w:val="center"/>
            </w:pPr>
            <w:r>
              <w:t>100</w:t>
            </w:r>
          </w:p>
        </w:tc>
        <w:tc>
          <w:tcPr>
            <w:tcW w:w="3041" w:type="dxa"/>
          </w:tcPr>
          <w:p>
            <w:pPr>
              <w:pStyle w:val="yTableNAm"/>
              <w:spacing w:before="60"/>
              <w:jc w:val="center"/>
            </w:pPr>
            <w:r>
              <w:t>10 937.00</w:t>
            </w:r>
          </w:p>
        </w:tc>
      </w:tr>
      <w:tr>
        <w:trPr>
          <w:jc w:val="center"/>
        </w:trPr>
        <w:tc>
          <w:tcPr>
            <w:tcW w:w="3229" w:type="dxa"/>
          </w:tcPr>
          <w:p>
            <w:pPr>
              <w:pStyle w:val="yTableNAm"/>
              <w:spacing w:before="60"/>
              <w:jc w:val="center"/>
            </w:pPr>
            <w:r>
              <w:t>140</w:t>
            </w:r>
          </w:p>
        </w:tc>
        <w:tc>
          <w:tcPr>
            <w:tcW w:w="3041" w:type="dxa"/>
          </w:tcPr>
          <w:p>
            <w:pPr>
              <w:pStyle w:val="yTableNAm"/>
              <w:spacing w:before="60"/>
              <w:jc w:val="center"/>
            </w:pPr>
            <w:r>
              <w:t>25 859.00</w:t>
            </w:r>
          </w:p>
        </w:tc>
      </w:tr>
      <w:tr>
        <w:trPr>
          <w:jc w:val="center"/>
        </w:trPr>
        <w:tc>
          <w:tcPr>
            <w:tcW w:w="3229" w:type="dxa"/>
            <w:tcBorders>
              <w:bottom w:val="single" w:sz="4" w:space="0" w:color="auto"/>
            </w:tcBorders>
          </w:tcPr>
          <w:p>
            <w:pPr>
              <w:pStyle w:val="yTableNAm"/>
              <w:spacing w:before="60"/>
              <w:jc w:val="center"/>
            </w:pPr>
            <w:r>
              <w:t>150</w:t>
            </w:r>
          </w:p>
        </w:tc>
        <w:tc>
          <w:tcPr>
            <w:tcW w:w="3041" w:type="dxa"/>
            <w:tcBorders>
              <w:bottom w:val="single" w:sz="4" w:space="0" w:color="auto"/>
            </w:tcBorders>
          </w:tcPr>
          <w:p>
            <w:pPr>
              <w:pStyle w:val="yTableNAm"/>
              <w:spacing w:before="60"/>
              <w:jc w:val="center"/>
            </w:pPr>
            <w:r>
              <w:t>25 859.00</w:t>
            </w:r>
          </w:p>
        </w:tc>
      </w:tr>
    </w:tbl>
    <w:p>
      <w:pPr>
        <w:pStyle w:val="ySubsection"/>
        <w:spacing w:before="0"/>
      </w:pPr>
    </w:p>
    <w:p>
      <w:pPr>
        <w:pStyle w:val="yHeading5"/>
        <w:keepLines w:val="0"/>
        <w:tabs>
          <w:tab w:val="clear" w:pos="879"/>
        </w:tabs>
        <w:spacing w:before="180"/>
        <w:ind w:left="964" w:hanging="964"/>
        <w:rPr>
          <w:b w:val="0"/>
          <w:bCs/>
        </w:rPr>
      </w:pPr>
      <w:bookmarkStart w:id="592" w:name="_Toc237309581"/>
      <w:r>
        <w:rPr>
          <w:rStyle w:val="CharSClsNo"/>
        </w:rPr>
        <w:t>13</w:t>
      </w:r>
      <w:r>
        <w:t>.</w:t>
      </w:r>
      <w:r>
        <w:tab/>
        <w:t>Shipping (non</w:t>
      </w:r>
      <w:r>
        <w:noBreakHyphen/>
        <w:t>metropolitan)</w:t>
      </w:r>
      <w:bookmarkEnd w:id="592"/>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keepNext/>
            </w:pPr>
          </w:p>
        </w:tc>
        <w:tc>
          <w:tcPr>
            <w:tcW w:w="4800" w:type="dxa"/>
          </w:tcPr>
          <w:p>
            <w:pPr>
              <w:pStyle w:val="yTableNAm"/>
              <w:keepNext/>
            </w:pPr>
            <w:r>
              <w:t>For each water supply connection provided for the purpose of water being taken on board any ship in a port not in the metropolitan area the charge applicable for the relevant meter size in the Table to item 10.</w:t>
            </w:r>
          </w:p>
        </w:tc>
        <w:tc>
          <w:tcPr>
            <w:tcW w:w="1440" w:type="dxa"/>
          </w:tcPr>
          <w:p>
            <w:pPr>
              <w:pStyle w:val="yTableNAm"/>
              <w:keepNext/>
            </w:pPr>
          </w:p>
        </w:tc>
      </w:tr>
    </w:tbl>
    <w:p>
      <w:pPr>
        <w:pStyle w:val="yHeading5"/>
        <w:keepNext w:val="0"/>
        <w:keepLines w:val="0"/>
        <w:tabs>
          <w:tab w:val="clear" w:pos="879"/>
        </w:tabs>
        <w:spacing w:before="160"/>
        <w:ind w:left="964" w:hanging="964"/>
        <w:rPr>
          <w:b w:val="0"/>
          <w:bCs/>
        </w:rPr>
      </w:pPr>
      <w:bookmarkStart w:id="593" w:name="_Toc237309582"/>
      <w:r>
        <w:rPr>
          <w:rStyle w:val="CharSClsNo"/>
        </w:rPr>
        <w:t>14</w:t>
      </w:r>
      <w:r>
        <w:t>.</w:t>
      </w:r>
      <w:r>
        <w:tab/>
        <w:t>Local government standpipes</w:t>
      </w:r>
      <w:bookmarkEnd w:id="593"/>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tabs>
                <w:tab w:val="left" w:leader="dot" w:pos="4572"/>
              </w:tabs>
            </w:pPr>
            <w:r>
              <w:t xml:space="preserve">For each local government standpipe </w:t>
            </w:r>
            <w:r>
              <w:tab/>
            </w:r>
          </w:p>
        </w:tc>
        <w:tc>
          <w:tcPr>
            <w:tcW w:w="1440" w:type="dxa"/>
          </w:tcPr>
          <w:p>
            <w:pPr>
              <w:pStyle w:val="yTableNAm"/>
            </w:pPr>
            <w:r>
              <w:t>$200.40</w:t>
            </w:r>
          </w:p>
        </w:tc>
      </w:tr>
    </w:tbl>
    <w:p>
      <w:pPr>
        <w:pStyle w:val="yHeading5"/>
        <w:keepNext w:val="0"/>
        <w:keepLines w:val="0"/>
        <w:tabs>
          <w:tab w:val="clear" w:pos="879"/>
        </w:tabs>
        <w:spacing w:before="160"/>
        <w:ind w:left="964" w:hanging="964"/>
        <w:rPr>
          <w:b w:val="0"/>
          <w:bCs/>
        </w:rPr>
      </w:pPr>
      <w:bookmarkStart w:id="594" w:name="_Toc237309583"/>
      <w:r>
        <w:rPr>
          <w:rStyle w:val="CharSClsNo"/>
        </w:rPr>
        <w:t>15</w:t>
      </w:r>
      <w:r>
        <w:t>.</w:t>
      </w:r>
      <w:r>
        <w:tab/>
        <w:t>Firefighting connections</w:t>
      </w:r>
      <w:bookmarkEnd w:id="594"/>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tabs>
                <w:tab w:val="left" w:leader="dot" w:pos="4572"/>
              </w:tabs>
            </w:pPr>
            <w:r>
              <w:t xml:space="preserve">For each water supply connection provided for the purpose of firefighting </w:t>
            </w:r>
            <w:r>
              <w:tab/>
            </w:r>
          </w:p>
        </w:tc>
        <w:tc>
          <w:tcPr>
            <w:tcW w:w="1440" w:type="dxa"/>
          </w:tcPr>
          <w:p>
            <w:pPr>
              <w:pStyle w:val="yTableNAm"/>
            </w:pPr>
            <w:r>
              <w:br/>
              <w:t>$200.40</w:t>
            </w:r>
          </w:p>
        </w:tc>
      </w:tr>
    </w:tbl>
    <w:p>
      <w:pPr>
        <w:pStyle w:val="yHeading5"/>
        <w:keepNext w:val="0"/>
        <w:keepLines w:val="0"/>
        <w:tabs>
          <w:tab w:val="clear" w:pos="879"/>
        </w:tabs>
        <w:spacing w:before="160"/>
        <w:ind w:left="964" w:hanging="964"/>
        <w:rPr>
          <w:b w:val="0"/>
          <w:bCs/>
        </w:rPr>
      </w:pPr>
      <w:bookmarkStart w:id="595" w:name="_Toc237309584"/>
      <w:r>
        <w:rPr>
          <w:rStyle w:val="CharSClsNo"/>
        </w:rPr>
        <w:t>16</w:t>
      </w:r>
      <w:r>
        <w:t>.</w:t>
      </w:r>
      <w:r>
        <w:tab/>
        <w:t>Farmland and metropolitan farmland</w:t>
      </w:r>
      <w:bookmarkEnd w:id="595"/>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In respect of land that is —</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 w:val="left" w:leader="dot" w:pos="4572"/>
              </w:tabs>
              <w:spacing w:before="80"/>
              <w:ind w:left="1015" w:right="11" w:hanging="1015"/>
            </w:pPr>
            <w:r>
              <w:tab/>
              <w:t>(a)</w:t>
            </w:r>
            <w:r>
              <w:tab/>
              <w:t xml:space="preserve">classified as farmland </w:t>
            </w:r>
            <w:r>
              <w:tab/>
            </w:r>
          </w:p>
        </w:tc>
        <w:tc>
          <w:tcPr>
            <w:tcW w:w="1440" w:type="dxa"/>
          </w:tcPr>
          <w:p>
            <w:pPr>
              <w:pStyle w:val="yTableNAm"/>
            </w:pPr>
            <w:r>
              <w:t>$200.40</w:t>
            </w:r>
          </w:p>
        </w:tc>
      </w:tr>
      <w:tr>
        <w:tc>
          <w:tcPr>
            <w:tcW w:w="960" w:type="dxa"/>
          </w:tcPr>
          <w:p>
            <w:pPr>
              <w:pStyle w:val="yTableNAm"/>
            </w:pPr>
          </w:p>
        </w:tc>
        <w:tc>
          <w:tcPr>
            <w:tcW w:w="4800" w:type="dxa"/>
          </w:tcPr>
          <w:p>
            <w:pPr>
              <w:pStyle w:val="yTableNAm"/>
              <w:tabs>
                <w:tab w:val="clear" w:pos="567"/>
                <w:tab w:val="left" w:pos="416"/>
                <w:tab w:val="left" w:pos="1016"/>
                <w:tab w:val="left" w:leader="dot" w:pos="4572"/>
              </w:tabs>
              <w:spacing w:before="80"/>
              <w:ind w:left="1015" w:right="11" w:hanging="1015"/>
            </w:pPr>
            <w:r>
              <w:tab/>
              <w:t>(b)</w:t>
            </w:r>
            <w:r>
              <w:tab/>
              <w:t xml:space="preserve">classified as metropolitan farmland </w:t>
            </w:r>
            <w:r>
              <w:tab/>
            </w:r>
          </w:p>
        </w:tc>
        <w:tc>
          <w:tcPr>
            <w:tcW w:w="1440" w:type="dxa"/>
          </w:tcPr>
          <w:p>
            <w:pPr>
              <w:pStyle w:val="yTableNAm"/>
            </w:pPr>
            <w:r>
              <w:t>$200.40</w:t>
            </w:r>
          </w:p>
        </w:tc>
      </w:tr>
    </w:tbl>
    <w:p>
      <w:pPr>
        <w:pStyle w:val="yHeading5"/>
        <w:keepNext w:val="0"/>
        <w:keepLines w:val="0"/>
        <w:tabs>
          <w:tab w:val="clear" w:pos="879"/>
        </w:tabs>
        <w:spacing w:before="160"/>
        <w:ind w:left="964" w:hanging="964"/>
        <w:rPr>
          <w:b w:val="0"/>
          <w:bCs/>
        </w:rPr>
      </w:pPr>
      <w:bookmarkStart w:id="596" w:name="_Toc237309585"/>
      <w:r>
        <w:rPr>
          <w:rStyle w:val="CharSClsNo"/>
        </w:rPr>
        <w:t>17</w:t>
      </w:r>
      <w:r>
        <w:t>.</w:t>
      </w:r>
      <w:r>
        <w:tab/>
        <w:t>Metropolitan non</w:t>
      </w:r>
      <w:r>
        <w:noBreakHyphen/>
        <w:t xml:space="preserve">residential (except </w:t>
      </w:r>
      <w:r>
        <w:br/>
        <w:t>strata</w:t>
      </w:r>
      <w:r>
        <w:noBreakHyphen/>
        <w:t>titled units that share a service)</w:t>
      </w:r>
      <w:bookmarkEnd w:id="596"/>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In respect of non</w:t>
            </w:r>
            <w:r>
              <w:noBreakHyphen/>
              <w:t>residential land in the metropolitan area, not being land mentioned in item 18, a charge determined by meter size as set out in the following Table —</w:t>
            </w:r>
          </w:p>
        </w:tc>
        <w:tc>
          <w:tcPr>
            <w:tcW w:w="1440" w:type="dxa"/>
          </w:tcPr>
          <w:p>
            <w:pPr>
              <w:pStyle w:val="yTableNAm"/>
            </w:pPr>
          </w:p>
        </w:tc>
      </w:tr>
    </w:tbl>
    <w:p>
      <w:pPr>
        <w:pStyle w:val="yTHeadingNAm"/>
        <w:spacing w:before="120"/>
      </w:pPr>
      <w:r>
        <w:t>Table of meter</w:t>
      </w:r>
      <w:r>
        <w:noBreakHyphen/>
        <w:t>based fixed charges</w:t>
      </w:r>
    </w:p>
    <w:tbl>
      <w:tblPr>
        <w:tblW w:w="0" w:type="auto"/>
        <w:jc w:val="center"/>
        <w:tblInd w:w="976" w:type="dxa"/>
        <w:tblLayout w:type="fixed"/>
        <w:tblLook w:val="0000" w:firstRow="0" w:lastRow="0" w:firstColumn="0" w:lastColumn="0" w:noHBand="0" w:noVBand="0"/>
      </w:tblPr>
      <w:tblGrid>
        <w:gridCol w:w="3206"/>
        <w:gridCol w:w="3093"/>
      </w:tblGrid>
      <w:tr>
        <w:trPr>
          <w:tblHeader/>
          <w:jc w:val="center"/>
        </w:trPr>
        <w:tc>
          <w:tcPr>
            <w:tcW w:w="3206" w:type="dxa"/>
            <w:tcBorders>
              <w:top w:val="single" w:sz="4" w:space="0" w:color="auto"/>
              <w:bottom w:val="single" w:sz="4" w:space="0" w:color="auto"/>
            </w:tcBorders>
          </w:tcPr>
          <w:p>
            <w:pPr>
              <w:pStyle w:val="yTableNAm"/>
              <w:spacing w:before="60"/>
              <w:jc w:val="center"/>
              <w:rPr>
                <w:b/>
                <w:bCs/>
              </w:rPr>
            </w:pPr>
            <w:r>
              <w:rPr>
                <w:b/>
                <w:bCs/>
              </w:rPr>
              <w:t>Meter size</w:t>
            </w:r>
            <w:r>
              <w:rPr>
                <w:b/>
                <w:bCs/>
              </w:rPr>
              <w:br/>
              <w:t>mm</w:t>
            </w:r>
          </w:p>
        </w:tc>
        <w:tc>
          <w:tcPr>
            <w:tcW w:w="3093" w:type="dxa"/>
            <w:tcBorders>
              <w:top w:val="single" w:sz="4" w:space="0" w:color="auto"/>
              <w:bottom w:val="single" w:sz="4" w:space="0" w:color="auto"/>
            </w:tcBorders>
          </w:tcPr>
          <w:p>
            <w:pPr>
              <w:pStyle w:val="yTableNAm"/>
              <w:spacing w:before="60"/>
              <w:jc w:val="center"/>
              <w:rPr>
                <w:b/>
                <w:bCs/>
              </w:rPr>
            </w:pPr>
            <w:r>
              <w:rPr>
                <w:b/>
                <w:bCs/>
              </w:rPr>
              <w:t>Charge</w:t>
            </w:r>
            <w:r>
              <w:rPr>
                <w:b/>
                <w:bCs/>
              </w:rPr>
              <w:br/>
              <w:t>$</w:t>
            </w:r>
          </w:p>
        </w:tc>
      </w:tr>
      <w:tr>
        <w:trPr>
          <w:jc w:val="center"/>
        </w:trPr>
        <w:tc>
          <w:tcPr>
            <w:tcW w:w="3206" w:type="dxa"/>
          </w:tcPr>
          <w:p>
            <w:pPr>
              <w:pStyle w:val="yTableNAm"/>
              <w:spacing w:before="60"/>
              <w:jc w:val="center"/>
            </w:pPr>
            <w:r>
              <w:t>20</w:t>
            </w:r>
          </w:p>
        </w:tc>
        <w:tc>
          <w:tcPr>
            <w:tcW w:w="3093" w:type="dxa"/>
          </w:tcPr>
          <w:p>
            <w:pPr>
              <w:pStyle w:val="yTableNAm"/>
              <w:spacing w:before="60"/>
              <w:jc w:val="center"/>
            </w:pPr>
            <w:r>
              <w:t>463.80</w:t>
            </w:r>
          </w:p>
        </w:tc>
      </w:tr>
      <w:tr>
        <w:trPr>
          <w:jc w:val="center"/>
        </w:trPr>
        <w:tc>
          <w:tcPr>
            <w:tcW w:w="3206" w:type="dxa"/>
          </w:tcPr>
          <w:p>
            <w:pPr>
              <w:pStyle w:val="yTableNAm"/>
              <w:spacing w:before="60"/>
              <w:jc w:val="center"/>
            </w:pPr>
            <w:r>
              <w:t>25</w:t>
            </w:r>
          </w:p>
        </w:tc>
        <w:tc>
          <w:tcPr>
            <w:tcW w:w="3093" w:type="dxa"/>
          </w:tcPr>
          <w:p>
            <w:pPr>
              <w:pStyle w:val="yTableNAm"/>
              <w:spacing w:before="60"/>
              <w:jc w:val="center"/>
            </w:pPr>
            <w:r>
              <w:t>724.80</w:t>
            </w:r>
          </w:p>
        </w:tc>
      </w:tr>
      <w:tr>
        <w:trPr>
          <w:jc w:val="center"/>
        </w:trPr>
        <w:tc>
          <w:tcPr>
            <w:tcW w:w="3206" w:type="dxa"/>
          </w:tcPr>
          <w:p>
            <w:pPr>
              <w:pStyle w:val="yTableNAm"/>
              <w:spacing w:before="60"/>
              <w:jc w:val="center"/>
            </w:pPr>
            <w:r>
              <w:t>30</w:t>
            </w:r>
          </w:p>
        </w:tc>
        <w:tc>
          <w:tcPr>
            <w:tcW w:w="3093" w:type="dxa"/>
          </w:tcPr>
          <w:p>
            <w:pPr>
              <w:pStyle w:val="yTableNAm"/>
              <w:spacing w:before="60"/>
              <w:jc w:val="center"/>
            </w:pPr>
            <w:r>
              <w:t>1 044.00</w:t>
            </w:r>
          </w:p>
        </w:tc>
      </w:tr>
      <w:tr>
        <w:trPr>
          <w:jc w:val="center"/>
        </w:trPr>
        <w:tc>
          <w:tcPr>
            <w:tcW w:w="3206" w:type="dxa"/>
          </w:tcPr>
          <w:p>
            <w:pPr>
              <w:pStyle w:val="yTableNAm"/>
              <w:spacing w:before="60"/>
              <w:jc w:val="center"/>
            </w:pPr>
            <w:r>
              <w:t>40</w:t>
            </w:r>
          </w:p>
        </w:tc>
        <w:tc>
          <w:tcPr>
            <w:tcW w:w="3093" w:type="dxa"/>
          </w:tcPr>
          <w:p>
            <w:pPr>
              <w:pStyle w:val="yTableNAm"/>
              <w:spacing w:before="60"/>
              <w:jc w:val="center"/>
            </w:pPr>
            <w:r>
              <w:t>1 855.00</w:t>
            </w:r>
          </w:p>
        </w:tc>
      </w:tr>
      <w:tr>
        <w:trPr>
          <w:jc w:val="center"/>
        </w:trPr>
        <w:tc>
          <w:tcPr>
            <w:tcW w:w="3206" w:type="dxa"/>
          </w:tcPr>
          <w:p>
            <w:pPr>
              <w:pStyle w:val="yTableNAm"/>
              <w:spacing w:before="60"/>
              <w:jc w:val="center"/>
            </w:pPr>
            <w:r>
              <w:t>50</w:t>
            </w:r>
          </w:p>
        </w:tc>
        <w:tc>
          <w:tcPr>
            <w:tcW w:w="3093" w:type="dxa"/>
          </w:tcPr>
          <w:p>
            <w:pPr>
              <w:pStyle w:val="yTableNAm"/>
              <w:spacing w:before="60"/>
              <w:jc w:val="center"/>
            </w:pPr>
            <w:r>
              <w:t>2 899.00</w:t>
            </w:r>
          </w:p>
        </w:tc>
      </w:tr>
      <w:tr>
        <w:trPr>
          <w:jc w:val="center"/>
        </w:trPr>
        <w:tc>
          <w:tcPr>
            <w:tcW w:w="3206" w:type="dxa"/>
          </w:tcPr>
          <w:p>
            <w:pPr>
              <w:pStyle w:val="yTableNAm"/>
              <w:spacing w:before="60"/>
              <w:jc w:val="center"/>
            </w:pPr>
            <w:r>
              <w:t>80</w:t>
            </w:r>
          </w:p>
        </w:tc>
        <w:tc>
          <w:tcPr>
            <w:tcW w:w="3093" w:type="dxa"/>
          </w:tcPr>
          <w:p>
            <w:pPr>
              <w:pStyle w:val="yTableNAm"/>
              <w:spacing w:before="60"/>
              <w:jc w:val="center"/>
            </w:pPr>
            <w:r>
              <w:t>7 422.00</w:t>
            </w:r>
          </w:p>
        </w:tc>
      </w:tr>
      <w:tr>
        <w:trPr>
          <w:jc w:val="center"/>
        </w:trPr>
        <w:tc>
          <w:tcPr>
            <w:tcW w:w="3206" w:type="dxa"/>
          </w:tcPr>
          <w:p>
            <w:pPr>
              <w:pStyle w:val="yTableNAm"/>
              <w:spacing w:before="60"/>
              <w:jc w:val="center"/>
            </w:pPr>
            <w:r>
              <w:t>100</w:t>
            </w:r>
          </w:p>
        </w:tc>
        <w:tc>
          <w:tcPr>
            <w:tcW w:w="3093" w:type="dxa"/>
          </w:tcPr>
          <w:p>
            <w:pPr>
              <w:pStyle w:val="yTableNAm"/>
              <w:spacing w:before="60"/>
              <w:jc w:val="center"/>
            </w:pPr>
            <w:r>
              <w:t>11 596.00</w:t>
            </w:r>
          </w:p>
        </w:tc>
      </w:tr>
      <w:tr>
        <w:trPr>
          <w:jc w:val="center"/>
        </w:trPr>
        <w:tc>
          <w:tcPr>
            <w:tcW w:w="3206" w:type="dxa"/>
          </w:tcPr>
          <w:p>
            <w:pPr>
              <w:pStyle w:val="yTableNAm"/>
              <w:spacing w:before="60"/>
              <w:jc w:val="center"/>
            </w:pPr>
            <w:r>
              <w:t>150</w:t>
            </w:r>
          </w:p>
        </w:tc>
        <w:tc>
          <w:tcPr>
            <w:tcW w:w="3093" w:type="dxa"/>
          </w:tcPr>
          <w:p>
            <w:pPr>
              <w:pStyle w:val="yTableNAm"/>
              <w:spacing w:before="60"/>
              <w:jc w:val="center"/>
            </w:pPr>
            <w:r>
              <w:t>26 091.00</w:t>
            </w:r>
          </w:p>
        </w:tc>
      </w:tr>
      <w:tr>
        <w:trPr>
          <w:jc w:val="center"/>
        </w:trPr>
        <w:tc>
          <w:tcPr>
            <w:tcW w:w="3206" w:type="dxa"/>
          </w:tcPr>
          <w:p>
            <w:pPr>
              <w:pStyle w:val="yTableNAm"/>
              <w:spacing w:before="60"/>
              <w:jc w:val="center"/>
            </w:pPr>
            <w:r>
              <w:t>200</w:t>
            </w:r>
          </w:p>
        </w:tc>
        <w:tc>
          <w:tcPr>
            <w:tcW w:w="3093" w:type="dxa"/>
          </w:tcPr>
          <w:p>
            <w:pPr>
              <w:pStyle w:val="yTableNAm"/>
              <w:spacing w:before="60"/>
              <w:jc w:val="center"/>
            </w:pPr>
            <w:r>
              <w:t>46 385.00</w:t>
            </w:r>
          </w:p>
        </w:tc>
      </w:tr>
      <w:tr>
        <w:trPr>
          <w:jc w:val="center"/>
        </w:trPr>
        <w:tc>
          <w:tcPr>
            <w:tcW w:w="3206" w:type="dxa"/>
          </w:tcPr>
          <w:p>
            <w:pPr>
              <w:pStyle w:val="yTableNAm"/>
              <w:spacing w:before="60"/>
              <w:jc w:val="center"/>
            </w:pPr>
            <w:r>
              <w:t>250</w:t>
            </w:r>
          </w:p>
        </w:tc>
        <w:tc>
          <w:tcPr>
            <w:tcW w:w="3093" w:type="dxa"/>
          </w:tcPr>
          <w:p>
            <w:pPr>
              <w:pStyle w:val="yTableNAm"/>
              <w:spacing w:before="60"/>
              <w:jc w:val="center"/>
            </w:pPr>
            <w:r>
              <w:t>72 476.00</w:t>
            </w:r>
          </w:p>
        </w:tc>
      </w:tr>
      <w:tr>
        <w:trPr>
          <w:jc w:val="center"/>
        </w:trPr>
        <w:tc>
          <w:tcPr>
            <w:tcW w:w="3206" w:type="dxa"/>
          </w:tcPr>
          <w:p>
            <w:pPr>
              <w:pStyle w:val="yTableNAm"/>
              <w:spacing w:before="60"/>
              <w:jc w:val="center"/>
            </w:pPr>
            <w:r>
              <w:t>300</w:t>
            </w:r>
          </w:p>
        </w:tc>
        <w:tc>
          <w:tcPr>
            <w:tcW w:w="3093" w:type="dxa"/>
          </w:tcPr>
          <w:p>
            <w:pPr>
              <w:pStyle w:val="yTableNAm"/>
              <w:spacing w:before="60"/>
              <w:jc w:val="center"/>
            </w:pPr>
            <w:r>
              <w:t>104 366.00</w:t>
            </w:r>
          </w:p>
        </w:tc>
      </w:tr>
      <w:tr>
        <w:trPr>
          <w:jc w:val="center"/>
        </w:trPr>
        <w:tc>
          <w:tcPr>
            <w:tcW w:w="3206" w:type="dxa"/>
            <w:tcBorders>
              <w:bottom w:val="single" w:sz="4" w:space="0" w:color="auto"/>
            </w:tcBorders>
          </w:tcPr>
          <w:p>
            <w:pPr>
              <w:pStyle w:val="yTableNAm"/>
              <w:spacing w:before="60"/>
              <w:jc w:val="center"/>
            </w:pPr>
            <w:r>
              <w:t>350</w:t>
            </w:r>
          </w:p>
        </w:tc>
        <w:tc>
          <w:tcPr>
            <w:tcW w:w="3093" w:type="dxa"/>
            <w:tcBorders>
              <w:bottom w:val="single" w:sz="4" w:space="0" w:color="auto"/>
            </w:tcBorders>
          </w:tcPr>
          <w:p>
            <w:pPr>
              <w:pStyle w:val="yTableNAm"/>
              <w:spacing w:before="60"/>
              <w:jc w:val="center"/>
            </w:pPr>
            <w:r>
              <w:t>142 053.00</w:t>
            </w:r>
          </w:p>
        </w:tc>
      </w:tr>
    </w:tbl>
    <w:p>
      <w:pPr>
        <w:pStyle w:val="yHeading5"/>
        <w:keepNext w:val="0"/>
        <w:keepLines w:val="0"/>
        <w:tabs>
          <w:tab w:val="clear" w:pos="879"/>
        </w:tabs>
        <w:spacing w:before="240"/>
        <w:ind w:left="964" w:hanging="964"/>
        <w:rPr>
          <w:b w:val="0"/>
          <w:bCs/>
        </w:rPr>
      </w:pPr>
      <w:bookmarkStart w:id="597" w:name="_Toc237309586"/>
      <w:r>
        <w:rPr>
          <w:rStyle w:val="CharSClsNo"/>
        </w:rPr>
        <w:t>18</w:t>
      </w:r>
      <w:r>
        <w:t>.</w:t>
      </w:r>
      <w:r>
        <w:tab/>
        <w:t>Vacant land</w:t>
      </w:r>
      <w:bookmarkEnd w:id="597"/>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tabs>
                <w:tab w:val="left" w:leader="dot" w:pos="4572"/>
              </w:tabs>
            </w:pPr>
            <w:r>
              <w:t xml:space="preserve">In respect of land classified as vacant land </w:t>
            </w:r>
            <w:r>
              <w:tab/>
            </w:r>
          </w:p>
        </w:tc>
        <w:tc>
          <w:tcPr>
            <w:tcW w:w="1440" w:type="dxa"/>
          </w:tcPr>
          <w:p>
            <w:pPr>
              <w:pStyle w:val="yTableNAm"/>
            </w:pPr>
            <w:r>
              <w:t>$200.40</w:t>
            </w:r>
          </w:p>
        </w:tc>
      </w:tr>
    </w:tbl>
    <w:p>
      <w:pPr>
        <w:pStyle w:val="yHeading5"/>
        <w:keepNext w:val="0"/>
        <w:keepLines w:val="0"/>
        <w:tabs>
          <w:tab w:val="clear" w:pos="879"/>
        </w:tabs>
        <w:spacing w:before="160"/>
        <w:ind w:left="964" w:hanging="964"/>
        <w:rPr>
          <w:rStyle w:val="CharSClsNo"/>
        </w:rPr>
      </w:pPr>
      <w:bookmarkStart w:id="598" w:name="_Toc237309587"/>
      <w:r>
        <w:rPr>
          <w:rStyle w:val="CharSClsNo"/>
        </w:rPr>
        <w:t>19</w:t>
      </w:r>
      <w:r>
        <w:t>.</w:t>
      </w:r>
      <w:r>
        <w:tab/>
        <w:t>Garden supply for metropolitan vacant land</w:t>
      </w:r>
      <w:bookmarkEnd w:id="598"/>
    </w:p>
    <w:tbl>
      <w:tblPr>
        <w:tblW w:w="0" w:type="auto"/>
        <w:tblInd w:w="-12" w:type="dxa"/>
        <w:tblLook w:val="0000" w:firstRow="0" w:lastRow="0" w:firstColumn="0" w:lastColumn="0" w:noHBand="0" w:noVBand="0"/>
      </w:tblPr>
      <w:tblGrid>
        <w:gridCol w:w="960"/>
        <w:gridCol w:w="4800"/>
        <w:gridCol w:w="1440"/>
      </w:tblGrid>
      <w:tr>
        <w:tc>
          <w:tcPr>
            <w:tcW w:w="960" w:type="dxa"/>
          </w:tcPr>
          <w:p>
            <w:pPr>
              <w:pStyle w:val="yHeading5"/>
              <w:keepNext w:val="0"/>
              <w:keepLines w:val="0"/>
              <w:tabs>
                <w:tab w:val="clear" w:pos="879"/>
              </w:tabs>
              <w:ind w:left="964" w:hanging="966"/>
              <w:rPr>
                <w:rStyle w:val="CharSClsNo"/>
              </w:rPr>
            </w:pPr>
          </w:p>
        </w:tc>
        <w:tc>
          <w:tcPr>
            <w:tcW w:w="4800" w:type="dxa"/>
          </w:tcPr>
          <w:p>
            <w:pPr>
              <w:pStyle w:val="yTableNAm"/>
            </w:pPr>
            <w:r>
              <w: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 w:val="left" w:leader="dot" w:pos="4572"/>
              </w:tabs>
              <w:ind w:left="1016" w:right="12" w:hanging="1016"/>
            </w:pPr>
            <w:r>
              <w:tab/>
              <w:t>(a)</w:t>
            </w:r>
            <w:r>
              <w:tab/>
              <w:t>if the area of land is less than 400 m</w:t>
            </w:r>
            <w:r>
              <w:rPr>
                <w:rFonts w:ascii="Times" w:hAnsi="Times"/>
                <w:vertAlign w:val="superscript"/>
              </w:rPr>
              <w:t>2</w:t>
            </w:r>
            <w:r>
              <w:t xml:space="preserve">, in addition to any other charge applicable to the land under this Schedule, a charge of </w:t>
            </w:r>
            <w:r>
              <w:tab/>
            </w:r>
          </w:p>
        </w:tc>
        <w:tc>
          <w:tcPr>
            <w:tcW w:w="1440" w:type="dxa"/>
          </w:tcPr>
          <w:p>
            <w:pPr>
              <w:pStyle w:val="yTableNAm"/>
            </w:pPr>
            <w:r>
              <w:br/>
            </w:r>
            <w:r>
              <w:br/>
            </w:r>
            <w:r>
              <w:br/>
              <w:t>$67.90</w:t>
            </w:r>
          </w:p>
        </w:tc>
      </w:tr>
      <w:tr>
        <w:tc>
          <w:tcPr>
            <w:tcW w:w="960" w:type="dxa"/>
          </w:tcPr>
          <w:p>
            <w:pPr>
              <w:pStyle w:val="yTableNAm"/>
            </w:pPr>
          </w:p>
        </w:tc>
        <w:tc>
          <w:tcPr>
            <w:tcW w:w="4800" w:type="dxa"/>
          </w:tcPr>
          <w:p>
            <w:pPr>
              <w:pStyle w:val="yTableNAm"/>
              <w:tabs>
                <w:tab w:val="clear" w:pos="567"/>
                <w:tab w:val="left" w:pos="416"/>
                <w:tab w:val="left" w:pos="1016"/>
                <w:tab w:val="left" w:leader="dot" w:pos="4572"/>
              </w:tabs>
              <w:ind w:left="1016" w:right="12" w:hanging="1016"/>
            </w:pPr>
            <w:r>
              <w:tab/>
              <w:t>(b)</w:t>
            </w:r>
            <w:r>
              <w:tab/>
              <w:t>if the area of land is equal to or greater than 400 m</w:t>
            </w:r>
            <w:r>
              <w:rPr>
                <w:vertAlign w:val="superscript"/>
              </w:rPr>
              <w:t>2</w:t>
            </w:r>
            <w:r>
              <w:t xml:space="preserve">, in addition to any other charge applicable to the land under this Schedule, a charge of </w:t>
            </w:r>
            <w:r>
              <w:tab/>
            </w:r>
          </w:p>
        </w:tc>
        <w:tc>
          <w:tcPr>
            <w:tcW w:w="1440" w:type="dxa"/>
          </w:tcPr>
          <w:p>
            <w:pPr>
              <w:pStyle w:val="yTableNAm"/>
            </w:pPr>
            <w:r>
              <w:br/>
            </w:r>
            <w:r>
              <w:br/>
            </w:r>
            <w:r>
              <w:br/>
              <w:t>$135.80</w:t>
            </w:r>
          </w:p>
        </w:tc>
      </w:tr>
    </w:tbl>
    <w:p>
      <w:pPr>
        <w:pStyle w:val="yFootnotesection"/>
      </w:pPr>
      <w:r>
        <w:tab/>
        <w:t>[Division 1 inserted in Gazette 19 Jun 2009 p. 2323-30.]</w:t>
      </w:r>
    </w:p>
    <w:p>
      <w:pPr>
        <w:pStyle w:val="yHeading3"/>
      </w:pPr>
      <w:bookmarkStart w:id="599" w:name="_Toc233448384"/>
      <w:bookmarkStart w:id="600" w:name="_Toc233611691"/>
      <w:bookmarkStart w:id="601" w:name="_Toc234730698"/>
      <w:bookmarkStart w:id="602" w:name="_Toc234733224"/>
      <w:bookmarkStart w:id="603" w:name="_Toc235863961"/>
      <w:bookmarkStart w:id="604" w:name="_Toc235933436"/>
      <w:bookmarkStart w:id="605" w:name="_Toc237164424"/>
      <w:bookmarkStart w:id="606" w:name="_Toc237244307"/>
      <w:bookmarkStart w:id="607" w:name="_Toc237245608"/>
      <w:bookmarkStart w:id="608" w:name="_Toc237245739"/>
      <w:bookmarkStart w:id="609" w:name="_Toc237247866"/>
      <w:bookmarkStart w:id="610" w:name="_Toc237254169"/>
      <w:bookmarkStart w:id="611" w:name="_Toc237309588"/>
      <w:r>
        <w:rPr>
          <w:rStyle w:val="CharSDivNo"/>
        </w:rPr>
        <w:t>Division 2</w:t>
      </w:r>
      <w:r>
        <w:rPr>
          <w:b w:val="0"/>
        </w:rPr>
        <w:t> — </w:t>
      </w:r>
      <w:r>
        <w:rPr>
          <w:rStyle w:val="CharSDivText"/>
        </w:rPr>
        <w:t>Quantity charges</w:t>
      </w:r>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yFootnoteheading"/>
      </w:pPr>
      <w:r>
        <w:tab/>
        <w:t>[Heading inserted in Gazette 19 Jun 2009 p. 2330.]</w:t>
      </w:r>
    </w:p>
    <w:p>
      <w:pPr>
        <w:pStyle w:val="yHeading5"/>
        <w:keepNext w:val="0"/>
        <w:keepLines w:val="0"/>
        <w:tabs>
          <w:tab w:val="clear" w:pos="879"/>
        </w:tabs>
        <w:spacing w:before="160"/>
        <w:ind w:left="964" w:hanging="964"/>
        <w:rPr>
          <w:b w:val="0"/>
          <w:bCs/>
        </w:rPr>
      </w:pPr>
      <w:bookmarkStart w:id="612" w:name="_Toc237309589"/>
      <w:r>
        <w:rPr>
          <w:rStyle w:val="CharSClsNo"/>
        </w:rPr>
        <w:t>20</w:t>
      </w:r>
      <w:r>
        <w:t>.</w:t>
      </w:r>
      <w:r>
        <w:tab/>
        <w:t>Metropolitan residential</w:t>
      </w:r>
      <w:bookmarkEnd w:id="612"/>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440" w:type="dxa"/>
          </w:tcPr>
          <w:p>
            <w:pPr>
              <w:pStyle w:val="yTableNAm"/>
            </w:pPr>
          </w:p>
        </w:tc>
      </w:tr>
      <w:tr>
        <w:tc>
          <w:tcPr>
            <w:tcW w:w="960" w:type="dxa"/>
          </w:tcPr>
          <w:p>
            <w:pPr>
              <w:pStyle w:val="yTableNAm"/>
              <w:spacing w:before="50"/>
            </w:pPr>
          </w:p>
        </w:tc>
        <w:tc>
          <w:tcPr>
            <w:tcW w:w="4800" w:type="dxa"/>
          </w:tcPr>
          <w:p>
            <w:pPr>
              <w:pStyle w:val="yTableNAm"/>
              <w:tabs>
                <w:tab w:val="left" w:leader="dot" w:pos="4572"/>
              </w:tabs>
              <w:spacing w:before="50"/>
              <w:ind w:right="12"/>
            </w:pPr>
            <w:r>
              <w:t xml:space="preserve">up to 150 kL </w:t>
            </w:r>
            <w:r>
              <w:tab/>
            </w:r>
          </w:p>
        </w:tc>
        <w:tc>
          <w:tcPr>
            <w:tcW w:w="1440" w:type="dxa"/>
          </w:tcPr>
          <w:p>
            <w:pPr>
              <w:pStyle w:val="yTableNAm"/>
              <w:spacing w:before="50"/>
            </w:pPr>
            <w:r>
              <w:t>72.6 cents</w:t>
            </w:r>
          </w:p>
        </w:tc>
      </w:tr>
      <w:tr>
        <w:tc>
          <w:tcPr>
            <w:tcW w:w="960" w:type="dxa"/>
          </w:tcPr>
          <w:p>
            <w:pPr>
              <w:pStyle w:val="yTableNAm"/>
              <w:spacing w:before="50"/>
            </w:pPr>
          </w:p>
        </w:tc>
        <w:tc>
          <w:tcPr>
            <w:tcW w:w="4800" w:type="dxa"/>
          </w:tcPr>
          <w:p>
            <w:pPr>
              <w:pStyle w:val="yTableNAm"/>
              <w:tabs>
                <w:tab w:val="left" w:leader="dot" w:pos="4572"/>
              </w:tabs>
              <w:spacing w:before="50"/>
              <w:ind w:right="12"/>
            </w:pPr>
            <w:r>
              <w:t xml:space="preserve">over 150 but not over 350 kL </w:t>
            </w:r>
            <w:r>
              <w:tab/>
            </w:r>
          </w:p>
        </w:tc>
        <w:tc>
          <w:tcPr>
            <w:tcW w:w="1440" w:type="dxa"/>
          </w:tcPr>
          <w:p>
            <w:pPr>
              <w:pStyle w:val="yTableNAm"/>
              <w:spacing w:before="50"/>
            </w:pPr>
            <w:r>
              <w:t>88.0 cents</w:t>
            </w:r>
          </w:p>
        </w:tc>
      </w:tr>
      <w:tr>
        <w:tc>
          <w:tcPr>
            <w:tcW w:w="960" w:type="dxa"/>
          </w:tcPr>
          <w:p>
            <w:pPr>
              <w:pStyle w:val="yTableNAm"/>
              <w:spacing w:before="50"/>
            </w:pPr>
          </w:p>
        </w:tc>
        <w:tc>
          <w:tcPr>
            <w:tcW w:w="4800" w:type="dxa"/>
          </w:tcPr>
          <w:p>
            <w:pPr>
              <w:pStyle w:val="yTableNAm"/>
              <w:tabs>
                <w:tab w:val="left" w:leader="dot" w:pos="4572"/>
              </w:tabs>
              <w:spacing w:before="50"/>
              <w:ind w:right="12"/>
            </w:pPr>
            <w:r>
              <w:t xml:space="preserve">over 350 but not over 550 kL </w:t>
            </w:r>
            <w:r>
              <w:tab/>
            </w:r>
          </w:p>
        </w:tc>
        <w:tc>
          <w:tcPr>
            <w:tcW w:w="1440" w:type="dxa"/>
          </w:tcPr>
          <w:p>
            <w:pPr>
              <w:pStyle w:val="yTableNAm"/>
              <w:spacing w:before="50"/>
            </w:pPr>
            <w:r>
              <w:t>102.0 cents</w:t>
            </w:r>
          </w:p>
        </w:tc>
      </w:tr>
      <w:tr>
        <w:tc>
          <w:tcPr>
            <w:tcW w:w="960" w:type="dxa"/>
          </w:tcPr>
          <w:p>
            <w:pPr>
              <w:pStyle w:val="yTableNAm"/>
              <w:spacing w:before="50"/>
            </w:pPr>
          </w:p>
        </w:tc>
        <w:tc>
          <w:tcPr>
            <w:tcW w:w="4800" w:type="dxa"/>
          </w:tcPr>
          <w:p>
            <w:pPr>
              <w:pStyle w:val="yTableNAm"/>
              <w:tabs>
                <w:tab w:val="left" w:leader="dot" w:pos="4572"/>
              </w:tabs>
              <w:spacing w:before="50"/>
              <w:ind w:right="12"/>
            </w:pPr>
            <w:r>
              <w:t xml:space="preserve">over 550 but not over 950 kL </w:t>
            </w:r>
            <w:r>
              <w:tab/>
            </w:r>
          </w:p>
        </w:tc>
        <w:tc>
          <w:tcPr>
            <w:tcW w:w="1440" w:type="dxa"/>
          </w:tcPr>
          <w:p>
            <w:pPr>
              <w:pStyle w:val="yTableNAm"/>
              <w:spacing w:before="50"/>
            </w:pPr>
            <w:r>
              <w:t>153.7 cents</w:t>
            </w:r>
          </w:p>
        </w:tc>
      </w:tr>
      <w:tr>
        <w:tc>
          <w:tcPr>
            <w:tcW w:w="960" w:type="dxa"/>
          </w:tcPr>
          <w:p>
            <w:pPr>
              <w:pStyle w:val="yTableNAm"/>
              <w:spacing w:before="50"/>
            </w:pPr>
          </w:p>
        </w:tc>
        <w:tc>
          <w:tcPr>
            <w:tcW w:w="4800" w:type="dxa"/>
          </w:tcPr>
          <w:p>
            <w:pPr>
              <w:pStyle w:val="yTableNAm"/>
              <w:tabs>
                <w:tab w:val="left" w:leader="dot" w:pos="4572"/>
              </w:tabs>
              <w:spacing w:before="50"/>
              <w:ind w:right="12"/>
            </w:pPr>
            <w:r>
              <w:t xml:space="preserve">over 950 kL </w:t>
            </w:r>
            <w:r>
              <w:tab/>
            </w:r>
          </w:p>
        </w:tc>
        <w:tc>
          <w:tcPr>
            <w:tcW w:w="1440" w:type="dxa"/>
          </w:tcPr>
          <w:p>
            <w:pPr>
              <w:pStyle w:val="yTableNAm"/>
              <w:spacing w:before="50"/>
            </w:pPr>
            <w:r>
              <w:t>177.9 cents</w:t>
            </w:r>
          </w:p>
        </w:tc>
      </w:tr>
    </w:tbl>
    <w:p>
      <w:pPr>
        <w:pStyle w:val="yHeading5"/>
        <w:keepNext w:val="0"/>
        <w:keepLines w:val="0"/>
        <w:tabs>
          <w:tab w:val="clear" w:pos="879"/>
        </w:tabs>
        <w:spacing w:before="160"/>
        <w:ind w:left="964" w:hanging="964"/>
        <w:rPr>
          <w:b w:val="0"/>
          <w:bCs/>
        </w:rPr>
      </w:pPr>
      <w:bookmarkStart w:id="613" w:name="_Toc237309590"/>
      <w:r>
        <w:rPr>
          <w:rStyle w:val="CharSClsNo"/>
        </w:rPr>
        <w:t>21</w:t>
      </w:r>
      <w:r>
        <w:t>.</w:t>
      </w:r>
      <w:r>
        <w:tab/>
        <w:t>Metropolitan semi</w:t>
      </w:r>
      <w:r>
        <w:noBreakHyphen/>
        <w:t>rural residential</w:t>
      </w:r>
      <w:bookmarkEnd w:id="613"/>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For each kilolitre of water supplied to a semi</w:t>
            </w:r>
            <w:r>
              <w:noBreakHyphen/>
              <w:t>rural residential property, not being water for which a charge is otherwise specifically provided in this Division —</w:t>
            </w:r>
          </w:p>
        </w:tc>
        <w:tc>
          <w:tcPr>
            <w:tcW w:w="1440" w:type="dxa"/>
          </w:tcPr>
          <w:p>
            <w:pPr>
              <w:pStyle w:val="yTableNAm"/>
            </w:pPr>
          </w:p>
        </w:tc>
      </w:tr>
      <w:tr>
        <w:tc>
          <w:tcPr>
            <w:tcW w:w="960" w:type="dxa"/>
          </w:tcPr>
          <w:p>
            <w:pPr>
              <w:pStyle w:val="yTableNAm"/>
              <w:spacing w:before="40"/>
            </w:pPr>
          </w:p>
        </w:tc>
        <w:tc>
          <w:tcPr>
            <w:tcW w:w="4800" w:type="dxa"/>
          </w:tcPr>
          <w:p>
            <w:pPr>
              <w:pStyle w:val="yTableNAm"/>
              <w:tabs>
                <w:tab w:val="left" w:leader="dot" w:pos="4572"/>
              </w:tabs>
              <w:spacing w:before="40"/>
              <w:ind w:right="12"/>
            </w:pPr>
            <w:r>
              <w:t xml:space="preserve">up to 150 kL </w:t>
            </w:r>
            <w:r>
              <w:tab/>
            </w:r>
          </w:p>
        </w:tc>
        <w:tc>
          <w:tcPr>
            <w:tcW w:w="1440" w:type="dxa"/>
          </w:tcPr>
          <w:p>
            <w:pPr>
              <w:pStyle w:val="yTableNAm"/>
              <w:spacing w:before="40"/>
            </w:pPr>
            <w:r>
              <w:t>72.6 cents</w:t>
            </w:r>
          </w:p>
        </w:tc>
      </w:tr>
      <w:tr>
        <w:tc>
          <w:tcPr>
            <w:tcW w:w="960" w:type="dxa"/>
          </w:tcPr>
          <w:p>
            <w:pPr>
              <w:pStyle w:val="yTableNAm"/>
              <w:spacing w:before="40"/>
            </w:pPr>
          </w:p>
        </w:tc>
        <w:tc>
          <w:tcPr>
            <w:tcW w:w="4800" w:type="dxa"/>
          </w:tcPr>
          <w:p>
            <w:pPr>
              <w:pStyle w:val="yTableNAm"/>
              <w:tabs>
                <w:tab w:val="left" w:leader="dot" w:pos="4572"/>
              </w:tabs>
              <w:spacing w:before="40"/>
              <w:ind w:right="12"/>
            </w:pPr>
            <w:r>
              <w:t xml:space="preserve">over 150 but not over 350 kL </w:t>
            </w:r>
            <w:r>
              <w:tab/>
            </w:r>
          </w:p>
        </w:tc>
        <w:tc>
          <w:tcPr>
            <w:tcW w:w="1440" w:type="dxa"/>
          </w:tcPr>
          <w:p>
            <w:pPr>
              <w:pStyle w:val="yTableNAm"/>
              <w:spacing w:before="40"/>
            </w:pPr>
            <w:r>
              <w:t>88.0 cents</w:t>
            </w:r>
          </w:p>
        </w:tc>
      </w:tr>
      <w:tr>
        <w:tc>
          <w:tcPr>
            <w:tcW w:w="960" w:type="dxa"/>
          </w:tcPr>
          <w:p>
            <w:pPr>
              <w:pStyle w:val="yTableNAm"/>
              <w:spacing w:before="40"/>
            </w:pPr>
          </w:p>
        </w:tc>
        <w:tc>
          <w:tcPr>
            <w:tcW w:w="4800" w:type="dxa"/>
          </w:tcPr>
          <w:p>
            <w:pPr>
              <w:pStyle w:val="yTableNAm"/>
              <w:tabs>
                <w:tab w:val="left" w:leader="dot" w:pos="4572"/>
              </w:tabs>
              <w:spacing w:before="40"/>
              <w:ind w:right="12"/>
            </w:pPr>
            <w:r>
              <w:t xml:space="preserve">over 350 but not over 550 kL </w:t>
            </w:r>
            <w:r>
              <w:tab/>
            </w:r>
          </w:p>
        </w:tc>
        <w:tc>
          <w:tcPr>
            <w:tcW w:w="1440" w:type="dxa"/>
          </w:tcPr>
          <w:p>
            <w:pPr>
              <w:pStyle w:val="yTableNAm"/>
              <w:spacing w:before="40"/>
            </w:pPr>
            <w:r>
              <w:t>102.0 cents</w:t>
            </w:r>
          </w:p>
        </w:tc>
      </w:tr>
      <w:tr>
        <w:tc>
          <w:tcPr>
            <w:tcW w:w="960" w:type="dxa"/>
          </w:tcPr>
          <w:p>
            <w:pPr>
              <w:pStyle w:val="yTableNAm"/>
              <w:spacing w:before="40"/>
            </w:pPr>
          </w:p>
        </w:tc>
        <w:tc>
          <w:tcPr>
            <w:tcW w:w="4800" w:type="dxa"/>
          </w:tcPr>
          <w:p>
            <w:pPr>
              <w:pStyle w:val="yTableNAm"/>
              <w:tabs>
                <w:tab w:val="left" w:leader="dot" w:pos="4572"/>
              </w:tabs>
              <w:spacing w:before="40"/>
              <w:ind w:right="12"/>
            </w:pPr>
            <w:r>
              <w:t xml:space="preserve">over 550 but not over 950 kL </w:t>
            </w:r>
            <w:r>
              <w:tab/>
            </w:r>
          </w:p>
        </w:tc>
        <w:tc>
          <w:tcPr>
            <w:tcW w:w="1440" w:type="dxa"/>
          </w:tcPr>
          <w:p>
            <w:pPr>
              <w:pStyle w:val="yTableNAm"/>
              <w:spacing w:before="40"/>
            </w:pPr>
            <w:r>
              <w:t>153.7 cents</w:t>
            </w:r>
          </w:p>
        </w:tc>
      </w:tr>
      <w:tr>
        <w:tc>
          <w:tcPr>
            <w:tcW w:w="960" w:type="dxa"/>
          </w:tcPr>
          <w:p>
            <w:pPr>
              <w:pStyle w:val="yTableNAm"/>
              <w:spacing w:before="40"/>
            </w:pPr>
          </w:p>
        </w:tc>
        <w:tc>
          <w:tcPr>
            <w:tcW w:w="4800" w:type="dxa"/>
          </w:tcPr>
          <w:p>
            <w:pPr>
              <w:pStyle w:val="yTableNAm"/>
              <w:tabs>
                <w:tab w:val="left" w:leader="dot" w:pos="4572"/>
              </w:tabs>
              <w:spacing w:before="40"/>
              <w:ind w:right="12"/>
            </w:pPr>
            <w:r>
              <w:t xml:space="preserve">over 950 kL </w:t>
            </w:r>
            <w:r>
              <w:tab/>
            </w:r>
          </w:p>
        </w:tc>
        <w:tc>
          <w:tcPr>
            <w:tcW w:w="1440" w:type="dxa"/>
          </w:tcPr>
          <w:p>
            <w:pPr>
              <w:pStyle w:val="yTableNAm"/>
              <w:spacing w:before="40"/>
            </w:pPr>
            <w:r>
              <w:t>177.9 cents</w:t>
            </w:r>
          </w:p>
        </w:tc>
      </w:tr>
    </w:tbl>
    <w:p>
      <w:pPr>
        <w:pStyle w:val="yHeading5"/>
        <w:keepNext w:val="0"/>
        <w:keepLines w:val="0"/>
        <w:tabs>
          <w:tab w:val="clear" w:pos="879"/>
        </w:tabs>
        <w:spacing w:before="160"/>
        <w:ind w:left="964" w:hanging="964"/>
        <w:rPr>
          <w:b w:val="0"/>
          <w:bCs/>
        </w:rPr>
      </w:pPr>
      <w:bookmarkStart w:id="614" w:name="_Toc237309591"/>
      <w:r>
        <w:rPr>
          <w:rStyle w:val="CharSClsNo"/>
        </w:rPr>
        <w:t>22</w:t>
      </w:r>
      <w:r>
        <w:t>.</w:t>
      </w:r>
      <w:r>
        <w:tab/>
        <w:t>Non</w:t>
      </w:r>
      <w:r>
        <w:noBreakHyphen/>
        <w:t>metropolitan residential</w:t>
      </w:r>
      <w:bookmarkEnd w:id="614"/>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440" w:type="dxa"/>
          </w:tcPr>
          <w:p>
            <w:pPr>
              <w:pStyle w:val="yTableNAm"/>
            </w:pPr>
          </w:p>
        </w:tc>
      </w:tr>
    </w:tbl>
    <w:p>
      <w:pPr>
        <w:pStyle w:val="ySubsection"/>
        <w:spacing w:before="0"/>
        <w:rPr>
          <w:sz w:val="12"/>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tblHeader/>
        </w:trPr>
        <w:tc>
          <w:tcPr>
            <w:tcW w:w="1417" w:type="dxa"/>
            <w:tcBorders>
              <w:top w:val="single" w:sz="4" w:space="0" w:color="auto"/>
              <w:bottom w:val="single" w:sz="4" w:space="0" w:color="auto"/>
            </w:tcBorders>
          </w:tcPr>
          <w:p>
            <w:pPr>
              <w:pStyle w:val="yTableNAm"/>
              <w:spacing w:before="40"/>
              <w:rPr>
                <w:b/>
                <w:bCs/>
              </w:rPr>
            </w:pPr>
            <w:r>
              <w:rPr>
                <w:b/>
                <w:bCs/>
              </w:rPr>
              <w:br w:type="page"/>
              <w:t>Consumption (kL)</w:t>
            </w:r>
          </w:p>
        </w:tc>
        <w:tc>
          <w:tcPr>
            <w:tcW w:w="992" w:type="dxa"/>
            <w:tcBorders>
              <w:top w:val="single" w:sz="4" w:space="0" w:color="auto"/>
              <w:bottom w:val="single" w:sz="4" w:space="0" w:color="auto"/>
            </w:tcBorders>
          </w:tcPr>
          <w:p>
            <w:pPr>
              <w:pStyle w:val="yTableNAm"/>
              <w:spacing w:before="40"/>
              <w:jc w:val="center"/>
              <w:rPr>
                <w:b/>
                <w:bCs/>
              </w:rPr>
            </w:pPr>
            <w:r>
              <w:rPr>
                <w:b/>
                <w:bCs/>
              </w:rPr>
              <w:t>Class 1 (c/kL)</w:t>
            </w:r>
          </w:p>
        </w:tc>
        <w:tc>
          <w:tcPr>
            <w:tcW w:w="992" w:type="dxa"/>
            <w:tcBorders>
              <w:top w:val="single" w:sz="4" w:space="0" w:color="auto"/>
              <w:bottom w:val="single" w:sz="4" w:space="0" w:color="auto"/>
            </w:tcBorders>
          </w:tcPr>
          <w:p>
            <w:pPr>
              <w:pStyle w:val="yTableNAm"/>
              <w:spacing w:before="40"/>
              <w:jc w:val="center"/>
              <w:rPr>
                <w:b/>
                <w:bCs/>
              </w:rPr>
            </w:pPr>
            <w:r>
              <w:rPr>
                <w:b/>
                <w:bCs/>
              </w:rPr>
              <w:t>Class 2 (c/kL)</w:t>
            </w:r>
          </w:p>
        </w:tc>
        <w:tc>
          <w:tcPr>
            <w:tcW w:w="992" w:type="dxa"/>
            <w:tcBorders>
              <w:top w:val="single" w:sz="4" w:space="0" w:color="auto"/>
              <w:bottom w:val="single" w:sz="4" w:space="0" w:color="auto"/>
            </w:tcBorders>
          </w:tcPr>
          <w:p>
            <w:pPr>
              <w:pStyle w:val="yTableNAm"/>
              <w:spacing w:before="40"/>
              <w:jc w:val="center"/>
              <w:rPr>
                <w:b/>
                <w:bCs/>
              </w:rPr>
            </w:pPr>
            <w:r>
              <w:rPr>
                <w:b/>
                <w:bCs/>
              </w:rPr>
              <w:t>Class 3 (c/kL)</w:t>
            </w:r>
          </w:p>
        </w:tc>
        <w:tc>
          <w:tcPr>
            <w:tcW w:w="992" w:type="dxa"/>
            <w:tcBorders>
              <w:top w:val="single" w:sz="4" w:space="0" w:color="auto"/>
              <w:bottom w:val="single" w:sz="4" w:space="0" w:color="auto"/>
            </w:tcBorders>
          </w:tcPr>
          <w:p>
            <w:pPr>
              <w:pStyle w:val="yTableNAm"/>
              <w:spacing w:before="40"/>
              <w:jc w:val="center"/>
              <w:rPr>
                <w:b/>
                <w:bCs/>
              </w:rPr>
            </w:pPr>
            <w:r>
              <w:rPr>
                <w:b/>
                <w:bCs/>
              </w:rPr>
              <w:t>Class 4 (c/kL)</w:t>
            </w:r>
          </w:p>
        </w:tc>
        <w:tc>
          <w:tcPr>
            <w:tcW w:w="993" w:type="dxa"/>
            <w:tcBorders>
              <w:top w:val="single" w:sz="4" w:space="0" w:color="auto"/>
              <w:bottom w:val="single" w:sz="4" w:space="0" w:color="auto"/>
            </w:tcBorders>
          </w:tcPr>
          <w:p>
            <w:pPr>
              <w:pStyle w:val="yTableNAm"/>
              <w:spacing w:before="40"/>
              <w:jc w:val="center"/>
              <w:rPr>
                <w:b/>
                <w:bCs/>
              </w:rPr>
            </w:pPr>
            <w:r>
              <w:rPr>
                <w:b/>
                <w:bCs/>
              </w:rPr>
              <w:t>Class 5 (c/kL)</w:t>
            </w:r>
          </w:p>
        </w:tc>
      </w:tr>
      <w:tr>
        <w:tc>
          <w:tcPr>
            <w:tcW w:w="1417" w:type="dxa"/>
          </w:tcPr>
          <w:p>
            <w:pPr>
              <w:pStyle w:val="yTableNAm"/>
              <w:spacing w:before="50"/>
            </w:pPr>
            <w:r>
              <w:t>Up to 150</w:t>
            </w:r>
          </w:p>
        </w:tc>
        <w:tc>
          <w:tcPr>
            <w:tcW w:w="992" w:type="dxa"/>
          </w:tcPr>
          <w:p>
            <w:pPr>
              <w:pStyle w:val="yTableNAm"/>
              <w:spacing w:before="50"/>
              <w:jc w:val="center"/>
            </w:pPr>
            <w:r>
              <w:t>72.6</w:t>
            </w:r>
          </w:p>
        </w:tc>
        <w:tc>
          <w:tcPr>
            <w:tcW w:w="992" w:type="dxa"/>
          </w:tcPr>
          <w:p>
            <w:pPr>
              <w:pStyle w:val="yTableNAm"/>
              <w:spacing w:before="50"/>
              <w:jc w:val="center"/>
            </w:pPr>
            <w:r>
              <w:t>72.6</w:t>
            </w:r>
          </w:p>
        </w:tc>
        <w:tc>
          <w:tcPr>
            <w:tcW w:w="992" w:type="dxa"/>
          </w:tcPr>
          <w:p>
            <w:pPr>
              <w:pStyle w:val="yTableNAm"/>
              <w:spacing w:before="50"/>
              <w:jc w:val="center"/>
            </w:pPr>
            <w:r>
              <w:t>72.6</w:t>
            </w:r>
          </w:p>
        </w:tc>
        <w:tc>
          <w:tcPr>
            <w:tcW w:w="992" w:type="dxa"/>
          </w:tcPr>
          <w:p>
            <w:pPr>
              <w:pStyle w:val="yTableNAm"/>
              <w:spacing w:before="50"/>
              <w:jc w:val="center"/>
            </w:pPr>
            <w:r>
              <w:t>72.6</w:t>
            </w:r>
          </w:p>
        </w:tc>
        <w:tc>
          <w:tcPr>
            <w:tcW w:w="993" w:type="dxa"/>
          </w:tcPr>
          <w:p>
            <w:pPr>
              <w:pStyle w:val="yTableNAm"/>
              <w:spacing w:before="50"/>
              <w:jc w:val="center"/>
            </w:pPr>
            <w:r>
              <w:t>72.6</w:t>
            </w:r>
          </w:p>
        </w:tc>
      </w:tr>
      <w:tr>
        <w:tc>
          <w:tcPr>
            <w:tcW w:w="1417" w:type="dxa"/>
          </w:tcPr>
          <w:p>
            <w:pPr>
              <w:pStyle w:val="yTableNAm"/>
              <w:spacing w:before="50"/>
            </w:pPr>
            <w:r>
              <w:t>Over 150 but not over 300</w:t>
            </w:r>
          </w:p>
        </w:tc>
        <w:tc>
          <w:tcPr>
            <w:tcW w:w="992" w:type="dxa"/>
          </w:tcPr>
          <w:p>
            <w:pPr>
              <w:pStyle w:val="yTableNAm"/>
              <w:spacing w:before="50"/>
              <w:jc w:val="center"/>
            </w:pPr>
            <w:r>
              <w:br/>
              <w:t>88.0</w:t>
            </w:r>
          </w:p>
        </w:tc>
        <w:tc>
          <w:tcPr>
            <w:tcW w:w="992" w:type="dxa"/>
          </w:tcPr>
          <w:p>
            <w:pPr>
              <w:pStyle w:val="yTableNAm"/>
              <w:spacing w:before="50"/>
              <w:jc w:val="center"/>
            </w:pPr>
            <w:r>
              <w:br/>
              <w:t>88.0</w:t>
            </w:r>
          </w:p>
        </w:tc>
        <w:tc>
          <w:tcPr>
            <w:tcW w:w="992" w:type="dxa"/>
          </w:tcPr>
          <w:p>
            <w:pPr>
              <w:pStyle w:val="yTableNAm"/>
              <w:spacing w:before="50"/>
              <w:jc w:val="center"/>
            </w:pPr>
            <w:r>
              <w:br/>
              <w:t>88.0</w:t>
            </w:r>
          </w:p>
        </w:tc>
        <w:tc>
          <w:tcPr>
            <w:tcW w:w="992" w:type="dxa"/>
          </w:tcPr>
          <w:p>
            <w:pPr>
              <w:pStyle w:val="yTableNAm"/>
              <w:spacing w:before="50"/>
              <w:jc w:val="center"/>
            </w:pPr>
            <w:r>
              <w:br/>
              <w:t>88.0</w:t>
            </w:r>
          </w:p>
        </w:tc>
        <w:tc>
          <w:tcPr>
            <w:tcW w:w="993" w:type="dxa"/>
          </w:tcPr>
          <w:p>
            <w:pPr>
              <w:pStyle w:val="yTableNAm"/>
              <w:spacing w:before="50"/>
              <w:jc w:val="center"/>
            </w:pPr>
            <w:r>
              <w:br/>
              <w:t>88.0</w:t>
            </w:r>
          </w:p>
        </w:tc>
      </w:tr>
      <w:tr>
        <w:tc>
          <w:tcPr>
            <w:tcW w:w="1417" w:type="dxa"/>
          </w:tcPr>
          <w:p>
            <w:pPr>
              <w:pStyle w:val="yTableNAm"/>
              <w:spacing w:before="50"/>
            </w:pPr>
            <w:r>
              <w:t>Over 300 but not over 350</w:t>
            </w:r>
          </w:p>
        </w:tc>
        <w:tc>
          <w:tcPr>
            <w:tcW w:w="992" w:type="dxa"/>
          </w:tcPr>
          <w:p>
            <w:pPr>
              <w:pStyle w:val="yTableNAm"/>
              <w:spacing w:before="50"/>
              <w:jc w:val="center"/>
            </w:pPr>
            <w:r>
              <w:br/>
              <w:t>88.0</w:t>
            </w:r>
          </w:p>
        </w:tc>
        <w:tc>
          <w:tcPr>
            <w:tcW w:w="992" w:type="dxa"/>
          </w:tcPr>
          <w:p>
            <w:pPr>
              <w:pStyle w:val="yTableNAm"/>
              <w:spacing w:before="50"/>
              <w:jc w:val="center"/>
            </w:pPr>
            <w:r>
              <w:br/>
              <w:t>104.2</w:t>
            </w:r>
          </w:p>
        </w:tc>
        <w:tc>
          <w:tcPr>
            <w:tcW w:w="992" w:type="dxa"/>
          </w:tcPr>
          <w:p>
            <w:pPr>
              <w:pStyle w:val="yTableNAm"/>
              <w:spacing w:before="50"/>
              <w:jc w:val="center"/>
            </w:pPr>
            <w:r>
              <w:br/>
              <w:t>111.0</w:t>
            </w:r>
          </w:p>
        </w:tc>
        <w:tc>
          <w:tcPr>
            <w:tcW w:w="992" w:type="dxa"/>
          </w:tcPr>
          <w:p>
            <w:pPr>
              <w:pStyle w:val="yTableNAm"/>
              <w:spacing w:before="50"/>
              <w:jc w:val="center"/>
            </w:pPr>
            <w:r>
              <w:br/>
              <w:t>124.7</w:t>
            </w:r>
          </w:p>
        </w:tc>
        <w:tc>
          <w:tcPr>
            <w:tcW w:w="993" w:type="dxa"/>
          </w:tcPr>
          <w:p>
            <w:pPr>
              <w:pStyle w:val="yTableNAm"/>
              <w:spacing w:before="50"/>
              <w:jc w:val="center"/>
            </w:pPr>
            <w:r>
              <w:br/>
              <w:t>132.8</w:t>
            </w:r>
          </w:p>
        </w:tc>
      </w:tr>
      <w:tr>
        <w:tc>
          <w:tcPr>
            <w:tcW w:w="1417" w:type="dxa"/>
          </w:tcPr>
          <w:p>
            <w:pPr>
              <w:pStyle w:val="yTableNAm"/>
              <w:spacing w:before="50"/>
            </w:pPr>
            <w:r>
              <w:t>Over 350 but not over 450</w:t>
            </w:r>
          </w:p>
        </w:tc>
        <w:tc>
          <w:tcPr>
            <w:tcW w:w="992" w:type="dxa"/>
          </w:tcPr>
          <w:p>
            <w:pPr>
              <w:pStyle w:val="yTableNAm"/>
              <w:spacing w:before="50"/>
              <w:jc w:val="center"/>
            </w:pPr>
            <w:r>
              <w:br/>
              <w:t>97.7</w:t>
            </w:r>
          </w:p>
        </w:tc>
        <w:tc>
          <w:tcPr>
            <w:tcW w:w="992" w:type="dxa"/>
          </w:tcPr>
          <w:p>
            <w:pPr>
              <w:pStyle w:val="yTableNAm"/>
              <w:spacing w:before="50"/>
              <w:jc w:val="center"/>
            </w:pPr>
            <w:r>
              <w:br/>
              <w:t>115.5</w:t>
            </w:r>
          </w:p>
        </w:tc>
        <w:tc>
          <w:tcPr>
            <w:tcW w:w="992" w:type="dxa"/>
          </w:tcPr>
          <w:p>
            <w:pPr>
              <w:pStyle w:val="yTableNAm"/>
              <w:spacing w:before="50"/>
              <w:jc w:val="center"/>
            </w:pPr>
            <w:r>
              <w:br/>
              <w:t>122.3</w:t>
            </w:r>
          </w:p>
        </w:tc>
        <w:tc>
          <w:tcPr>
            <w:tcW w:w="992" w:type="dxa"/>
          </w:tcPr>
          <w:p>
            <w:pPr>
              <w:pStyle w:val="yTableNAm"/>
              <w:spacing w:before="50"/>
              <w:jc w:val="center"/>
            </w:pPr>
            <w:r>
              <w:br/>
              <w:t>136.0</w:t>
            </w:r>
          </w:p>
        </w:tc>
        <w:tc>
          <w:tcPr>
            <w:tcW w:w="993" w:type="dxa"/>
          </w:tcPr>
          <w:p>
            <w:pPr>
              <w:pStyle w:val="yTableNAm"/>
              <w:spacing w:before="50"/>
              <w:jc w:val="center"/>
            </w:pPr>
            <w:r>
              <w:br/>
              <w:t>144.2</w:t>
            </w:r>
          </w:p>
        </w:tc>
      </w:tr>
      <w:tr>
        <w:tc>
          <w:tcPr>
            <w:tcW w:w="1417" w:type="dxa"/>
          </w:tcPr>
          <w:p>
            <w:pPr>
              <w:pStyle w:val="yTableNAm"/>
              <w:spacing w:before="60"/>
            </w:pPr>
            <w:r>
              <w:t>Over 450 but not over 550</w:t>
            </w:r>
          </w:p>
        </w:tc>
        <w:tc>
          <w:tcPr>
            <w:tcW w:w="992" w:type="dxa"/>
          </w:tcPr>
          <w:p>
            <w:pPr>
              <w:pStyle w:val="yTableNAm"/>
              <w:spacing w:before="60"/>
              <w:jc w:val="center"/>
            </w:pPr>
            <w:r>
              <w:br/>
              <w:t>97.7</w:t>
            </w:r>
          </w:p>
        </w:tc>
        <w:tc>
          <w:tcPr>
            <w:tcW w:w="992" w:type="dxa"/>
          </w:tcPr>
          <w:p>
            <w:pPr>
              <w:pStyle w:val="yTableNAm"/>
              <w:spacing w:before="60"/>
              <w:jc w:val="center"/>
            </w:pPr>
            <w:r>
              <w:br/>
              <w:t>132.5</w:t>
            </w:r>
          </w:p>
        </w:tc>
        <w:tc>
          <w:tcPr>
            <w:tcW w:w="992" w:type="dxa"/>
          </w:tcPr>
          <w:p>
            <w:pPr>
              <w:pStyle w:val="yTableNAm"/>
              <w:spacing w:before="60"/>
              <w:jc w:val="center"/>
            </w:pPr>
            <w:r>
              <w:br/>
              <w:t>146.8</w:t>
            </w:r>
          </w:p>
        </w:tc>
        <w:tc>
          <w:tcPr>
            <w:tcW w:w="992" w:type="dxa"/>
          </w:tcPr>
          <w:p>
            <w:pPr>
              <w:pStyle w:val="yTableNAm"/>
              <w:spacing w:before="60"/>
              <w:jc w:val="center"/>
            </w:pPr>
            <w:r>
              <w:br/>
              <w:t>168.2</w:t>
            </w:r>
          </w:p>
        </w:tc>
        <w:tc>
          <w:tcPr>
            <w:tcW w:w="993" w:type="dxa"/>
          </w:tcPr>
          <w:p>
            <w:pPr>
              <w:pStyle w:val="yTableNAm"/>
              <w:spacing w:before="60"/>
              <w:jc w:val="center"/>
            </w:pPr>
            <w:r>
              <w:br/>
              <w:t>178.8</w:t>
            </w:r>
          </w:p>
        </w:tc>
      </w:tr>
      <w:tr>
        <w:tc>
          <w:tcPr>
            <w:tcW w:w="1417" w:type="dxa"/>
          </w:tcPr>
          <w:p>
            <w:pPr>
              <w:pStyle w:val="yTableNAm"/>
              <w:spacing w:before="60"/>
            </w:pPr>
            <w:r>
              <w:t>Over 550 but not over 750</w:t>
            </w:r>
          </w:p>
        </w:tc>
        <w:tc>
          <w:tcPr>
            <w:tcW w:w="992" w:type="dxa"/>
          </w:tcPr>
          <w:p>
            <w:pPr>
              <w:pStyle w:val="yTableNAm"/>
              <w:spacing w:before="60"/>
              <w:jc w:val="center"/>
            </w:pPr>
            <w:r>
              <w:br/>
              <w:t>153.9</w:t>
            </w:r>
          </w:p>
        </w:tc>
        <w:tc>
          <w:tcPr>
            <w:tcW w:w="992" w:type="dxa"/>
          </w:tcPr>
          <w:p>
            <w:pPr>
              <w:pStyle w:val="yTableNAm"/>
              <w:spacing w:before="60"/>
              <w:jc w:val="center"/>
            </w:pPr>
            <w:r>
              <w:br/>
              <w:t>185.0</w:t>
            </w:r>
          </w:p>
        </w:tc>
        <w:tc>
          <w:tcPr>
            <w:tcW w:w="992" w:type="dxa"/>
          </w:tcPr>
          <w:p>
            <w:pPr>
              <w:pStyle w:val="yTableNAm"/>
              <w:spacing w:before="60"/>
              <w:jc w:val="center"/>
            </w:pPr>
            <w:r>
              <w:br/>
              <w:t>212.9</w:t>
            </w:r>
          </w:p>
        </w:tc>
        <w:tc>
          <w:tcPr>
            <w:tcW w:w="992" w:type="dxa"/>
          </w:tcPr>
          <w:p>
            <w:pPr>
              <w:pStyle w:val="yTableNAm"/>
              <w:spacing w:before="60"/>
              <w:jc w:val="center"/>
            </w:pPr>
            <w:r>
              <w:br/>
              <w:t>255.6</w:t>
            </w:r>
          </w:p>
        </w:tc>
        <w:tc>
          <w:tcPr>
            <w:tcW w:w="993" w:type="dxa"/>
          </w:tcPr>
          <w:p>
            <w:pPr>
              <w:pStyle w:val="yTableNAm"/>
              <w:spacing w:before="60"/>
              <w:jc w:val="center"/>
            </w:pPr>
            <w:r>
              <w:br/>
              <w:t>280.4</w:t>
            </w:r>
          </w:p>
        </w:tc>
      </w:tr>
      <w:tr>
        <w:tc>
          <w:tcPr>
            <w:tcW w:w="1417" w:type="dxa"/>
          </w:tcPr>
          <w:p>
            <w:pPr>
              <w:pStyle w:val="yTableNAm"/>
              <w:spacing w:before="60"/>
            </w:pPr>
            <w:r>
              <w:t>Over 750 but not over 950</w:t>
            </w:r>
          </w:p>
        </w:tc>
        <w:tc>
          <w:tcPr>
            <w:tcW w:w="992" w:type="dxa"/>
          </w:tcPr>
          <w:p>
            <w:pPr>
              <w:pStyle w:val="yTableNAm"/>
              <w:spacing w:before="60"/>
              <w:jc w:val="center"/>
            </w:pPr>
            <w:r>
              <w:br/>
              <w:t>176.2</w:t>
            </w:r>
          </w:p>
        </w:tc>
        <w:tc>
          <w:tcPr>
            <w:tcW w:w="992" w:type="dxa"/>
          </w:tcPr>
          <w:p>
            <w:pPr>
              <w:pStyle w:val="yTableNAm"/>
              <w:spacing w:before="60"/>
              <w:jc w:val="center"/>
            </w:pPr>
            <w:r>
              <w:br/>
              <w:t>240.6</w:t>
            </w:r>
          </w:p>
        </w:tc>
        <w:tc>
          <w:tcPr>
            <w:tcW w:w="992" w:type="dxa"/>
          </w:tcPr>
          <w:p>
            <w:pPr>
              <w:pStyle w:val="yTableNAm"/>
              <w:spacing w:before="60"/>
              <w:jc w:val="center"/>
            </w:pPr>
            <w:r>
              <w:br/>
              <w:t>271.8</w:t>
            </w:r>
          </w:p>
        </w:tc>
        <w:tc>
          <w:tcPr>
            <w:tcW w:w="992" w:type="dxa"/>
          </w:tcPr>
          <w:p>
            <w:pPr>
              <w:pStyle w:val="yTableNAm"/>
              <w:spacing w:before="60"/>
              <w:jc w:val="center"/>
            </w:pPr>
            <w:r>
              <w:br/>
              <w:t>325.8</w:t>
            </w:r>
          </w:p>
        </w:tc>
        <w:tc>
          <w:tcPr>
            <w:tcW w:w="993" w:type="dxa"/>
          </w:tcPr>
          <w:p>
            <w:pPr>
              <w:pStyle w:val="yTableNAm"/>
              <w:spacing w:before="60"/>
              <w:jc w:val="center"/>
            </w:pPr>
            <w:r>
              <w:br/>
              <w:t>362.0</w:t>
            </w:r>
          </w:p>
        </w:tc>
      </w:tr>
      <w:tr>
        <w:tc>
          <w:tcPr>
            <w:tcW w:w="1417" w:type="dxa"/>
          </w:tcPr>
          <w:p>
            <w:pPr>
              <w:pStyle w:val="yTableNAm"/>
              <w:spacing w:before="60"/>
            </w:pPr>
            <w:r>
              <w:t>Over 950 but not over 1 150</w:t>
            </w:r>
          </w:p>
        </w:tc>
        <w:tc>
          <w:tcPr>
            <w:tcW w:w="992" w:type="dxa"/>
          </w:tcPr>
          <w:p>
            <w:pPr>
              <w:pStyle w:val="yTableNAm"/>
              <w:spacing w:before="60"/>
              <w:jc w:val="center"/>
            </w:pPr>
            <w:r>
              <w:br/>
              <w:t>179.7</w:t>
            </w:r>
          </w:p>
        </w:tc>
        <w:tc>
          <w:tcPr>
            <w:tcW w:w="992" w:type="dxa"/>
          </w:tcPr>
          <w:p>
            <w:pPr>
              <w:pStyle w:val="yTableNAm"/>
              <w:spacing w:before="60"/>
              <w:jc w:val="center"/>
            </w:pPr>
            <w:r>
              <w:br/>
              <w:t>258.2</w:t>
            </w:r>
          </w:p>
        </w:tc>
        <w:tc>
          <w:tcPr>
            <w:tcW w:w="992" w:type="dxa"/>
          </w:tcPr>
          <w:p>
            <w:pPr>
              <w:pStyle w:val="yTableNAm"/>
              <w:spacing w:before="60"/>
              <w:jc w:val="center"/>
            </w:pPr>
            <w:r>
              <w:br/>
              <w:t>310.9</w:t>
            </w:r>
          </w:p>
        </w:tc>
        <w:tc>
          <w:tcPr>
            <w:tcW w:w="992" w:type="dxa"/>
          </w:tcPr>
          <w:p>
            <w:pPr>
              <w:pStyle w:val="yTableNAm"/>
              <w:spacing w:before="60"/>
              <w:jc w:val="center"/>
            </w:pPr>
            <w:r>
              <w:br/>
              <w:t>378.1</w:t>
            </w:r>
          </w:p>
        </w:tc>
        <w:tc>
          <w:tcPr>
            <w:tcW w:w="993" w:type="dxa"/>
          </w:tcPr>
          <w:p>
            <w:pPr>
              <w:pStyle w:val="yTableNAm"/>
              <w:spacing w:before="60"/>
              <w:jc w:val="center"/>
            </w:pPr>
            <w:r>
              <w:br/>
              <w:t>449.7</w:t>
            </w:r>
          </w:p>
        </w:tc>
      </w:tr>
      <w:tr>
        <w:tc>
          <w:tcPr>
            <w:tcW w:w="1417" w:type="dxa"/>
          </w:tcPr>
          <w:p>
            <w:pPr>
              <w:pStyle w:val="yTableNAm"/>
              <w:spacing w:before="60"/>
            </w:pPr>
            <w:r>
              <w:t>Over 1 150 but not over 1 550</w:t>
            </w:r>
          </w:p>
        </w:tc>
        <w:tc>
          <w:tcPr>
            <w:tcW w:w="992" w:type="dxa"/>
          </w:tcPr>
          <w:p>
            <w:pPr>
              <w:pStyle w:val="yTableNAm"/>
              <w:spacing w:before="60"/>
              <w:jc w:val="center"/>
            </w:pPr>
            <w:r>
              <w:br/>
              <w:t>225.1</w:t>
            </w:r>
          </w:p>
        </w:tc>
        <w:tc>
          <w:tcPr>
            <w:tcW w:w="992" w:type="dxa"/>
          </w:tcPr>
          <w:p>
            <w:pPr>
              <w:pStyle w:val="yTableNAm"/>
              <w:spacing w:before="60"/>
              <w:jc w:val="center"/>
            </w:pPr>
            <w:r>
              <w:br/>
              <w:t>323.2</w:t>
            </w:r>
          </w:p>
        </w:tc>
        <w:tc>
          <w:tcPr>
            <w:tcW w:w="992" w:type="dxa"/>
          </w:tcPr>
          <w:p>
            <w:pPr>
              <w:pStyle w:val="yTableNAm"/>
              <w:spacing w:before="60"/>
              <w:jc w:val="center"/>
            </w:pPr>
            <w:r>
              <w:br/>
              <w:t>392.1</w:t>
            </w:r>
          </w:p>
        </w:tc>
        <w:tc>
          <w:tcPr>
            <w:tcW w:w="992" w:type="dxa"/>
          </w:tcPr>
          <w:p>
            <w:pPr>
              <w:pStyle w:val="yTableNAm"/>
              <w:spacing w:before="60"/>
              <w:jc w:val="center"/>
            </w:pPr>
            <w:r>
              <w:br/>
              <w:t>524.5</w:t>
            </w:r>
          </w:p>
        </w:tc>
        <w:tc>
          <w:tcPr>
            <w:tcW w:w="993" w:type="dxa"/>
          </w:tcPr>
          <w:p>
            <w:pPr>
              <w:pStyle w:val="yTableNAm"/>
              <w:spacing w:before="60"/>
              <w:jc w:val="center"/>
            </w:pPr>
            <w:r>
              <w:br/>
              <w:t>650.1</w:t>
            </w:r>
          </w:p>
        </w:tc>
      </w:tr>
      <w:tr>
        <w:tc>
          <w:tcPr>
            <w:tcW w:w="1417" w:type="dxa"/>
          </w:tcPr>
          <w:p>
            <w:pPr>
              <w:pStyle w:val="yTableNAm"/>
              <w:spacing w:before="60"/>
            </w:pPr>
            <w:r>
              <w:t>Over 1 550 but not over 1 950</w:t>
            </w:r>
          </w:p>
        </w:tc>
        <w:tc>
          <w:tcPr>
            <w:tcW w:w="992" w:type="dxa"/>
          </w:tcPr>
          <w:p>
            <w:pPr>
              <w:pStyle w:val="yTableNAm"/>
              <w:spacing w:before="60"/>
              <w:jc w:val="center"/>
            </w:pPr>
            <w:r>
              <w:br/>
              <w:t>247.9</w:t>
            </w:r>
          </w:p>
        </w:tc>
        <w:tc>
          <w:tcPr>
            <w:tcW w:w="992" w:type="dxa"/>
          </w:tcPr>
          <w:p>
            <w:pPr>
              <w:pStyle w:val="yTableNAm"/>
              <w:spacing w:before="60"/>
              <w:jc w:val="center"/>
            </w:pPr>
            <w:r>
              <w:br/>
              <w:t>371.9</w:t>
            </w:r>
          </w:p>
        </w:tc>
        <w:tc>
          <w:tcPr>
            <w:tcW w:w="992" w:type="dxa"/>
          </w:tcPr>
          <w:p>
            <w:pPr>
              <w:pStyle w:val="yTableNAm"/>
              <w:spacing w:before="60"/>
              <w:jc w:val="center"/>
            </w:pPr>
            <w:r>
              <w:br/>
              <w:t>468.1</w:t>
            </w:r>
          </w:p>
        </w:tc>
        <w:tc>
          <w:tcPr>
            <w:tcW w:w="992" w:type="dxa"/>
          </w:tcPr>
          <w:p>
            <w:pPr>
              <w:pStyle w:val="yTableNAm"/>
              <w:spacing w:before="60"/>
              <w:jc w:val="center"/>
            </w:pPr>
            <w:r>
              <w:br/>
              <w:t>589.5</w:t>
            </w:r>
          </w:p>
        </w:tc>
        <w:tc>
          <w:tcPr>
            <w:tcW w:w="993" w:type="dxa"/>
          </w:tcPr>
          <w:p>
            <w:pPr>
              <w:pStyle w:val="yTableNAm"/>
              <w:spacing w:before="60"/>
              <w:jc w:val="center"/>
            </w:pPr>
            <w:r>
              <w:br/>
              <w:t>715.3</w:t>
            </w:r>
          </w:p>
        </w:tc>
      </w:tr>
      <w:tr>
        <w:tc>
          <w:tcPr>
            <w:tcW w:w="1417" w:type="dxa"/>
            <w:tcBorders>
              <w:bottom w:val="single" w:sz="4" w:space="0" w:color="auto"/>
            </w:tcBorders>
          </w:tcPr>
          <w:p>
            <w:pPr>
              <w:pStyle w:val="yTableNAm"/>
              <w:spacing w:before="60"/>
            </w:pPr>
            <w:r>
              <w:t>Over 1 950</w:t>
            </w:r>
          </w:p>
        </w:tc>
        <w:tc>
          <w:tcPr>
            <w:tcW w:w="992" w:type="dxa"/>
            <w:tcBorders>
              <w:bottom w:val="single" w:sz="4" w:space="0" w:color="auto"/>
            </w:tcBorders>
          </w:tcPr>
          <w:p>
            <w:pPr>
              <w:pStyle w:val="yTableNAm"/>
              <w:spacing w:before="60"/>
              <w:jc w:val="center"/>
            </w:pPr>
            <w:r>
              <w:t>275.9</w:t>
            </w:r>
          </w:p>
        </w:tc>
        <w:tc>
          <w:tcPr>
            <w:tcW w:w="992" w:type="dxa"/>
            <w:tcBorders>
              <w:bottom w:val="single" w:sz="4" w:space="0" w:color="auto"/>
            </w:tcBorders>
          </w:tcPr>
          <w:p>
            <w:pPr>
              <w:pStyle w:val="yTableNAm"/>
              <w:spacing w:before="60"/>
              <w:jc w:val="center"/>
            </w:pPr>
            <w:r>
              <w:t>442.5</w:t>
            </w:r>
          </w:p>
        </w:tc>
        <w:tc>
          <w:tcPr>
            <w:tcW w:w="992" w:type="dxa"/>
            <w:tcBorders>
              <w:bottom w:val="single" w:sz="4" w:space="0" w:color="auto"/>
            </w:tcBorders>
          </w:tcPr>
          <w:p>
            <w:pPr>
              <w:pStyle w:val="yTableNAm"/>
              <w:spacing w:before="60"/>
              <w:jc w:val="center"/>
            </w:pPr>
            <w:r>
              <w:t>533.1</w:t>
            </w:r>
          </w:p>
        </w:tc>
        <w:tc>
          <w:tcPr>
            <w:tcW w:w="992" w:type="dxa"/>
            <w:tcBorders>
              <w:bottom w:val="single" w:sz="4" w:space="0" w:color="auto"/>
            </w:tcBorders>
          </w:tcPr>
          <w:p>
            <w:pPr>
              <w:pStyle w:val="yTableNAm"/>
              <w:spacing w:before="60"/>
              <w:jc w:val="center"/>
            </w:pPr>
            <w:r>
              <w:t>654.4</w:t>
            </w:r>
          </w:p>
        </w:tc>
        <w:tc>
          <w:tcPr>
            <w:tcW w:w="993" w:type="dxa"/>
            <w:tcBorders>
              <w:bottom w:val="single" w:sz="4" w:space="0" w:color="auto"/>
            </w:tcBorders>
          </w:tcPr>
          <w:p>
            <w:pPr>
              <w:pStyle w:val="yTableNAm"/>
              <w:spacing w:before="60"/>
              <w:jc w:val="center"/>
            </w:pPr>
            <w:r>
              <w:t>769.4</w:t>
            </w:r>
          </w:p>
        </w:tc>
      </w:tr>
    </w:tbl>
    <w:p>
      <w:pPr>
        <w:pStyle w:val="ySubsection"/>
        <w:spacing w:before="0"/>
        <w:rPr>
          <w:sz w:val="12"/>
        </w:rPr>
      </w:pPr>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spacing w:before="0"/>
            </w:pPr>
          </w:p>
        </w:tc>
        <w:tc>
          <w:tcPr>
            <w:tcW w:w="4800" w:type="dxa"/>
          </w:tcPr>
          <w:p>
            <w:pPr>
              <w:pStyle w:val="yTableNAm"/>
              <w:spacing w:before="0"/>
              <w:rPr>
                <w:spacing w:val="-1"/>
              </w:rPr>
            </w:pPr>
            <w:r>
              <w:t>except that if the property is —</w:t>
            </w:r>
          </w:p>
        </w:tc>
        <w:tc>
          <w:tcPr>
            <w:tcW w:w="1440" w:type="dxa"/>
          </w:tcPr>
          <w:p>
            <w:pPr>
              <w:pStyle w:val="yTableNAm"/>
              <w:spacing w:before="0"/>
            </w:pPr>
          </w:p>
        </w:tc>
      </w:tr>
      <w:tr>
        <w:tc>
          <w:tcPr>
            <w:tcW w:w="960" w:type="dxa"/>
          </w:tcPr>
          <w:p>
            <w:pPr>
              <w:pStyle w:val="yTableNAm"/>
              <w:spacing w:before="100"/>
            </w:pPr>
          </w:p>
        </w:tc>
        <w:tc>
          <w:tcPr>
            <w:tcW w:w="4800" w:type="dxa"/>
          </w:tcPr>
          <w:p>
            <w:pPr>
              <w:pStyle w:val="yTableNAm"/>
              <w:tabs>
                <w:tab w:val="clear" w:pos="567"/>
                <w:tab w:val="left" w:pos="416"/>
                <w:tab w:val="left" w:pos="1016"/>
              </w:tabs>
              <w:spacing w:before="100"/>
              <w:ind w:left="1016" w:hanging="1016"/>
              <w:rPr>
                <w:b/>
                <w:bCs/>
                <w:spacing w:val="-1"/>
              </w:rPr>
            </w:pPr>
            <w:r>
              <w:rPr>
                <w:snapToGrid w:val="0"/>
              </w:rPr>
              <w:tab/>
              <w:t>(a)</w:t>
            </w:r>
            <w:r>
              <w:tab/>
            </w:r>
            <w:r>
              <w:rPr>
                <w:snapToGrid w:val="0"/>
              </w:rPr>
              <w:t>in the town of Cue, Laverton, Leonora, Meekatharra, Menzies, Mt Magnet, Mullewa, Sandstone, Wiluna or Yalgoo; or</w:t>
            </w:r>
          </w:p>
        </w:tc>
        <w:tc>
          <w:tcPr>
            <w:tcW w:w="1440" w:type="dxa"/>
          </w:tcPr>
          <w:p>
            <w:pPr>
              <w:pStyle w:val="yTableNAm"/>
              <w:spacing w:before="100"/>
              <w:rPr>
                <w:b/>
                <w:bCs/>
              </w:rPr>
            </w:pPr>
          </w:p>
        </w:tc>
      </w:tr>
      <w:tr>
        <w:tc>
          <w:tcPr>
            <w:tcW w:w="960" w:type="dxa"/>
          </w:tcPr>
          <w:p>
            <w:pPr>
              <w:pStyle w:val="yTableNAm"/>
              <w:spacing w:before="100"/>
            </w:pPr>
          </w:p>
        </w:tc>
        <w:tc>
          <w:tcPr>
            <w:tcW w:w="4800" w:type="dxa"/>
          </w:tcPr>
          <w:p>
            <w:pPr>
              <w:pStyle w:val="yTableNAm"/>
              <w:tabs>
                <w:tab w:val="clear" w:pos="567"/>
                <w:tab w:val="left" w:pos="416"/>
                <w:tab w:val="left" w:pos="1016"/>
              </w:tabs>
              <w:spacing w:before="100"/>
              <w:ind w:left="1016" w:hanging="1016"/>
              <w:rPr>
                <w:spacing w:val="-1"/>
              </w:rPr>
            </w:pPr>
            <w:r>
              <w:rPr>
                <w:snapToGrid w:val="0"/>
              </w:rPr>
              <w:tab/>
              <w:t>(b)</w:t>
            </w:r>
            <w:r>
              <w:rPr>
                <w:snapToGrid w:val="0"/>
              </w:rPr>
              <w:tab/>
              <w:t>north of 26ºS Latitude,</w:t>
            </w:r>
          </w:p>
        </w:tc>
        <w:tc>
          <w:tcPr>
            <w:tcW w:w="1440" w:type="dxa"/>
          </w:tcPr>
          <w:p>
            <w:pPr>
              <w:pStyle w:val="yTableNAm"/>
              <w:spacing w:before="100"/>
            </w:pPr>
          </w:p>
        </w:tc>
      </w:tr>
      <w:tr>
        <w:tc>
          <w:tcPr>
            <w:tcW w:w="960" w:type="dxa"/>
          </w:tcPr>
          <w:p>
            <w:pPr>
              <w:pStyle w:val="yTableNAm"/>
              <w:spacing w:before="100"/>
            </w:pPr>
          </w:p>
        </w:tc>
        <w:tc>
          <w:tcPr>
            <w:tcW w:w="4800" w:type="dxa"/>
          </w:tcPr>
          <w:p>
            <w:pPr>
              <w:pStyle w:val="yTableNAm"/>
              <w:spacing w:before="100"/>
              <w:rPr>
                <w:snapToGrid w:val="0"/>
              </w:rPr>
            </w:pPr>
            <w:r>
              <w:t>the charge for each kilolitre of water is —</w:t>
            </w:r>
          </w:p>
        </w:tc>
        <w:tc>
          <w:tcPr>
            <w:tcW w:w="1440" w:type="dxa"/>
          </w:tcPr>
          <w:p>
            <w:pPr>
              <w:pStyle w:val="yTableNAm"/>
              <w:spacing w:before="100"/>
            </w:pPr>
          </w:p>
        </w:tc>
      </w:tr>
    </w:tbl>
    <w:p>
      <w:pPr>
        <w:pStyle w:val="ySubsection"/>
        <w:spacing w:before="0"/>
        <w:rPr>
          <w:sz w:val="16"/>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tblHeader/>
        </w:trPr>
        <w:tc>
          <w:tcPr>
            <w:tcW w:w="1417" w:type="dxa"/>
            <w:tcBorders>
              <w:top w:val="single" w:sz="4" w:space="0" w:color="auto"/>
              <w:bottom w:val="single" w:sz="4" w:space="0" w:color="auto"/>
            </w:tcBorders>
          </w:tcPr>
          <w:p>
            <w:pPr>
              <w:pStyle w:val="yTableNAm"/>
              <w:spacing w:before="60"/>
              <w:rPr>
                <w:b/>
                <w:bCs/>
              </w:rPr>
            </w:pPr>
            <w:r>
              <w:rPr>
                <w:b/>
                <w:bCs/>
              </w:rPr>
              <w:br w:type="page"/>
              <w:t>Consumption (kL)</w:t>
            </w:r>
          </w:p>
        </w:tc>
        <w:tc>
          <w:tcPr>
            <w:tcW w:w="992" w:type="dxa"/>
            <w:tcBorders>
              <w:top w:val="single" w:sz="4" w:space="0" w:color="auto"/>
              <w:bottom w:val="single" w:sz="4" w:space="0" w:color="auto"/>
            </w:tcBorders>
          </w:tcPr>
          <w:p>
            <w:pPr>
              <w:pStyle w:val="yTableNAm"/>
              <w:spacing w:before="60"/>
              <w:jc w:val="center"/>
              <w:rPr>
                <w:b/>
                <w:bCs/>
              </w:rPr>
            </w:pPr>
            <w:r>
              <w:rPr>
                <w:b/>
                <w:bCs/>
              </w:rPr>
              <w:t>Class 1 (c/kL)</w:t>
            </w:r>
          </w:p>
        </w:tc>
        <w:tc>
          <w:tcPr>
            <w:tcW w:w="992" w:type="dxa"/>
            <w:tcBorders>
              <w:top w:val="single" w:sz="4" w:space="0" w:color="auto"/>
              <w:bottom w:val="single" w:sz="4" w:space="0" w:color="auto"/>
            </w:tcBorders>
          </w:tcPr>
          <w:p>
            <w:pPr>
              <w:pStyle w:val="yTableNAm"/>
              <w:spacing w:before="60"/>
              <w:jc w:val="center"/>
              <w:rPr>
                <w:b/>
                <w:bCs/>
              </w:rPr>
            </w:pPr>
            <w:r>
              <w:rPr>
                <w:b/>
                <w:bCs/>
              </w:rPr>
              <w:t>Class 2 (c/kL)</w:t>
            </w:r>
          </w:p>
        </w:tc>
        <w:tc>
          <w:tcPr>
            <w:tcW w:w="992" w:type="dxa"/>
            <w:tcBorders>
              <w:top w:val="single" w:sz="4" w:space="0" w:color="auto"/>
              <w:bottom w:val="single" w:sz="4" w:space="0" w:color="auto"/>
            </w:tcBorders>
          </w:tcPr>
          <w:p>
            <w:pPr>
              <w:pStyle w:val="yTableNAm"/>
              <w:spacing w:before="60"/>
              <w:jc w:val="center"/>
              <w:rPr>
                <w:b/>
                <w:bCs/>
              </w:rPr>
            </w:pPr>
            <w:r>
              <w:rPr>
                <w:b/>
                <w:bCs/>
              </w:rPr>
              <w:t>Class 3 (c/kL)</w:t>
            </w:r>
          </w:p>
        </w:tc>
        <w:tc>
          <w:tcPr>
            <w:tcW w:w="992" w:type="dxa"/>
            <w:tcBorders>
              <w:top w:val="single" w:sz="4" w:space="0" w:color="auto"/>
              <w:bottom w:val="single" w:sz="4" w:space="0" w:color="auto"/>
            </w:tcBorders>
          </w:tcPr>
          <w:p>
            <w:pPr>
              <w:pStyle w:val="yTableNAm"/>
              <w:spacing w:before="60"/>
              <w:jc w:val="center"/>
              <w:rPr>
                <w:b/>
                <w:bCs/>
              </w:rPr>
            </w:pPr>
            <w:r>
              <w:rPr>
                <w:b/>
                <w:bCs/>
              </w:rPr>
              <w:t>Class 4 (c/kL)</w:t>
            </w:r>
          </w:p>
        </w:tc>
        <w:tc>
          <w:tcPr>
            <w:tcW w:w="993" w:type="dxa"/>
            <w:tcBorders>
              <w:top w:val="single" w:sz="4" w:space="0" w:color="auto"/>
              <w:bottom w:val="single" w:sz="4" w:space="0" w:color="auto"/>
            </w:tcBorders>
          </w:tcPr>
          <w:p>
            <w:pPr>
              <w:pStyle w:val="yTableNAm"/>
              <w:spacing w:before="60"/>
              <w:jc w:val="center"/>
              <w:rPr>
                <w:b/>
                <w:bCs/>
              </w:rPr>
            </w:pPr>
            <w:r>
              <w:rPr>
                <w:b/>
                <w:bCs/>
              </w:rPr>
              <w:t>Class 5 (c/kL)</w:t>
            </w:r>
          </w:p>
        </w:tc>
      </w:tr>
      <w:tr>
        <w:tc>
          <w:tcPr>
            <w:tcW w:w="1417" w:type="dxa"/>
          </w:tcPr>
          <w:p>
            <w:pPr>
              <w:pStyle w:val="yTableNAm"/>
              <w:spacing w:before="60"/>
            </w:pPr>
            <w:r>
              <w:t>Up to 150</w:t>
            </w:r>
          </w:p>
        </w:tc>
        <w:tc>
          <w:tcPr>
            <w:tcW w:w="992" w:type="dxa"/>
          </w:tcPr>
          <w:p>
            <w:pPr>
              <w:pStyle w:val="yTableNAm"/>
              <w:spacing w:before="60"/>
              <w:jc w:val="center"/>
            </w:pPr>
            <w:r>
              <w:t>72.6</w:t>
            </w:r>
          </w:p>
        </w:tc>
        <w:tc>
          <w:tcPr>
            <w:tcW w:w="992" w:type="dxa"/>
          </w:tcPr>
          <w:p>
            <w:pPr>
              <w:pStyle w:val="yTableNAm"/>
              <w:spacing w:before="60"/>
              <w:jc w:val="center"/>
            </w:pPr>
            <w:r>
              <w:t>72.6</w:t>
            </w:r>
          </w:p>
        </w:tc>
        <w:tc>
          <w:tcPr>
            <w:tcW w:w="992" w:type="dxa"/>
          </w:tcPr>
          <w:p>
            <w:pPr>
              <w:pStyle w:val="yTableNAm"/>
              <w:spacing w:before="60"/>
              <w:jc w:val="center"/>
            </w:pPr>
            <w:r>
              <w:t>72.6</w:t>
            </w:r>
          </w:p>
        </w:tc>
        <w:tc>
          <w:tcPr>
            <w:tcW w:w="992" w:type="dxa"/>
          </w:tcPr>
          <w:p>
            <w:pPr>
              <w:pStyle w:val="yTableNAm"/>
              <w:spacing w:before="60"/>
              <w:jc w:val="center"/>
            </w:pPr>
            <w:r>
              <w:t>72.6</w:t>
            </w:r>
          </w:p>
        </w:tc>
        <w:tc>
          <w:tcPr>
            <w:tcW w:w="993" w:type="dxa"/>
          </w:tcPr>
          <w:p>
            <w:pPr>
              <w:pStyle w:val="yTableNAm"/>
              <w:spacing w:before="60"/>
              <w:jc w:val="center"/>
            </w:pPr>
            <w:r>
              <w:t>72.6</w:t>
            </w:r>
          </w:p>
        </w:tc>
      </w:tr>
      <w:tr>
        <w:tc>
          <w:tcPr>
            <w:tcW w:w="1417" w:type="dxa"/>
          </w:tcPr>
          <w:p>
            <w:pPr>
              <w:pStyle w:val="yTableNAm"/>
              <w:spacing w:before="60"/>
            </w:pPr>
            <w:r>
              <w:t>Over 150 but not over 300</w:t>
            </w:r>
          </w:p>
        </w:tc>
        <w:tc>
          <w:tcPr>
            <w:tcW w:w="992" w:type="dxa"/>
          </w:tcPr>
          <w:p>
            <w:pPr>
              <w:pStyle w:val="yTableNAm"/>
              <w:spacing w:before="60"/>
              <w:jc w:val="center"/>
            </w:pPr>
            <w:r>
              <w:br/>
              <w:t>88.0</w:t>
            </w:r>
          </w:p>
        </w:tc>
        <w:tc>
          <w:tcPr>
            <w:tcW w:w="992" w:type="dxa"/>
          </w:tcPr>
          <w:p>
            <w:pPr>
              <w:pStyle w:val="yTableNAm"/>
              <w:spacing w:before="60"/>
              <w:jc w:val="center"/>
            </w:pPr>
            <w:r>
              <w:br/>
              <w:t>88.0</w:t>
            </w:r>
          </w:p>
        </w:tc>
        <w:tc>
          <w:tcPr>
            <w:tcW w:w="992" w:type="dxa"/>
          </w:tcPr>
          <w:p>
            <w:pPr>
              <w:pStyle w:val="yTableNAm"/>
              <w:spacing w:before="60"/>
              <w:jc w:val="center"/>
            </w:pPr>
            <w:r>
              <w:br/>
              <w:t>88.0</w:t>
            </w:r>
          </w:p>
        </w:tc>
        <w:tc>
          <w:tcPr>
            <w:tcW w:w="992" w:type="dxa"/>
          </w:tcPr>
          <w:p>
            <w:pPr>
              <w:pStyle w:val="yTableNAm"/>
              <w:spacing w:before="60"/>
              <w:jc w:val="center"/>
            </w:pPr>
            <w:r>
              <w:br/>
              <w:t>88.0</w:t>
            </w:r>
          </w:p>
        </w:tc>
        <w:tc>
          <w:tcPr>
            <w:tcW w:w="993" w:type="dxa"/>
          </w:tcPr>
          <w:p>
            <w:pPr>
              <w:pStyle w:val="yTableNAm"/>
              <w:spacing w:before="60"/>
              <w:jc w:val="center"/>
            </w:pPr>
            <w:r>
              <w:br/>
              <w:t>88.0</w:t>
            </w:r>
          </w:p>
        </w:tc>
      </w:tr>
      <w:tr>
        <w:tc>
          <w:tcPr>
            <w:tcW w:w="1417" w:type="dxa"/>
          </w:tcPr>
          <w:p>
            <w:pPr>
              <w:pStyle w:val="yTableNAm"/>
              <w:spacing w:before="60"/>
            </w:pPr>
            <w:r>
              <w:t>Over 300 but not over 500</w:t>
            </w:r>
          </w:p>
        </w:tc>
        <w:tc>
          <w:tcPr>
            <w:tcW w:w="992" w:type="dxa"/>
          </w:tcPr>
          <w:p>
            <w:pPr>
              <w:pStyle w:val="yTableNAm"/>
              <w:spacing w:before="60"/>
              <w:jc w:val="center"/>
            </w:pPr>
            <w:r>
              <w:br/>
              <w:t>88.0</w:t>
            </w:r>
          </w:p>
        </w:tc>
        <w:tc>
          <w:tcPr>
            <w:tcW w:w="992" w:type="dxa"/>
          </w:tcPr>
          <w:p>
            <w:pPr>
              <w:pStyle w:val="yTableNAm"/>
              <w:spacing w:before="60"/>
              <w:jc w:val="center"/>
            </w:pPr>
            <w:r>
              <w:br/>
              <w:t>88.0</w:t>
            </w:r>
          </w:p>
        </w:tc>
        <w:tc>
          <w:tcPr>
            <w:tcW w:w="992" w:type="dxa"/>
          </w:tcPr>
          <w:p>
            <w:pPr>
              <w:pStyle w:val="yTableNAm"/>
              <w:spacing w:before="60"/>
              <w:jc w:val="center"/>
            </w:pPr>
            <w:r>
              <w:br/>
              <w:t>88.0</w:t>
            </w:r>
          </w:p>
        </w:tc>
        <w:tc>
          <w:tcPr>
            <w:tcW w:w="992" w:type="dxa"/>
          </w:tcPr>
          <w:p>
            <w:pPr>
              <w:pStyle w:val="yTableNAm"/>
              <w:spacing w:before="60"/>
              <w:jc w:val="center"/>
            </w:pPr>
            <w:r>
              <w:br/>
              <w:t>88.0</w:t>
            </w:r>
          </w:p>
        </w:tc>
        <w:tc>
          <w:tcPr>
            <w:tcW w:w="993" w:type="dxa"/>
          </w:tcPr>
          <w:p>
            <w:pPr>
              <w:pStyle w:val="yTableNAm"/>
              <w:spacing w:before="60"/>
              <w:jc w:val="center"/>
            </w:pPr>
            <w:r>
              <w:br/>
              <w:t>88.0</w:t>
            </w:r>
          </w:p>
        </w:tc>
      </w:tr>
      <w:tr>
        <w:tc>
          <w:tcPr>
            <w:tcW w:w="1417" w:type="dxa"/>
          </w:tcPr>
          <w:p>
            <w:pPr>
              <w:pStyle w:val="yTableNAm"/>
              <w:spacing w:before="60"/>
            </w:pPr>
            <w:r>
              <w:t>Over 500 but not over 550</w:t>
            </w:r>
          </w:p>
        </w:tc>
        <w:tc>
          <w:tcPr>
            <w:tcW w:w="992" w:type="dxa"/>
          </w:tcPr>
          <w:p>
            <w:pPr>
              <w:pStyle w:val="yTableNAm"/>
              <w:spacing w:before="60"/>
              <w:jc w:val="center"/>
            </w:pPr>
            <w:r>
              <w:br/>
              <w:t>88.0</w:t>
            </w:r>
          </w:p>
        </w:tc>
        <w:tc>
          <w:tcPr>
            <w:tcW w:w="992" w:type="dxa"/>
          </w:tcPr>
          <w:p>
            <w:pPr>
              <w:pStyle w:val="yTableNAm"/>
              <w:spacing w:before="60"/>
              <w:jc w:val="center"/>
            </w:pPr>
            <w:r>
              <w:br/>
              <w:t>104.2</w:t>
            </w:r>
          </w:p>
        </w:tc>
        <w:tc>
          <w:tcPr>
            <w:tcW w:w="992" w:type="dxa"/>
          </w:tcPr>
          <w:p>
            <w:pPr>
              <w:pStyle w:val="yTableNAm"/>
              <w:spacing w:before="60"/>
              <w:jc w:val="center"/>
            </w:pPr>
            <w:r>
              <w:br/>
              <w:t>111.0</w:t>
            </w:r>
          </w:p>
        </w:tc>
        <w:tc>
          <w:tcPr>
            <w:tcW w:w="992" w:type="dxa"/>
          </w:tcPr>
          <w:p>
            <w:pPr>
              <w:pStyle w:val="yTableNAm"/>
              <w:spacing w:before="60"/>
              <w:jc w:val="center"/>
            </w:pPr>
            <w:r>
              <w:br/>
              <w:t>124.7</w:t>
            </w:r>
          </w:p>
        </w:tc>
        <w:tc>
          <w:tcPr>
            <w:tcW w:w="993" w:type="dxa"/>
          </w:tcPr>
          <w:p>
            <w:pPr>
              <w:pStyle w:val="yTableNAm"/>
              <w:spacing w:before="60"/>
              <w:jc w:val="center"/>
            </w:pPr>
            <w:r>
              <w:br/>
              <w:t>132.8</w:t>
            </w:r>
          </w:p>
        </w:tc>
      </w:tr>
      <w:tr>
        <w:tc>
          <w:tcPr>
            <w:tcW w:w="1417" w:type="dxa"/>
          </w:tcPr>
          <w:p>
            <w:pPr>
              <w:pStyle w:val="yTableNAm"/>
              <w:spacing w:before="60"/>
            </w:pPr>
            <w:r>
              <w:t>Over 550 but not over 650</w:t>
            </w:r>
          </w:p>
        </w:tc>
        <w:tc>
          <w:tcPr>
            <w:tcW w:w="992" w:type="dxa"/>
          </w:tcPr>
          <w:p>
            <w:pPr>
              <w:pStyle w:val="yTableNAm"/>
              <w:spacing w:before="60"/>
              <w:jc w:val="center"/>
            </w:pPr>
            <w:r>
              <w:br/>
              <w:t>96.4</w:t>
            </w:r>
          </w:p>
        </w:tc>
        <w:tc>
          <w:tcPr>
            <w:tcW w:w="992" w:type="dxa"/>
          </w:tcPr>
          <w:p>
            <w:pPr>
              <w:pStyle w:val="yTableNAm"/>
              <w:spacing w:before="60"/>
              <w:jc w:val="center"/>
            </w:pPr>
            <w:r>
              <w:br/>
              <w:t>112.6</w:t>
            </w:r>
          </w:p>
        </w:tc>
        <w:tc>
          <w:tcPr>
            <w:tcW w:w="992" w:type="dxa"/>
          </w:tcPr>
          <w:p>
            <w:pPr>
              <w:pStyle w:val="yTableNAm"/>
              <w:spacing w:before="60"/>
              <w:jc w:val="center"/>
            </w:pPr>
            <w:r>
              <w:br/>
              <w:t>119.4</w:t>
            </w:r>
          </w:p>
        </w:tc>
        <w:tc>
          <w:tcPr>
            <w:tcW w:w="992" w:type="dxa"/>
          </w:tcPr>
          <w:p>
            <w:pPr>
              <w:pStyle w:val="yTableNAm"/>
              <w:spacing w:before="60"/>
              <w:jc w:val="center"/>
            </w:pPr>
            <w:r>
              <w:br/>
              <w:t>133.1</w:t>
            </w:r>
          </w:p>
        </w:tc>
        <w:tc>
          <w:tcPr>
            <w:tcW w:w="993" w:type="dxa"/>
          </w:tcPr>
          <w:p>
            <w:pPr>
              <w:pStyle w:val="yTableNAm"/>
              <w:spacing w:before="60"/>
              <w:jc w:val="center"/>
            </w:pPr>
            <w:r>
              <w:br/>
              <w:t>141.2</w:t>
            </w:r>
          </w:p>
        </w:tc>
      </w:tr>
      <w:tr>
        <w:tc>
          <w:tcPr>
            <w:tcW w:w="1417" w:type="dxa"/>
          </w:tcPr>
          <w:p>
            <w:pPr>
              <w:pStyle w:val="yTableNAm"/>
              <w:keepNext/>
              <w:spacing w:before="60"/>
            </w:pPr>
            <w:r>
              <w:t>Over 650 but not over 750</w:t>
            </w:r>
          </w:p>
        </w:tc>
        <w:tc>
          <w:tcPr>
            <w:tcW w:w="992" w:type="dxa"/>
          </w:tcPr>
          <w:p>
            <w:pPr>
              <w:pStyle w:val="yTableNAm"/>
              <w:keepNext/>
              <w:spacing w:before="60"/>
              <w:jc w:val="center"/>
            </w:pPr>
            <w:r>
              <w:br/>
              <w:t>122.6</w:t>
            </w:r>
          </w:p>
        </w:tc>
        <w:tc>
          <w:tcPr>
            <w:tcW w:w="992" w:type="dxa"/>
          </w:tcPr>
          <w:p>
            <w:pPr>
              <w:pStyle w:val="yTableNAm"/>
              <w:keepNext/>
              <w:spacing w:before="60"/>
              <w:jc w:val="center"/>
            </w:pPr>
            <w:r>
              <w:br/>
              <w:t>142.4</w:t>
            </w:r>
          </w:p>
        </w:tc>
        <w:tc>
          <w:tcPr>
            <w:tcW w:w="992" w:type="dxa"/>
          </w:tcPr>
          <w:p>
            <w:pPr>
              <w:pStyle w:val="yTableNAm"/>
              <w:keepNext/>
              <w:spacing w:before="60"/>
              <w:jc w:val="center"/>
            </w:pPr>
            <w:r>
              <w:br/>
              <w:t>162.2</w:t>
            </w:r>
          </w:p>
        </w:tc>
        <w:tc>
          <w:tcPr>
            <w:tcW w:w="992" w:type="dxa"/>
          </w:tcPr>
          <w:p>
            <w:pPr>
              <w:pStyle w:val="yTableNAm"/>
              <w:keepNext/>
              <w:spacing w:before="60"/>
              <w:jc w:val="center"/>
            </w:pPr>
            <w:r>
              <w:br/>
              <w:t>186.4</w:t>
            </w:r>
          </w:p>
        </w:tc>
        <w:tc>
          <w:tcPr>
            <w:tcW w:w="993" w:type="dxa"/>
          </w:tcPr>
          <w:p>
            <w:pPr>
              <w:pStyle w:val="yTableNAm"/>
              <w:keepNext/>
              <w:spacing w:before="60"/>
              <w:jc w:val="center"/>
            </w:pPr>
            <w:r>
              <w:br/>
              <w:t>204.7</w:t>
            </w:r>
          </w:p>
        </w:tc>
      </w:tr>
      <w:tr>
        <w:tc>
          <w:tcPr>
            <w:tcW w:w="1417" w:type="dxa"/>
          </w:tcPr>
          <w:p>
            <w:pPr>
              <w:pStyle w:val="yTableNAm"/>
              <w:spacing w:before="60"/>
            </w:pPr>
            <w:r>
              <w:t>Over 750 but not over 950</w:t>
            </w:r>
          </w:p>
        </w:tc>
        <w:tc>
          <w:tcPr>
            <w:tcW w:w="992" w:type="dxa"/>
          </w:tcPr>
          <w:p>
            <w:pPr>
              <w:pStyle w:val="yTableNAm"/>
              <w:spacing w:before="60"/>
              <w:jc w:val="center"/>
            </w:pPr>
            <w:r>
              <w:br/>
              <w:t>176.2</w:t>
            </w:r>
          </w:p>
        </w:tc>
        <w:tc>
          <w:tcPr>
            <w:tcW w:w="992" w:type="dxa"/>
          </w:tcPr>
          <w:p>
            <w:pPr>
              <w:pStyle w:val="yTableNAm"/>
              <w:spacing w:before="60"/>
              <w:jc w:val="center"/>
            </w:pPr>
            <w:r>
              <w:br/>
              <w:t>240.6</w:t>
            </w:r>
          </w:p>
        </w:tc>
        <w:tc>
          <w:tcPr>
            <w:tcW w:w="992" w:type="dxa"/>
          </w:tcPr>
          <w:p>
            <w:pPr>
              <w:pStyle w:val="yTableNAm"/>
              <w:spacing w:before="60"/>
              <w:jc w:val="center"/>
            </w:pPr>
            <w:r>
              <w:br/>
              <w:t>271.8</w:t>
            </w:r>
          </w:p>
        </w:tc>
        <w:tc>
          <w:tcPr>
            <w:tcW w:w="992" w:type="dxa"/>
          </w:tcPr>
          <w:p>
            <w:pPr>
              <w:pStyle w:val="yTableNAm"/>
              <w:spacing w:before="60"/>
              <w:jc w:val="center"/>
            </w:pPr>
            <w:r>
              <w:br/>
              <w:t>325.8</w:t>
            </w:r>
          </w:p>
        </w:tc>
        <w:tc>
          <w:tcPr>
            <w:tcW w:w="993" w:type="dxa"/>
          </w:tcPr>
          <w:p>
            <w:pPr>
              <w:pStyle w:val="yTableNAm"/>
              <w:spacing w:before="60"/>
              <w:jc w:val="center"/>
            </w:pPr>
            <w:r>
              <w:br/>
              <w:t>362.0</w:t>
            </w:r>
          </w:p>
        </w:tc>
      </w:tr>
      <w:tr>
        <w:tc>
          <w:tcPr>
            <w:tcW w:w="1417" w:type="dxa"/>
          </w:tcPr>
          <w:p>
            <w:pPr>
              <w:pStyle w:val="yTableNAm"/>
              <w:spacing w:before="60"/>
            </w:pPr>
            <w:r>
              <w:t>Over 950 but not over 1 150</w:t>
            </w:r>
          </w:p>
        </w:tc>
        <w:tc>
          <w:tcPr>
            <w:tcW w:w="992" w:type="dxa"/>
          </w:tcPr>
          <w:p>
            <w:pPr>
              <w:pStyle w:val="yTableNAm"/>
              <w:spacing w:before="60"/>
              <w:jc w:val="center"/>
            </w:pPr>
            <w:r>
              <w:br/>
              <w:t>176.2</w:t>
            </w:r>
          </w:p>
        </w:tc>
        <w:tc>
          <w:tcPr>
            <w:tcW w:w="992" w:type="dxa"/>
          </w:tcPr>
          <w:p>
            <w:pPr>
              <w:pStyle w:val="yTableNAm"/>
              <w:spacing w:before="60"/>
              <w:jc w:val="center"/>
            </w:pPr>
            <w:r>
              <w:br/>
              <w:t>240.6</w:t>
            </w:r>
          </w:p>
        </w:tc>
        <w:tc>
          <w:tcPr>
            <w:tcW w:w="992" w:type="dxa"/>
          </w:tcPr>
          <w:p>
            <w:pPr>
              <w:pStyle w:val="yTableNAm"/>
              <w:spacing w:before="60"/>
              <w:jc w:val="center"/>
            </w:pPr>
            <w:r>
              <w:br/>
              <w:t>271.8</w:t>
            </w:r>
          </w:p>
        </w:tc>
        <w:tc>
          <w:tcPr>
            <w:tcW w:w="992" w:type="dxa"/>
          </w:tcPr>
          <w:p>
            <w:pPr>
              <w:pStyle w:val="yTableNAm"/>
              <w:spacing w:before="60"/>
              <w:jc w:val="center"/>
            </w:pPr>
            <w:r>
              <w:br/>
              <w:t>325.8</w:t>
            </w:r>
          </w:p>
        </w:tc>
        <w:tc>
          <w:tcPr>
            <w:tcW w:w="993" w:type="dxa"/>
          </w:tcPr>
          <w:p>
            <w:pPr>
              <w:pStyle w:val="yTableNAm"/>
              <w:spacing w:before="60"/>
              <w:jc w:val="center"/>
            </w:pPr>
            <w:r>
              <w:br/>
              <w:t>362.0</w:t>
            </w:r>
          </w:p>
        </w:tc>
      </w:tr>
      <w:tr>
        <w:tc>
          <w:tcPr>
            <w:tcW w:w="1417" w:type="dxa"/>
          </w:tcPr>
          <w:p>
            <w:pPr>
              <w:pStyle w:val="yTableNAm"/>
              <w:spacing w:before="60"/>
            </w:pPr>
            <w:r>
              <w:t>Over 1 150 but not over 1 550</w:t>
            </w:r>
          </w:p>
        </w:tc>
        <w:tc>
          <w:tcPr>
            <w:tcW w:w="992" w:type="dxa"/>
          </w:tcPr>
          <w:p>
            <w:pPr>
              <w:pStyle w:val="yTableNAm"/>
              <w:spacing w:before="60"/>
              <w:jc w:val="center"/>
            </w:pPr>
            <w:r>
              <w:br/>
              <w:t>225.1</w:t>
            </w:r>
          </w:p>
        </w:tc>
        <w:tc>
          <w:tcPr>
            <w:tcW w:w="992" w:type="dxa"/>
          </w:tcPr>
          <w:p>
            <w:pPr>
              <w:pStyle w:val="yTableNAm"/>
              <w:spacing w:before="60"/>
              <w:jc w:val="center"/>
            </w:pPr>
            <w:r>
              <w:br/>
              <w:t>323.2</w:t>
            </w:r>
          </w:p>
        </w:tc>
        <w:tc>
          <w:tcPr>
            <w:tcW w:w="992" w:type="dxa"/>
          </w:tcPr>
          <w:p>
            <w:pPr>
              <w:pStyle w:val="yTableNAm"/>
              <w:spacing w:before="60"/>
              <w:jc w:val="center"/>
            </w:pPr>
            <w:r>
              <w:br/>
              <w:t>392.1</w:t>
            </w:r>
          </w:p>
        </w:tc>
        <w:tc>
          <w:tcPr>
            <w:tcW w:w="992" w:type="dxa"/>
          </w:tcPr>
          <w:p>
            <w:pPr>
              <w:pStyle w:val="yTableNAm"/>
              <w:spacing w:before="60"/>
              <w:jc w:val="center"/>
            </w:pPr>
            <w:r>
              <w:br/>
              <w:t>524.5</w:t>
            </w:r>
          </w:p>
        </w:tc>
        <w:tc>
          <w:tcPr>
            <w:tcW w:w="993" w:type="dxa"/>
          </w:tcPr>
          <w:p>
            <w:pPr>
              <w:pStyle w:val="yTableNAm"/>
              <w:spacing w:before="60"/>
              <w:jc w:val="center"/>
            </w:pPr>
            <w:r>
              <w:br/>
              <w:t>650.1</w:t>
            </w:r>
          </w:p>
        </w:tc>
      </w:tr>
      <w:tr>
        <w:tc>
          <w:tcPr>
            <w:tcW w:w="1417" w:type="dxa"/>
          </w:tcPr>
          <w:p>
            <w:pPr>
              <w:pStyle w:val="yTableNAm"/>
              <w:spacing w:before="60"/>
            </w:pPr>
            <w:r>
              <w:t>Over 1 550 but not over 1 950</w:t>
            </w:r>
          </w:p>
        </w:tc>
        <w:tc>
          <w:tcPr>
            <w:tcW w:w="992" w:type="dxa"/>
          </w:tcPr>
          <w:p>
            <w:pPr>
              <w:pStyle w:val="yTableNAm"/>
              <w:spacing w:before="60"/>
              <w:jc w:val="center"/>
            </w:pPr>
            <w:r>
              <w:br/>
              <w:t>247.9</w:t>
            </w:r>
          </w:p>
        </w:tc>
        <w:tc>
          <w:tcPr>
            <w:tcW w:w="992" w:type="dxa"/>
          </w:tcPr>
          <w:p>
            <w:pPr>
              <w:pStyle w:val="yTableNAm"/>
              <w:spacing w:before="60"/>
              <w:jc w:val="center"/>
            </w:pPr>
            <w:r>
              <w:br/>
              <w:t>371.9</w:t>
            </w:r>
          </w:p>
        </w:tc>
        <w:tc>
          <w:tcPr>
            <w:tcW w:w="992" w:type="dxa"/>
          </w:tcPr>
          <w:p>
            <w:pPr>
              <w:pStyle w:val="yTableNAm"/>
              <w:spacing w:before="60"/>
              <w:jc w:val="center"/>
            </w:pPr>
            <w:r>
              <w:br/>
              <w:t>468.1</w:t>
            </w:r>
          </w:p>
        </w:tc>
        <w:tc>
          <w:tcPr>
            <w:tcW w:w="992" w:type="dxa"/>
          </w:tcPr>
          <w:p>
            <w:pPr>
              <w:pStyle w:val="yTableNAm"/>
              <w:spacing w:before="60"/>
              <w:jc w:val="center"/>
            </w:pPr>
            <w:r>
              <w:br/>
              <w:t>589.5</w:t>
            </w:r>
          </w:p>
        </w:tc>
        <w:tc>
          <w:tcPr>
            <w:tcW w:w="993" w:type="dxa"/>
          </w:tcPr>
          <w:p>
            <w:pPr>
              <w:pStyle w:val="yTableNAm"/>
              <w:spacing w:before="60"/>
              <w:jc w:val="center"/>
            </w:pPr>
            <w:r>
              <w:br/>
              <w:t>715.3</w:t>
            </w:r>
          </w:p>
        </w:tc>
      </w:tr>
      <w:tr>
        <w:tc>
          <w:tcPr>
            <w:tcW w:w="1417" w:type="dxa"/>
            <w:tcBorders>
              <w:bottom w:val="single" w:sz="4" w:space="0" w:color="auto"/>
            </w:tcBorders>
          </w:tcPr>
          <w:p>
            <w:pPr>
              <w:pStyle w:val="yTableNAm"/>
              <w:spacing w:before="60"/>
            </w:pPr>
            <w:r>
              <w:t>Over 1 950</w:t>
            </w:r>
          </w:p>
        </w:tc>
        <w:tc>
          <w:tcPr>
            <w:tcW w:w="992" w:type="dxa"/>
            <w:tcBorders>
              <w:bottom w:val="single" w:sz="4" w:space="0" w:color="auto"/>
            </w:tcBorders>
          </w:tcPr>
          <w:p>
            <w:pPr>
              <w:pStyle w:val="yTableNAm"/>
              <w:spacing w:before="60"/>
              <w:jc w:val="center"/>
            </w:pPr>
            <w:r>
              <w:t>275.9</w:t>
            </w:r>
          </w:p>
        </w:tc>
        <w:tc>
          <w:tcPr>
            <w:tcW w:w="992" w:type="dxa"/>
            <w:tcBorders>
              <w:bottom w:val="single" w:sz="4" w:space="0" w:color="auto"/>
            </w:tcBorders>
          </w:tcPr>
          <w:p>
            <w:pPr>
              <w:pStyle w:val="yTableNAm"/>
              <w:spacing w:before="60"/>
              <w:jc w:val="center"/>
            </w:pPr>
            <w:r>
              <w:t>442.5</w:t>
            </w:r>
          </w:p>
        </w:tc>
        <w:tc>
          <w:tcPr>
            <w:tcW w:w="992" w:type="dxa"/>
            <w:tcBorders>
              <w:bottom w:val="single" w:sz="4" w:space="0" w:color="auto"/>
            </w:tcBorders>
          </w:tcPr>
          <w:p>
            <w:pPr>
              <w:pStyle w:val="yTableNAm"/>
              <w:spacing w:before="60"/>
              <w:jc w:val="center"/>
            </w:pPr>
            <w:r>
              <w:t>533.1</w:t>
            </w:r>
          </w:p>
        </w:tc>
        <w:tc>
          <w:tcPr>
            <w:tcW w:w="992" w:type="dxa"/>
            <w:tcBorders>
              <w:bottom w:val="single" w:sz="4" w:space="0" w:color="auto"/>
            </w:tcBorders>
          </w:tcPr>
          <w:p>
            <w:pPr>
              <w:pStyle w:val="yTableNAm"/>
              <w:spacing w:before="60"/>
              <w:jc w:val="center"/>
            </w:pPr>
            <w:r>
              <w:t>654.4</w:t>
            </w:r>
          </w:p>
        </w:tc>
        <w:tc>
          <w:tcPr>
            <w:tcW w:w="993" w:type="dxa"/>
            <w:tcBorders>
              <w:bottom w:val="single" w:sz="4" w:space="0" w:color="auto"/>
            </w:tcBorders>
          </w:tcPr>
          <w:p>
            <w:pPr>
              <w:pStyle w:val="yTableNAm"/>
              <w:spacing w:before="60"/>
              <w:jc w:val="center"/>
            </w:pPr>
            <w:r>
              <w:t>769.4</w:t>
            </w:r>
          </w:p>
        </w:tc>
      </w:tr>
    </w:tbl>
    <w:p>
      <w:pPr>
        <w:pStyle w:val="yHeading5"/>
        <w:keepNext w:val="0"/>
        <w:keepLines w:val="0"/>
        <w:tabs>
          <w:tab w:val="clear" w:pos="879"/>
        </w:tabs>
        <w:spacing w:before="240"/>
        <w:ind w:left="964" w:hanging="964"/>
        <w:rPr>
          <w:b w:val="0"/>
          <w:bCs/>
        </w:rPr>
      </w:pPr>
      <w:bookmarkStart w:id="615" w:name="_Toc237309592"/>
      <w:r>
        <w:rPr>
          <w:rStyle w:val="CharSClsNo"/>
        </w:rPr>
        <w:t>23</w:t>
      </w:r>
      <w:r>
        <w:t>.</w:t>
      </w:r>
      <w:r>
        <w:tab/>
        <w:t>Community residential</w:t>
      </w:r>
      <w:bookmarkEnd w:id="615"/>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spacing w:before="160"/>
            </w:pPr>
          </w:p>
        </w:tc>
        <w:tc>
          <w:tcPr>
            <w:tcW w:w="4800" w:type="dxa"/>
          </w:tcPr>
          <w:p>
            <w:pPr>
              <w:pStyle w:val="yTableNAm"/>
              <w:tabs>
                <w:tab w:val="clear" w:pos="567"/>
                <w:tab w:val="left" w:pos="176"/>
                <w:tab w:val="left" w:pos="656"/>
              </w:tabs>
              <w:spacing w:before="160"/>
              <w:ind w:left="658" w:hanging="658"/>
            </w:pPr>
            <w:r>
              <w:tab/>
              <w:t>(1)</w:t>
            </w:r>
            <w:r>
              <w:tab/>
              <w:t>For each kilolitre of water supplied to a discrete residential unit as determined under by</w:t>
            </w:r>
            <w:r>
              <w:noBreakHyphen/>
              <w:t>law 16 that is in the metropolitan area —</w:t>
            </w:r>
          </w:p>
        </w:tc>
        <w:tc>
          <w:tcPr>
            <w:tcW w:w="1440" w:type="dxa"/>
          </w:tcPr>
          <w:p>
            <w:pPr>
              <w:pStyle w:val="yTableNAm"/>
              <w:spacing w:before="160"/>
            </w:pPr>
          </w:p>
        </w:tc>
      </w:tr>
      <w:tr>
        <w:tc>
          <w:tcPr>
            <w:tcW w:w="960" w:type="dxa"/>
          </w:tcPr>
          <w:p>
            <w:pPr>
              <w:pStyle w:val="yTableNAm"/>
              <w:spacing w:before="80"/>
            </w:pPr>
          </w:p>
        </w:tc>
        <w:tc>
          <w:tcPr>
            <w:tcW w:w="4800" w:type="dxa"/>
          </w:tcPr>
          <w:p>
            <w:pPr>
              <w:pStyle w:val="yTableNAm"/>
              <w:tabs>
                <w:tab w:val="clear" w:pos="567"/>
                <w:tab w:val="left" w:pos="896"/>
                <w:tab w:val="left" w:leader="dot" w:pos="4570"/>
              </w:tabs>
              <w:spacing w:before="80"/>
              <w:rPr>
                <w:spacing w:val="-1"/>
              </w:rPr>
            </w:pPr>
            <w:r>
              <w:rPr>
                <w:spacing w:val="-1"/>
              </w:rPr>
              <w:tab/>
              <w:t xml:space="preserve">up to 150 kL </w:t>
            </w:r>
            <w:r>
              <w:rPr>
                <w:spacing w:val="-1"/>
              </w:rPr>
              <w:tab/>
            </w:r>
          </w:p>
        </w:tc>
        <w:tc>
          <w:tcPr>
            <w:tcW w:w="1440" w:type="dxa"/>
          </w:tcPr>
          <w:p>
            <w:pPr>
              <w:pStyle w:val="yTableNAm"/>
              <w:tabs>
                <w:tab w:val="clear" w:pos="567"/>
                <w:tab w:val="left" w:pos="896"/>
                <w:tab w:val="left" w:leader="dot" w:pos="4570"/>
              </w:tabs>
              <w:spacing w:before="80"/>
            </w:pPr>
            <w:r>
              <w:t>36.3 cents</w:t>
            </w:r>
          </w:p>
        </w:tc>
      </w:tr>
      <w:tr>
        <w:tc>
          <w:tcPr>
            <w:tcW w:w="960" w:type="dxa"/>
          </w:tcPr>
          <w:p>
            <w:pPr>
              <w:pStyle w:val="yTableNAm"/>
              <w:spacing w:before="80"/>
            </w:pPr>
          </w:p>
        </w:tc>
        <w:tc>
          <w:tcPr>
            <w:tcW w:w="4800" w:type="dxa"/>
          </w:tcPr>
          <w:p>
            <w:pPr>
              <w:pStyle w:val="yTableNAm"/>
              <w:tabs>
                <w:tab w:val="clear" w:pos="567"/>
                <w:tab w:val="left" w:pos="896"/>
                <w:tab w:val="left" w:leader="dot" w:pos="4570"/>
              </w:tabs>
              <w:spacing w:before="80"/>
              <w:rPr>
                <w:spacing w:val="-1"/>
              </w:rPr>
            </w:pPr>
            <w:r>
              <w:rPr>
                <w:spacing w:val="-1"/>
              </w:rPr>
              <w:tab/>
              <w:t xml:space="preserve">over 150 but not over 350 kL </w:t>
            </w:r>
            <w:r>
              <w:rPr>
                <w:spacing w:val="-1"/>
              </w:rPr>
              <w:tab/>
            </w:r>
          </w:p>
        </w:tc>
        <w:tc>
          <w:tcPr>
            <w:tcW w:w="1440" w:type="dxa"/>
          </w:tcPr>
          <w:p>
            <w:pPr>
              <w:pStyle w:val="yTableNAm"/>
              <w:tabs>
                <w:tab w:val="clear" w:pos="567"/>
                <w:tab w:val="left" w:pos="896"/>
                <w:tab w:val="left" w:leader="dot" w:pos="4570"/>
              </w:tabs>
              <w:spacing w:before="80"/>
            </w:pPr>
            <w:r>
              <w:t>88.0 cents</w:t>
            </w:r>
          </w:p>
        </w:tc>
      </w:tr>
      <w:tr>
        <w:tc>
          <w:tcPr>
            <w:tcW w:w="960" w:type="dxa"/>
          </w:tcPr>
          <w:p>
            <w:pPr>
              <w:pStyle w:val="yTableNAm"/>
              <w:spacing w:before="80"/>
            </w:pPr>
          </w:p>
        </w:tc>
        <w:tc>
          <w:tcPr>
            <w:tcW w:w="4800" w:type="dxa"/>
          </w:tcPr>
          <w:p>
            <w:pPr>
              <w:pStyle w:val="yTableNAm"/>
              <w:tabs>
                <w:tab w:val="clear" w:pos="567"/>
                <w:tab w:val="left" w:pos="896"/>
                <w:tab w:val="left" w:leader="dot" w:pos="4570"/>
              </w:tabs>
              <w:spacing w:before="80"/>
              <w:rPr>
                <w:spacing w:val="-1"/>
              </w:rPr>
            </w:pPr>
            <w:r>
              <w:rPr>
                <w:spacing w:val="-1"/>
              </w:rPr>
              <w:tab/>
              <w:t xml:space="preserve">over 350 but not over 550 kL </w:t>
            </w:r>
            <w:r>
              <w:rPr>
                <w:spacing w:val="-1"/>
              </w:rPr>
              <w:tab/>
            </w:r>
          </w:p>
        </w:tc>
        <w:tc>
          <w:tcPr>
            <w:tcW w:w="1440" w:type="dxa"/>
          </w:tcPr>
          <w:p>
            <w:pPr>
              <w:pStyle w:val="yTableNAm"/>
              <w:tabs>
                <w:tab w:val="clear" w:pos="567"/>
                <w:tab w:val="left" w:pos="896"/>
                <w:tab w:val="left" w:leader="dot" w:pos="4570"/>
              </w:tabs>
              <w:spacing w:before="80"/>
            </w:pPr>
            <w:r>
              <w:t>102.0 cents</w:t>
            </w:r>
          </w:p>
        </w:tc>
      </w:tr>
      <w:tr>
        <w:tc>
          <w:tcPr>
            <w:tcW w:w="960" w:type="dxa"/>
          </w:tcPr>
          <w:p>
            <w:pPr>
              <w:pStyle w:val="yTableNAm"/>
              <w:spacing w:before="80"/>
            </w:pPr>
          </w:p>
        </w:tc>
        <w:tc>
          <w:tcPr>
            <w:tcW w:w="4800" w:type="dxa"/>
          </w:tcPr>
          <w:p>
            <w:pPr>
              <w:pStyle w:val="yTableNAm"/>
              <w:tabs>
                <w:tab w:val="clear" w:pos="567"/>
                <w:tab w:val="left" w:pos="896"/>
                <w:tab w:val="left" w:leader="dot" w:pos="4570"/>
              </w:tabs>
              <w:spacing w:before="80"/>
              <w:rPr>
                <w:spacing w:val="-1"/>
              </w:rPr>
            </w:pPr>
            <w:r>
              <w:rPr>
                <w:spacing w:val="-1"/>
              </w:rPr>
              <w:tab/>
              <w:t xml:space="preserve">over 550 but not over 950 kL </w:t>
            </w:r>
            <w:r>
              <w:rPr>
                <w:spacing w:val="-1"/>
              </w:rPr>
              <w:tab/>
            </w:r>
          </w:p>
        </w:tc>
        <w:tc>
          <w:tcPr>
            <w:tcW w:w="1440" w:type="dxa"/>
          </w:tcPr>
          <w:p>
            <w:pPr>
              <w:pStyle w:val="yTableNAm"/>
              <w:tabs>
                <w:tab w:val="clear" w:pos="567"/>
                <w:tab w:val="left" w:pos="896"/>
                <w:tab w:val="left" w:leader="dot" w:pos="4570"/>
              </w:tabs>
              <w:spacing w:before="80"/>
            </w:pPr>
            <w:r>
              <w:rPr>
                <w:spacing w:val="-1"/>
              </w:rPr>
              <w:t>153</w:t>
            </w:r>
            <w:r>
              <w:t>.7 cents</w:t>
            </w:r>
          </w:p>
        </w:tc>
      </w:tr>
      <w:tr>
        <w:tc>
          <w:tcPr>
            <w:tcW w:w="960" w:type="dxa"/>
          </w:tcPr>
          <w:p>
            <w:pPr>
              <w:pStyle w:val="yTableNAm"/>
              <w:spacing w:before="80"/>
            </w:pPr>
          </w:p>
        </w:tc>
        <w:tc>
          <w:tcPr>
            <w:tcW w:w="4800" w:type="dxa"/>
          </w:tcPr>
          <w:p>
            <w:pPr>
              <w:pStyle w:val="yTableNAm"/>
              <w:tabs>
                <w:tab w:val="clear" w:pos="567"/>
                <w:tab w:val="left" w:pos="896"/>
                <w:tab w:val="left" w:leader="dot" w:pos="4570"/>
              </w:tabs>
              <w:spacing w:before="80"/>
              <w:rPr>
                <w:spacing w:val="-1"/>
              </w:rPr>
            </w:pPr>
            <w:r>
              <w:rPr>
                <w:spacing w:val="-1"/>
              </w:rPr>
              <w:tab/>
              <w:t xml:space="preserve">over 950 kL </w:t>
            </w:r>
            <w:r>
              <w:rPr>
                <w:spacing w:val="-1"/>
              </w:rPr>
              <w:tab/>
            </w:r>
          </w:p>
        </w:tc>
        <w:tc>
          <w:tcPr>
            <w:tcW w:w="1440" w:type="dxa"/>
          </w:tcPr>
          <w:p>
            <w:pPr>
              <w:pStyle w:val="yTableNAm"/>
              <w:tabs>
                <w:tab w:val="clear" w:pos="567"/>
                <w:tab w:val="left" w:pos="896"/>
                <w:tab w:val="left" w:leader="dot" w:pos="4570"/>
              </w:tabs>
              <w:spacing w:before="80"/>
            </w:pPr>
            <w:r>
              <w:rPr>
                <w:spacing w:val="-1"/>
              </w:rPr>
              <w:t>177</w:t>
            </w:r>
            <w:r>
              <w:t>.9 cents</w:t>
            </w:r>
          </w:p>
        </w:tc>
      </w:tr>
      <w:tr>
        <w:tc>
          <w:tcPr>
            <w:tcW w:w="960" w:type="dxa"/>
          </w:tcPr>
          <w:p>
            <w:pPr>
              <w:pStyle w:val="yTableNAm"/>
              <w:spacing w:before="160"/>
            </w:pPr>
          </w:p>
        </w:tc>
        <w:tc>
          <w:tcPr>
            <w:tcW w:w="4800" w:type="dxa"/>
          </w:tcPr>
          <w:p>
            <w:pPr>
              <w:pStyle w:val="yTableNAm"/>
              <w:tabs>
                <w:tab w:val="clear" w:pos="567"/>
                <w:tab w:val="left" w:pos="176"/>
                <w:tab w:val="left" w:pos="656"/>
              </w:tabs>
              <w:spacing w:before="160"/>
              <w:ind w:left="658" w:hanging="658"/>
              <w:rPr>
                <w:spacing w:val="-1"/>
              </w:rPr>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440" w:type="dxa"/>
          </w:tcPr>
          <w:p>
            <w:pPr>
              <w:pStyle w:val="yTableNAm"/>
              <w:spacing w:before="160"/>
            </w:pPr>
          </w:p>
        </w:tc>
      </w:tr>
    </w:tbl>
    <w:p>
      <w:pPr>
        <w:pStyle w:val="ySubsection"/>
        <w:spacing w:before="0"/>
        <w:rPr>
          <w:sz w:val="12"/>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tblHeader/>
        </w:trPr>
        <w:tc>
          <w:tcPr>
            <w:tcW w:w="1417" w:type="dxa"/>
            <w:tcBorders>
              <w:top w:val="single" w:sz="4" w:space="0" w:color="auto"/>
              <w:bottom w:val="single" w:sz="4" w:space="0" w:color="auto"/>
            </w:tcBorders>
          </w:tcPr>
          <w:p>
            <w:pPr>
              <w:pStyle w:val="yTableNAm"/>
              <w:spacing w:before="60"/>
              <w:rPr>
                <w:b/>
                <w:bCs/>
              </w:rPr>
            </w:pPr>
            <w:r>
              <w:rPr>
                <w:b/>
                <w:bCs/>
              </w:rPr>
              <w:br w:type="page"/>
              <w:t>Consumption (kL)</w:t>
            </w:r>
          </w:p>
        </w:tc>
        <w:tc>
          <w:tcPr>
            <w:tcW w:w="992" w:type="dxa"/>
            <w:tcBorders>
              <w:top w:val="single" w:sz="4" w:space="0" w:color="auto"/>
              <w:bottom w:val="single" w:sz="4" w:space="0" w:color="auto"/>
            </w:tcBorders>
          </w:tcPr>
          <w:p>
            <w:pPr>
              <w:pStyle w:val="yTableNAm"/>
              <w:spacing w:before="60"/>
              <w:jc w:val="center"/>
              <w:rPr>
                <w:b/>
                <w:bCs/>
              </w:rPr>
            </w:pPr>
            <w:r>
              <w:rPr>
                <w:b/>
                <w:bCs/>
              </w:rPr>
              <w:t>Class 1 (c/kL)</w:t>
            </w:r>
          </w:p>
        </w:tc>
        <w:tc>
          <w:tcPr>
            <w:tcW w:w="992" w:type="dxa"/>
            <w:tcBorders>
              <w:top w:val="single" w:sz="4" w:space="0" w:color="auto"/>
              <w:bottom w:val="single" w:sz="4" w:space="0" w:color="auto"/>
            </w:tcBorders>
          </w:tcPr>
          <w:p>
            <w:pPr>
              <w:pStyle w:val="yTableNAm"/>
              <w:spacing w:before="60"/>
              <w:jc w:val="center"/>
              <w:rPr>
                <w:b/>
                <w:bCs/>
              </w:rPr>
            </w:pPr>
            <w:r>
              <w:rPr>
                <w:b/>
                <w:bCs/>
              </w:rPr>
              <w:t>Class 2 (c/kL)</w:t>
            </w:r>
          </w:p>
        </w:tc>
        <w:tc>
          <w:tcPr>
            <w:tcW w:w="992" w:type="dxa"/>
            <w:tcBorders>
              <w:top w:val="single" w:sz="4" w:space="0" w:color="auto"/>
              <w:bottom w:val="single" w:sz="4" w:space="0" w:color="auto"/>
            </w:tcBorders>
          </w:tcPr>
          <w:p>
            <w:pPr>
              <w:pStyle w:val="yTableNAm"/>
              <w:spacing w:before="60"/>
              <w:jc w:val="center"/>
              <w:rPr>
                <w:b/>
                <w:bCs/>
              </w:rPr>
            </w:pPr>
            <w:r>
              <w:rPr>
                <w:b/>
                <w:bCs/>
              </w:rPr>
              <w:t>Class 3 (c/kL)</w:t>
            </w:r>
          </w:p>
        </w:tc>
        <w:tc>
          <w:tcPr>
            <w:tcW w:w="992" w:type="dxa"/>
            <w:tcBorders>
              <w:top w:val="single" w:sz="4" w:space="0" w:color="auto"/>
              <w:bottom w:val="single" w:sz="4" w:space="0" w:color="auto"/>
            </w:tcBorders>
          </w:tcPr>
          <w:p>
            <w:pPr>
              <w:pStyle w:val="yTableNAm"/>
              <w:spacing w:before="60"/>
              <w:jc w:val="center"/>
              <w:rPr>
                <w:b/>
                <w:bCs/>
              </w:rPr>
            </w:pPr>
            <w:r>
              <w:rPr>
                <w:b/>
                <w:bCs/>
              </w:rPr>
              <w:t>Class 4 (c/kL)</w:t>
            </w:r>
          </w:p>
        </w:tc>
        <w:tc>
          <w:tcPr>
            <w:tcW w:w="993" w:type="dxa"/>
            <w:tcBorders>
              <w:top w:val="single" w:sz="4" w:space="0" w:color="auto"/>
              <w:bottom w:val="single" w:sz="4" w:space="0" w:color="auto"/>
            </w:tcBorders>
          </w:tcPr>
          <w:p>
            <w:pPr>
              <w:pStyle w:val="yTableNAm"/>
              <w:spacing w:before="60"/>
              <w:jc w:val="center"/>
              <w:rPr>
                <w:b/>
                <w:bCs/>
              </w:rPr>
            </w:pPr>
            <w:r>
              <w:rPr>
                <w:b/>
                <w:bCs/>
              </w:rPr>
              <w:t>Class 5 (c/kL)</w:t>
            </w:r>
          </w:p>
        </w:tc>
      </w:tr>
      <w:tr>
        <w:tc>
          <w:tcPr>
            <w:tcW w:w="1417" w:type="dxa"/>
          </w:tcPr>
          <w:p>
            <w:pPr>
              <w:pStyle w:val="yTableNAm"/>
              <w:keepNext/>
              <w:spacing w:before="60"/>
            </w:pPr>
            <w:r>
              <w:t>Up to 150</w:t>
            </w:r>
          </w:p>
        </w:tc>
        <w:tc>
          <w:tcPr>
            <w:tcW w:w="992" w:type="dxa"/>
          </w:tcPr>
          <w:p>
            <w:pPr>
              <w:pStyle w:val="yTableNAm"/>
              <w:keepNext/>
              <w:spacing w:before="60"/>
              <w:jc w:val="center"/>
            </w:pPr>
            <w:r>
              <w:t>36.3</w:t>
            </w:r>
          </w:p>
        </w:tc>
        <w:tc>
          <w:tcPr>
            <w:tcW w:w="992" w:type="dxa"/>
          </w:tcPr>
          <w:p>
            <w:pPr>
              <w:pStyle w:val="yTableNAm"/>
              <w:keepNext/>
              <w:spacing w:before="60"/>
              <w:jc w:val="center"/>
            </w:pPr>
            <w:r>
              <w:t>36.3</w:t>
            </w:r>
          </w:p>
        </w:tc>
        <w:tc>
          <w:tcPr>
            <w:tcW w:w="992" w:type="dxa"/>
          </w:tcPr>
          <w:p>
            <w:pPr>
              <w:pStyle w:val="yTableNAm"/>
              <w:keepNext/>
              <w:spacing w:before="60"/>
              <w:jc w:val="center"/>
            </w:pPr>
            <w:r>
              <w:t>36.3</w:t>
            </w:r>
          </w:p>
        </w:tc>
        <w:tc>
          <w:tcPr>
            <w:tcW w:w="992" w:type="dxa"/>
          </w:tcPr>
          <w:p>
            <w:pPr>
              <w:pStyle w:val="yTableNAm"/>
              <w:keepNext/>
              <w:spacing w:before="60"/>
              <w:jc w:val="center"/>
            </w:pPr>
            <w:r>
              <w:t>36.3</w:t>
            </w:r>
          </w:p>
        </w:tc>
        <w:tc>
          <w:tcPr>
            <w:tcW w:w="993" w:type="dxa"/>
          </w:tcPr>
          <w:p>
            <w:pPr>
              <w:pStyle w:val="yTableNAm"/>
              <w:keepNext/>
              <w:spacing w:before="60"/>
              <w:jc w:val="center"/>
            </w:pPr>
            <w:r>
              <w:t>36.3</w:t>
            </w:r>
          </w:p>
        </w:tc>
      </w:tr>
      <w:tr>
        <w:tc>
          <w:tcPr>
            <w:tcW w:w="1417" w:type="dxa"/>
          </w:tcPr>
          <w:p>
            <w:pPr>
              <w:pStyle w:val="yTableNAm"/>
              <w:spacing w:before="60"/>
            </w:pPr>
            <w:r>
              <w:t>Over 150 but not over 300</w:t>
            </w:r>
          </w:p>
        </w:tc>
        <w:tc>
          <w:tcPr>
            <w:tcW w:w="992" w:type="dxa"/>
          </w:tcPr>
          <w:p>
            <w:pPr>
              <w:pStyle w:val="yTableNAm"/>
              <w:spacing w:before="60"/>
              <w:jc w:val="center"/>
            </w:pPr>
            <w:r>
              <w:br/>
              <w:t>44.0</w:t>
            </w:r>
          </w:p>
        </w:tc>
        <w:tc>
          <w:tcPr>
            <w:tcW w:w="992" w:type="dxa"/>
          </w:tcPr>
          <w:p>
            <w:pPr>
              <w:pStyle w:val="yTableNAm"/>
              <w:spacing w:before="60"/>
              <w:jc w:val="center"/>
            </w:pPr>
            <w:r>
              <w:br/>
              <w:t>44.0</w:t>
            </w:r>
          </w:p>
        </w:tc>
        <w:tc>
          <w:tcPr>
            <w:tcW w:w="992" w:type="dxa"/>
          </w:tcPr>
          <w:p>
            <w:pPr>
              <w:pStyle w:val="yTableNAm"/>
              <w:spacing w:before="60"/>
              <w:jc w:val="center"/>
            </w:pPr>
            <w:r>
              <w:br/>
              <w:t>44.0</w:t>
            </w:r>
          </w:p>
        </w:tc>
        <w:tc>
          <w:tcPr>
            <w:tcW w:w="992" w:type="dxa"/>
          </w:tcPr>
          <w:p>
            <w:pPr>
              <w:pStyle w:val="yTableNAm"/>
              <w:spacing w:before="60"/>
              <w:jc w:val="center"/>
            </w:pPr>
            <w:r>
              <w:br/>
              <w:t>44.0</w:t>
            </w:r>
          </w:p>
        </w:tc>
        <w:tc>
          <w:tcPr>
            <w:tcW w:w="993" w:type="dxa"/>
          </w:tcPr>
          <w:p>
            <w:pPr>
              <w:pStyle w:val="yTableNAm"/>
              <w:spacing w:before="60"/>
              <w:jc w:val="center"/>
            </w:pPr>
            <w:r>
              <w:br/>
              <w:t>44.0</w:t>
            </w:r>
          </w:p>
        </w:tc>
      </w:tr>
      <w:tr>
        <w:tc>
          <w:tcPr>
            <w:tcW w:w="1417" w:type="dxa"/>
          </w:tcPr>
          <w:p>
            <w:pPr>
              <w:pStyle w:val="yTableNAm"/>
              <w:spacing w:before="60"/>
            </w:pPr>
            <w:r>
              <w:t>Over 300 but not over 350</w:t>
            </w:r>
          </w:p>
        </w:tc>
        <w:tc>
          <w:tcPr>
            <w:tcW w:w="992" w:type="dxa"/>
          </w:tcPr>
          <w:p>
            <w:pPr>
              <w:pStyle w:val="yTableNAm"/>
              <w:spacing w:before="60"/>
              <w:jc w:val="center"/>
            </w:pPr>
            <w:r>
              <w:br/>
              <w:t>44.0</w:t>
            </w:r>
          </w:p>
        </w:tc>
        <w:tc>
          <w:tcPr>
            <w:tcW w:w="992" w:type="dxa"/>
          </w:tcPr>
          <w:p>
            <w:pPr>
              <w:pStyle w:val="yTableNAm"/>
              <w:spacing w:before="60"/>
              <w:jc w:val="center"/>
            </w:pPr>
            <w:r>
              <w:br/>
              <w:t>52.1</w:t>
            </w:r>
          </w:p>
        </w:tc>
        <w:tc>
          <w:tcPr>
            <w:tcW w:w="992" w:type="dxa"/>
          </w:tcPr>
          <w:p>
            <w:pPr>
              <w:pStyle w:val="yTableNAm"/>
              <w:spacing w:before="60"/>
              <w:jc w:val="center"/>
            </w:pPr>
            <w:r>
              <w:br/>
              <w:t>55.5</w:t>
            </w:r>
          </w:p>
        </w:tc>
        <w:tc>
          <w:tcPr>
            <w:tcW w:w="992" w:type="dxa"/>
          </w:tcPr>
          <w:p>
            <w:pPr>
              <w:pStyle w:val="yTableNAm"/>
              <w:spacing w:before="60"/>
              <w:jc w:val="center"/>
            </w:pPr>
            <w:r>
              <w:br/>
              <w:t>62.4</w:t>
            </w:r>
          </w:p>
        </w:tc>
        <w:tc>
          <w:tcPr>
            <w:tcW w:w="993" w:type="dxa"/>
          </w:tcPr>
          <w:p>
            <w:pPr>
              <w:pStyle w:val="yTableNAm"/>
              <w:spacing w:before="60"/>
              <w:jc w:val="center"/>
            </w:pPr>
            <w:r>
              <w:br/>
              <w:t>66.4</w:t>
            </w:r>
          </w:p>
        </w:tc>
      </w:tr>
      <w:tr>
        <w:tc>
          <w:tcPr>
            <w:tcW w:w="1417" w:type="dxa"/>
          </w:tcPr>
          <w:p>
            <w:pPr>
              <w:pStyle w:val="yTableNAm"/>
              <w:spacing w:before="60"/>
            </w:pPr>
            <w:r>
              <w:t>Over 350 but not over 400</w:t>
            </w:r>
          </w:p>
        </w:tc>
        <w:tc>
          <w:tcPr>
            <w:tcW w:w="992" w:type="dxa"/>
          </w:tcPr>
          <w:p>
            <w:pPr>
              <w:pStyle w:val="yTableNAm"/>
              <w:spacing w:before="60"/>
              <w:jc w:val="center"/>
            </w:pPr>
            <w:r>
              <w:br/>
              <w:t>48.9</w:t>
            </w:r>
          </w:p>
        </w:tc>
        <w:tc>
          <w:tcPr>
            <w:tcW w:w="992" w:type="dxa"/>
          </w:tcPr>
          <w:p>
            <w:pPr>
              <w:pStyle w:val="yTableNAm"/>
              <w:spacing w:before="60"/>
              <w:jc w:val="center"/>
            </w:pPr>
            <w:r>
              <w:br/>
              <w:t>57.8</w:t>
            </w:r>
          </w:p>
        </w:tc>
        <w:tc>
          <w:tcPr>
            <w:tcW w:w="992" w:type="dxa"/>
          </w:tcPr>
          <w:p>
            <w:pPr>
              <w:pStyle w:val="yTableNAm"/>
              <w:spacing w:before="60"/>
              <w:jc w:val="center"/>
            </w:pPr>
            <w:r>
              <w:br/>
              <w:t>61.2</w:t>
            </w:r>
          </w:p>
        </w:tc>
        <w:tc>
          <w:tcPr>
            <w:tcW w:w="992" w:type="dxa"/>
          </w:tcPr>
          <w:p>
            <w:pPr>
              <w:pStyle w:val="yTableNAm"/>
              <w:spacing w:before="60"/>
              <w:jc w:val="center"/>
            </w:pPr>
            <w:r>
              <w:br/>
              <w:t>68.0</w:t>
            </w:r>
          </w:p>
        </w:tc>
        <w:tc>
          <w:tcPr>
            <w:tcW w:w="993" w:type="dxa"/>
          </w:tcPr>
          <w:p>
            <w:pPr>
              <w:pStyle w:val="yTableNAm"/>
              <w:spacing w:before="60"/>
              <w:jc w:val="center"/>
            </w:pPr>
            <w:r>
              <w:br/>
              <w:t>72.1</w:t>
            </w:r>
          </w:p>
        </w:tc>
      </w:tr>
      <w:tr>
        <w:tc>
          <w:tcPr>
            <w:tcW w:w="1417" w:type="dxa"/>
          </w:tcPr>
          <w:p>
            <w:pPr>
              <w:pStyle w:val="yTableNAm"/>
              <w:spacing w:before="60"/>
            </w:pPr>
            <w:r>
              <w:t>Over 400 but not over 450</w:t>
            </w:r>
          </w:p>
        </w:tc>
        <w:tc>
          <w:tcPr>
            <w:tcW w:w="992" w:type="dxa"/>
          </w:tcPr>
          <w:p>
            <w:pPr>
              <w:pStyle w:val="yTableNAm"/>
              <w:spacing w:before="60"/>
              <w:jc w:val="center"/>
            </w:pPr>
            <w:r>
              <w:br/>
              <w:t>97.7</w:t>
            </w:r>
          </w:p>
        </w:tc>
        <w:tc>
          <w:tcPr>
            <w:tcW w:w="992" w:type="dxa"/>
          </w:tcPr>
          <w:p>
            <w:pPr>
              <w:pStyle w:val="yTableNAm"/>
              <w:spacing w:before="60"/>
              <w:jc w:val="center"/>
            </w:pPr>
            <w:r>
              <w:br/>
              <w:t>115.5</w:t>
            </w:r>
          </w:p>
        </w:tc>
        <w:tc>
          <w:tcPr>
            <w:tcW w:w="992" w:type="dxa"/>
          </w:tcPr>
          <w:p>
            <w:pPr>
              <w:pStyle w:val="yTableNAm"/>
              <w:spacing w:before="60"/>
              <w:jc w:val="center"/>
            </w:pPr>
            <w:r>
              <w:br/>
              <w:t>122.3</w:t>
            </w:r>
          </w:p>
        </w:tc>
        <w:tc>
          <w:tcPr>
            <w:tcW w:w="992" w:type="dxa"/>
          </w:tcPr>
          <w:p>
            <w:pPr>
              <w:pStyle w:val="yTableNAm"/>
              <w:spacing w:before="60"/>
              <w:jc w:val="center"/>
            </w:pPr>
            <w:r>
              <w:br/>
              <w:t>136.0</w:t>
            </w:r>
          </w:p>
        </w:tc>
        <w:tc>
          <w:tcPr>
            <w:tcW w:w="993" w:type="dxa"/>
          </w:tcPr>
          <w:p>
            <w:pPr>
              <w:pStyle w:val="yTableNAm"/>
              <w:spacing w:before="60"/>
              <w:jc w:val="center"/>
            </w:pPr>
            <w:r>
              <w:br/>
              <w:t>144.2</w:t>
            </w:r>
          </w:p>
        </w:tc>
      </w:tr>
      <w:tr>
        <w:tc>
          <w:tcPr>
            <w:tcW w:w="1417" w:type="dxa"/>
          </w:tcPr>
          <w:p>
            <w:pPr>
              <w:pStyle w:val="yTableNAm"/>
              <w:spacing w:before="60"/>
            </w:pPr>
            <w:r>
              <w:t>Over 450 but not over 550</w:t>
            </w:r>
          </w:p>
        </w:tc>
        <w:tc>
          <w:tcPr>
            <w:tcW w:w="992" w:type="dxa"/>
          </w:tcPr>
          <w:p>
            <w:pPr>
              <w:pStyle w:val="yTableNAm"/>
              <w:spacing w:before="60"/>
              <w:jc w:val="center"/>
            </w:pPr>
            <w:r>
              <w:br/>
              <w:t>97.7</w:t>
            </w:r>
          </w:p>
        </w:tc>
        <w:tc>
          <w:tcPr>
            <w:tcW w:w="992" w:type="dxa"/>
          </w:tcPr>
          <w:p>
            <w:pPr>
              <w:pStyle w:val="yTableNAm"/>
              <w:spacing w:before="60"/>
              <w:jc w:val="center"/>
            </w:pPr>
            <w:r>
              <w:br/>
              <w:t>132.5</w:t>
            </w:r>
          </w:p>
        </w:tc>
        <w:tc>
          <w:tcPr>
            <w:tcW w:w="992" w:type="dxa"/>
          </w:tcPr>
          <w:p>
            <w:pPr>
              <w:pStyle w:val="yTableNAm"/>
              <w:spacing w:before="60"/>
              <w:jc w:val="center"/>
            </w:pPr>
            <w:r>
              <w:br/>
              <w:t>146.8</w:t>
            </w:r>
          </w:p>
        </w:tc>
        <w:tc>
          <w:tcPr>
            <w:tcW w:w="992" w:type="dxa"/>
          </w:tcPr>
          <w:p>
            <w:pPr>
              <w:pStyle w:val="yTableNAm"/>
              <w:spacing w:before="60"/>
              <w:jc w:val="center"/>
            </w:pPr>
            <w:r>
              <w:br/>
              <w:t>168.2</w:t>
            </w:r>
          </w:p>
        </w:tc>
        <w:tc>
          <w:tcPr>
            <w:tcW w:w="993" w:type="dxa"/>
          </w:tcPr>
          <w:p>
            <w:pPr>
              <w:pStyle w:val="yTableNAm"/>
              <w:spacing w:before="60"/>
              <w:jc w:val="center"/>
            </w:pPr>
            <w:r>
              <w:br/>
              <w:t>178.8</w:t>
            </w:r>
          </w:p>
        </w:tc>
      </w:tr>
      <w:tr>
        <w:tc>
          <w:tcPr>
            <w:tcW w:w="1417" w:type="dxa"/>
          </w:tcPr>
          <w:p>
            <w:pPr>
              <w:pStyle w:val="yTableNAm"/>
              <w:spacing w:before="60"/>
            </w:pPr>
            <w:r>
              <w:t>Over 550 but not over 750</w:t>
            </w:r>
          </w:p>
        </w:tc>
        <w:tc>
          <w:tcPr>
            <w:tcW w:w="992" w:type="dxa"/>
          </w:tcPr>
          <w:p>
            <w:pPr>
              <w:pStyle w:val="yTableNAm"/>
              <w:spacing w:before="60"/>
              <w:jc w:val="center"/>
            </w:pPr>
            <w:r>
              <w:br/>
              <w:t>153.9</w:t>
            </w:r>
          </w:p>
        </w:tc>
        <w:tc>
          <w:tcPr>
            <w:tcW w:w="992" w:type="dxa"/>
          </w:tcPr>
          <w:p>
            <w:pPr>
              <w:pStyle w:val="yTableNAm"/>
              <w:spacing w:before="60"/>
              <w:jc w:val="center"/>
            </w:pPr>
            <w:r>
              <w:br/>
              <w:t>185.0</w:t>
            </w:r>
          </w:p>
        </w:tc>
        <w:tc>
          <w:tcPr>
            <w:tcW w:w="992" w:type="dxa"/>
          </w:tcPr>
          <w:p>
            <w:pPr>
              <w:pStyle w:val="yTableNAm"/>
              <w:spacing w:before="60"/>
              <w:jc w:val="center"/>
            </w:pPr>
            <w:r>
              <w:br/>
              <w:t>212.9</w:t>
            </w:r>
          </w:p>
        </w:tc>
        <w:tc>
          <w:tcPr>
            <w:tcW w:w="992" w:type="dxa"/>
          </w:tcPr>
          <w:p>
            <w:pPr>
              <w:pStyle w:val="yTableNAm"/>
              <w:spacing w:before="60"/>
              <w:jc w:val="center"/>
            </w:pPr>
            <w:r>
              <w:br/>
              <w:t>255.6</w:t>
            </w:r>
          </w:p>
        </w:tc>
        <w:tc>
          <w:tcPr>
            <w:tcW w:w="993" w:type="dxa"/>
          </w:tcPr>
          <w:p>
            <w:pPr>
              <w:pStyle w:val="yTableNAm"/>
              <w:spacing w:before="60"/>
              <w:jc w:val="center"/>
            </w:pPr>
            <w:r>
              <w:br/>
              <w:t>280.4</w:t>
            </w:r>
          </w:p>
        </w:tc>
      </w:tr>
      <w:tr>
        <w:tc>
          <w:tcPr>
            <w:tcW w:w="1417" w:type="dxa"/>
          </w:tcPr>
          <w:p>
            <w:pPr>
              <w:pStyle w:val="yTableNAm"/>
              <w:spacing w:before="60"/>
            </w:pPr>
            <w:r>
              <w:t>Over 750 but not over 950</w:t>
            </w:r>
          </w:p>
        </w:tc>
        <w:tc>
          <w:tcPr>
            <w:tcW w:w="992" w:type="dxa"/>
          </w:tcPr>
          <w:p>
            <w:pPr>
              <w:pStyle w:val="yTableNAm"/>
              <w:spacing w:before="60"/>
              <w:jc w:val="center"/>
            </w:pPr>
            <w:r>
              <w:br/>
              <w:t>176.2</w:t>
            </w:r>
          </w:p>
        </w:tc>
        <w:tc>
          <w:tcPr>
            <w:tcW w:w="992" w:type="dxa"/>
          </w:tcPr>
          <w:p>
            <w:pPr>
              <w:pStyle w:val="yTableNAm"/>
              <w:spacing w:before="60"/>
              <w:jc w:val="center"/>
            </w:pPr>
            <w:r>
              <w:br/>
              <w:t>240.6</w:t>
            </w:r>
          </w:p>
        </w:tc>
        <w:tc>
          <w:tcPr>
            <w:tcW w:w="992" w:type="dxa"/>
          </w:tcPr>
          <w:p>
            <w:pPr>
              <w:pStyle w:val="yTableNAm"/>
              <w:spacing w:before="60"/>
              <w:jc w:val="center"/>
            </w:pPr>
            <w:r>
              <w:br/>
              <w:t>271.8</w:t>
            </w:r>
          </w:p>
        </w:tc>
        <w:tc>
          <w:tcPr>
            <w:tcW w:w="992" w:type="dxa"/>
          </w:tcPr>
          <w:p>
            <w:pPr>
              <w:pStyle w:val="yTableNAm"/>
              <w:spacing w:before="60"/>
              <w:jc w:val="center"/>
            </w:pPr>
            <w:r>
              <w:br/>
              <w:t>325.8</w:t>
            </w:r>
          </w:p>
        </w:tc>
        <w:tc>
          <w:tcPr>
            <w:tcW w:w="993" w:type="dxa"/>
          </w:tcPr>
          <w:p>
            <w:pPr>
              <w:pStyle w:val="yTableNAm"/>
              <w:spacing w:before="60"/>
              <w:jc w:val="center"/>
            </w:pPr>
            <w:r>
              <w:br/>
              <w:t>362.0</w:t>
            </w:r>
          </w:p>
        </w:tc>
      </w:tr>
      <w:tr>
        <w:tc>
          <w:tcPr>
            <w:tcW w:w="1417" w:type="dxa"/>
          </w:tcPr>
          <w:p>
            <w:pPr>
              <w:pStyle w:val="yTableNAm"/>
              <w:spacing w:before="60"/>
            </w:pPr>
            <w:r>
              <w:t>Over 950 but not over 1 150</w:t>
            </w:r>
          </w:p>
        </w:tc>
        <w:tc>
          <w:tcPr>
            <w:tcW w:w="992" w:type="dxa"/>
          </w:tcPr>
          <w:p>
            <w:pPr>
              <w:pStyle w:val="yTableNAm"/>
              <w:spacing w:before="60"/>
              <w:jc w:val="center"/>
            </w:pPr>
            <w:r>
              <w:br/>
              <w:t>179.7</w:t>
            </w:r>
          </w:p>
        </w:tc>
        <w:tc>
          <w:tcPr>
            <w:tcW w:w="992" w:type="dxa"/>
          </w:tcPr>
          <w:p>
            <w:pPr>
              <w:pStyle w:val="yTableNAm"/>
              <w:spacing w:before="60"/>
              <w:jc w:val="center"/>
            </w:pPr>
            <w:r>
              <w:br/>
              <w:t>258.2</w:t>
            </w:r>
          </w:p>
        </w:tc>
        <w:tc>
          <w:tcPr>
            <w:tcW w:w="992" w:type="dxa"/>
          </w:tcPr>
          <w:p>
            <w:pPr>
              <w:pStyle w:val="yTableNAm"/>
              <w:spacing w:before="60"/>
              <w:jc w:val="center"/>
            </w:pPr>
            <w:r>
              <w:br/>
              <w:t>310.9</w:t>
            </w:r>
          </w:p>
        </w:tc>
        <w:tc>
          <w:tcPr>
            <w:tcW w:w="992" w:type="dxa"/>
          </w:tcPr>
          <w:p>
            <w:pPr>
              <w:pStyle w:val="yTableNAm"/>
              <w:spacing w:before="60"/>
              <w:jc w:val="center"/>
            </w:pPr>
            <w:r>
              <w:br/>
              <w:t>378.1</w:t>
            </w:r>
          </w:p>
        </w:tc>
        <w:tc>
          <w:tcPr>
            <w:tcW w:w="993" w:type="dxa"/>
          </w:tcPr>
          <w:p>
            <w:pPr>
              <w:pStyle w:val="yTableNAm"/>
              <w:spacing w:before="60"/>
              <w:jc w:val="center"/>
            </w:pPr>
            <w:r>
              <w:br/>
              <w:t>449.7</w:t>
            </w:r>
          </w:p>
        </w:tc>
      </w:tr>
      <w:tr>
        <w:tc>
          <w:tcPr>
            <w:tcW w:w="1417" w:type="dxa"/>
          </w:tcPr>
          <w:p>
            <w:pPr>
              <w:pStyle w:val="yTableNAm"/>
              <w:spacing w:before="60"/>
            </w:pPr>
            <w:r>
              <w:t>Over 1 150 but not over 1 550</w:t>
            </w:r>
          </w:p>
        </w:tc>
        <w:tc>
          <w:tcPr>
            <w:tcW w:w="992" w:type="dxa"/>
          </w:tcPr>
          <w:p>
            <w:pPr>
              <w:pStyle w:val="yTableNAm"/>
              <w:spacing w:before="60"/>
              <w:jc w:val="center"/>
            </w:pPr>
            <w:r>
              <w:br/>
              <w:t>225.1</w:t>
            </w:r>
          </w:p>
        </w:tc>
        <w:tc>
          <w:tcPr>
            <w:tcW w:w="992" w:type="dxa"/>
          </w:tcPr>
          <w:p>
            <w:pPr>
              <w:pStyle w:val="yTableNAm"/>
              <w:spacing w:before="60"/>
              <w:jc w:val="center"/>
            </w:pPr>
            <w:r>
              <w:br/>
              <w:t>323.2</w:t>
            </w:r>
          </w:p>
        </w:tc>
        <w:tc>
          <w:tcPr>
            <w:tcW w:w="992" w:type="dxa"/>
          </w:tcPr>
          <w:p>
            <w:pPr>
              <w:pStyle w:val="yTableNAm"/>
              <w:spacing w:before="60"/>
              <w:jc w:val="center"/>
            </w:pPr>
            <w:r>
              <w:br/>
              <w:t>392.1</w:t>
            </w:r>
          </w:p>
        </w:tc>
        <w:tc>
          <w:tcPr>
            <w:tcW w:w="992" w:type="dxa"/>
          </w:tcPr>
          <w:p>
            <w:pPr>
              <w:pStyle w:val="yTableNAm"/>
              <w:spacing w:before="60"/>
              <w:jc w:val="center"/>
            </w:pPr>
            <w:r>
              <w:br/>
              <w:t>524.5</w:t>
            </w:r>
          </w:p>
        </w:tc>
        <w:tc>
          <w:tcPr>
            <w:tcW w:w="993" w:type="dxa"/>
          </w:tcPr>
          <w:p>
            <w:pPr>
              <w:pStyle w:val="yTableNAm"/>
              <w:spacing w:before="60"/>
              <w:jc w:val="center"/>
            </w:pPr>
            <w:r>
              <w:br/>
              <w:t>650.1</w:t>
            </w:r>
          </w:p>
        </w:tc>
      </w:tr>
      <w:tr>
        <w:tc>
          <w:tcPr>
            <w:tcW w:w="1417" w:type="dxa"/>
          </w:tcPr>
          <w:p>
            <w:pPr>
              <w:pStyle w:val="yTableNAm"/>
              <w:spacing w:before="60"/>
            </w:pPr>
            <w:r>
              <w:t>Over 1 550 but not over 1 950</w:t>
            </w:r>
          </w:p>
        </w:tc>
        <w:tc>
          <w:tcPr>
            <w:tcW w:w="992" w:type="dxa"/>
          </w:tcPr>
          <w:p>
            <w:pPr>
              <w:pStyle w:val="yTableNAm"/>
              <w:spacing w:before="60"/>
              <w:jc w:val="center"/>
            </w:pPr>
            <w:r>
              <w:br/>
              <w:t>247.9</w:t>
            </w:r>
          </w:p>
        </w:tc>
        <w:tc>
          <w:tcPr>
            <w:tcW w:w="992" w:type="dxa"/>
          </w:tcPr>
          <w:p>
            <w:pPr>
              <w:pStyle w:val="yTableNAm"/>
              <w:spacing w:before="60"/>
              <w:jc w:val="center"/>
            </w:pPr>
            <w:r>
              <w:br/>
              <w:t>371.9</w:t>
            </w:r>
          </w:p>
        </w:tc>
        <w:tc>
          <w:tcPr>
            <w:tcW w:w="992" w:type="dxa"/>
          </w:tcPr>
          <w:p>
            <w:pPr>
              <w:pStyle w:val="yTableNAm"/>
              <w:spacing w:before="60"/>
              <w:jc w:val="center"/>
            </w:pPr>
            <w:r>
              <w:br/>
              <w:t>468.1</w:t>
            </w:r>
          </w:p>
        </w:tc>
        <w:tc>
          <w:tcPr>
            <w:tcW w:w="992" w:type="dxa"/>
          </w:tcPr>
          <w:p>
            <w:pPr>
              <w:pStyle w:val="yTableNAm"/>
              <w:spacing w:before="60"/>
              <w:jc w:val="center"/>
            </w:pPr>
            <w:r>
              <w:br/>
              <w:t>589.5</w:t>
            </w:r>
          </w:p>
        </w:tc>
        <w:tc>
          <w:tcPr>
            <w:tcW w:w="993" w:type="dxa"/>
          </w:tcPr>
          <w:p>
            <w:pPr>
              <w:pStyle w:val="yTableNAm"/>
              <w:spacing w:before="60"/>
              <w:jc w:val="center"/>
            </w:pPr>
            <w:r>
              <w:br/>
              <w:t>715.3</w:t>
            </w:r>
          </w:p>
        </w:tc>
      </w:tr>
      <w:tr>
        <w:tc>
          <w:tcPr>
            <w:tcW w:w="1417" w:type="dxa"/>
            <w:tcBorders>
              <w:bottom w:val="single" w:sz="4" w:space="0" w:color="auto"/>
            </w:tcBorders>
          </w:tcPr>
          <w:p>
            <w:pPr>
              <w:pStyle w:val="yTableNAm"/>
              <w:spacing w:before="60"/>
            </w:pPr>
            <w:r>
              <w:t>Over 1 950</w:t>
            </w:r>
          </w:p>
        </w:tc>
        <w:tc>
          <w:tcPr>
            <w:tcW w:w="992" w:type="dxa"/>
            <w:tcBorders>
              <w:bottom w:val="single" w:sz="4" w:space="0" w:color="auto"/>
            </w:tcBorders>
          </w:tcPr>
          <w:p>
            <w:pPr>
              <w:pStyle w:val="yTableNAm"/>
              <w:spacing w:before="60"/>
              <w:jc w:val="center"/>
            </w:pPr>
            <w:r>
              <w:t>275.9</w:t>
            </w:r>
          </w:p>
        </w:tc>
        <w:tc>
          <w:tcPr>
            <w:tcW w:w="992" w:type="dxa"/>
            <w:tcBorders>
              <w:bottom w:val="single" w:sz="4" w:space="0" w:color="auto"/>
            </w:tcBorders>
          </w:tcPr>
          <w:p>
            <w:pPr>
              <w:pStyle w:val="yTableNAm"/>
              <w:spacing w:before="60"/>
              <w:jc w:val="center"/>
            </w:pPr>
            <w:r>
              <w:t>442.5</w:t>
            </w:r>
          </w:p>
        </w:tc>
        <w:tc>
          <w:tcPr>
            <w:tcW w:w="992" w:type="dxa"/>
            <w:tcBorders>
              <w:bottom w:val="single" w:sz="4" w:space="0" w:color="auto"/>
            </w:tcBorders>
          </w:tcPr>
          <w:p>
            <w:pPr>
              <w:pStyle w:val="yTableNAm"/>
              <w:spacing w:before="60"/>
              <w:jc w:val="center"/>
            </w:pPr>
            <w:r>
              <w:t>533.1</w:t>
            </w:r>
          </w:p>
        </w:tc>
        <w:tc>
          <w:tcPr>
            <w:tcW w:w="992" w:type="dxa"/>
            <w:tcBorders>
              <w:bottom w:val="single" w:sz="4" w:space="0" w:color="auto"/>
            </w:tcBorders>
          </w:tcPr>
          <w:p>
            <w:pPr>
              <w:pStyle w:val="yTableNAm"/>
              <w:spacing w:before="60"/>
              <w:jc w:val="center"/>
            </w:pPr>
            <w:r>
              <w:t>654.4</w:t>
            </w:r>
          </w:p>
        </w:tc>
        <w:tc>
          <w:tcPr>
            <w:tcW w:w="993" w:type="dxa"/>
            <w:tcBorders>
              <w:bottom w:val="single" w:sz="4" w:space="0" w:color="auto"/>
            </w:tcBorders>
          </w:tcPr>
          <w:p>
            <w:pPr>
              <w:pStyle w:val="yTableNAm"/>
              <w:spacing w:before="60"/>
              <w:jc w:val="center"/>
            </w:pPr>
            <w:r>
              <w:t>769.4</w:t>
            </w:r>
          </w:p>
        </w:tc>
      </w:tr>
    </w:tbl>
    <w:p>
      <w:pPr>
        <w:pStyle w:val="ySubsection"/>
        <w:spacing w:before="0"/>
      </w:pPr>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spacing w:before="0"/>
            </w:pPr>
          </w:p>
        </w:tc>
        <w:tc>
          <w:tcPr>
            <w:tcW w:w="4800" w:type="dxa"/>
          </w:tcPr>
          <w:p>
            <w:pPr>
              <w:pStyle w:val="yTableNAm"/>
              <w:spacing w:before="0"/>
              <w:rPr>
                <w:spacing w:val="-1"/>
              </w:rPr>
            </w:pPr>
            <w:r>
              <w:t>except that if the property is —</w:t>
            </w:r>
          </w:p>
        </w:tc>
        <w:tc>
          <w:tcPr>
            <w:tcW w:w="1440" w:type="dxa"/>
          </w:tcPr>
          <w:p>
            <w:pPr>
              <w:pStyle w:val="yTableNAm"/>
              <w:spacing w:before="0"/>
            </w:pPr>
          </w:p>
        </w:tc>
      </w:tr>
      <w:tr>
        <w:tc>
          <w:tcPr>
            <w:tcW w:w="960" w:type="dxa"/>
          </w:tcPr>
          <w:p>
            <w:pPr>
              <w:pStyle w:val="yTableNAm"/>
            </w:pPr>
          </w:p>
        </w:tc>
        <w:tc>
          <w:tcPr>
            <w:tcW w:w="4800" w:type="dxa"/>
          </w:tcPr>
          <w:p>
            <w:pPr>
              <w:pStyle w:val="yTableNAm"/>
              <w:tabs>
                <w:tab w:val="clear" w:pos="567"/>
                <w:tab w:val="left" w:pos="416"/>
                <w:tab w:val="left" w:pos="1016"/>
              </w:tabs>
              <w:ind w:left="1016" w:hanging="1016"/>
              <w:rPr>
                <w:b/>
                <w:bCs/>
                <w:spacing w:val="-1"/>
              </w:rPr>
            </w:pPr>
            <w:r>
              <w:rPr>
                <w:snapToGrid w:val="0"/>
              </w:rPr>
              <w:tab/>
              <w:t>(a)</w:t>
            </w:r>
            <w:r>
              <w:rPr>
                <w:snapToGrid w:val="0"/>
              </w:rPr>
              <w:tab/>
              <w:t>in the town of Cue, Laverton, Leonora, Meekatharra, Menzies, Mt Magnet, Mullewa, Sandstone, Wiluna or Yalgoo; or</w:t>
            </w:r>
          </w:p>
        </w:tc>
        <w:tc>
          <w:tcPr>
            <w:tcW w:w="1440" w:type="dxa"/>
          </w:tcPr>
          <w:p>
            <w:pPr>
              <w:pStyle w:val="yTableNAm"/>
              <w:rPr>
                <w:b/>
                <w:bCs/>
              </w:rPr>
            </w:pPr>
          </w:p>
        </w:tc>
      </w:tr>
      <w:tr>
        <w:tc>
          <w:tcPr>
            <w:tcW w:w="960" w:type="dxa"/>
          </w:tcPr>
          <w:p>
            <w:pPr>
              <w:pStyle w:val="yTableNAm"/>
            </w:pPr>
          </w:p>
        </w:tc>
        <w:tc>
          <w:tcPr>
            <w:tcW w:w="4800" w:type="dxa"/>
          </w:tcPr>
          <w:p>
            <w:pPr>
              <w:pStyle w:val="yTableNAm"/>
              <w:tabs>
                <w:tab w:val="clear" w:pos="567"/>
                <w:tab w:val="left" w:pos="416"/>
                <w:tab w:val="left" w:pos="1016"/>
              </w:tabs>
              <w:ind w:left="1016" w:hanging="1016"/>
              <w:rPr>
                <w:spacing w:val="-1"/>
              </w:rPr>
            </w:pPr>
            <w:r>
              <w:rPr>
                <w:snapToGrid w:val="0"/>
              </w:rPr>
              <w:tab/>
              <w:t>(b)</w:t>
            </w:r>
            <w:r>
              <w:rPr>
                <w:snapToGrid w:val="0"/>
              </w:rPr>
              <w:tab/>
              <w:t>north of 26ºS Latitude,</w:t>
            </w:r>
          </w:p>
        </w:tc>
        <w:tc>
          <w:tcPr>
            <w:tcW w:w="1440" w:type="dxa"/>
          </w:tcPr>
          <w:p>
            <w:pPr>
              <w:pStyle w:val="yTableNAm"/>
            </w:pPr>
          </w:p>
        </w:tc>
      </w:tr>
      <w:tr>
        <w:tc>
          <w:tcPr>
            <w:tcW w:w="960" w:type="dxa"/>
          </w:tcPr>
          <w:p>
            <w:pPr>
              <w:pStyle w:val="yTableNAm"/>
            </w:pPr>
          </w:p>
        </w:tc>
        <w:tc>
          <w:tcPr>
            <w:tcW w:w="4800" w:type="dxa"/>
          </w:tcPr>
          <w:p>
            <w:pPr>
              <w:pStyle w:val="yTableNAm"/>
              <w:rPr>
                <w:snapToGrid w:val="0"/>
              </w:rPr>
            </w:pPr>
            <w:r>
              <w:t>the charge for each kilolitre of water is —</w:t>
            </w:r>
          </w:p>
        </w:tc>
        <w:tc>
          <w:tcPr>
            <w:tcW w:w="1440" w:type="dxa"/>
          </w:tcPr>
          <w:p>
            <w:pPr>
              <w:pStyle w:val="yTableNAm"/>
            </w:pPr>
          </w:p>
        </w:tc>
      </w:tr>
    </w:tbl>
    <w:p>
      <w:pPr>
        <w:pStyle w:val="ySubsection"/>
        <w:spacing w:before="0"/>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tblHeader/>
        </w:trPr>
        <w:tc>
          <w:tcPr>
            <w:tcW w:w="1417" w:type="dxa"/>
            <w:tcBorders>
              <w:top w:val="single" w:sz="4" w:space="0" w:color="auto"/>
              <w:bottom w:val="single" w:sz="4" w:space="0" w:color="auto"/>
            </w:tcBorders>
          </w:tcPr>
          <w:p>
            <w:pPr>
              <w:pStyle w:val="yTableNAm"/>
              <w:keepNext/>
              <w:spacing w:before="60"/>
              <w:rPr>
                <w:b/>
                <w:bCs/>
              </w:rPr>
            </w:pPr>
            <w:r>
              <w:rPr>
                <w:b/>
                <w:bCs/>
              </w:rPr>
              <w:br w:type="page"/>
              <w:t>Consumption (kL)</w:t>
            </w:r>
          </w:p>
        </w:tc>
        <w:tc>
          <w:tcPr>
            <w:tcW w:w="992" w:type="dxa"/>
            <w:tcBorders>
              <w:top w:val="single" w:sz="4" w:space="0" w:color="auto"/>
              <w:bottom w:val="single" w:sz="4" w:space="0" w:color="auto"/>
            </w:tcBorders>
          </w:tcPr>
          <w:p>
            <w:pPr>
              <w:pStyle w:val="yTableNAm"/>
              <w:keepNext/>
              <w:spacing w:before="60"/>
              <w:jc w:val="center"/>
              <w:rPr>
                <w:b/>
                <w:bCs/>
              </w:rPr>
            </w:pPr>
            <w:r>
              <w:rPr>
                <w:b/>
                <w:bCs/>
              </w:rPr>
              <w:t>Class 1 (c/kL)</w:t>
            </w:r>
          </w:p>
        </w:tc>
        <w:tc>
          <w:tcPr>
            <w:tcW w:w="992" w:type="dxa"/>
            <w:tcBorders>
              <w:top w:val="single" w:sz="4" w:space="0" w:color="auto"/>
              <w:bottom w:val="single" w:sz="4" w:space="0" w:color="auto"/>
            </w:tcBorders>
          </w:tcPr>
          <w:p>
            <w:pPr>
              <w:pStyle w:val="yTableNAm"/>
              <w:keepNext/>
              <w:spacing w:before="60"/>
              <w:jc w:val="center"/>
              <w:rPr>
                <w:b/>
                <w:bCs/>
              </w:rPr>
            </w:pPr>
            <w:r>
              <w:rPr>
                <w:b/>
                <w:bCs/>
              </w:rPr>
              <w:t>Class 2 (c/kL)</w:t>
            </w:r>
          </w:p>
        </w:tc>
        <w:tc>
          <w:tcPr>
            <w:tcW w:w="992" w:type="dxa"/>
            <w:tcBorders>
              <w:top w:val="single" w:sz="4" w:space="0" w:color="auto"/>
              <w:bottom w:val="single" w:sz="4" w:space="0" w:color="auto"/>
            </w:tcBorders>
          </w:tcPr>
          <w:p>
            <w:pPr>
              <w:pStyle w:val="yTableNAm"/>
              <w:keepNext/>
              <w:spacing w:before="60"/>
              <w:jc w:val="center"/>
              <w:rPr>
                <w:b/>
                <w:bCs/>
              </w:rPr>
            </w:pPr>
            <w:r>
              <w:rPr>
                <w:b/>
                <w:bCs/>
              </w:rPr>
              <w:t>Class 3 (c/kL)</w:t>
            </w:r>
          </w:p>
        </w:tc>
        <w:tc>
          <w:tcPr>
            <w:tcW w:w="992" w:type="dxa"/>
            <w:tcBorders>
              <w:top w:val="single" w:sz="4" w:space="0" w:color="auto"/>
              <w:bottom w:val="single" w:sz="4" w:space="0" w:color="auto"/>
            </w:tcBorders>
          </w:tcPr>
          <w:p>
            <w:pPr>
              <w:pStyle w:val="yTableNAm"/>
              <w:keepNext/>
              <w:spacing w:before="60"/>
              <w:jc w:val="center"/>
              <w:rPr>
                <w:b/>
                <w:bCs/>
              </w:rPr>
            </w:pPr>
            <w:r>
              <w:rPr>
                <w:b/>
                <w:bCs/>
              </w:rPr>
              <w:t>Class 4 (c/kL)</w:t>
            </w:r>
          </w:p>
        </w:tc>
        <w:tc>
          <w:tcPr>
            <w:tcW w:w="993" w:type="dxa"/>
            <w:tcBorders>
              <w:top w:val="single" w:sz="4" w:space="0" w:color="auto"/>
              <w:bottom w:val="single" w:sz="4" w:space="0" w:color="auto"/>
            </w:tcBorders>
          </w:tcPr>
          <w:p>
            <w:pPr>
              <w:pStyle w:val="yTableNAm"/>
              <w:keepNext/>
              <w:spacing w:before="60"/>
              <w:jc w:val="center"/>
              <w:rPr>
                <w:b/>
                <w:bCs/>
              </w:rPr>
            </w:pPr>
            <w:r>
              <w:rPr>
                <w:b/>
                <w:bCs/>
              </w:rPr>
              <w:t>Class 5 (c/kL)</w:t>
            </w:r>
          </w:p>
        </w:tc>
      </w:tr>
      <w:tr>
        <w:tc>
          <w:tcPr>
            <w:tcW w:w="1417" w:type="dxa"/>
          </w:tcPr>
          <w:p>
            <w:pPr>
              <w:pStyle w:val="yTableNAm"/>
              <w:spacing w:before="60"/>
            </w:pPr>
            <w:r>
              <w:t>Up to 150</w:t>
            </w:r>
          </w:p>
        </w:tc>
        <w:tc>
          <w:tcPr>
            <w:tcW w:w="992" w:type="dxa"/>
          </w:tcPr>
          <w:p>
            <w:pPr>
              <w:pStyle w:val="yTableNAm"/>
              <w:spacing w:before="60"/>
              <w:jc w:val="center"/>
            </w:pPr>
            <w:r>
              <w:t>36.3</w:t>
            </w:r>
          </w:p>
        </w:tc>
        <w:tc>
          <w:tcPr>
            <w:tcW w:w="992" w:type="dxa"/>
          </w:tcPr>
          <w:p>
            <w:pPr>
              <w:pStyle w:val="yTableNAm"/>
              <w:spacing w:before="60"/>
              <w:jc w:val="center"/>
            </w:pPr>
            <w:r>
              <w:t>36.3</w:t>
            </w:r>
          </w:p>
        </w:tc>
        <w:tc>
          <w:tcPr>
            <w:tcW w:w="992" w:type="dxa"/>
          </w:tcPr>
          <w:p>
            <w:pPr>
              <w:pStyle w:val="yTableNAm"/>
              <w:spacing w:before="60"/>
              <w:jc w:val="center"/>
            </w:pPr>
            <w:r>
              <w:t>36.3</w:t>
            </w:r>
          </w:p>
        </w:tc>
        <w:tc>
          <w:tcPr>
            <w:tcW w:w="992" w:type="dxa"/>
          </w:tcPr>
          <w:p>
            <w:pPr>
              <w:pStyle w:val="yTableNAm"/>
              <w:spacing w:before="60"/>
              <w:jc w:val="center"/>
            </w:pPr>
            <w:r>
              <w:t>36.3</w:t>
            </w:r>
          </w:p>
        </w:tc>
        <w:tc>
          <w:tcPr>
            <w:tcW w:w="993" w:type="dxa"/>
          </w:tcPr>
          <w:p>
            <w:pPr>
              <w:pStyle w:val="yTableNAm"/>
              <w:spacing w:before="60"/>
              <w:jc w:val="center"/>
            </w:pPr>
            <w:r>
              <w:t>36.3</w:t>
            </w:r>
          </w:p>
        </w:tc>
      </w:tr>
      <w:tr>
        <w:tc>
          <w:tcPr>
            <w:tcW w:w="1417" w:type="dxa"/>
          </w:tcPr>
          <w:p>
            <w:pPr>
              <w:pStyle w:val="yTableNAm"/>
              <w:spacing w:before="60"/>
            </w:pPr>
            <w:r>
              <w:t>Over 150 but not over 300</w:t>
            </w:r>
          </w:p>
        </w:tc>
        <w:tc>
          <w:tcPr>
            <w:tcW w:w="992" w:type="dxa"/>
          </w:tcPr>
          <w:p>
            <w:pPr>
              <w:pStyle w:val="yTableNAm"/>
              <w:spacing w:before="60"/>
              <w:jc w:val="center"/>
            </w:pPr>
            <w:r>
              <w:br/>
              <w:t>44.0</w:t>
            </w:r>
          </w:p>
        </w:tc>
        <w:tc>
          <w:tcPr>
            <w:tcW w:w="992" w:type="dxa"/>
          </w:tcPr>
          <w:p>
            <w:pPr>
              <w:pStyle w:val="yTableNAm"/>
              <w:spacing w:before="60"/>
              <w:jc w:val="center"/>
            </w:pPr>
            <w:r>
              <w:br/>
              <w:t>44.0</w:t>
            </w:r>
          </w:p>
        </w:tc>
        <w:tc>
          <w:tcPr>
            <w:tcW w:w="992" w:type="dxa"/>
          </w:tcPr>
          <w:p>
            <w:pPr>
              <w:pStyle w:val="yTableNAm"/>
              <w:spacing w:before="60"/>
              <w:jc w:val="center"/>
            </w:pPr>
            <w:r>
              <w:br/>
              <w:t>44.0</w:t>
            </w:r>
          </w:p>
        </w:tc>
        <w:tc>
          <w:tcPr>
            <w:tcW w:w="992" w:type="dxa"/>
          </w:tcPr>
          <w:p>
            <w:pPr>
              <w:pStyle w:val="yTableNAm"/>
              <w:spacing w:before="60"/>
              <w:jc w:val="center"/>
            </w:pPr>
            <w:r>
              <w:br/>
              <w:t>44.0</w:t>
            </w:r>
          </w:p>
        </w:tc>
        <w:tc>
          <w:tcPr>
            <w:tcW w:w="993" w:type="dxa"/>
          </w:tcPr>
          <w:p>
            <w:pPr>
              <w:pStyle w:val="yTableNAm"/>
              <w:spacing w:before="60"/>
              <w:jc w:val="center"/>
            </w:pPr>
            <w:r>
              <w:br/>
              <w:t>44.0</w:t>
            </w:r>
          </w:p>
        </w:tc>
      </w:tr>
      <w:tr>
        <w:tc>
          <w:tcPr>
            <w:tcW w:w="1417" w:type="dxa"/>
          </w:tcPr>
          <w:p>
            <w:pPr>
              <w:pStyle w:val="yTableNAm"/>
              <w:spacing w:before="60"/>
            </w:pPr>
            <w:r>
              <w:t>Over 300 but not over 500</w:t>
            </w:r>
          </w:p>
        </w:tc>
        <w:tc>
          <w:tcPr>
            <w:tcW w:w="992" w:type="dxa"/>
          </w:tcPr>
          <w:p>
            <w:pPr>
              <w:pStyle w:val="yTableNAm"/>
              <w:spacing w:before="60"/>
              <w:jc w:val="center"/>
            </w:pPr>
            <w:r>
              <w:br/>
              <w:t>44.0</w:t>
            </w:r>
          </w:p>
        </w:tc>
        <w:tc>
          <w:tcPr>
            <w:tcW w:w="992" w:type="dxa"/>
          </w:tcPr>
          <w:p>
            <w:pPr>
              <w:pStyle w:val="yTableNAm"/>
              <w:spacing w:before="60"/>
              <w:jc w:val="center"/>
            </w:pPr>
            <w:r>
              <w:br/>
              <w:t>44.0</w:t>
            </w:r>
          </w:p>
        </w:tc>
        <w:tc>
          <w:tcPr>
            <w:tcW w:w="992" w:type="dxa"/>
          </w:tcPr>
          <w:p>
            <w:pPr>
              <w:pStyle w:val="yTableNAm"/>
              <w:spacing w:before="60"/>
              <w:jc w:val="center"/>
            </w:pPr>
            <w:r>
              <w:br/>
              <w:t>44.0</w:t>
            </w:r>
          </w:p>
        </w:tc>
        <w:tc>
          <w:tcPr>
            <w:tcW w:w="992" w:type="dxa"/>
          </w:tcPr>
          <w:p>
            <w:pPr>
              <w:pStyle w:val="yTableNAm"/>
              <w:spacing w:before="60"/>
              <w:jc w:val="center"/>
            </w:pPr>
            <w:r>
              <w:br/>
              <w:t>44.0</w:t>
            </w:r>
          </w:p>
        </w:tc>
        <w:tc>
          <w:tcPr>
            <w:tcW w:w="993" w:type="dxa"/>
          </w:tcPr>
          <w:p>
            <w:pPr>
              <w:pStyle w:val="yTableNAm"/>
              <w:spacing w:before="60"/>
              <w:jc w:val="center"/>
            </w:pPr>
            <w:r>
              <w:br/>
              <w:t>44.0</w:t>
            </w:r>
          </w:p>
        </w:tc>
      </w:tr>
      <w:tr>
        <w:tc>
          <w:tcPr>
            <w:tcW w:w="1417" w:type="dxa"/>
          </w:tcPr>
          <w:p>
            <w:pPr>
              <w:pStyle w:val="yTableNAm"/>
              <w:spacing w:before="60"/>
            </w:pPr>
            <w:r>
              <w:t>Over 500 but not over 550</w:t>
            </w:r>
          </w:p>
        </w:tc>
        <w:tc>
          <w:tcPr>
            <w:tcW w:w="992" w:type="dxa"/>
          </w:tcPr>
          <w:p>
            <w:pPr>
              <w:pStyle w:val="yTableNAm"/>
              <w:spacing w:before="60"/>
              <w:jc w:val="center"/>
            </w:pPr>
            <w:r>
              <w:br/>
              <w:t>44.0</w:t>
            </w:r>
          </w:p>
        </w:tc>
        <w:tc>
          <w:tcPr>
            <w:tcW w:w="992" w:type="dxa"/>
          </w:tcPr>
          <w:p>
            <w:pPr>
              <w:pStyle w:val="yTableNAm"/>
              <w:spacing w:before="60"/>
              <w:jc w:val="center"/>
            </w:pPr>
            <w:r>
              <w:br/>
              <w:t>52.1</w:t>
            </w:r>
          </w:p>
        </w:tc>
        <w:tc>
          <w:tcPr>
            <w:tcW w:w="992" w:type="dxa"/>
          </w:tcPr>
          <w:p>
            <w:pPr>
              <w:pStyle w:val="yTableNAm"/>
              <w:spacing w:before="60"/>
              <w:jc w:val="center"/>
            </w:pPr>
            <w:r>
              <w:br/>
              <w:t>55.5</w:t>
            </w:r>
          </w:p>
        </w:tc>
        <w:tc>
          <w:tcPr>
            <w:tcW w:w="992" w:type="dxa"/>
          </w:tcPr>
          <w:p>
            <w:pPr>
              <w:pStyle w:val="yTableNAm"/>
              <w:spacing w:before="60"/>
              <w:jc w:val="center"/>
            </w:pPr>
            <w:r>
              <w:br/>
              <w:t>62.4</w:t>
            </w:r>
          </w:p>
        </w:tc>
        <w:tc>
          <w:tcPr>
            <w:tcW w:w="993" w:type="dxa"/>
          </w:tcPr>
          <w:p>
            <w:pPr>
              <w:pStyle w:val="yTableNAm"/>
              <w:spacing w:before="60"/>
              <w:jc w:val="center"/>
            </w:pPr>
            <w:r>
              <w:br/>
              <w:t>66.4</w:t>
            </w:r>
          </w:p>
        </w:tc>
      </w:tr>
      <w:tr>
        <w:tc>
          <w:tcPr>
            <w:tcW w:w="1417" w:type="dxa"/>
          </w:tcPr>
          <w:p>
            <w:pPr>
              <w:pStyle w:val="yTableNAm"/>
              <w:spacing w:before="60"/>
            </w:pPr>
            <w:r>
              <w:t>Over 550 but not over 600</w:t>
            </w:r>
          </w:p>
        </w:tc>
        <w:tc>
          <w:tcPr>
            <w:tcW w:w="992" w:type="dxa"/>
          </w:tcPr>
          <w:p>
            <w:pPr>
              <w:pStyle w:val="yTableNAm"/>
              <w:spacing w:before="60"/>
              <w:jc w:val="center"/>
            </w:pPr>
            <w:r>
              <w:br/>
              <w:t>48.2</w:t>
            </w:r>
          </w:p>
        </w:tc>
        <w:tc>
          <w:tcPr>
            <w:tcW w:w="992" w:type="dxa"/>
          </w:tcPr>
          <w:p>
            <w:pPr>
              <w:pStyle w:val="yTableNAm"/>
              <w:spacing w:before="60"/>
              <w:jc w:val="center"/>
            </w:pPr>
            <w:r>
              <w:br/>
              <w:t>56.3</w:t>
            </w:r>
          </w:p>
        </w:tc>
        <w:tc>
          <w:tcPr>
            <w:tcW w:w="992" w:type="dxa"/>
          </w:tcPr>
          <w:p>
            <w:pPr>
              <w:pStyle w:val="yTableNAm"/>
              <w:spacing w:before="60"/>
              <w:jc w:val="center"/>
            </w:pPr>
            <w:r>
              <w:br/>
              <w:t>59.7</w:t>
            </w:r>
          </w:p>
        </w:tc>
        <w:tc>
          <w:tcPr>
            <w:tcW w:w="992" w:type="dxa"/>
          </w:tcPr>
          <w:p>
            <w:pPr>
              <w:pStyle w:val="yTableNAm"/>
              <w:spacing w:before="60"/>
              <w:jc w:val="center"/>
            </w:pPr>
            <w:r>
              <w:br/>
              <w:t>66.6</w:t>
            </w:r>
          </w:p>
        </w:tc>
        <w:tc>
          <w:tcPr>
            <w:tcW w:w="993" w:type="dxa"/>
          </w:tcPr>
          <w:p>
            <w:pPr>
              <w:pStyle w:val="yTableNAm"/>
              <w:spacing w:before="60"/>
              <w:jc w:val="center"/>
            </w:pPr>
            <w:r>
              <w:br/>
              <w:t>70.6</w:t>
            </w:r>
          </w:p>
        </w:tc>
      </w:tr>
      <w:tr>
        <w:tc>
          <w:tcPr>
            <w:tcW w:w="1417" w:type="dxa"/>
          </w:tcPr>
          <w:p>
            <w:pPr>
              <w:pStyle w:val="yTableNAm"/>
              <w:spacing w:before="60"/>
            </w:pPr>
            <w:r>
              <w:t>Over 600 but not over 650</w:t>
            </w:r>
          </w:p>
        </w:tc>
        <w:tc>
          <w:tcPr>
            <w:tcW w:w="992" w:type="dxa"/>
          </w:tcPr>
          <w:p>
            <w:pPr>
              <w:pStyle w:val="yTableNAm"/>
              <w:spacing w:before="60"/>
              <w:jc w:val="center"/>
            </w:pPr>
            <w:r>
              <w:br/>
              <w:t>96.4</w:t>
            </w:r>
          </w:p>
        </w:tc>
        <w:tc>
          <w:tcPr>
            <w:tcW w:w="992" w:type="dxa"/>
          </w:tcPr>
          <w:p>
            <w:pPr>
              <w:pStyle w:val="yTableNAm"/>
              <w:spacing w:before="60"/>
              <w:jc w:val="center"/>
            </w:pPr>
            <w:r>
              <w:br/>
              <w:t>112.6</w:t>
            </w:r>
          </w:p>
        </w:tc>
        <w:tc>
          <w:tcPr>
            <w:tcW w:w="992" w:type="dxa"/>
          </w:tcPr>
          <w:p>
            <w:pPr>
              <w:pStyle w:val="yTableNAm"/>
              <w:spacing w:before="60"/>
              <w:jc w:val="center"/>
            </w:pPr>
            <w:r>
              <w:br/>
              <w:t>119.4</w:t>
            </w:r>
          </w:p>
        </w:tc>
        <w:tc>
          <w:tcPr>
            <w:tcW w:w="992" w:type="dxa"/>
          </w:tcPr>
          <w:p>
            <w:pPr>
              <w:pStyle w:val="yTableNAm"/>
              <w:spacing w:before="60"/>
              <w:jc w:val="center"/>
            </w:pPr>
            <w:r>
              <w:br/>
              <w:t>133.1</w:t>
            </w:r>
          </w:p>
        </w:tc>
        <w:tc>
          <w:tcPr>
            <w:tcW w:w="993" w:type="dxa"/>
          </w:tcPr>
          <w:p>
            <w:pPr>
              <w:pStyle w:val="yTableNAm"/>
              <w:spacing w:before="60"/>
              <w:jc w:val="center"/>
            </w:pPr>
            <w:r>
              <w:br/>
              <w:t>141.2</w:t>
            </w:r>
          </w:p>
        </w:tc>
      </w:tr>
      <w:tr>
        <w:tc>
          <w:tcPr>
            <w:tcW w:w="1417" w:type="dxa"/>
          </w:tcPr>
          <w:p>
            <w:pPr>
              <w:pStyle w:val="yTableNAm"/>
              <w:spacing w:before="60"/>
            </w:pPr>
            <w:r>
              <w:t>Over 650 but not over 750</w:t>
            </w:r>
          </w:p>
        </w:tc>
        <w:tc>
          <w:tcPr>
            <w:tcW w:w="992" w:type="dxa"/>
          </w:tcPr>
          <w:p>
            <w:pPr>
              <w:pStyle w:val="yTableNAm"/>
              <w:spacing w:before="60"/>
              <w:jc w:val="center"/>
            </w:pPr>
            <w:r>
              <w:br/>
              <w:t>122.6</w:t>
            </w:r>
          </w:p>
        </w:tc>
        <w:tc>
          <w:tcPr>
            <w:tcW w:w="992" w:type="dxa"/>
          </w:tcPr>
          <w:p>
            <w:pPr>
              <w:pStyle w:val="yTableNAm"/>
              <w:spacing w:before="60"/>
              <w:jc w:val="center"/>
            </w:pPr>
            <w:r>
              <w:br/>
              <w:t>142.4</w:t>
            </w:r>
          </w:p>
        </w:tc>
        <w:tc>
          <w:tcPr>
            <w:tcW w:w="992" w:type="dxa"/>
          </w:tcPr>
          <w:p>
            <w:pPr>
              <w:pStyle w:val="yTableNAm"/>
              <w:spacing w:before="60"/>
              <w:jc w:val="center"/>
            </w:pPr>
            <w:r>
              <w:br/>
              <w:t>162.2</w:t>
            </w:r>
          </w:p>
        </w:tc>
        <w:tc>
          <w:tcPr>
            <w:tcW w:w="992" w:type="dxa"/>
          </w:tcPr>
          <w:p>
            <w:pPr>
              <w:pStyle w:val="yTableNAm"/>
              <w:spacing w:before="60"/>
              <w:jc w:val="center"/>
            </w:pPr>
            <w:r>
              <w:br/>
              <w:t>186.4</w:t>
            </w:r>
          </w:p>
        </w:tc>
        <w:tc>
          <w:tcPr>
            <w:tcW w:w="993" w:type="dxa"/>
          </w:tcPr>
          <w:p>
            <w:pPr>
              <w:pStyle w:val="yTableNAm"/>
              <w:spacing w:before="60"/>
              <w:jc w:val="center"/>
            </w:pPr>
            <w:r>
              <w:br/>
              <w:t>204.7</w:t>
            </w:r>
          </w:p>
        </w:tc>
      </w:tr>
      <w:tr>
        <w:tc>
          <w:tcPr>
            <w:tcW w:w="1417" w:type="dxa"/>
          </w:tcPr>
          <w:p>
            <w:pPr>
              <w:pStyle w:val="yTableNAm"/>
              <w:spacing w:before="60"/>
            </w:pPr>
            <w:r>
              <w:t>Over 750 but not over 950</w:t>
            </w:r>
          </w:p>
        </w:tc>
        <w:tc>
          <w:tcPr>
            <w:tcW w:w="992" w:type="dxa"/>
          </w:tcPr>
          <w:p>
            <w:pPr>
              <w:pStyle w:val="yTableNAm"/>
              <w:spacing w:before="60"/>
              <w:jc w:val="center"/>
            </w:pPr>
            <w:r>
              <w:br/>
              <w:t>176.2</w:t>
            </w:r>
          </w:p>
        </w:tc>
        <w:tc>
          <w:tcPr>
            <w:tcW w:w="992" w:type="dxa"/>
          </w:tcPr>
          <w:p>
            <w:pPr>
              <w:pStyle w:val="yTableNAm"/>
              <w:spacing w:before="60"/>
              <w:jc w:val="center"/>
            </w:pPr>
            <w:r>
              <w:br/>
              <w:t>240.6</w:t>
            </w:r>
          </w:p>
        </w:tc>
        <w:tc>
          <w:tcPr>
            <w:tcW w:w="992" w:type="dxa"/>
          </w:tcPr>
          <w:p>
            <w:pPr>
              <w:pStyle w:val="yTableNAm"/>
              <w:spacing w:before="60"/>
              <w:jc w:val="center"/>
            </w:pPr>
            <w:r>
              <w:br/>
              <w:t>271.8</w:t>
            </w:r>
          </w:p>
        </w:tc>
        <w:tc>
          <w:tcPr>
            <w:tcW w:w="992" w:type="dxa"/>
          </w:tcPr>
          <w:p>
            <w:pPr>
              <w:pStyle w:val="yTableNAm"/>
              <w:spacing w:before="60"/>
              <w:jc w:val="center"/>
            </w:pPr>
            <w:r>
              <w:br/>
              <w:t>325.8</w:t>
            </w:r>
          </w:p>
        </w:tc>
        <w:tc>
          <w:tcPr>
            <w:tcW w:w="993" w:type="dxa"/>
          </w:tcPr>
          <w:p>
            <w:pPr>
              <w:pStyle w:val="yTableNAm"/>
              <w:spacing w:before="60"/>
              <w:jc w:val="center"/>
            </w:pPr>
            <w:r>
              <w:br/>
              <w:t>362.0</w:t>
            </w:r>
          </w:p>
        </w:tc>
      </w:tr>
      <w:tr>
        <w:tc>
          <w:tcPr>
            <w:tcW w:w="1417" w:type="dxa"/>
          </w:tcPr>
          <w:p>
            <w:pPr>
              <w:pStyle w:val="yTableNAm"/>
              <w:spacing w:before="60"/>
            </w:pPr>
            <w:r>
              <w:t>Over 950 but not over 1 150</w:t>
            </w:r>
          </w:p>
        </w:tc>
        <w:tc>
          <w:tcPr>
            <w:tcW w:w="992" w:type="dxa"/>
          </w:tcPr>
          <w:p>
            <w:pPr>
              <w:pStyle w:val="yTableNAm"/>
              <w:spacing w:before="60"/>
              <w:jc w:val="center"/>
            </w:pPr>
            <w:r>
              <w:br/>
              <w:t>176.2</w:t>
            </w:r>
          </w:p>
        </w:tc>
        <w:tc>
          <w:tcPr>
            <w:tcW w:w="992" w:type="dxa"/>
          </w:tcPr>
          <w:p>
            <w:pPr>
              <w:pStyle w:val="yTableNAm"/>
              <w:spacing w:before="60"/>
              <w:jc w:val="center"/>
            </w:pPr>
            <w:r>
              <w:br/>
              <w:t>240.6</w:t>
            </w:r>
          </w:p>
        </w:tc>
        <w:tc>
          <w:tcPr>
            <w:tcW w:w="992" w:type="dxa"/>
          </w:tcPr>
          <w:p>
            <w:pPr>
              <w:pStyle w:val="yTableNAm"/>
              <w:spacing w:before="60"/>
              <w:jc w:val="center"/>
            </w:pPr>
            <w:r>
              <w:br/>
              <w:t>271.8</w:t>
            </w:r>
          </w:p>
        </w:tc>
        <w:tc>
          <w:tcPr>
            <w:tcW w:w="992" w:type="dxa"/>
          </w:tcPr>
          <w:p>
            <w:pPr>
              <w:pStyle w:val="yTableNAm"/>
              <w:spacing w:before="60"/>
              <w:jc w:val="center"/>
            </w:pPr>
            <w:r>
              <w:br/>
              <w:t>325.8</w:t>
            </w:r>
          </w:p>
        </w:tc>
        <w:tc>
          <w:tcPr>
            <w:tcW w:w="993" w:type="dxa"/>
          </w:tcPr>
          <w:p>
            <w:pPr>
              <w:pStyle w:val="yTableNAm"/>
              <w:spacing w:before="60"/>
              <w:jc w:val="center"/>
            </w:pPr>
            <w:r>
              <w:br/>
              <w:t>362.0</w:t>
            </w:r>
          </w:p>
        </w:tc>
      </w:tr>
      <w:tr>
        <w:tc>
          <w:tcPr>
            <w:tcW w:w="1417" w:type="dxa"/>
          </w:tcPr>
          <w:p>
            <w:pPr>
              <w:pStyle w:val="yTableNAm"/>
              <w:spacing w:before="60"/>
            </w:pPr>
            <w:r>
              <w:t>Over 1 150 but not over 1 550</w:t>
            </w:r>
          </w:p>
        </w:tc>
        <w:tc>
          <w:tcPr>
            <w:tcW w:w="992" w:type="dxa"/>
          </w:tcPr>
          <w:p>
            <w:pPr>
              <w:pStyle w:val="yTableNAm"/>
              <w:spacing w:before="60"/>
              <w:jc w:val="center"/>
            </w:pPr>
            <w:r>
              <w:br/>
              <w:t>225.1</w:t>
            </w:r>
          </w:p>
        </w:tc>
        <w:tc>
          <w:tcPr>
            <w:tcW w:w="992" w:type="dxa"/>
          </w:tcPr>
          <w:p>
            <w:pPr>
              <w:pStyle w:val="yTableNAm"/>
              <w:spacing w:before="60"/>
              <w:jc w:val="center"/>
            </w:pPr>
            <w:r>
              <w:br/>
              <w:t>323.2</w:t>
            </w:r>
          </w:p>
        </w:tc>
        <w:tc>
          <w:tcPr>
            <w:tcW w:w="992" w:type="dxa"/>
          </w:tcPr>
          <w:p>
            <w:pPr>
              <w:pStyle w:val="yTableNAm"/>
              <w:spacing w:before="60"/>
              <w:jc w:val="center"/>
            </w:pPr>
            <w:r>
              <w:br/>
              <w:t>392.1</w:t>
            </w:r>
          </w:p>
        </w:tc>
        <w:tc>
          <w:tcPr>
            <w:tcW w:w="992" w:type="dxa"/>
          </w:tcPr>
          <w:p>
            <w:pPr>
              <w:pStyle w:val="yTableNAm"/>
              <w:spacing w:before="60"/>
              <w:jc w:val="center"/>
            </w:pPr>
            <w:r>
              <w:br/>
              <w:t>524.5</w:t>
            </w:r>
          </w:p>
        </w:tc>
        <w:tc>
          <w:tcPr>
            <w:tcW w:w="993" w:type="dxa"/>
          </w:tcPr>
          <w:p>
            <w:pPr>
              <w:pStyle w:val="yTableNAm"/>
              <w:spacing w:before="60"/>
              <w:jc w:val="center"/>
            </w:pPr>
            <w:r>
              <w:br/>
              <w:t>650.1</w:t>
            </w:r>
          </w:p>
        </w:tc>
      </w:tr>
      <w:tr>
        <w:tc>
          <w:tcPr>
            <w:tcW w:w="1417" w:type="dxa"/>
          </w:tcPr>
          <w:p>
            <w:pPr>
              <w:pStyle w:val="yTableNAm"/>
              <w:spacing w:before="60"/>
            </w:pPr>
            <w:r>
              <w:t>Over 1 550 but not over 1 950</w:t>
            </w:r>
          </w:p>
        </w:tc>
        <w:tc>
          <w:tcPr>
            <w:tcW w:w="992" w:type="dxa"/>
          </w:tcPr>
          <w:p>
            <w:pPr>
              <w:pStyle w:val="yTableNAm"/>
              <w:spacing w:before="60"/>
              <w:jc w:val="center"/>
            </w:pPr>
            <w:r>
              <w:br/>
              <w:t>247.9</w:t>
            </w:r>
          </w:p>
        </w:tc>
        <w:tc>
          <w:tcPr>
            <w:tcW w:w="992" w:type="dxa"/>
          </w:tcPr>
          <w:p>
            <w:pPr>
              <w:pStyle w:val="yTableNAm"/>
              <w:spacing w:before="60"/>
              <w:jc w:val="center"/>
            </w:pPr>
            <w:r>
              <w:br/>
              <w:t>371.9</w:t>
            </w:r>
          </w:p>
        </w:tc>
        <w:tc>
          <w:tcPr>
            <w:tcW w:w="992" w:type="dxa"/>
          </w:tcPr>
          <w:p>
            <w:pPr>
              <w:pStyle w:val="yTableNAm"/>
              <w:spacing w:before="60"/>
              <w:jc w:val="center"/>
            </w:pPr>
            <w:r>
              <w:br/>
              <w:t>468.1</w:t>
            </w:r>
          </w:p>
        </w:tc>
        <w:tc>
          <w:tcPr>
            <w:tcW w:w="992" w:type="dxa"/>
          </w:tcPr>
          <w:p>
            <w:pPr>
              <w:pStyle w:val="yTableNAm"/>
              <w:spacing w:before="60"/>
              <w:jc w:val="center"/>
            </w:pPr>
            <w:r>
              <w:br/>
              <w:t>589.5</w:t>
            </w:r>
          </w:p>
        </w:tc>
        <w:tc>
          <w:tcPr>
            <w:tcW w:w="993" w:type="dxa"/>
          </w:tcPr>
          <w:p>
            <w:pPr>
              <w:pStyle w:val="yTableNAm"/>
              <w:spacing w:before="60"/>
              <w:jc w:val="center"/>
            </w:pPr>
            <w:r>
              <w:br/>
              <w:t>715.3</w:t>
            </w:r>
          </w:p>
        </w:tc>
      </w:tr>
      <w:tr>
        <w:tc>
          <w:tcPr>
            <w:tcW w:w="1417" w:type="dxa"/>
            <w:tcBorders>
              <w:bottom w:val="single" w:sz="4" w:space="0" w:color="auto"/>
            </w:tcBorders>
          </w:tcPr>
          <w:p>
            <w:pPr>
              <w:pStyle w:val="yTableNAm"/>
              <w:spacing w:before="60"/>
            </w:pPr>
            <w:r>
              <w:t>Over 1 950</w:t>
            </w:r>
          </w:p>
        </w:tc>
        <w:tc>
          <w:tcPr>
            <w:tcW w:w="992" w:type="dxa"/>
            <w:tcBorders>
              <w:bottom w:val="single" w:sz="4" w:space="0" w:color="auto"/>
            </w:tcBorders>
          </w:tcPr>
          <w:p>
            <w:pPr>
              <w:pStyle w:val="yTableNAm"/>
              <w:spacing w:before="60"/>
              <w:jc w:val="center"/>
            </w:pPr>
            <w:r>
              <w:t>275.9</w:t>
            </w:r>
          </w:p>
        </w:tc>
        <w:tc>
          <w:tcPr>
            <w:tcW w:w="992" w:type="dxa"/>
            <w:tcBorders>
              <w:bottom w:val="single" w:sz="4" w:space="0" w:color="auto"/>
            </w:tcBorders>
          </w:tcPr>
          <w:p>
            <w:pPr>
              <w:pStyle w:val="yTableNAm"/>
              <w:spacing w:before="60"/>
              <w:jc w:val="center"/>
            </w:pPr>
            <w:r>
              <w:t>442.5</w:t>
            </w:r>
          </w:p>
        </w:tc>
        <w:tc>
          <w:tcPr>
            <w:tcW w:w="992" w:type="dxa"/>
            <w:tcBorders>
              <w:bottom w:val="single" w:sz="4" w:space="0" w:color="auto"/>
            </w:tcBorders>
          </w:tcPr>
          <w:p>
            <w:pPr>
              <w:pStyle w:val="yTableNAm"/>
              <w:spacing w:before="60"/>
              <w:jc w:val="center"/>
            </w:pPr>
            <w:r>
              <w:t>533.1</w:t>
            </w:r>
          </w:p>
        </w:tc>
        <w:tc>
          <w:tcPr>
            <w:tcW w:w="992" w:type="dxa"/>
            <w:tcBorders>
              <w:bottom w:val="single" w:sz="4" w:space="0" w:color="auto"/>
            </w:tcBorders>
          </w:tcPr>
          <w:p>
            <w:pPr>
              <w:pStyle w:val="yTableNAm"/>
              <w:spacing w:before="60"/>
              <w:jc w:val="center"/>
            </w:pPr>
            <w:r>
              <w:t>654.4</w:t>
            </w:r>
          </w:p>
        </w:tc>
        <w:tc>
          <w:tcPr>
            <w:tcW w:w="993" w:type="dxa"/>
            <w:tcBorders>
              <w:bottom w:val="single" w:sz="4" w:space="0" w:color="auto"/>
            </w:tcBorders>
          </w:tcPr>
          <w:p>
            <w:pPr>
              <w:pStyle w:val="yTableNAm"/>
              <w:spacing w:before="60"/>
              <w:jc w:val="center"/>
            </w:pPr>
            <w:r>
              <w:t>769.4</w:t>
            </w:r>
          </w:p>
        </w:tc>
      </w:tr>
    </w:tbl>
    <w:p>
      <w:pPr>
        <w:pStyle w:val="ySubsection"/>
        <w:spacing w:before="0"/>
      </w:pPr>
    </w:p>
    <w:p>
      <w:pPr>
        <w:pStyle w:val="yHeading5"/>
        <w:keepNext w:val="0"/>
        <w:keepLines w:val="0"/>
        <w:tabs>
          <w:tab w:val="clear" w:pos="879"/>
        </w:tabs>
        <w:ind w:left="964" w:hanging="966"/>
        <w:rPr>
          <w:b w:val="0"/>
          <w:bCs/>
        </w:rPr>
      </w:pPr>
      <w:bookmarkStart w:id="616" w:name="_Toc237309593"/>
      <w:r>
        <w:rPr>
          <w:rStyle w:val="CharSClsNo"/>
        </w:rPr>
        <w:t>24</w:t>
      </w:r>
      <w:r>
        <w:t>.</w:t>
      </w:r>
      <w:r>
        <w:tab/>
        <w:t>Metropolitan non</w:t>
      </w:r>
      <w:r>
        <w:noBreakHyphen/>
        <w:t>residential</w:t>
      </w:r>
      <w:bookmarkEnd w:id="616"/>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rPr>
                <w:spacing w:val="-1"/>
              </w:rPr>
            </w:pPr>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440" w:type="dxa"/>
          </w:tcPr>
          <w:p>
            <w:pPr>
              <w:pStyle w:val="yTableNAm"/>
            </w:pPr>
          </w:p>
        </w:tc>
      </w:tr>
      <w:tr>
        <w:tc>
          <w:tcPr>
            <w:tcW w:w="960" w:type="dxa"/>
          </w:tcPr>
          <w:p>
            <w:pPr>
              <w:pStyle w:val="yTableNAm"/>
              <w:rPr>
                <w:rStyle w:val="CharSClsNo"/>
              </w:rPr>
            </w:pPr>
          </w:p>
        </w:tc>
        <w:tc>
          <w:tcPr>
            <w:tcW w:w="4800" w:type="dxa"/>
          </w:tcPr>
          <w:p>
            <w:pPr>
              <w:pStyle w:val="yTableNAm"/>
              <w:tabs>
                <w:tab w:val="clear" w:pos="567"/>
                <w:tab w:val="left" w:pos="416"/>
                <w:tab w:val="left" w:pos="1016"/>
              </w:tabs>
              <w:ind w:left="1016" w:hanging="1016"/>
              <w:rPr>
                <w:spacing w:val="-1"/>
              </w:rPr>
            </w:pPr>
            <w:r>
              <w:rPr>
                <w:snapToGrid w:val="0"/>
              </w:rPr>
              <w:tab/>
              <w:t>(a)</w:t>
            </w:r>
            <w:r>
              <w:rPr>
                <w:snapToGrid w:val="0"/>
              </w:rPr>
              <w:tab/>
              <w:t>in the case of land not mentioned in paragraph (b) or (c) —</w:t>
            </w:r>
          </w:p>
        </w:tc>
        <w:tc>
          <w:tcPr>
            <w:tcW w:w="1440" w:type="dxa"/>
          </w:tcPr>
          <w:p>
            <w:pPr>
              <w:pStyle w:val="yTableNAm"/>
            </w:pPr>
          </w:p>
        </w:tc>
      </w:tr>
      <w:tr>
        <w:tc>
          <w:tcPr>
            <w:tcW w:w="960" w:type="dxa"/>
          </w:tcPr>
          <w:p>
            <w:pPr>
              <w:pStyle w:val="yTableNAm"/>
              <w:rPr>
                <w:rStyle w:val="CharSClsNo"/>
              </w:rPr>
            </w:pPr>
          </w:p>
        </w:tc>
        <w:tc>
          <w:tcPr>
            <w:tcW w:w="4800" w:type="dxa"/>
          </w:tcPr>
          <w:p>
            <w:pPr>
              <w:pStyle w:val="yTableNAm"/>
              <w:tabs>
                <w:tab w:val="clear" w:pos="567"/>
                <w:tab w:val="left" w:pos="1256"/>
                <w:tab w:val="left" w:leader="dot" w:pos="4572"/>
              </w:tabs>
              <w:spacing w:before="60"/>
            </w:pPr>
            <w:r>
              <w:rPr>
                <w:spacing w:val="-1"/>
              </w:rPr>
              <w:tab/>
              <w:t>up</w:t>
            </w:r>
            <w:r>
              <w:t xml:space="preserve"> to 600 kL </w:t>
            </w:r>
            <w:r>
              <w:tab/>
            </w:r>
          </w:p>
        </w:tc>
        <w:tc>
          <w:tcPr>
            <w:tcW w:w="1440" w:type="dxa"/>
          </w:tcPr>
          <w:p>
            <w:pPr>
              <w:pStyle w:val="yTableNAm"/>
              <w:spacing w:before="60"/>
            </w:pPr>
            <w:r>
              <w:t>117.1 cents</w:t>
            </w: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rPr>
                <w:spacing w:val="-1"/>
              </w:rPr>
            </w:pPr>
            <w:r>
              <w:rPr>
                <w:spacing w:val="-1"/>
              </w:rPr>
              <w:tab/>
              <w:t>over 600 kL but not over 1 100 </w:t>
            </w:r>
            <w:r>
              <w:t>000</w:t>
            </w:r>
            <w:r>
              <w:rPr>
                <w:spacing w:val="-1"/>
              </w:rPr>
              <w:t xml:space="preserve"> kL </w:t>
            </w:r>
            <w:r>
              <w:rPr>
                <w:spacing w:val="-1"/>
              </w:rPr>
              <w:tab/>
            </w:r>
          </w:p>
        </w:tc>
        <w:tc>
          <w:tcPr>
            <w:tcW w:w="1440" w:type="dxa"/>
          </w:tcPr>
          <w:p>
            <w:pPr>
              <w:pStyle w:val="yTableNAm"/>
              <w:spacing w:before="60"/>
            </w:pPr>
            <w:r>
              <w:br/>
              <w:t>122.0 cents</w:t>
            </w:r>
          </w:p>
        </w:tc>
      </w:tr>
      <w:tr>
        <w:tc>
          <w:tcPr>
            <w:tcW w:w="960" w:type="dxa"/>
          </w:tcPr>
          <w:p>
            <w:pPr>
              <w:pStyle w:val="yTableNAm"/>
            </w:pPr>
          </w:p>
        </w:tc>
        <w:tc>
          <w:tcPr>
            <w:tcW w:w="4800" w:type="dxa"/>
          </w:tcPr>
          <w:p>
            <w:pPr>
              <w:pStyle w:val="yTableNAm"/>
              <w:tabs>
                <w:tab w:val="clear" w:pos="567"/>
                <w:tab w:val="left" w:pos="1256"/>
                <w:tab w:val="left" w:leader="dot" w:pos="4572"/>
              </w:tabs>
              <w:spacing w:before="60"/>
              <w:ind w:left="1259" w:hanging="1259"/>
            </w:pPr>
            <w:r>
              <w:tab/>
              <w:t xml:space="preserve">over 1 100 000 kL </w:t>
            </w:r>
            <w:r>
              <w:tab/>
            </w:r>
          </w:p>
        </w:tc>
        <w:tc>
          <w:tcPr>
            <w:tcW w:w="1440" w:type="dxa"/>
          </w:tcPr>
          <w:p>
            <w:pPr>
              <w:pStyle w:val="yTableNAm"/>
              <w:spacing w:before="60"/>
            </w:pPr>
            <w:r>
              <w:t>120.8 cents</w:t>
            </w:r>
          </w:p>
        </w:tc>
      </w:tr>
      <w:tr>
        <w:tc>
          <w:tcPr>
            <w:tcW w:w="960" w:type="dxa"/>
          </w:tcPr>
          <w:p>
            <w:pPr>
              <w:pStyle w:val="yTableNAm"/>
            </w:pPr>
          </w:p>
        </w:tc>
        <w:tc>
          <w:tcPr>
            <w:tcW w:w="4800" w:type="dxa"/>
          </w:tcPr>
          <w:p>
            <w:pPr>
              <w:pStyle w:val="yTableNAm"/>
              <w:tabs>
                <w:tab w:val="clear" w:pos="567"/>
                <w:tab w:val="left" w:pos="416"/>
                <w:tab w:val="left" w:pos="1016"/>
              </w:tabs>
              <w:ind w:left="1016" w:hanging="1016"/>
            </w:pPr>
            <w:r>
              <w:rPr>
                <w:snapToGrid w:val="0"/>
              </w:rPr>
              <w:tab/>
              <w:t>(b)</w:t>
            </w:r>
            <w:r>
              <w:rPr>
                <w:snapToGrid w:val="0"/>
              </w:rPr>
              <w:tab/>
              <w:t>in the case of land classified as metropolitan farmland —</w:t>
            </w:r>
          </w:p>
        </w:tc>
        <w:tc>
          <w:tcPr>
            <w:tcW w:w="1440" w:type="dxa"/>
          </w:tcPr>
          <w:p>
            <w:pPr>
              <w:pStyle w:val="yTableNAm"/>
            </w:pPr>
          </w:p>
        </w:tc>
      </w:tr>
      <w:tr>
        <w:tc>
          <w:tcPr>
            <w:tcW w:w="960" w:type="dxa"/>
          </w:tcPr>
          <w:p>
            <w:pPr>
              <w:pStyle w:val="yTableNAm"/>
              <w:spacing w:before="100"/>
            </w:pPr>
          </w:p>
        </w:tc>
        <w:tc>
          <w:tcPr>
            <w:tcW w:w="4800" w:type="dxa"/>
          </w:tcPr>
          <w:p>
            <w:pPr>
              <w:pStyle w:val="yTableNAm"/>
              <w:tabs>
                <w:tab w:val="clear" w:pos="567"/>
                <w:tab w:val="left" w:pos="1256"/>
                <w:tab w:val="left" w:leader="dot" w:pos="4572"/>
              </w:tabs>
              <w:spacing w:before="100"/>
              <w:ind w:left="1259" w:hanging="1259"/>
            </w:pPr>
            <w:r>
              <w:tab/>
              <w:t xml:space="preserve">all water </w:t>
            </w:r>
            <w:r>
              <w:rPr>
                <w:spacing w:val="-1"/>
              </w:rPr>
              <w:t>supplied</w:t>
            </w:r>
            <w:r>
              <w:t xml:space="preserve"> </w:t>
            </w:r>
            <w:r>
              <w:tab/>
            </w:r>
          </w:p>
        </w:tc>
        <w:tc>
          <w:tcPr>
            <w:tcW w:w="1440" w:type="dxa"/>
          </w:tcPr>
          <w:p>
            <w:pPr>
              <w:pStyle w:val="yTableNAm"/>
              <w:spacing w:before="100"/>
            </w:pPr>
            <w:r>
              <w:t>112.8 cents</w:t>
            </w:r>
          </w:p>
        </w:tc>
      </w:tr>
      <w:tr>
        <w:tc>
          <w:tcPr>
            <w:tcW w:w="960" w:type="dxa"/>
          </w:tcPr>
          <w:p>
            <w:pPr>
              <w:pStyle w:val="yTableNAm"/>
            </w:pPr>
          </w:p>
        </w:tc>
        <w:tc>
          <w:tcPr>
            <w:tcW w:w="4800" w:type="dxa"/>
          </w:tcPr>
          <w:p>
            <w:pPr>
              <w:pStyle w:val="yTableNAm"/>
              <w:tabs>
                <w:tab w:val="clear" w:pos="567"/>
                <w:tab w:val="left" w:pos="416"/>
                <w:tab w:val="left" w:pos="1016"/>
              </w:tabs>
              <w:ind w:left="1016" w:hanging="1016"/>
            </w:pPr>
            <w:r>
              <w:rPr>
                <w:snapToGrid w:val="0"/>
              </w:rPr>
              <w:tab/>
              <w:t>(c)</w:t>
            </w:r>
            <w:r>
              <w:rPr>
                <w:snapToGrid w:val="0"/>
              </w:rPr>
              <w:tab/>
              <w:t>in the case of land classified as c</w:t>
            </w:r>
            <w:r>
              <w:t>ommercial residential</w:t>
            </w:r>
            <w:r>
              <w:rPr>
                <w:snapToGrid w:val="0"/>
              </w:rPr>
              <w:t> —</w:t>
            </w:r>
          </w:p>
        </w:tc>
        <w:tc>
          <w:tcPr>
            <w:tcW w:w="1440" w:type="dxa"/>
          </w:tcPr>
          <w:p>
            <w:pPr>
              <w:pStyle w:val="yTableNAm"/>
            </w:pPr>
          </w:p>
        </w:tc>
      </w:tr>
      <w:tr>
        <w:tc>
          <w:tcPr>
            <w:tcW w:w="960" w:type="dxa"/>
          </w:tcPr>
          <w:p>
            <w:pPr>
              <w:pStyle w:val="yTableNAm"/>
              <w:spacing w:before="100"/>
            </w:pPr>
          </w:p>
        </w:tc>
        <w:tc>
          <w:tcPr>
            <w:tcW w:w="4800" w:type="dxa"/>
          </w:tcPr>
          <w:p>
            <w:pPr>
              <w:pStyle w:val="yTableNAm"/>
              <w:tabs>
                <w:tab w:val="clear" w:pos="567"/>
                <w:tab w:val="left" w:pos="1256"/>
                <w:tab w:val="left" w:leader="dot" w:pos="4572"/>
              </w:tabs>
              <w:spacing w:before="100"/>
              <w:ind w:left="1259" w:hanging="1259"/>
            </w:pPr>
            <w:r>
              <w:tab/>
              <w:t xml:space="preserve">up to </w:t>
            </w:r>
            <w:r>
              <w:rPr>
                <w:spacing w:val="-1"/>
              </w:rPr>
              <w:t>150</w:t>
            </w:r>
            <w:r>
              <w:t xml:space="preserve"> kL </w:t>
            </w:r>
            <w:r>
              <w:tab/>
            </w:r>
          </w:p>
        </w:tc>
        <w:tc>
          <w:tcPr>
            <w:tcW w:w="1440" w:type="dxa"/>
          </w:tcPr>
          <w:p>
            <w:pPr>
              <w:pStyle w:val="yTableNAm"/>
              <w:spacing w:before="100"/>
            </w:pPr>
            <w:r>
              <w:t>72.6 cents</w:t>
            </w:r>
          </w:p>
        </w:tc>
      </w:tr>
      <w:tr>
        <w:tc>
          <w:tcPr>
            <w:tcW w:w="960" w:type="dxa"/>
          </w:tcPr>
          <w:p>
            <w:pPr>
              <w:pStyle w:val="yTableNAm"/>
              <w:spacing w:before="100"/>
            </w:pPr>
          </w:p>
        </w:tc>
        <w:tc>
          <w:tcPr>
            <w:tcW w:w="4800" w:type="dxa"/>
          </w:tcPr>
          <w:p>
            <w:pPr>
              <w:pStyle w:val="yTableNAm"/>
              <w:tabs>
                <w:tab w:val="clear" w:pos="567"/>
                <w:tab w:val="left" w:pos="1256"/>
                <w:tab w:val="left" w:leader="dot" w:pos="4572"/>
              </w:tabs>
              <w:spacing w:before="100"/>
              <w:ind w:left="1259" w:hanging="1259"/>
            </w:pPr>
            <w:r>
              <w:tab/>
              <w:t xml:space="preserve">over </w:t>
            </w:r>
            <w:r>
              <w:rPr>
                <w:spacing w:val="-1"/>
              </w:rPr>
              <w:t>150</w:t>
            </w:r>
            <w:r>
              <w:t xml:space="preserve"> kL but not over 750 kL </w:t>
            </w:r>
            <w:r>
              <w:tab/>
            </w:r>
          </w:p>
        </w:tc>
        <w:tc>
          <w:tcPr>
            <w:tcW w:w="1440" w:type="dxa"/>
          </w:tcPr>
          <w:p>
            <w:pPr>
              <w:pStyle w:val="yTableNAm"/>
              <w:spacing w:before="100"/>
            </w:pPr>
            <w:r>
              <w:t>117.1 cents</w:t>
            </w:r>
          </w:p>
        </w:tc>
      </w:tr>
      <w:tr>
        <w:tc>
          <w:tcPr>
            <w:tcW w:w="960" w:type="dxa"/>
          </w:tcPr>
          <w:p>
            <w:pPr>
              <w:pStyle w:val="yTableNAm"/>
              <w:spacing w:before="100"/>
            </w:pPr>
          </w:p>
        </w:tc>
        <w:tc>
          <w:tcPr>
            <w:tcW w:w="4800" w:type="dxa"/>
          </w:tcPr>
          <w:p>
            <w:pPr>
              <w:pStyle w:val="yTableNAm"/>
              <w:tabs>
                <w:tab w:val="clear" w:pos="567"/>
                <w:tab w:val="left" w:pos="1256"/>
                <w:tab w:val="left" w:leader="dot" w:pos="4572"/>
              </w:tabs>
              <w:spacing w:before="100"/>
              <w:ind w:left="1259" w:hanging="1259"/>
            </w:pPr>
            <w:r>
              <w:tab/>
              <w:t xml:space="preserve">over </w:t>
            </w:r>
            <w:r>
              <w:rPr>
                <w:spacing w:val="-1"/>
              </w:rPr>
              <w:t>750</w:t>
            </w:r>
            <w:r>
              <w:t xml:space="preserve"> kL </w:t>
            </w:r>
            <w:r>
              <w:tab/>
            </w:r>
          </w:p>
        </w:tc>
        <w:tc>
          <w:tcPr>
            <w:tcW w:w="1440" w:type="dxa"/>
          </w:tcPr>
          <w:p>
            <w:pPr>
              <w:pStyle w:val="yTableNAm"/>
              <w:spacing w:before="100"/>
            </w:pPr>
            <w:r>
              <w:t>122.0 cents</w:t>
            </w:r>
          </w:p>
        </w:tc>
      </w:tr>
    </w:tbl>
    <w:p>
      <w:pPr>
        <w:pStyle w:val="yHeading5"/>
        <w:keepNext w:val="0"/>
        <w:keepLines w:val="0"/>
        <w:tabs>
          <w:tab w:val="clear" w:pos="879"/>
        </w:tabs>
        <w:spacing w:before="240"/>
        <w:ind w:left="964" w:hanging="964"/>
        <w:rPr>
          <w:b w:val="0"/>
          <w:bCs/>
        </w:rPr>
      </w:pPr>
      <w:bookmarkStart w:id="617" w:name="_Toc237309594"/>
      <w:r>
        <w:rPr>
          <w:rStyle w:val="CharSClsNo"/>
        </w:rPr>
        <w:t>25</w:t>
      </w:r>
      <w:r>
        <w:t>.</w:t>
      </w:r>
      <w:r>
        <w:tab/>
        <w:t>Connected metropolitan exempt</w:t>
      </w:r>
      <w:bookmarkEnd w:id="617"/>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spacing w:before="160"/>
            </w:pPr>
          </w:p>
        </w:tc>
        <w:tc>
          <w:tcPr>
            <w:tcW w:w="4800" w:type="dxa"/>
          </w:tcPr>
          <w:p>
            <w:pPr>
              <w:pStyle w:val="yTableNAm"/>
              <w:spacing w:before="160"/>
            </w:pPr>
            <w:r>
              <w:t>For each kilolitre of water, not being water for which a charge is otherwise provided in item 29 or 31, supplied to land described in by</w:t>
            </w:r>
            <w:r>
              <w:noBreakHyphen/>
              <w:t>law 4 that is in the metropolitan area and that is not classified as residential —</w:t>
            </w:r>
          </w:p>
        </w:tc>
        <w:tc>
          <w:tcPr>
            <w:tcW w:w="1440" w:type="dxa"/>
          </w:tcPr>
          <w:p>
            <w:pPr>
              <w:pStyle w:val="yTableNAm"/>
              <w:spacing w:before="160"/>
            </w:pPr>
          </w:p>
        </w:tc>
      </w:tr>
      <w:tr>
        <w:tc>
          <w:tcPr>
            <w:tcW w:w="960" w:type="dxa"/>
          </w:tcPr>
          <w:p>
            <w:pPr>
              <w:pStyle w:val="yTableNAm"/>
              <w:spacing w:before="100"/>
            </w:pPr>
          </w:p>
        </w:tc>
        <w:tc>
          <w:tcPr>
            <w:tcW w:w="4800" w:type="dxa"/>
          </w:tcPr>
          <w:p>
            <w:pPr>
              <w:pStyle w:val="yTableNAm"/>
              <w:tabs>
                <w:tab w:val="left" w:leader="dot" w:pos="4572"/>
              </w:tabs>
              <w:spacing w:before="100"/>
              <w:ind w:right="12"/>
            </w:pPr>
            <w:r>
              <w:t xml:space="preserve">up to </w:t>
            </w:r>
            <w:r>
              <w:rPr>
                <w:snapToGrid w:val="0"/>
              </w:rPr>
              <w:t>600</w:t>
            </w:r>
            <w:r>
              <w:t xml:space="preserve"> kL </w:t>
            </w:r>
            <w:r>
              <w:tab/>
            </w:r>
          </w:p>
        </w:tc>
        <w:tc>
          <w:tcPr>
            <w:tcW w:w="1440" w:type="dxa"/>
          </w:tcPr>
          <w:p>
            <w:pPr>
              <w:pStyle w:val="yTableNAm"/>
              <w:spacing w:before="100"/>
            </w:pPr>
            <w:r>
              <w:t>117.1 cents</w:t>
            </w:r>
          </w:p>
        </w:tc>
      </w:tr>
      <w:tr>
        <w:tc>
          <w:tcPr>
            <w:tcW w:w="960" w:type="dxa"/>
          </w:tcPr>
          <w:p>
            <w:pPr>
              <w:pStyle w:val="yTableNAm"/>
              <w:spacing w:before="100"/>
            </w:pPr>
          </w:p>
        </w:tc>
        <w:tc>
          <w:tcPr>
            <w:tcW w:w="4800" w:type="dxa"/>
          </w:tcPr>
          <w:p>
            <w:pPr>
              <w:pStyle w:val="yTableNAm"/>
              <w:tabs>
                <w:tab w:val="left" w:leader="dot" w:pos="4572"/>
              </w:tabs>
              <w:spacing w:before="100"/>
              <w:ind w:right="12"/>
            </w:pPr>
            <w:r>
              <w:t xml:space="preserve">over </w:t>
            </w:r>
            <w:r>
              <w:rPr>
                <w:snapToGrid w:val="0"/>
              </w:rPr>
              <w:t>600</w:t>
            </w:r>
            <w:r>
              <w:t xml:space="preserve"> kL but not over 1 100 000 kL </w:t>
            </w:r>
            <w:r>
              <w:tab/>
            </w:r>
          </w:p>
        </w:tc>
        <w:tc>
          <w:tcPr>
            <w:tcW w:w="1440" w:type="dxa"/>
          </w:tcPr>
          <w:p>
            <w:pPr>
              <w:pStyle w:val="yTableNAm"/>
              <w:spacing w:before="100"/>
            </w:pPr>
            <w:r>
              <w:t>122.0 cents</w:t>
            </w:r>
          </w:p>
        </w:tc>
      </w:tr>
      <w:tr>
        <w:tc>
          <w:tcPr>
            <w:tcW w:w="960" w:type="dxa"/>
          </w:tcPr>
          <w:p>
            <w:pPr>
              <w:pStyle w:val="yTableNAm"/>
              <w:spacing w:before="100"/>
            </w:pPr>
          </w:p>
        </w:tc>
        <w:tc>
          <w:tcPr>
            <w:tcW w:w="4800" w:type="dxa"/>
          </w:tcPr>
          <w:p>
            <w:pPr>
              <w:pStyle w:val="yTableNAm"/>
              <w:tabs>
                <w:tab w:val="left" w:leader="dot" w:pos="4572"/>
              </w:tabs>
              <w:spacing w:before="100"/>
              <w:ind w:right="12"/>
            </w:pPr>
            <w:r>
              <w:t xml:space="preserve">over 1 100 000 kL </w:t>
            </w:r>
            <w:r>
              <w:tab/>
            </w:r>
          </w:p>
        </w:tc>
        <w:tc>
          <w:tcPr>
            <w:tcW w:w="1440" w:type="dxa"/>
          </w:tcPr>
          <w:p>
            <w:pPr>
              <w:pStyle w:val="yTableNAm"/>
              <w:spacing w:before="100"/>
            </w:pPr>
            <w:r>
              <w:t>120.8 cents</w:t>
            </w:r>
          </w:p>
        </w:tc>
      </w:tr>
    </w:tbl>
    <w:p>
      <w:pPr>
        <w:pStyle w:val="yHeading5"/>
        <w:keepNext w:val="0"/>
        <w:keepLines w:val="0"/>
        <w:tabs>
          <w:tab w:val="clear" w:pos="879"/>
        </w:tabs>
        <w:spacing w:before="240"/>
        <w:ind w:left="964" w:hanging="964"/>
      </w:pPr>
      <w:bookmarkStart w:id="618" w:name="_Toc237309595"/>
      <w:r>
        <w:rPr>
          <w:rStyle w:val="CharSClsNo"/>
        </w:rPr>
        <w:t>26</w:t>
      </w:r>
      <w:r>
        <w:t>.</w:t>
      </w:r>
      <w:r>
        <w:tab/>
        <w:t>Connected non</w:t>
      </w:r>
      <w:r>
        <w:noBreakHyphen/>
        <w:t>metropolitan residential exempt</w:t>
      </w:r>
      <w:bookmarkEnd w:id="618"/>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spacing w:before="160"/>
            </w:pPr>
          </w:p>
        </w:tc>
        <w:tc>
          <w:tcPr>
            <w:tcW w:w="4800" w:type="dxa"/>
          </w:tcPr>
          <w:p>
            <w:pPr>
              <w:pStyle w:val="yTableNAm"/>
              <w:spacing w:before="160"/>
            </w:pPr>
            <w:r>
              <w:t>For each kilolitre of water, not being water for which a charge is otherwise specifically provided in this Division, supplied to land described in by</w:t>
            </w:r>
            <w:r>
              <w:noBreakHyphen/>
              <w:t>law 4 that is comprised in a residential property and is not in the metropolitan area —</w:t>
            </w:r>
          </w:p>
        </w:tc>
        <w:tc>
          <w:tcPr>
            <w:tcW w:w="1440" w:type="dxa"/>
          </w:tcPr>
          <w:p>
            <w:pPr>
              <w:pStyle w:val="yTableNAm"/>
              <w:spacing w:before="160"/>
            </w:pPr>
          </w:p>
        </w:tc>
      </w:tr>
      <w:tr>
        <w:tc>
          <w:tcPr>
            <w:tcW w:w="960" w:type="dxa"/>
          </w:tcPr>
          <w:p>
            <w:pPr>
              <w:pStyle w:val="yTableNAm"/>
              <w:spacing w:before="100"/>
            </w:pPr>
          </w:p>
        </w:tc>
        <w:tc>
          <w:tcPr>
            <w:tcW w:w="4800" w:type="dxa"/>
          </w:tcPr>
          <w:p>
            <w:pPr>
              <w:pStyle w:val="yTableNAm"/>
              <w:tabs>
                <w:tab w:val="left" w:leader="dot" w:pos="4572"/>
              </w:tabs>
              <w:spacing w:before="100"/>
              <w:ind w:right="12"/>
            </w:pPr>
            <w:r>
              <w:t xml:space="preserve">up to 300 kL </w:t>
            </w:r>
            <w:r>
              <w:tab/>
            </w:r>
          </w:p>
        </w:tc>
        <w:tc>
          <w:tcPr>
            <w:tcW w:w="1440" w:type="dxa"/>
          </w:tcPr>
          <w:p>
            <w:pPr>
              <w:pStyle w:val="yTableNAm"/>
              <w:spacing w:before="100"/>
            </w:pPr>
            <w:r>
              <w:t>119.7 cents</w:t>
            </w:r>
          </w:p>
        </w:tc>
      </w:tr>
      <w:tr>
        <w:tc>
          <w:tcPr>
            <w:tcW w:w="960" w:type="dxa"/>
          </w:tcPr>
          <w:p>
            <w:pPr>
              <w:pStyle w:val="yTableNAm"/>
              <w:spacing w:before="100"/>
            </w:pPr>
          </w:p>
        </w:tc>
        <w:tc>
          <w:tcPr>
            <w:tcW w:w="4800" w:type="dxa"/>
          </w:tcPr>
          <w:p>
            <w:pPr>
              <w:pStyle w:val="yTableNAm"/>
              <w:tabs>
                <w:tab w:val="left" w:leader="dot" w:pos="4572"/>
              </w:tabs>
              <w:spacing w:before="100"/>
              <w:ind w:right="12"/>
            </w:pPr>
            <w:r>
              <w:t xml:space="preserve">over 300 kL </w:t>
            </w:r>
            <w:r>
              <w:tab/>
            </w:r>
          </w:p>
        </w:tc>
        <w:tc>
          <w:tcPr>
            <w:tcW w:w="1440" w:type="dxa"/>
          </w:tcPr>
          <w:p>
            <w:pPr>
              <w:pStyle w:val="yTableNAm"/>
              <w:spacing w:before="100"/>
            </w:pPr>
            <w:r>
              <w:t>176.8 cents</w:t>
            </w:r>
          </w:p>
        </w:tc>
      </w:tr>
    </w:tbl>
    <w:p>
      <w:pPr>
        <w:pStyle w:val="yHeading5"/>
        <w:keepNext w:val="0"/>
        <w:keepLines w:val="0"/>
        <w:tabs>
          <w:tab w:val="clear" w:pos="879"/>
        </w:tabs>
        <w:spacing w:before="240"/>
        <w:ind w:left="964" w:hanging="964"/>
        <w:rPr>
          <w:b w:val="0"/>
          <w:bCs/>
        </w:rPr>
      </w:pPr>
      <w:bookmarkStart w:id="619" w:name="_Toc237309596"/>
      <w:r>
        <w:rPr>
          <w:rStyle w:val="CharSClsNo"/>
        </w:rPr>
        <w:t>27</w:t>
      </w:r>
      <w:r>
        <w:t>.</w:t>
      </w:r>
      <w:r>
        <w:tab/>
        <w:t>Non</w:t>
      </w:r>
      <w:r>
        <w:noBreakHyphen/>
        <w:t>metropolitan non</w:t>
      </w:r>
      <w:r>
        <w:noBreakHyphen/>
        <w:t>residential</w:t>
      </w:r>
      <w:bookmarkEnd w:id="619"/>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spacing w:before="160"/>
            </w:pPr>
          </w:p>
        </w:tc>
        <w:tc>
          <w:tcPr>
            <w:tcW w:w="4800" w:type="dxa"/>
          </w:tcPr>
          <w:p>
            <w:pPr>
              <w:pStyle w:val="yTableNAm"/>
              <w:spacing w:before="160"/>
            </w:pPr>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440" w:type="dxa"/>
          </w:tcPr>
          <w:p>
            <w:pPr>
              <w:pStyle w:val="yTableNAm"/>
              <w:spacing w:before="160"/>
            </w:pPr>
          </w:p>
        </w:tc>
      </w:tr>
      <w:tr>
        <w:tc>
          <w:tcPr>
            <w:tcW w:w="960" w:type="dxa"/>
          </w:tcPr>
          <w:p>
            <w:pPr>
              <w:pStyle w:val="yTableNAm"/>
            </w:pPr>
          </w:p>
        </w:tc>
        <w:tc>
          <w:tcPr>
            <w:tcW w:w="4800" w:type="dxa"/>
          </w:tcPr>
          <w:p>
            <w:pPr>
              <w:pStyle w:val="yTableNAm"/>
              <w:tabs>
                <w:tab w:val="clear" w:pos="567"/>
                <w:tab w:val="left" w:pos="416"/>
                <w:tab w:val="left" w:pos="1016"/>
              </w:tabs>
              <w:ind w:left="1016" w:hanging="1016"/>
            </w:pPr>
            <w:r>
              <w:rPr>
                <w:snapToGrid w:val="0"/>
              </w:rPr>
              <w:tab/>
              <w:t>(a)</w:t>
            </w:r>
            <w:r>
              <w:rPr>
                <w:snapToGrid w:val="0"/>
              </w:rPr>
              <w:tab/>
              <w:t>government —</w:t>
            </w:r>
          </w:p>
        </w:tc>
        <w:tc>
          <w:tcPr>
            <w:tcW w:w="1440" w:type="dxa"/>
          </w:tcPr>
          <w:p>
            <w:pPr>
              <w:pStyle w:val="yTableNAm"/>
            </w:pP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up to 300 </w:t>
            </w:r>
            <w:r>
              <w:rPr>
                <w:spacing w:val="-1"/>
              </w:rPr>
              <w:t>kL</w:t>
            </w:r>
            <w:r>
              <w:t xml:space="preserve"> </w:t>
            </w:r>
            <w:r>
              <w:tab/>
            </w:r>
          </w:p>
        </w:tc>
        <w:tc>
          <w:tcPr>
            <w:tcW w:w="1440" w:type="dxa"/>
          </w:tcPr>
          <w:p>
            <w:pPr>
              <w:pStyle w:val="yTableNAm"/>
              <w:spacing w:before="60"/>
            </w:pPr>
            <w:r>
              <w:t>119.7 cents</w:t>
            </w: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over 300 </w:t>
            </w:r>
            <w:r>
              <w:rPr>
                <w:spacing w:val="-1"/>
              </w:rPr>
              <w:t>kL</w:t>
            </w:r>
            <w:r>
              <w:t xml:space="preserve"> </w:t>
            </w:r>
            <w:r>
              <w:tab/>
            </w:r>
          </w:p>
        </w:tc>
        <w:tc>
          <w:tcPr>
            <w:tcW w:w="1440" w:type="dxa"/>
          </w:tcPr>
          <w:p>
            <w:pPr>
              <w:pStyle w:val="yTableNAm"/>
              <w:spacing w:before="60"/>
            </w:pPr>
            <w:r>
              <w:t>176.8 cents</w:t>
            </w:r>
          </w:p>
        </w:tc>
      </w:tr>
      <w:tr>
        <w:tc>
          <w:tcPr>
            <w:tcW w:w="960" w:type="dxa"/>
          </w:tcPr>
          <w:p>
            <w:pPr>
              <w:pStyle w:val="yTableNAm"/>
            </w:pPr>
          </w:p>
        </w:tc>
        <w:tc>
          <w:tcPr>
            <w:tcW w:w="4800" w:type="dxa"/>
          </w:tcPr>
          <w:p>
            <w:pPr>
              <w:pStyle w:val="yTableNAm"/>
              <w:tabs>
                <w:tab w:val="clear" w:pos="567"/>
                <w:tab w:val="left" w:pos="416"/>
                <w:tab w:val="left" w:pos="1016"/>
              </w:tabs>
              <w:ind w:left="1016" w:hanging="1016"/>
            </w:pPr>
            <w:r>
              <w:rPr>
                <w:snapToGrid w:val="0"/>
              </w:rPr>
              <w:tab/>
              <w:t>(b)</w:t>
            </w:r>
            <w:r>
              <w:rPr>
                <w:snapToGrid w:val="0"/>
              </w:rPr>
              <w:tab/>
              <w:t>non</w:t>
            </w:r>
            <w:r>
              <w:rPr>
                <w:snapToGrid w:val="0"/>
              </w:rPr>
              <w:noBreakHyphen/>
              <w:t>residential or vacant land (according to the non</w:t>
            </w:r>
            <w:r>
              <w:rPr>
                <w:snapToGrid w:val="0"/>
              </w:rPr>
              <w:noBreakHyphen/>
              <w:t>residential classification of the town/area in which that property is situated, as set out in Schedule 10) —</w:t>
            </w:r>
          </w:p>
        </w:tc>
        <w:tc>
          <w:tcPr>
            <w:tcW w:w="1440" w:type="dxa"/>
          </w:tcPr>
          <w:p>
            <w:pPr>
              <w:pStyle w:val="yTableNAm"/>
            </w:pPr>
          </w:p>
        </w:tc>
      </w:tr>
    </w:tbl>
    <w:p>
      <w:pPr>
        <w:pStyle w:val="ySubsection"/>
        <w:spacing w:before="0"/>
      </w:pPr>
    </w:p>
    <w:tbl>
      <w:tblPr>
        <w:tblW w:w="6378" w:type="dxa"/>
        <w:tblInd w:w="454" w:type="dxa"/>
        <w:tblLayout w:type="fixed"/>
        <w:tblCellMar>
          <w:left w:w="28" w:type="dxa"/>
          <w:right w:w="28" w:type="dxa"/>
        </w:tblCellMar>
        <w:tblLook w:val="0000" w:firstRow="0" w:lastRow="0" w:firstColumn="0" w:lastColumn="0" w:noHBand="0" w:noVBand="0"/>
      </w:tblPr>
      <w:tblGrid>
        <w:gridCol w:w="1854"/>
        <w:gridCol w:w="2262"/>
        <w:gridCol w:w="2262"/>
      </w:tblGrid>
      <w:tr>
        <w:trPr>
          <w:cantSplit/>
          <w:trHeight w:val="217"/>
          <w:tblHeader/>
        </w:trPr>
        <w:tc>
          <w:tcPr>
            <w:tcW w:w="1854" w:type="dxa"/>
            <w:vMerge w:val="restart"/>
            <w:tcBorders>
              <w:top w:val="single" w:sz="4" w:space="0" w:color="auto"/>
            </w:tcBorders>
          </w:tcPr>
          <w:p>
            <w:pPr>
              <w:pStyle w:val="yTableNAm"/>
              <w:spacing w:before="60"/>
              <w:rPr>
                <w:b/>
                <w:bCs/>
              </w:rPr>
            </w:pPr>
            <w:r>
              <w:rPr>
                <w:b/>
                <w:bCs/>
              </w:rPr>
              <w:t>Class</w:t>
            </w:r>
          </w:p>
        </w:tc>
        <w:tc>
          <w:tcPr>
            <w:tcW w:w="4524" w:type="dxa"/>
            <w:gridSpan w:val="2"/>
            <w:tcBorders>
              <w:top w:val="single" w:sz="4" w:space="0" w:color="auto"/>
            </w:tcBorders>
          </w:tcPr>
          <w:p>
            <w:pPr>
              <w:pStyle w:val="yTableNAm"/>
              <w:spacing w:before="60"/>
              <w:jc w:val="center"/>
              <w:rPr>
                <w:b/>
                <w:bCs/>
              </w:rPr>
            </w:pPr>
            <w:r>
              <w:rPr>
                <w:b/>
                <w:bCs/>
              </w:rPr>
              <w:t>Consumption (kL)</w:t>
            </w:r>
          </w:p>
        </w:tc>
      </w:tr>
      <w:tr>
        <w:trPr>
          <w:cantSplit/>
          <w:trHeight w:val="217"/>
          <w:tblHeader/>
        </w:trPr>
        <w:tc>
          <w:tcPr>
            <w:tcW w:w="1854" w:type="dxa"/>
            <w:vMerge/>
            <w:tcBorders>
              <w:bottom w:val="single" w:sz="4" w:space="0" w:color="auto"/>
            </w:tcBorders>
          </w:tcPr>
          <w:p>
            <w:pPr>
              <w:pStyle w:val="yTableNAm"/>
              <w:spacing w:before="60"/>
            </w:pPr>
          </w:p>
        </w:tc>
        <w:tc>
          <w:tcPr>
            <w:tcW w:w="2262" w:type="dxa"/>
            <w:tcBorders>
              <w:bottom w:val="single" w:sz="4" w:space="0" w:color="auto"/>
            </w:tcBorders>
          </w:tcPr>
          <w:p>
            <w:pPr>
              <w:pStyle w:val="yTableNAm"/>
              <w:spacing w:before="60"/>
              <w:jc w:val="center"/>
              <w:rPr>
                <w:b/>
                <w:bCs/>
              </w:rPr>
            </w:pPr>
            <w:r>
              <w:rPr>
                <w:b/>
                <w:bCs/>
              </w:rPr>
              <w:t>Up to 300</w:t>
            </w:r>
          </w:p>
        </w:tc>
        <w:tc>
          <w:tcPr>
            <w:tcW w:w="2262" w:type="dxa"/>
            <w:tcBorders>
              <w:bottom w:val="single" w:sz="4" w:space="0" w:color="auto"/>
            </w:tcBorders>
          </w:tcPr>
          <w:p>
            <w:pPr>
              <w:pStyle w:val="yTableNAm"/>
              <w:spacing w:before="60"/>
              <w:jc w:val="center"/>
              <w:rPr>
                <w:b/>
                <w:bCs/>
              </w:rPr>
            </w:pPr>
            <w:r>
              <w:rPr>
                <w:b/>
                <w:bCs/>
              </w:rPr>
              <w:t>Over 300</w:t>
            </w:r>
          </w:p>
        </w:tc>
      </w:tr>
      <w:tr>
        <w:tc>
          <w:tcPr>
            <w:tcW w:w="1854" w:type="dxa"/>
            <w:tcBorders>
              <w:top w:val="single" w:sz="4" w:space="0" w:color="auto"/>
            </w:tcBorders>
          </w:tcPr>
          <w:p>
            <w:pPr>
              <w:pStyle w:val="yTableNAm"/>
              <w:spacing w:before="60"/>
            </w:pPr>
            <w:r>
              <w:t>Class 1 (c/kL)</w:t>
            </w:r>
          </w:p>
        </w:tc>
        <w:tc>
          <w:tcPr>
            <w:tcW w:w="2262" w:type="dxa"/>
            <w:tcBorders>
              <w:top w:val="single" w:sz="4" w:space="0" w:color="auto"/>
            </w:tcBorders>
          </w:tcPr>
          <w:p>
            <w:pPr>
              <w:pStyle w:val="yTableNAm"/>
              <w:spacing w:before="60"/>
              <w:jc w:val="center"/>
            </w:pPr>
            <w:r>
              <w:t>119.7</w:t>
            </w:r>
          </w:p>
        </w:tc>
        <w:tc>
          <w:tcPr>
            <w:tcW w:w="2262" w:type="dxa"/>
            <w:tcBorders>
              <w:top w:val="single" w:sz="4" w:space="0" w:color="auto"/>
            </w:tcBorders>
          </w:tcPr>
          <w:p>
            <w:pPr>
              <w:pStyle w:val="yTableNAm"/>
              <w:spacing w:before="60"/>
              <w:jc w:val="center"/>
            </w:pPr>
            <w:r>
              <w:t>176.8</w:t>
            </w:r>
          </w:p>
        </w:tc>
      </w:tr>
      <w:tr>
        <w:tc>
          <w:tcPr>
            <w:tcW w:w="1854" w:type="dxa"/>
          </w:tcPr>
          <w:p>
            <w:pPr>
              <w:pStyle w:val="yTableNAm"/>
              <w:spacing w:before="60"/>
            </w:pPr>
            <w:r>
              <w:t>Class 2 (c/kL)</w:t>
            </w:r>
          </w:p>
        </w:tc>
        <w:tc>
          <w:tcPr>
            <w:tcW w:w="2262" w:type="dxa"/>
          </w:tcPr>
          <w:p>
            <w:pPr>
              <w:pStyle w:val="yTableNAm"/>
              <w:spacing w:before="60"/>
              <w:jc w:val="center"/>
            </w:pPr>
            <w:r>
              <w:t>133.9</w:t>
            </w:r>
          </w:p>
        </w:tc>
        <w:tc>
          <w:tcPr>
            <w:tcW w:w="2262" w:type="dxa"/>
          </w:tcPr>
          <w:p>
            <w:pPr>
              <w:pStyle w:val="yTableNAm"/>
              <w:spacing w:before="60"/>
              <w:jc w:val="center"/>
            </w:pPr>
            <w:r>
              <w:t>192.6</w:t>
            </w:r>
          </w:p>
        </w:tc>
      </w:tr>
      <w:tr>
        <w:tc>
          <w:tcPr>
            <w:tcW w:w="1854" w:type="dxa"/>
          </w:tcPr>
          <w:p>
            <w:pPr>
              <w:pStyle w:val="yTableNAm"/>
              <w:spacing w:before="60"/>
            </w:pPr>
            <w:r>
              <w:t>Class 3 (c/kL)</w:t>
            </w:r>
          </w:p>
        </w:tc>
        <w:tc>
          <w:tcPr>
            <w:tcW w:w="2262" w:type="dxa"/>
          </w:tcPr>
          <w:p>
            <w:pPr>
              <w:pStyle w:val="yTableNAm"/>
              <w:spacing w:before="60"/>
              <w:jc w:val="center"/>
            </w:pPr>
            <w:r>
              <w:t>149.6</w:t>
            </w:r>
          </w:p>
        </w:tc>
        <w:tc>
          <w:tcPr>
            <w:tcW w:w="2262" w:type="dxa"/>
          </w:tcPr>
          <w:p>
            <w:pPr>
              <w:pStyle w:val="yTableNAm"/>
              <w:spacing w:before="60"/>
              <w:jc w:val="center"/>
            </w:pPr>
            <w:r>
              <w:t>209.5</w:t>
            </w:r>
          </w:p>
        </w:tc>
      </w:tr>
      <w:tr>
        <w:tc>
          <w:tcPr>
            <w:tcW w:w="1854" w:type="dxa"/>
          </w:tcPr>
          <w:p>
            <w:pPr>
              <w:pStyle w:val="yTableNAm"/>
              <w:spacing w:before="60"/>
            </w:pPr>
            <w:r>
              <w:t>Class 4 (c/kL)</w:t>
            </w:r>
          </w:p>
        </w:tc>
        <w:tc>
          <w:tcPr>
            <w:tcW w:w="2262" w:type="dxa"/>
          </w:tcPr>
          <w:p>
            <w:pPr>
              <w:pStyle w:val="yTableNAm"/>
              <w:spacing w:before="60"/>
              <w:jc w:val="center"/>
            </w:pPr>
            <w:r>
              <w:t>167.2</w:t>
            </w:r>
          </w:p>
        </w:tc>
        <w:tc>
          <w:tcPr>
            <w:tcW w:w="2262" w:type="dxa"/>
          </w:tcPr>
          <w:p>
            <w:pPr>
              <w:pStyle w:val="yTableNAm"/>
              <w:spacing w:before="60"/>
              <w:jc w:val="center"/>
            </w:pPr>
            <w:r>
              <w:t>228.2</w:t>
            </w:r>
          </w:p>
        </w:tc>
      </w:tr>
      <w:tr>
        <w:tc>
          <w:tcPr>
            <w:tcW w:w="1854" w:type="dxa"/>
          </w:tcPr>
          <w:p>
            <w:pPr>
              <w:pStyle w:val="yTableNAm"/>
              <w:spacing w:before="60"/>
            </w:pPr>
            <w:r>
              <w:t>Class 5 (c/kL)</w:t>
            </w:r>
          </w:p>
        </w:tc>
        <w:tc>
          <w:tcPr>
            <w:tcW w:w="2262" w:type="dxa"/>
          </w:tcPr>
          <w:p>
            <w:pPr>
              <w:pStyle w:val="yTableNAm"/>
              <w:spacing w:before="60"/>
              <w:jc w:val="center"/>
            </w:pPr>
            <w:r>
              <w:t>187.0</w:t>
            </w:r>
          </w:p>
        </w:tc>
        <w:tc>
          <w:tcPr>
            <w:tcW w:w="2262" w:type="dxa"/>
          </w:tcPr>
          <w:p>
            <w:pPr>
              <w:pStyle w:val="yTableNAm"/>
              <w:spacing w:before="60"/>
              <w:jc w:val="center"/>
            </w:pPr>
            <w:r>
              <w:t>248.5</w:t>
            </w:r>
          </w:p>
        </w:tc>
      </w:tr>
      <w:tr>
        <w:tc>
          <w:tcPr>
            <w:tcW w:w="1854" w:type="dxa"/>
          </w:tcPr>
          <w:p>
            <w:pPr>
              <w:pStyle w:val="yTableNAm"/>
              <w:spacing w:before="60"/>
            </w:pPr>
            <w:r>
              <w:t>Class 6 (c/kL)</w:t>
            </w:r>
          </w:p>
        </w:tc>
        <w:tc>
          <w:tcPr>
            <w:tcW w:w="2262" w:type="dxa"/>
          </w:tcPr>
          <w:p>
            <w:pPr>
              <w:pStyle w:val="yTableNAm"/>
              <w:spacing w:before="60"/>
              <w:jc w:val="center"/>
            </w:pPr>
            <w:r>
              <w:t>203.1</w:t>
            </w:r>
          </w:p>
        </w:tc>
        <w:tc>
          <w:tcPr>
            <w:tcW w:w="2262" w:type="dxa"/>
          </w:tcPr>
          <w:p>
            <w:pPr>
              <w:pStyle w:val="yTableNAm"/>
              <w:spacing w:before="60"/>
              <w:jc w:val="center"/>
            </w:pPr>
            <w:r>
              <w:t>270.6</w:t>
            </w:r>
          </w:p>
        </w:tc>
      </w:tr>
      <w:tr>
        <w:tc>
          <w:tcPr>
            <w:tcW w:w="1854" w:type="dxa"/>
          </w:tcPr>
          <w:p>
            <w:pPr>
              <w:pStyle w:val="yTableNAm"/>
              <w:spacing w:before="60"/>
            </w:pPr>
            <w:r>
              <w:t>Class 7 (c/kL)</w:t>
            </w:r>
          </w:p>
        </w:tc>
        <w:tc>
          <w:tcPr>
            <w:tcW w:w="2262" w:type="dxa"/>
          </w:tcPr>
          <w:p>
            <w:pPr>
              <w:pStyle w:val="yTableNAm"/>
              <w:spacing w:before="60"/>
              <w:jc w:val="center"/>
            </w:pPr>
            <w:r>
              <w:t>220.6</w:t>
            </w:r>
          </w:p>
        </w:tc>
        <w:tc>
          <w:tcPr>
            <w:tcW w:w="2262" w:type="dxa"/>
          </w:tcPr>
          <w:p>
            <w:pPr>
              <w:pStyle w:val="yTableNAm"/>
              <w:spacing w:before="60"/>
              <w:jc w:val="center"/>
            </w:pPr>
            <w:r>
              <w:t>294.7</w:t>
            </w:r>
          </w:p>
        </w:tc>
      </w:tr>
      <w:tr>
        <w:tc>
          <w:tcPr>
            <w:tcW w:w="1854" w:type="dxa"/>
          </w:tcPr>
          <w:p>
            <w:pPr>
              <w:pStyle w:val="yTableNAm"/>
              <w:spacing w:before="60"/>
            </w:pPr>
            <w:r>
              <w:t>Class 8 (c/kL)</w:t>
            </w:r>
          </w:p>
        </w:tc>
        <w:tc>
          <w:tcPr>
            <w:tcW w:w="2262" w:type="dxa"/>
          </w:tcPr>
          <w:p>
            <w:pPr>
              <w:pStyle w:val="yTableNAm"/>
              <w:spacing w:before="60"/>
              <w:jc w:val="center"/>
            </w:pPr>
            <w:r>
              <w:t>237.4</w:t>
            </w:r>
          </w:p>
        </w:tc>
        <w:tc>
          <w:tcPr>
            <w:tcW w:w="2262" w:type="dxa"/>
          </w:tcPr>
          <w:p>
            <w:pPr>
              <w:pStyle w:val="yTableNAm"/>
              <w:spacing w:before="60"/>
              <w:jc w:val="center"/>
            </w:pPr>
            <w:r>
              <w:t>320.9</w:t>
            </w:r>
          </w:p>
        </w:tc>
      </w:tr>
      <w:tr>
        <w:tc>
          <w:tcPr>
            <w:tcW w:w="1854" w:type="dxa"/>
          </w:tcPr>
          <w:p>
            <w:pPr>
              <w:pStyle w:val="yTableNAm"/>
              <w:spacing w:before="60"/>
            </w:pPr>
            <w:r>
              <w:t>Class 9 (c/kL)</w:t>
            </w:r>
          </w:p>
        </w:tc>
        <w:tc>
          <w:tcPr>
            <w:tcW w:w="2262" w:type="dxa"/>
          </w:tcPr>
          <w:p>
            <w:pPr>
              <w:pStyle w:val="yTableNAm"/>
              <w:spacing w:before="60"/>
              <w:jc w:val="center"/>
            </w:pPr>
            <w:r>
              <w:t>255.5</w:t>
            </w:r>
          </w:p>
        </w:tc>
        <w:tc>
          <w:tcPr>
            <w:tcW w:w="2262" w:type="dxa"/>
          </w:tcPr>
          <w:p>
            <w:pPr>
              <w:pStyle w:val="yTableNAm"/>
              <w:spacing w:before="60"/>
              <w:jc w:val="center"/>
            </w:pPr>
            <w:r>
              <w:t>349.4</w:t>
            </w:r>
          </w:p>
        </w:tc>
      </w:tr>
      <w:tr>
        <w:tc>
          <w:tcPr>
            <w:tcW w:w="1854" w:type="dxa"/>
          </w:tcPr>
          <w:p>
            <w:pPr>
              <w:pStyle w:val="yTableNAm"/>
              <w:spacing w:before="60"/>
            </w:pPr>
            <w:r>
              <w:t>Class 10 (c/kL)</w:t>
            </w:r>
          </w:p>
        </w:tc>
        <w:tc>
          <w:tcPr>
            <w:tcW w:w="2262" w:type="dxa"/>
          </w:tcPr>
          <w:p>
            <w:pPr>
              <w:pStyle w:val="yTableNAm"/>
              <w:spacing w:before="60"/>
              <w:jc w:val="center"/>
            </w:pPr>
            <w:r>
              <w:t>265.9</w:t>
            </w:r>
          </w:p>
        </w:tc>
        <w:tc>
          <w:tcPr>
            <w:tcW w:w="2262" w:type="dxa"/>
          </w:tcPr>
          <w:p>
            <w:pPr>
              <w:pStyle w:val="yTableNAm"/>
              <w:spacing w:before="60"/>
              <w:jc w:val="center"/>
            </w:pPr>
            <w:r>
              <w:t>380.5</w:t>
            </w:r>
          </w:p>
        </w:tc>
      </w:tr>
      <w:tr>
        <w:tc>
          <w:tcPr>
            <w:tcW w:w="1854" w:type="dxa"/>
          </w:tcPr>
          <w:p>
            <w:pPr>
              <w:pStyle w:val="yTableNAm"/>
              <w:spacing w:before="60"/>
            </w:pPr>
            <w:r>
              <w:t>Class 11 (c/kL)</w:t>
            </w:r>
          </w:p>
        </w:tc>
        <w:tc>
          <w:tcPr>
            <w:tcW w:w="2262" w:type="dxa"/>
          </w:tcPr>
          <w:p>
            <w:pPr>
              <w:pStyle w:val="yTableNAm"/>
              <w:spacing w:before="60"/>
              <w:jc w:val="center"/>
            </w:pPr>
            <w:r>
              <w:t>291.9</w:t>
            </w:r>
          </w:p>
        </w:tc>
        <w:tc>
          <w:tcPr>
            <w:tcW w:w="2262" w:type="dxa"/>
          </w:tcPr>
          <w:p>
            <w:pPr>
              <w:pStyle w:val="yTableNAm"/>
              <w:spacing w:before="60"/>
              <w:jc w:val="center"/>
            </w:pPr>
            <w:r>
              <w:t>414.3</w:t>
            </w:r>
          </w:p>
        </w:tc>
      </w:tr>
      <w:tr>
        <w:tc>
          <w:tcPr>
            <w:tcW w:w="1854" w:type="dxa"/>
          </w:tcPr>
          <w:p>
            <w:pPr>
              <w:pStyle w:val="yTableNAm"/>
              <w:spacing w:before="60"/>
            </w:pPr>
            <w:r>
              <w:t>Class 12 (c/kL)</w:t>
            </w:r>
          </w:p>
        </w:tc>
        <w:tc>
          <w:tcPr>
            <w:tcW w:w="2262" w:type="dxa"/>
          </w:tcPr>
          <w:p>
            <w:pPr>
              <w:pStyle w:val="yTableNAm"/>
              <w:spacing w:before="60"/>
              <w:jc w:val="center"/>
            </w:pPr>
            <w:r>
              <w:t>320.4</w:t>
            </w:r>
          </w:p>
        </w:tc>
        <w:tc>
          <w:tcPr>
            <w:tcW w:w="2262" w:type="dxa"/>
          </w:tcPr>
          <w:p>
            <w:pPr>
              <w:pStyle w:val="yTableNAm"/>
              <w:spacing w:before="60"/>
              <w:jc w:val="center"/>
            </w:pPr>
            <w:r>
              <w:t>451.2</w:t>
            </w:r>
          </w:p>
        </w:tc>
      </w:tr>
      <w:tr>
        <w:tc>
          <w:tcPr>
            <w:tcW w:w="1854" w:type="dxa"/>
          </w:tcPr>
          <w:p>
            <w:pPr>
              <w:pStyle w:val="yTableNAm"/>
              <w:spacing w:before="60"/>
            </w:pPr>
            <w:r>
              <w:t>Class 13 (c/kL)</w:t>
            </w:r>
          </w:p>
        </w:tc>
        <w:tc>
          <w:tcPr>
            <w:tcW w:w="2262" w:type="dxa"/>
          </w:tcPr>
          <w:p>
            <w:pPr>
              <w:pStyle w:val="yTableNAm"/>
              <w:spacing w:before="60"/>
              <w:jc w:val="center"/>
            </w:pPr>
            <w:r>
              <w:t>351.7</w:t>
            </w:r>
          </w:p>
        </w:tc>
        <w:tc>
          <w:tcPr>
            <w:tcW w:w="2262" w:type="dxa"/>
          </w:tcPr>
          <w:p>
            <w:pPr>
              <w:pStyle w:val="yTableNAm"/>
              <w:spacing w:before="60"/>
              <w:jc w:val="center"/>
            </w:pPr>
            <w:r>
              <w:t>491.3</w:t>
            </w:r>
          </w:p>
        </w:tc>
      </w:tr>
      <w:tr>
        <w:tc>
          <w:tcPr>
            <w:tcW w:w="1854" w:type="dxa"/>
          </w:tcPr>
          <w:p>
            <w:pPr>
              <w:pStyle w:val="yTableNAm"/>
              <w:spacing w:before="60"/>
            </w:pPr>
            <w:r>
              <w:t>Class 14 (c/kL)</w:t>
            </w:r>
          </w:p>
        </w:tc>
        <w:tc>
          <w:tcPr>
            <w:tcW w:w="2262" w:type="dxa"/>
          </w:tcPr>
          <w:p>
            <w:pPr>
              <w:pStyle w:val="yTableNAm"/>
              <w:spacing w:before="60"/>
              <w:jc w:val="center"/>
            </w:pPr>
            <w:r>
              <w:t>386.2</w:t>
            </w:r>
          </w:p>
        </w:tc>
        <w:tc>
          <w:tcPr>
            <w:tcW w:w="2262" w:type="dxa"/>
          </w:tcPr>
          <w:p>
            <w:pPr>
              <w:pStyle w:val="yTableNAm"/>
              <w:spacing w:before="60"/>
              <w:jc w:val="center"/>
            </w:pPr>
            <w:r>
              <w:t>535.0</w:t>
            </w:r>
          </w:p>
        </w:tc>
      </w:tr>
      <w:tr>
        <w:tc>
          <w:tcPr>
            <w:tcW w:w="1854" w:type="dxa"/>
            <w:tcBorders>
              <w:bottom w:val="single" w:sz="4" w:space="0" w:color="auto"/>
            </w:tcBorders>
          </w:tcPr>
          <w:p>
            <w:pPr>
              <w:pStyle w:val="yTableNAm"/>
              <w:spacing w:before="60"/>
            </w:pPr>
            <w:r>
              <w:t>Class 15 (c/kL)</w:t>
            </w:r>
          </w:p>
        </w:tc>
        <w:tc>
          <w:tcPr>
            <w:tcW w:w="2262" w:type="dxa"/>
            <w:tcBorders>
              <w:bottom w:val="single" w:sz="4" w:space="0" w:color="auto"/>
            </w:tcBorders>
          </w:tcPr>
          <w:p>
            <w:pPr>
              <w:pStyle w:val="yTableNAm"/>
              <w:spacing w:before="60"/>
              <w:jc w:val="center"/>
            </w:pPr>
            <w:r>
              <w:t>423.9</w:t>
            </w:r>
          </w:p>
        </w:tc>
        <w:tc>
          <w:tcPr>
            <w:tcW w:w="2262" w:type="dxa"/>
            <w:tcBorders>
              <w:bottom w:val="single" w:sz="4" w:space="0" w:color="auto"/>
            </w:tcBorders>
          </w:tcPr>
          <w:p>
            <w:pPr>
              <w:pStyle w:val="yTableNAm"/>
              <w:spacing w:before="60"/>
              <w:jc w:val="center"/>
            </w:pPr>
            <w:r>
              <w:t>582.6</w:t>
            </w:r>
          </w:p>
        </w:tc>
      </w:tr>
    </w:tbl>
    <w:p>
      <w:pPr>
        <w:pStyle w:val="ySubsection"/>
        <w:spacing w:before="0"/>
      </w:pPr>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spacing w:before="0"/>
            </w:pPr>
          </w:p>
        </w:tc>
        <w:tc>
          <w:tcPr>
            <w:tcW w:w="4800" w:type="dxa"/>
          </w:tcPr>
          <w:p>
            <w:pPr>
              <w:pStyle w:val="yTableNAm"/>
              <w:tabs>
                <w:tab w:val="clear" w:pos="567"/>
                <w:tab w:val="left" w:pos="416"/>
                <w:tab w:val="left" w:pos="1016"/>
              </w:tabs>
              <w:spacing w:before="0"/>
              <w:ind w:left="1016" w:hanging="1016"/>
            </w:pPr>
            <w:r>
              <w:rPr>
                <w:snapToGrid w:val="0"/>
              </w:rPr>
              <w:tab/>
              <w:t>(c)</w:t>
            </w:r>
            <w:r>
              <w:rPr>
                <w:snapToGrid w:val="0"/>
              </w:rPr>
              <w:tab/>
              <w:t>farmland —</w:t>
            </w:r>
          </w:p>
        </w:tc>
        <w:tc>
          <w:tcPr>
            <w:tcW w:w="1440" w:type="dxa"/>
          </w:tcPr>
          <w:p>
            <w:pPr>
              <w:pStyle w:val="yTableNAm"/>
              <w:spacing w:before="0"/>
            </w:pP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all </w:t>
            </w:r>
            <w:r>
              <w:rPr>
                <w:spacing w:val="-1"/>
              </w:rPr>
              <w:t>water</w:t>
            </w:r>
            <w:r>
              <w:t xml:space="preserve"> supplied </w:t>
            </w:r>
            <w:r>
              <w:tab/>
            </w:r>
          </w:p>
        </w:tc>
        <w:tc>
          <w:tcPr>
            <w:tcW w:w="1440" w:type="dxa"/>
          </w:tcPr>
          <w:p>
            <w:pPr>
              <w:pStyle w:val="yTableNAm"/>
              <w:spacing w:before="60"/>
            </w:pPr>
            <w:r>
              <w:t>112.8 cents</w:t>
            </w:r>
          </w:p>
        </w:tc>
      </w:tr>
      <w:tr>
        <w:tc>
          <w:tcPr>
            <w:tcW w:w="960" w:type="dxa"/>
          </w:tcPr>
          <w:p>
            <w:pPr>
              <w:pStyle w:val="yTableNAm"/>
              <w:keepNext/>
            </w:pPr>
          </w:p>
        </w:tc>
        <w:tc>
          <w:tcPr>
            <w:tcW w:w="4800" w:type="dxa"/>
          </w:tcPr>
          <w:p>
            <w:pPr>
              <w:pStyle w:val="yTableNAm"/>
              <w:keepNext/>
              <w:tabs>
                <w:tab w:val="clear" w:pos="567"/>
                <w:tab w:val="left" w:pos="416"/>
                <w:tab w:val="left" w:pos="1016"/>
              </w:tabs>
              <w:ind w:left="1016" w:hanging="1016"/>
            </w:pPr>
            <w:r>
              <w:rPr>
                <w:snapToGrid w:val="0"/>
              </w:rPr>
              <w:tab/>
              <w:t>(d)</w:t>
            </w:r>
            <w:r>
              <w:rPr>
                <w:snapToGrid w:val="0"/>
              </w:rPr>
              <w:tab/>
              <w:t>mining —</w:t>
            </w:r>
          </w:p>
        </w:tc>
        <w:tc>
          <w:tcPr>
            <w:tcW w:w="1440" w:type="dxa"/>
          </w:tcPr>
          <w:p>
            <w:pPr>
              <w:pStyle w:val="yTableNAm"/>
              <w:keepNext/>
            </w:pP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all water </w:t>
            </w:r>
            <w:r>
              <w:rPr>
                <w:spacing w:val="-1"/>
              </w:rPr>
              <w:t>supplied</w:t>
            </w:r>
            <w:r>
              <w:t xml:space="preserve"> </w:t>
            </w:r>
            <w:r>
              <w:tab/>
            </w:r>
          </w:p>
        </w:tc>
        <w:tc>
          <w:tcPr>
            <w:tcW w:w="1440" w:type="dxa"/>
          </w:tcPr>
          <w:p>
            <w:pPr>
              <w:pStyle w:val="yTableNAm"/>
              <w:spacing w:before="60"/>
            </w:pPr>
            <w:r>
              <w:t>196.8 cents</w:t>
            </w:r>
          </w:p>
        </w:tc>
      </w:tr>
      <w:tr>
        <w:tc>
          <w:tcPr>
            <w:tcW w:w="960" w:type="dxa"/>
          </w:tcPr>
          <w:p>
            <w:pPr>
              <w:pStyle w:val="yTableNAm"/>
              <w:keepNext/>
              <w:spacing w:before="60"/>
            </w:pPr>
          </w:p>
        </w:tc>
        <w:tc>
          <w:tcPr>
            <w:tcW w:w="4800" w:type="dxa"/>
          </w:tcPr>
          <w:p>
            <w:pPr>
              <w:pStyle w:val="yTableNAm"/>
              <w:keepNext/>
              <w:tabs>
                <w:tab w:val="clear" w:pos="567"/>
                <w:tab w:val="left" w:pos="416"/>
                <w:tab w:val="left" w:pos="1016"/>
              </w:tabs>
              <w:spacing w:before="60"/>
              <w:ind w:left="1016" w:hanging="1016"/>
            </w:pPr>
            <w:r>
              <w:rPr>
                <w:snapToGrid w:val="0"/>
              </w:rPr>
              <w:tab/>
              <w:t>(e)</w:t>
            </w:r>
            <w:r>
              <w:rPr>
                <w:snapToGrid w:val="0"/>
              </w:rPr>
              <w:tab/>
            </w:r>
            <w:r>
              <w:rPr>
                <w:snapToGrid w:val="0"/>
                <w:spacing w:val="-4"/>
              </w:rPr>
              <w:t>institutional public</w:t>
            </w:r>
            <w:r>
              <w:rPr>
                <w:snapToGrid w:val="0"/>
              </w:rPr>
              <w:t> —</w:t>
            </w:r>
          </w:p>
        </w:tc>
        <w:tc>
          <w:tcPr>
            <w:tcW w:w="1440" w:type="dxa"/>
          </w:tcPr>
          <w:p>
            <w:pPr>
              <w:pStyle w:val="yTableNAm"/>
              <w:keepNext/>
              <w:spacing w:before="60"/>
            </w:pP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up to 300 kL </w:t>
            </w:r>
            <w:r>
              <w:tab/>
            </w:r>
          </w:p>
        </w:tc>
        <w:tc>
          <w:tcPr>
            <w:tcW w:w="1440" w:type="dxa"/>
          </w:tcPr>
          <w:p>
            <w:pPr>
              <w:pStyle w:val="yTableNAm"/>
              <w:spacing w:before="60"/>
            </w:pPr>
            <w:r>
              <w:t>119.7 cents</w:t>
            </w: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over 300 kL </w:t>
            </w:r>
            <w:r>
              <w:tab/>
            </w:r>
          </w:p>
        </w:tc>
        <w:tc>
          <w:tcPr>
            <w:tcW w:w="1440" w:type="dxa"/>
          </w:tcPr>
          <w:p>
            <w:pPr>
              <w:pStyle w:val="yTableNAm"/>
              <w:spacing w:before="60"/>
            </w:pPr>
            <w:r>
              <w:t>176.8 cents</w:t>
            </w:r>
          </w:p>
        </w:tc>
      </w:tr>
      <w:tr>
        <w:tc>
          <w:tcPr>
            <w:tcW w:w="960" w:type="dxa"/>
          </w:tcPr>
          <w:p>
            <w:pPr>
              <w:pStyle w:val="yTableNAm"/>
              <w:spacing w:before="60"/>
            </w:pPr>
          </w:p>
        </w:tc>
        <w:tc>
          <w:tcPr>
            <w:tcW w:w="4800" w:type="dxa"/>
          </w:tcPr>
          <w:p>
            <w:pPr>
              <w:pStyle w:val="yTableNAm"/>
              <w:tabs>
                <w:tab w:val="clear" w:pos="567"/>
                <w:tab w:val="left" w:pos="416"/>
                <w:tab w:val="left" w:pos="1016"/>
              </w:tabs>
              <w:spacing w:before="60"/>
              <w:ind w:left="1016" w:hanging="1016"/>
            </w:pPr>
            <w:r>
              <w:rPr>
                <w:snapToGrid w:val="0"/>
              </w:rPr>
              <w:tab/>
              <w:t>(f)</w:t>
            </w:r>
            <w:r>
              <w:rPr>
                <w:snapToGrid w:val="0"/>
              </w:rPr>
              <w:tab/>
              <w:t>charitable purposes —</w:t>
            </w:r>
          </w:p>
        </w:tc>
        <w:tc>
          <w:tcPr>
            <w:tcW w:w="1440" w:type="dxa"/>
          </w:tcPr>
          <w:p>
            <w:pPr>
              <w:pStyle w:val="yTableNAm"/>
              <w:spacing w:before="60"/>
            </w:pP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up to 300 kL </w:t>
            </w:r>
            <w:r>
              <w:tab/>
            </w:r>
          </w:p>
        </w:tc>
        <w:tc>
          <w:tcPr>
            <w:tcW w:w="1440" w:type="dxa"/>
          </w:tcPr>
          <w:p>
            <w:pPr>
              <w:pStyle w:val="yTableNAm"/>
              <w:spacing w:before="60"/>
            </w:pPr>
            <w:r>
              <w:t>119.7 cents</w:t>
            </w: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over 300 kL </w:t>
            </w:r>
            <w:r>
              <w:tab/>
            </w:r>
          </w:p>
        </w:tc>
        <w:tc>
          <w:tcPr>
            <w:tcW w:w="1440" w:type="dxa"/>
          </w:tcPr>
          <w:p>
            <w:pPr>
              <w:pStyle w:val="yTableNAm"/>
              <w:spacing w:before="60"/>
            </w:pPr>
            <w:r>
              <w:t>176.8 cents</w:t>
            </w:r>
          </w:p>
        </w:tc>
      </w:tr>
      <w:tr>
        <w:tc>
          <w:tcPr>
            <w:tcW w:w="960" w:type="dxa"/>
          </w:tcPr>
          <w:p>
            <w:pPr>
              <w:pStyle w:val="yTableNAm"/>
              <w:spacing w:before="60"/>
            </w:pPr>
          </w:p>
        </w:tc>
        <w:tc>
          <w:tcPr>
            <w:tcW w:w="4800" w:type="dxa"/>
          </w:tcPr>
          <w:p>
            <w:pPr>
              <w:pStyle w:val="yTableNAm"/>
              <w:tabs>
                <w:tab w:val="clear" w:pos="567"/>
                <w:tab w:val="left" w:pos="416"/>
                <w:tab w:val="left" w:pos="1016"/>
              </w:tabs>
              <w:spacing w:before="60"/>
              <w:ind w:left="1016" w:hanging="1016"/>
            </w:pPr>
            <w:r>
              <w:rPr>
                <w:snapToGrid w:val="0"/>
              </w:rPr>
              <w:tab/>
              <w:t>(g)</w:t>
            </w:r>
            <w:r>
              <w:rPr>
                <w:snapToGrid w:val="0"/>
              </w:rPr>
              <w:tab/>
              <w:t>c</w:t>
            </w:r>
            <w:r>
              <w:t>ommercial residential</w:t>
            </w:r>
            <w:r>
              <w:rPr>
                <w:snapToGrid w:val="0"/>
              </w:rPr>
              <w:t xml:space="preserve"> (according to the non</w:t>
            </w:r>
            <w:r>
              <w:rPr>
                <w:snapToGrid w:val="0"/>
              </w:rPr>
              <w:noBreakHyphen/>
              <w:t>residential classification of the town/area in which that property is situated, as set out in Schedule 10) —</w:t>
            </w:r>
          </w:p>
        </w:tc>
        <w:tc>
          <w:tcPr>
            <w:tcW w:w="1440" w:type="dxa"/>
          </w:tcPr>
          <w:p>
            <w:pPr>
              <w:pStyle w:val="yTableNAm"/>
              <w:spacing w:before="60"/>
            </w:pPr>
          </w:p>
        </w:tc>
      </w:tr>
    </w:tbl>
    <w:p>
      <w:pPr>
        <w:pStyle w:val="ySubsection"/>
        <w:spacing w:before="0"/>
        <w:rPr>
          <w:sz w:val="12"/>
        </w:rPr>
      </w:pPr>
    </w:p>
    <w:tbl>
      <w:tblPr>
        <w:tblW w:w="6378" w:type="dxa"/>
        <w:tblInd w:w="454" w:type="dxa"/>
        <w:tblLayout w:type="fixed"/>
        <w:tblCellMar>
          <w:left w:w="28" w:type="dxa"/>
          <w:right w:w="28" w:type="dxa"/>
        </w:tblCellMar>
        <w:tblLook w:val="0000" w:firstRow="0" w:lastRow="0" w:firstColumn="0" w:lastColumn="0" w:noHBand="0" w:noVBand="0"/>
      </w:tblPr>
      <w:tblGrid>
        <w:gridCol w:w="1856"/>
        <w:gridCol w:w="1507"/>
        <w:gridCol w:w="1507"/>
        <w:gridCol w:w="1508"/>
      </w:tblGrid>
      <w:tr>
        <w:trPr>
          <w:cantSplit/>
          <w:tblHeader/>
        </w:trPr>
        <w:tc>
          <w:tcPr>
            <w:tcW w:w="1856" w:type="dxa"/>
            <w:vMerge w:val="restart"/>
            <w:tcBorders>
              <w:top w:val="single" w:sz="4" w:space="0" w:color="auto"/>
            </w:tcBorders>
          </w:tcPr>
          <w:p>
            <w:pPr>
              <w:pStyle w:val="yTableNAm"/>
              <w:spacing w:before="60"/>
              <w:rPr>
                <w:b/>
                <w:bCs/>
              </w:rPr>
            </w:pPr>
            <w:r>
              <w:rPr>
                <w:b/>
                <w:bCs/>
              </w:rPr>
              <w:t>Class</w:t>
            </w:r>
          </w:p>
        </w:tc>
        <w:tc>
          <w:tcPr>
            <w:tcW w:w="4522" w:type="dxa"/>
            <w:gridSpan w:val="3"/>
            <w:tcBorders>
              <w:top w:val="single" w:sz="4" w:space="0" w:color="auto"/>
            </w:tcBorders>
          </w:tcPr>
          <w:p>
            <w:pPr>
              <w:pStyle w:val="yTableNAm"/>
              <w:spacing w:before="60"/>
              <w:jc w:val="center"/>
              <w:rPr>
                <w:b/>
                <w:bCs/>
              </w:rPr>
            </w:pPr>
            <w:r>
              <w:rPr>
                <w:b/>
                <w:bCs/>
              </w:rPr>
              <w:t>Consumption (kL)</w:t>
            </w:r>
          </w:p>
        </w:tc>
      </w:tr>
      <w:tr>
        <w:trPr>
          <w:cantSplit/>
          <w:tblHeader/>
        </w:trPr>
        <w:tc>
          <w:tcPr>
            <w:tcW w:w="1856" w:type="dxa"/>
            <w:vMerge/>
            <w:tcBorders>
              <w:bottom w:val="single" w:sz="4" w:space="0" w:color="auto"/>
            </w:tcBorders>
          </w:tcPr>
          <w:p>
            <w:pPr>
              <w:pStyle w:val="yTableNAm"/>
              <w:spacing w:before="60"/>
              <w:rPr>
                <w:b/>
                <w:bCs/>
              </w:rPr>
            </w:pPr>
          </w:p>
        </w:tc>
        <w:tc>
          <w:tcPr>
            <w:tcW w:w="1507" w:type="dxa"/>
            <w:tcBorders>
              <w:bottom w:val="single" w:sz="4" w:space="0" w:color="auto"/>
            </w:tcBorders>
          </w:tcPr>
          <w:p>
            <w:pPr>
              <w:pStyle w:val="yTableNAm"/>
              <w:spacing w:before="60"/>
              <w:jc w:val="center"/>
              <w:rPr>
                <w:b/>
                <w:bCs/>
              </w:rPr>
            </w:pPr>
            <w:r>
              <w:rPr>
                <w:b/>
                <w:bCs/>
              </w:rPr>
              <w:t>Up to 150</w:t>
            </w:r>
          </w:p>
        </w:tc>
        <w:tc>
          <w:tcPr>
            <w:tcW w:w="1507" w:type="dxa"/>
            <w:tcBorders>
              <w:bottom w:val="single" w:sz="4" w:space="0" w:color="auto"/>
            </w:tcBorders>
          </w:tcPr>
          <w:p>
            <w:pPr>
              <w:pStyle w:val="yTableNAm"/>
              <w:spacing w:before="60"/>
              <w:jc w:val="center"/>
              <w:rPr>
                <w:b/>
                <w:bCs/>
              </w:rPr>
            </w:pPr>
            <w:r>
              <w:rPr>
                <w:b/>
                <w:bCs/>
              </w:rPr>
              <w:t>Over 150 but not over 450</w:t>
            </w:r>
          </w:p>
        </w:tc>
        <w:tc>
          <w:tcPr>
            <w:tcW w:w="1508" w:type="dxa"/>
            <w:tcBorders>
              <w:bottom w:val="single" w:sz="4" w:space="0" w:color="auto"/>
            </w:tcBorders>
          </w:tcPr>
          <w:p>
            <w:pPr>
              <w:pStyle w:val="yTableNAm"/>
              <w:spacing w:before="60"/>
              <w:jc w:val="center"/>
              <w:rPr>
                <w:b/>
                <w:bCs/>
              </w:rPr>
            </w:pPr>
            <w:r>
              <w:rPr>
                <w:b/>
                <w:bCs/>
              </w:rPr>
              <w:t>Over 450</w:t>
            </w:r>
          </w:p>
        </w:tc>
      </w:tr>
      <w:tr>
        <w:tc>
          <w:tcPr>
            <w:tcW w:w="1856" w:type="dxa"/>
            <w:tcBorders>
              <w:top w:val="single" w:sz="4" w:space="0" w:color="auto"/>
            </w:tcBorders>
          </w:tcPr>
          <w:p>
            <w:pPr>
              <w:pStyle w:val="yTableNAm"/>
              <w:spacing w:before="60"/>
            </w:pPr>
            <w:r>
              <w:t>Class 1 (c/kL)</w:t>
            </w:r>
          </w:p>
        </w:tc>
        <w:tc>
          <w:tcPr>
            <w:tcW w:w="1507" w:type="dxa"/>
            <w:tcBorders>
              <w:top w:val="single" w:sz="4" w:space="0" w:color="auto"/>
            </w:tcBorders>
          </w:tcPr>
          <w:p>
            <w:pPr>
              <w:pStyle w:val="yTableNAm"/>
              <w:spacing w:before="60"/>
              <w:jc w:val="center"/>
            </w:pPr>
            <w:r>
              <w:t>72.6</w:t>
            </w:r>
          </w:p>
        </w:tc>
        <w:tc>
          <w:tcPr>
            <w:tcW w:w="1507" w:type="dxa"/>
            <w:tcBorders>
              <w:top w:val="single" w:sz="4" w:space="0" w:color="auto"/>
            </w:tcBorders>
          </w:tcPr>
          <w:p>
            <w:pPr>
              <w:pStyle w:val="yTableNAm"/>
              <w:spacing w:before="60"/>
              <w:jc w:val="center"/>
            </w:pPr>
            <w:r>
              <w:t>119.7</w:t>
            </w:r>
          </w:p>
        </w:tc>
        <w:tc>
          <w:tcPr>
            <w:tcW w:w="1508" w:type="dxa"/>
            <w:tcBorders>
              <w:top w:val="single" w:sz="4" w:space="0" w:color="auto"/>
            </w:tcBorders>
          </w:tcPr>
          <w:p>
            <w:pPr>
              <w:pStyle w:val="yTableNAm"/>
              <w:spacing w:before="60"/>
              <w:jc w:val="center"/>
            </w:pPr>
            <w:r>
              <w:t>176.8</w:t>
            </w:r>
          </w:p>
        </w:tc>
      </w:tr>
      <w:tr>
        <w:tc>
          <w:tcPr>
            <w:tcW w:w="1856" w:type="dxa"/>
          </w:tcPr>
          <w:p>
            <w:pPr>
              <w:pStyle w:val="yTableNAm"/>
              <w:spacing w:before="60"/>
            </w:pPr>
            <w:r>
              <w:t>Class 2 (c/kL)</w:t>
            </w:r>
          </w:p>
        </w:tc>
        <w:tc>
          <w:tcPr>
            <w:tcW w:w="1507" w:type="dxa"/>
          </w:tcPr>
          <w:p>
            <w:pPr>
              <w:pStyle w:val="yTableNAm"/>
              <w:spacing w:before="60"/>
              <w:jc w:val="center"/>
            </w:pPr>
            <w:r>
              <w:t>72.6</w:t>
            </w:r>
          </w:p>
        </w:tc>
        <w:tc>
          <w:tcPr>
            <w:tcW w:w="1507" w:type="dxa"/>
          </w:tcPr>
          <w:p>
            <w:pPr>
              <w:pStyle w:val="yTableNAm"/>
              <w:spacing w:before="60"/>
              <w:jc w:val="center"/>
            </w:pPr>
            <w:r>
              <w:t>133.9</w:t>
            </w:r>
          </w:p>
        </w:tc>
        <w:tc>
          <w:tcPr>
            <w:tcW w:w="1508" w:type="dxa"/>
          </w:tcPr>
          <w:p>
            <w:pPr>
              <w:pStyle w:val="yTableNAm"/>
              <w:spacing w:before="60"/>
              <w:jc w:val="center"/>
            </w:pPr>
            <w:r>
              <w:t>192.6</w:t>
            </w:r>
          </w:p>
        </w:tc>
      </w:tr>
      <w:tr>
        <w:tc>
          <w:tcPr>
            <w:tcW w:w="1856" w:type="dxa"/>
          </w:tcPr>
          <w:p>
            <w:pPr>
              <w:pStyle w:val="yTableNAm"/>
              <w:spacing w:before="60"/>
            </w:pPr>
            <w:r>
              <w:t>Class 3 (c/kL)</w:t>
            </w:r>
          </w:p>
        </w:tc>
        <w:tc>
          <w:tcPr>
            <w:tcW w:w="1507" w:type="dxa"/>
          </w:tcPr>
          <w:p>
            <w:pPr>
              <w:pStyle w:val="yTableNAm"/>
              <w:spacing w:before="60"/>
              <w:jc w:val="center"/>
            </w:pPr>
            <w:r>
              <w:t>72.6</w:t>
            </w:r>
          </w:p>
        </w:tc>
        <w:tc>
          <w:tcPr>
            <w:tcW w:w="1507" w:type="dxa"/>
          </w:tcPr>
          <w:p>
            <w:pPr>
              <w:pStyle w:val="yTableNAm"/>
              <w:spacing w:before="60"/>
              <w:jc w:val="center"/>
            </w:pPr>
            <w:r>
              <w:t>149.6</w:t>
            </w:r>
          </w:p>
        </w:tc>
        <w:tc>
          <w:tcPr>
            <w:tcW w:w="1508" w:type="dxa"/>
          </w:tcPr>
          <w:p>
            <w:pPr>
              <w:pStyle w:val="yTableNAm"/>
              <w:spacing w:before="60"/>
              <w:jc w:val="center"/>
            </w:pPr>
            <w:r>
              <w:t>209.5</w:t>
            </w:r>
          </w:p>
        </w:tc>
      </w:tr>
      <w:tr>
        <w:tc>
          <w:tcPr>
            <w:tcW w:w="1856" w:type="dxa"/>
          </w:tcPr>
          <w:p>
            <w:pPr>
              <w:pStyle w:val="yTableNAm"/>
              <w:spacing w:before="60"/>
            </w:pPr>
            <w:r>
              <w:t>Class 4 (c/kL)</w:t>
            </w:r>
          </w:p>
        </w:tc>
        <w:tc>
          <w:tcPr>
            <w:tcW w:w="1507" w:type="dxa"/>
          </w:tcPr>
          <w:p>
            <w:pPr>
              <w:pStyle w:val="yTableNAm"/>
              <w:spacing w:before="60"/>
              <w:jc w:val="center"/>
            </w:pPr>
            <w:r>
              <w:t>72.6</w:t>
            </w:r>
          </w:p>
        </w:tc>
        <w:tc>
          <w:tcPr>
            <w:tcW w:w="1507" w:type="dxa"/>
          </w:tcPr>
          <w:p>
            <w:pPr>
              <w:pStyle w:val="yTableNAm"/>
              <w:spacing w:before="60"/>
              <w:jc w:val="center"/>
            </w:pPr>
            <w:r>
              <w:t>167.2</w:t>
            </w:r>
          </w:p>
        </w:tc>
        <w:tc>
          <w:tcPr>
            <w:tcW w:w="1508" w:type="dxa"/>
          </w:tcPr>
          <w:p>
            <w:pPr>
              <w:pStyle w:val="yTableNAm"/>
              <w:spacing w:before="60"/>
              <w:jc w:val="center"/>
            </w:pPr>
            <w:r>
              <w:t>228.2</w:t>
            </w:r>
          </w:p>
        </w:tc>
      </w:tr>
      <w:tr>
        <w:tc>
          <w:tcPr>
            <w:tcW w:w="1856" w:type="dxa"/>
          </w:tcPr>
          <w:p>
            <w:pPr>
              <w:pStyle w:val="yTableNAm"/>
              <w:spacing w:before="60"/>
            </w:pPr>
            <w:r>
              <w:t>Class 5 (c/kL)</w:t>
            </w:r>
          </w:p>
        </w:tc>
        <w:tc>
          <w:tcPr>
            <w:tcW w:w="1507" w:type="dxa"/>
          </w:tcPr>
          <w:p>
            <w:pPr>
              <w:pStyle w:val="yTableNAm"/>
              <w:spacing w:before="60"/>
              <w:jc w:val="center"/>
            </w:pPr>
            <w:r>
              <w:t>72.6</w:t>
            </w:r>
          </w:p>
        </w:tc>
        <w:tc>
          <w:tcPr>
            <w:tcW w:w="1507" w:type="dxa"/>
          </w:tcPr>
          <w:p>
            <w:pPr>
              <w:pStyle w:val="yTableNAm"/>
              <w:spacing w:before="60"/>
              <w:jc w:val="center"/>
            </w:pPr>
            <w:r>
              <w:t>187.0</w:t>
            </w:r>
          </w:p>
        </w:tc>
        <w:tc>
          <w:tcPr>
            <w:tcW w:w="1508" w:type="dxa"/>
          </w:tcPr>
          <w:p>
            <w:pPr>
              <w:pStyle w:val="yTableNAm"/>
              <w:spacing w:before="60"/>
              <w:jc w:val="center"/>
            </w:pPr>
            <w:r>
              <w:t>248.5</w:t>
            </w:r>
          </w:p>
        </w:tc>
      </w:tr>
      <w:tr>
        <w:tc>
          <w:tcPr>
            <w:tcW w:w="1856" w:type="dxa"/>
          </w:tcPr>
          <w:p>
            <w:pPr>
              <w:pStyle w:val="yTableNAm"/>
              <w:spacing w:before="60"/>
            </w:pPr>
            <w:r>
              <w:t>Class 6 (c/kL)</w:t>
            </w:r>
          </w:p>
        </w:tc>
        <w:tc>
          <w:tcPr>
            <w:tcW w:w="1507" w:type="dxa"/>
          </w:tcPr>
          <w:p>
            <w:pPr>
              <w:pStyle w:val="yTableNAm"/>
              <w:spacing w:before="60"/>
              <w:jc w:val="center"/>
            </w:pPr>
            <w:r>
              <w:t>72.6</w:t>
            </w:r>
          </w:p>
        </w:tc>
        <w:tc>
          <w:tcPr>
            <w:tcW w:w="1507" w:type="dxa"/>
          </w:tcPr>
          <w:p>
            <w:pPr>
              <w:pStyle w:val="yTableNAm"/>
              <w:spacing w:before="60"/>
              <w:jc w:val="center"/>
            </w:pPr>
            <w:r>
              <w:t>203.1</w:t>
            </w:r>
          </w:p>
        </w:tc>
        <w:tc>
          <w:tcPr>
            <w:tcW w:w="1508" w:type="dxa"/>
          </w:tcPr>
          <w:p>
            <w:pPr>
              <w:pStyle w:val="yTableNAm"/>
              <w:spacing w:before="60"/>
              <w:jc w:val="center"/>
            </w:pPr>
            <w:r>
              <w:t>270.6</w:t>
            </w:r>
          </w:p>
        </w:tc>
      </w:tr>
      <w:tr>
        <w:tc>
          <w:tcPr>
            <w:tcW w:w="1856" w:type="dxa"/>
          </w:tcPr>
          <w:p>
            <w:pPr>
              <w:pStyle w:val="yTableNAm"/>
              <w:spacing w:before="60"/>
            </w:pPr>
            <w:r>
              <w:t>Class 7 (c/kL)</w:t>
            </w:r>
          </w:p>
        </w:tc>
        <w:tc>
          <w:tcPr>
            <w:tcW w:w="1507" w:type="dxa"/>
          </w:tcPr>
          <w:p>
            <w:pPr>
              <w:pStyle w:val="yTableNAm"/>
              <w:spacing w:before="60"/>
              <w:jc w:val="center"/>
            </w:pPr>
            <w:r>
              <w:t>72.6</w:t>
            </w:r>
          </w:p>
        </w:tc>
        <w:tc>
          <w:tcPr>
            <w:tcW w:w="1507" w:type="dxa"/>
          </w:tcPr>
          <w:p>
            <w:pPr>
              <w:pStyle w:val="yTableNAm"/>
              <w:spacing w:before="60"/>
              <w:jc w:val="center"/>
            </w:pPr>
            <w:r>
              <w:t>220.6</w:t>
            </w:r>
          </w:p>
        </w:tc>
        <w:tc>
          <w:tcPr>
            <w:tcW w:w="1508" w:type="dxa"/>
          </w:tcPr>
          <w:p>
            <w:pPr>
              <w:pStyle w:val="yTableNAm"/>
              <w:spacing w:before="60"/>
              <w:jc w:val="center"/>
            </w:pPr>
            <w:r>
              <w:t>294.7</w:t>
            </w:r>
          </w:p>
        </w:tc>
      </w:tr>
      <w:tr>
        <w:tc>
          <w:tcPr>
            <w:tcW w:w="1856" w:type="dxa"/>
          </w:tcPr>
          <w:p>
            <w:pPr>
              <w:pStyle w:val="yTableNAm"/>
              <w:spacing w:before="60"/>
            </w:pPr>
            <w:r>
              <w:t>Class 8 (c/kL)</w:t>
            </w:r>
          </w:p>
        </w:tc>
        <w:tc>
          <w:tcPr>
            <w:tcW w:w="1507" w:type="dxa"/>
          </w:tcPr>
          <w:p>
            <w:pPr>
              <w:pStyle w:val="yTableNAm"/>
              <w:spacing w:before="60"/>
              <w:jc w:val="center"/>
            </w:pPr>
            <w:r>
              <w:t>72.6</w:t>
            </w:r>
          </w:p>
        </w:tc>
        <w:tc>
          <w:tcPr>
            <w:tcW w:w="1507" w:type="dxa"/>
          </w:tcPr>
          <w:p>
            <w:pPr>
              <w:pStyle w:val="yTableNAm"/>
              <w:spacing w:before="60"/>
              <w:jc w:val="center"/>
            </w:pPr>
            <w:r>
              <w:t>237.4</w:t>
            </w:r>
          </w:p>
        </w:tc>
        <w:tc>
          <w:tcPr>
            <w:tcW w:w="1508" w:type="dxa"/>
          </w:tcPr>
          <w:p>
            <w:pPr>
              <w:pStyle w:val="yTableNAm"/>
              <w:spacing w:before="60"/>
              <w:jc w:val="center"/>
            </w:pPr>
            <w:r>
              <w:t>320.9</w:t>
            </w:r>
          </w:p>
        </w:tc>
      </w:tr>
      <w:tr>
        <w:tc>
          <w:tcPr>
            <w:tcW w:w="1856" w:type="dxa"/>
          </w:tcPr>
          <w:p>
            <w:pPr>
              <w:pStyle w:val="yTableNAm"/>
              <w:spacing w:before="60"/>
            </w:pPr>
            <w:r>
              <w:t>Class 9 (c/kL)</w:t>
            </w:r>
          </w:p>
        </w:tc>
        <w:tc>
          <w:tcPr>
            <w:tcW w:w="1507" w:type="dxa"/>
          </w:tcPr>
          <w:p>
            <w:pPr>
              <w:pStyle w:val="yTableNAm"/>
              <w:spacing w:before="60"/>
              <w:jc w:val="center"/>
            </w:pPr>
            <w:r>
              <w:t>72.6</w:t>
            </w:r>
          </w:p>
        </w:tc>
        <w:tc>
          <w:tcPr>
            <w:tcW w:w="1507" w:type="dxa"/>
          </w:tcPr>
          <w:p>
            <w:pPr>
              <w:pStyle w:val="yTableNAm"/>
              <w:spacing w:before="60"/>
              <w:jc w:val="center"/>
            </w:pPr>
            <w:r>
              <w:t>255.5</w:t>
            </w:r>
          </w:p>
        </w:tc>
        <w:tc>
          <w:tcPr>
            <w:tcW w:w="1508" w:type="dxa"/>
          </w:tcPr>
          <w:p>
            <w:pPr>
              <w:pStyle w:val="yTableNAm"/>
              <w:spacing w:before="60"/>
              <w:jc w:val="center"/>
            </w:pPr>
            <w:r>
              <w:t>349.4</w:t>
            </w:r>
          </w:p>
        </w:tc>
      </w:tr>
      <w:tr>
        <w:tc>
          <w:tcPr>
            <w:tcW w:w="1856" w:type="dxa"/>
          </w:tcPr>
          <w:p>
            <w:pPr>
              <w:pStyle w:val="yTableNAm"/>
              <w:spacing w:before="60"/>
            </w:pPr>
            <w:r>
              <w:t>Class 10 (c/kL)</w:t>
            </w:r>
          </w:p>
        </w:tc>
        <w:tc>
          <w:tcPr>
            <w:tcW w:w="1507" w:type="dxa"/>
          </w:tcPr>
          <w:p>
            <w:pPr>
              <w:pStyle w:val="yTableNAm"/>
              <w:spacing w:before="60"/>
              <w:jc w:val="center"/>
            </w:pPr>
            <w:r>
              <w:t>72.6</w:t>
            </w:r>
          </w:p>
        </w:tc>
        <w:tc>
          <w:tcPr>
            <w:tcW w:w="1507" w:type="dxa"/>
          </w:tcPr>
          <w:p>
            <w:pPr>
              <w:pStyle w:val="yTableNAm"/>
              <w:spacing w:before="60"/>
              <w:jc w:val="center"/>
            </w:pPr>
            <w:r>
              <w:t>265.9</w:t>
            </w:r>
          </w:p>
        </w:tc>
        <w:tc>
          <w:tcPr>
            <w:tcW w:w="1508" w:type="dxa"/>
          </w:tcPr>
          <w:p>
            <w:pPr>
              <w:pStyle w:val="yTableNAm"/>
              <w:spacing w:before="60"/>
              <w:jc w:val="center"/>
            </w:pPr>
            <w:r>
              <w:t>380.5</w:t>
            </w:r>
          </w:p>
        </w:tc>
      </w:tr>
      <w:tr>
        <w:tc>
          <w:tcPr>
            <w:tcW w:w="1856" w:type="dxa"/>
          </w:tcPr>
          <w:p>
            <w:pPr>
              <w:pStyle w:val="yTableNAm"/>
              <w:spacing w:before="60"/>
            </w:pPr>
            <w:r>
              <w:t>Class 11 (c/kL)</w:t>
            </w:r>
          </w:p>
        </w:tc>
        <w:tc>
          <w:tcPr>
            <w:tcW w:w="1507" w:type="dxa"/>
          </w:tcPr>
          <w:p>
            <w:pPr>
              <w:pStyle w:val="yTableNAm"/>
              <w:spacing w:before="60"/>
              <w:jc w:val="center"/>
            </w:pPr>
            <w:r>
              <w:t>72.6</w:t>
            </w:r>
          </w:p>
        </w:tc>
        <w:tc>
          <w:tcPr>
            <w:tcW w:w="1507" w:type="dxa"/>
          </w:tcPr>
          <w:p>
            <w:pPr>
              <w:pStyle w:val="yTableNAm"/>
              <w:spacing w:before="60"/>
              <w:jc w:val="center"/>
            </w:pPr>
            <w:r>
              <w:t>291.9</w:t>
            </w:r>
          </w:p>
        </w:tc>
        <w:tc>
          <w:tcPr>
            <w:tcW w:w="1508" w:type="dxa"/>
          </w:tcPr>
          <w:p>
            <w:pPr>
              <w:pStyle w:val="yTableNAm"/>
              <w:spacing w:before="60"/>
              <w:jc w:val="center"/>
            </w:pPr>
            <w:r>
              <w:t>414.3</w:t>
            </w:r>
          </w:p>
        </w:tc>
      </w:tr>
      <w:tr>
        <w:tc>
          <w:tcPr>
            <w:tcW w:w="1856" w:type="dxa"/>
          </w:tcPr>
          <w:p>
            <w:pPr>
              <w:pStyle w:val="yTableNAm"/>
              <w:spacing w:before="60"/>
            </w:pPr>
            <w:r>
              <w:t>Class 12 (c/kL)</w:t>
            </w:r>
          </w:p>
        </w:tc>
        <w:tc>
          <w:tcPr>
            <w:tcW w:w="1507" w:type="dxa"/>
          </w:tcPr>
          <w:p>
            <w:pPr>
              <w:pStyle w:val="yTableNAm"/>
              <w:spacing w:before="60"/>
              <w:jc w:val="center"/>
            </w:pPr>
            <w:r>
              <w:t>72.6</w:t>
            </w:r>
          </w:p>
        </w:tc>
        <w:tc>
          <w:tcPr>
            <w:tcW w:w="1507" w:type="dxa"/>
          </w:tcPr>
          <w:p>
            <w:pPr>
              <w:pStyle w:val="yTableNAm"/>
              <w:spacing w:before="60"/>
              <w:jc w:val="center"/>
            </w:pPr>
            <w:r>
              <w:t>320.4</w:t>
            </w:r>
          </w:p>
        </w:tc>
        <w:tc>
          <w:tcPr>
            <w:tcW w:w="1508" w:type="dxa"/>
          </w:tcPr>
          <w:p>
            <w:pPr>
              <w:pStyle w:val="yTableNAm"/>
              <w:spacing w:before="60"/>
              <w:jc w:val="center"/>
            </w:pPr>
            <w:r>
              <w:t>451.2</w:t>
            </w:r>
          </w:p>
        </w:tc>
      </w:tr>
      <w:tr>
        <w:tc>
          <w:tcPr>
            <w:tcW w:w="1856" w:type="dxa"/>
          </w:tcPr>
          <w:p>
            <w:pPr>
              <w:pStyle w:val="yTableNAm"/>
              <w:spacing w:before="60"/>
            </w:pPr>
            <w:r>
              <w:t>Class 13 (c/kL)</w:t>
            </w:r>
          </w:p>
        </w:tc>
        <w:tc>
          <w:tcPr>
            <w:tcW w:w="1507" w:type="dxa"/>
          </w:tcPr>
          <w:p>
            <w:pPr>
              <w:pStyle w:val="yTableNAm"/>
              <w:spacing w:before="60"/>
              <w:jc w:val="center"/>
            </w:pPr>
            <w:r>
              <w:t>72.6</w:t>
            </w:r>
          </w:p>
        </w:tc>
        <w:tc>
          <w:tcPr>
            <w:tcW w:w="1507" w:type="dxa"/>
          </w:tcPr>
          <w:p>
            <w:pPr>
              <w:pStyle w:val="yTableNAm"/>
              <w:spacing w:before="60"/>
              <w:jc w:val="center"/>
            </w:pPr>
            <w:r>
              <w:t>351.7</w:t>
            </w:r>
          </w:p>
        </w:tc>
        <w:tc>
          <w:tcPr>
            <w:tcW w:w="1508" w:type="dxa"/>
          </w:tcPr>
          <w:p>
            <w:pPr>
              <w:pStyle w:val="yTableNAm"/>
              <w:spacing w:before="60"/>
              <w:jc w:val="center"/>
            </w:pPr>
            <w:r>
              <w:t>491.3</w:t>
            </w:r>
          </w:p>
        </w:tc>
      </w:tr>
      <w:tr>
        <w:tc>
          <w:tcPr>
            <w:tcW w:w="1856" w:type="dxa"/>
          </w:tcPr>
          <w:p>
            <w:pPr>
              <w:pStyle w:val="yTableNAm"/>
              <w:spacing w:before="60"/>
            </w:pPr>
            <w:r>
              <w:t>Class 14 (c/kL)</w:t>
            </w:r>
          </w:p>
        </w:tc>
        <w:tc>
          <w:tcPr>
            <w:tcW w:w="1507" w:type="dxa"/>
          </w:tcPr>
          <w:p>
            <w:pPr>
              <w:pStyle w:val="yTableNAm"/>
              <w:spacing w:before="60"/>
              <w:jc w:val="center"/>
            </w:pPr>
            <w:r>
              <w:t>72.6</w:t>
            </w:r>
          </w:p>
        </w:tc>
        <w:tc>
          <w:tcPr>
            <w:tcW w:w="1507" w:type="dxa"/>
          </w:tcPr>
          <w:p>
            <w:pPr>
              <w:pStyle w:val="yTableNAm"/>
              <w:spacing w:before="60"/>
              <w:jc w:val="center"/>
            </w:pPr>
            <w:r>
              <w:t>386.2</w:t>
            </w:r>
          </w:p>
        </w:tc>
        <w:tc>
          <w:tcPr>
            <w:tcW w:w="1508" w:type="dxa"/>
          </w:tcPr>
          <w:p>
            <w:pPr>
              <w:pStyle w:val="yTableNAm"/>
              <w:spacing w:before="60"/>
              <w:jc w:val="center"/>
            </w:pPr>
            <w:r>
              <w:t>535.0</w:t>
            </w:r>
          </w:p>
        </w:tc>
      </w:tr>
      <w:tr>
        <w:tc>
          <w:tcPr>
            <w:tcW w:w="1856" w:type="dxa"/>
            <w:tcBorders>
              <w:bottom w:val="single" w:sz="4" w:space="0" w:color="auto"/>
            </w:tcBorders>
          </w:tcPr>
          <w:p>
            <w:pPr>
              <w:pStyle w:val="yTableNAm"/>
              <w:spacing w:before="60"/>
            </w:pPr>
            <w:r>
              <w:t>Class 15 (c/kL)</w:t>
            </w:r>
          </w:p>
        </w:tc>
        <w:tc>
          <w:tcPr>
            <w:tcW w:w="1507" w:type="dxa"/>
            <w:tcBorders>
              <w:bottom w:val="single" w:sz="4" w:space="0" w:color="auto"/>
            </w:tcBorders>
          </w:tcPr>
          <w:p>
            <w:pPr>
              <w:pStyle w:val="yTableNAm"/>
              <w:spacing w:before="60"/>
              <w:jc w:val="center"/>
            </w:pPr>
            <w:r>
              <w:t>72.6</w:t>
            </w:r>
          </w:p>
        </w:tc>
        <w:tc>
          <w:tcPr>
            <w:tcW w:w="1507" w:type="dxa"/>
            <w:tcBorders>
              <w:bottom w:val="single" w:sz="4" w:space="0" w:color="auto"/>
            </w:tcBorders>
          </w:tcPr>
          <w:p>
            <w:pPr>
              <w:pStyle w:val="yTableNAm"/>
              <w:spacing w:before="60"/>
              <w:jc w:val="center"/>
            </w:pPr>
            <w:r>
              <w:t>423.9</w:t>
            </w:r>
          </w:p>
        </w:tc>
        <w:tc>
          <w:tcPr>
            <w:tcW w:w="1508" w:type="dxa"/>
            <w:tcBorders>
              <w:bottom w:val="single" w:sz="4" w:space="0" w:color="auto"/>
            </w:tcBorders>
          </w:tcPr>
          <w:p>
            <w:pPr>
              <w:pStyle w:val="yTableNAm"/>
              <w:spacing w:before="60"/>
              <w:jc w:val="center"/>
            </w:pPr>
            <w:r>
              <w:t>582.6</w:t>
            </w:r>
          </w:p>
        </w:tc>
      </w:tr>
    </w:tbl>
    <w:p>
      <w:pPr>
        <w:pStyle w:val="ySubsection"/>
        <w:spacing w:before="0"/>
        <w:rPr>
          <w:sz w:val="20"/>
        </w:rPr>
      </w:pPr>
    </w:p>
    <w:p>
      <w:pPr>
        <w:pStyle w:val="yHeading5"/>
        <w:keepNext w:val="0"/>
        <w:keepLines w:val="0"/>
        <w:tabs>
          <w:tab w:val="clear" w:pos="879"/>
        </w:tabs>
        <w:spacing w:before="0"/>
        <w:ind w:left="964" w:hanging="964"/>
        <w:rPr>
          <w:b w:val="0"/>
          <w:bCs/>
        </w:rPr>
      </w:pPr>
      <w:bookmarkStart w:id="620" w:name="_Toc237309597"/>
      <w:r>
        <w:rPr>
          <w:rStyle w:val="CharSClsNo"/>
        </w:rPr>
        <w:t>28</w:t>
      </w:r>
      <w:r>
        <w:t>.</w:t>
      </w:r>
      <w:r>
        <w:tab/>
        <w:t>Coral Bay desalinated</w:t>
      </w:r>
      <w:bookmarkEnd w:id="620"/>
    </w:p>
    <w:tbl>
      <w:tblPr>
        <w:tblW w:w="0" w:type="auto"/>
        <w:tblInd w:w="-12" w:type="dxa"/>
        <w:tblLayout w:type="fixed"/>
        <w:tblLook w:val="0000" w:firstRow="0" w:lastRow="0" w:firstColumn="0" w:lastColumn="0" w:noHBand="0" w:noVBand="0"/>
      </w:tblPr>
      <w:tblGrid>
        <w:gridCol w:w="960"/>
        <w:gridCol w:w="4800"/>
        <w:gridCol w:w="1440"/>
      </w:tblGrid>
      <w:tr>
        <w:tc>
          <w:tcPr>
            <w:tcW w:w="960" w:type="dxa"/>
          </w:tcPr>
          <w:p>
            <w:pPr>
              <w:pStyle w:val="yTableNAm"/>
              <w:spacing w:before="100"/>
            </w:pPr>
          </w:p>
        </w:tc>
        <w:tc>
          <w:tcPr>
            <w:tcW w:w="4800" w:type="dxa"/>
          </w:tcPr>
          <w:p>
            <w:pPr>
              <w:pStyle w:val="yTableNAm"/>
              <w:tabs>
                <w:tab w:val="left" w:leader="dot" w:pos="4572"/>
              </w:tabs>
              <w:spacing w:before="100"/>
              <w:rPr>
                <w:spacing w:val="-1"/>
              </w:rPr>
            </w:pPr>
            <w:r>
              <w:rPr>
                <w:spacing w:val="-1"/>
              </w:rPr>
              <w:t xml:space="preserve">For each kilolitre of water supplied to land in the Coral Bay Water Area not classified as residential land, being water that has </w:t>
            </w:r>
            <w:r>
              <w:t>been</w:t>
            </w:r>
            <w:r>
              <w:rPr>
                <w:spacing w:val="-1"/>
              </w:rPr>
              <w:t xml:space="preserve"> treated to reduce the level of, or remove, salts </w:t>
            </w:r>
            <w:r>
              <w:rPr>
                <w:spacing w:val="-1"/>
              </w:rPr>
              <w:tab/>
            </w:r>
          </w:p>
        </w:tc>
        <w:tc>
          <w:tcPr>
            <w:tcW w:w="1440" w:type="dxa"/>
          </w:tcPr>
          <w:p>
            <w:pPr>
              <w:pStyle w:val="yTableNAm"/>
              <w:spacing w:before="100"/>
            </w:pPr>
            <w:r>
              <w:br/>
            </w:r>
            <w:r>
              <w:br/>
            </w:r>
            <w:r>
              <w:br/>
              <w:t>584.6 cents</w:t>
            </w:r>
          </w:p>
        </w:tc>
      </w:tr>
    </w:tbl>
    <w:p>
      <w:pPr>
        <w:pStyle w:val="yHeading5"/>
        <w:keepNext w:val="0"/>
        <w:keepLines w:val="0"/>
        <w:tabs>
          <w:tab w:val="clear" w:pos="879"/>
        </w:tabs>
        <w:ind w:left="964" w:hanging="966"/>
        <w:rPr>
          <w:b w:val="0"/>
          <w:bCs/>
        </w:rPr>
      </w:pPr>
      <w:bookmarkStart w:id="621" w:name="_Toc237309598"/>
      <w:r>
        <w:rPr>
          <w:rStyle w:val="CharSClsNo"/>
        </w:rPr>
        <w:t>29</w:t>
      </w:r>
      <w:r>
        <w:t>.</w:t>
      </w:r>
      <w:r>
        <w:tab/>
        <w:t>Denham desalinated</w:t>
      </w:r>
      <w:bookmarkEnd w:id="621"/>
    </w:p>
    <w:tbl>
      <w:tblPr>
        <w:tblW w:w="0" w:type="auto"/>
        <w:tblInd w:w="-12" w:type="dxa"/>
        <w:tblLayout w:type="fixed"/>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For each kilolitre of water supplied to land in the Denham Country Water Area, being water that has been treated to reduce the level of, or remove, salts —</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s>
              <w:ind w:left="1016" w:hanging="1016"/>
            </w:pPr>
            <w:r>
              <w:rPr>
                <w:snapToGrid w:val="0"/>
              </w:rPr>
              <w:tab/>
              <w:t>(a)</w:t>
            </w:r>
            <w:r>
              <w:rPr>
                <w:snapToGrid w:val="0"/>
              </w:rPr>
              <w:tab/>
              <w:t>in the case of land classified as residential —</w:t>
            </w:r>
          </w:p>
        </w:tc>
        <w:tc>
          <w:tcPr>
            <w:tcW w:w="1440" w:type="dxa"/>
          </w:tcPr>
          <w:p>
            <w:pPr>
              <w:pStyle w:val="yTableNAm"/>
            </w:pP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up to quota </w:t>
            </w:r>
            <w:r>
              <w:tab/>
            </w:r>
          </w:p>
        </w:tc>
        <w:tc>
          <w:tcPr>
            <w:tcW w:w="1440" w:type="dxa"/>
          </w:tcPr>
          <w:p>
            <w:pPr>
              <w:pStyle w:val="yTableNAm"/>
              <w:spacing w:before="60"/>
            </w:pPr>
            <w:r>
              <w:t>53.9 cents</w:t>
            </w: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over quota by up to 1 kL per 7 kL of quota </w:t>
            </w:r>
            <w:r>
              <w:tab/>
            </w:r>
          </w:p>
        </w:tc>
        <w:tc>
          <w:tcPr>
            <w:tcW w:w="1440" w:type="dxa"/>
          </w:tcPr>
          <w:p>
            <w:pPr>
              <w:pStyle w:val="yTableNAm"/>
              <w:spacing w:before="60"/>
            </w:pPr>
            <w:r>
              <w:br/>
              <w:t>395.4 cents</w:t>
            </w: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over </w:t>
            </w:r>
            <w:r>
              <w:rPr>
                <w:spacing w:val="-1"/>
              </w:rPr>
              <w:t>quota</w:t>
            </w:r>
            <w:r>
              <w:t xml:space="preserve"> by more than 1 kL per 7 kL of quota </w:t>
            </w:r>
            <w:r>
              <w:tab/>
            </w:r>
          </w:p>
        </w:tc>
        <w:tc>
          <w:tcPr>
            <w:tcW w:w="1440" w:type="dxa"/>
          </w:tcPr>
          <w:p>
            <w:pPr>
              <w:pStyle w:val="yTableNAm"/>
              <w:spacing w:before="60"/>
            </w:pPr>
            <w:r>
              <w:br/>
              <w:t>1 232.0 cents</w:t>
            </w:r>
          </w:p>
        </w:tc>
      </w:tr>
      <w:tr>
        <w:tc>
          <w:tcPr>
            <w:tcW w:w="960" w:type="dxa"/>
          </w:tcPr>
          <w:p>
            <w:pPr>
              <w:pStyle w:val="yTableNAm"/>
            </w:pPr>
          </w:p>
        </w:tc>
        <w:tc>
          <w:tcPr>
            <w:tcW w:w="4800" w:type="dxa"/>
          </w:tcPr>
          <w:p>
            <w:pPr>
              <w:pStyle w:val="yTableNAm"/>
              <w:tabs>
                <w:tab w:val="clear" w:pos="567"/>
                <w:tab w:val="left" w:pos="416"/>
                <w:tab w:val="left" w:pos="1016"/>
              </w:tabs>
              <w:ind w:left="1016" w:hanging="1016"/>
            </w:pPr>
            <w:r>
              <w:rPr>
                <w:snapToGrid w:val="0"/>
              </w:rPr>
              <w:tab/>
            </w:r>
            <w:r>
              <w:rPr>
                <w:snapToGrid w:val="0"/>
              </w:rPr>
              <w:tab/>
              <w:t>where the quota, for each of the periods of 4 consecutive months during the year, is 35 kL or such greater amount as the Corporation may from time to time determine for the land concerned;</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s>
              <w:ind w:left="1016" w:hanging="1016"/>
            </w:pPr>
            <w:r>
              <w:rPr>
                <w:snapToGrid w:val="0"/>
              </w:rPr>
              <w:tab/>
              <w:t>(b)</w:t>
            </w:r>
            <w:r>
              <w:rPr>
                <w:snapToGrid w:val="0"/>
              </w:rPr>
              <w:tab/>
              <w:t>in the case of land not classified as residential —</w:t>
            </w:r>
          </w:p>
        </w:tc>
        <w:tc>
          <w:tcPr>
            <w:tcW w:w="1440" w:type="dxa"/>
          </w:tcPr>
          <w:p>
            <w:pPr>
              <w:pStyle w:val="yTableNAm"/>
            </w:pP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up to </w:t>
            </w:r>
            <w:r>
              <w:rPr>
                <w:spacing w:val="-1"/>
              </w:rPr>
              <w:t>quota</w:t>
            </w:r>
            <w:r>
              <w:t xml:space="preserve"> </w:t>
            </w:r>
            <w:r>
              <w:tab/>
            </w:r>
          </w:p>
        </w:tc>
        <w:tc>
          <w:tcPr>
            <w:tcW w:w="1440" w:type="dxa"/>
          </w:tcPr>
          <w:p>
            <w:pPr>
              <w:pStyle w:val="yTableNAm"/>
              <w:spacing w:before="60"/>
            </w:pPr>
            <w:r>
              <w:t>53.9 cents</w:t>
            </w: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over quota </w:t>
            </w:r>
            <w:r>
              <w:tab/>
            </w:r>
          </w:p>
        </w:tc>
        <w:tc>
          <w:tcPr>
            <w:tcW w:w="1440" w:type="dxa"/>
          </w:tcPr>
          <w:p>
            <w:pPr>
              <w:pStyle w:val="yTableNAm"/>
              <w:spacing w:before="60"/>
            </w:pPr>
            <w:r>
              <w:t>1 232.0 cents</w:t>
            </w:r>
          </w:p>
        </w:tc>
      </w:tr>
      <w:tr>
        <w:tc>
          <w:tcPr>
            <w:tcW w:w="960" w:type="dxa"/>
          </w:tcPr>
          <w:p>
            <w:pPr>
              <w:pStyle w:val="yTableNAm"/>
            </w:pPr>
          </w:p>
        </w:tc>
        <w:tc>
          <w:tcPr>
            <w:tcW w:w="4800" w:type="dxa"/>
          </w:tcPr>
          <w:p>
            <w:pPr>
              <w:pStyle w:val="yTableNAm"/>
              <w:tabs>
                <w:tab w:val="clear" w:pos="567"/>
                <w:tab w:val="left" w:pos="416"/>
                <w:tab w:val="left" w:pos="1016"/>
              </w:tabs>
              <w:ind w:left="1016" w:hanging="1016"/>
            </w:pPr>
            <w:r>
              <w:rPr>
                <w:snapToGrid w:val="0"/>
              </w:rPr>
              <w:tab/>
            </w:r>
            <w:r>
              <w:rPr>
                <w:snapToGrid w:val="0"/>
              </w:rPr>
              <w:tab/>
              <w:t>where the quota for the year is 105 kL or such greater amount as the Corporation may from time to time determine for the land concerned.</w:t>
            </w:r>
          </w:p>
        </w:tc>
        <w:tc>
          <w:tcPr>
            <w:tcW w:w="1440" w:type="dxa"/>
          </w:tcPr>
          <w:p>
            <w:pPr>
              <w:pStyle w:val="yTableNAm"/>
            </w:pPr>
          </w:p>
        </w:tc>
      </w:tr>
    </w:tbl>
    <w:p>
      <w:pPr>
        <w:pStyle w:val="yHeading5"/>
        <w:keepNext w:val="0"/>
        <w:keepLines w:val="0"/>
        <w:tabs>
          <w:tab w:val="clear" w:pos="879"/>
        </w:tabs>
        <w:ind w:left="964" w:hanging="966"/>
        <w:rPr>
          <w:b w:val="0"/>
          <w:bCs/>
        </w:rPr>
      </w:pPr>
      <w:bookmarkStart w:id="622" w:name="_Toc237309599"/>
      <w:r>
        <w:rPr>
          <w:rStyle w:val="CharSClsNo"/>
        </w:rPr>
        <w:t>30</w:t>
      </w:r>
      <w:r>
        <w:t>.</w:t>
      </w:r>
      <w:r>
        <w:tab/>
        <w:t>Local government standpipes</w:t>
      </w:r>
      <w:bookmarkEnd w:id="622"/>
    </w:p>
    <w:tbl>
      <w:tblPr>
        <w:tblW w:w="0" w:type="auto"/>
        <w:tblInd w:w="-12" w:type="dxa"/>
        <w:tblLayout w:type="fixed"/>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tabs>
                <w:tab w:val="left" w:leader="dot" w:pos="4572"/>
              </w:tabs>
              <w:rPr>
                <w:spacing w:val="-1"/>
              </w:rPr>
            </w:pPr>
            <w:r>
              <w:rPr>
                <w:spacing w:val="-1"/>
              </w:rPr>
              <w:t xml:space="preserve">For </w:t>
            </w:r>
            <w:r>
              <w:rPr>
                <w:snapToGrid w:val="0"/>
              </w:rPr>
              <w:t>each</w:t>
            </w:r>
            <w:r>
              <w:rPr>
                <w:spacing w:val="-1"/>
              </w:rPr>
              <w:t xml:space="preserve"> kilolitre of </w:t>
            </w:r>
            <w:r>
              <w:t>water</w:t>
            </w:r>
            <w:r>
              <w:rPr>
                <w:spacing w:val="-1"/>
              </w:rPr>
              <w:t xml:space="preserve"> supplied through a local government </w:t>
            </w:r>
            <w:r>
              <w:t>standpipe</w:t>
            </w:r>
            <w:r>
              <w:rPr>
                <w:spacing w:val="-1"/>
              </w:rPr>
              <w:t xml:space="preserve"> </w:t>
            </w:r>
            <w:r>
              <w:rPr>
                <w:spacing w:val="-1"/>
              </w:rPr>
              <w:tab/>
            </w:r>
          </w:p>
        </w:tc>
        <w:tc>
          <w:tcPr>
            <w:tcW w:w="1440" w:type="dxa"/>
          </w:tcPr>
          <w:p>
            <w:pPr>
              <w:pStyle w:val="yTableNAm"/>
            </w:pPr>
            <w:r>
              <w:br/>
              <w:t>112.8 cents</w:t>
            </w:r>
          </w:p>
        </w:tc>
      </w:tr>
    </w:tbl>
    <w:p>
      <w:pPr>
        <w:pStyle w:val="yHeading5"/>
        <w:keepNext w:val="0"/>
        <w:keepLines w:val="0"/>
        <w:tabs>
          <w:tab w:val="clear" w:pos="879"/>
        </w:tabs>
        <w:ind w:left="964" w:hanging="966"/>
        <w:rPr>
          <w:b w:val="0"/>
          <w:bCs/>
        </w:rPr>
      </w:pPr>
      <w:bookmarkStart w:id="623" w:name="_Toc237309600"/>
      <w:r>
        <w:rPr>
          <w:rStyle w:val="CharSClsNo"/>
        </w:rPr>
        <w:t>31</w:t>
      </w:r>
      <w:r>
        <w:t>.</w:t>
      </w:r>
      <w:r>
        <w:tab/>
        <w:t>Shipping</w:t>
      </w:r>
      <w:bookmarkEnd w:id="623"/>
    </w:p>
    <w:tbl>
      <w:tblPr>
        <w:tblW w:w="0" w:type="auto"/>
        <w:tblInd w:w="-12" w:type="dxa"/>
        <w:tblLayout w:type="fixed"/>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 xml:space="preserve">For </w:t>
            </w:r>
            <w:r>
              <w:rPr>
                <w:snapToGrid w:val="0"/>
              </w:rPr>
              <w:t>each</w:t>
            </w:r>
            <w:r>
              <w:t xml:space="preserve"> kilolitre of water supplied for the purpose of being taken on board any ship in port —</w:t>
            </w:r>
          </w:p>
        </w:tc>
        <w:tc>
          <w:tcPr>
            <w:tcW w:w="1440" w:type="dxa"/>
          </w:tcPr>
          <w:p>
            <w:pPr>
              <w:pStyle w:val="yTableNAm"/>
            </w:pPr>
          </w:p>
        </w:tc>
      </w:tr>
      <w:tr>
        <w:tc>
          <w:tcPr>
            <w:tcW w:w="960" w:type="dxa"/>
          </w:tcPr>
          <w:p>
            <w:pPr>
              <w:pStyle w:val="yTableNAm"/>
            </w:pPr>
          </w:p>
        </w:tc>
        <w:tc>
          <w:tcPr>
            <w:tcW w:w="4800" w:type="dxa"/>
          </w:tcPr>
          <w:p>
            <w:pPr>
              <w:pStyle w:val="yTableNAm"/>
              <w:tabs>
                <w:tab w:val="clear" w:pos="567"/>
                <w:tab w:val="left" w:pos="416"/>
                <w:tab w:val="left" w:pos="1016"/>
              </w:tabs>
              <w:ind w:left="1016" w:hanging="1016"/>
            </w:pPr>
            <w:r>
              <w:rPr>
                <w:snapToGrid w:val="0"/>
              </w:rPr>
              <w:tab/>
              <w:t>(a)</w:t>
            </w:r>
            <w:r>
              <w:rPr>
                <w:snapToGrid w:val="0"/>
              </w:rPr>
              <w:tab/>
              <w:t>in the metropolitan area —</w:t>
            </w:r>
          </w:p>
        </w:tc>
        <w:tc>
          <w:tcPr>
            <w:tcW w:w="1440" w:type="dxa"/>
          </w:tcPr>
          <w:p>
            <w:pPr>
              <w:pStyle w:val="yTableNAm"/>
            </w:pP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pPr>
            <w:r>
              <w:tab/>
              <w:t xml:space="preserve">up to 600 kL </w:t>
            </w:r>
            <w:r>
              <w:tab/>
            </w:r>
          </w:p>
        </w:tc>
        <w:tc>
          <w:tcPr>
            <w:tcW w:w="1440" w:type="dxa"/>
          </w:tcPr>
          <w:p>
            <w:pPr>
              <w:pStyle w:val="yTableNAm"/>
              <w:spacing w:before="60"/>
            </w:pPr>
            <w:r>
              <w:t>117.1 cents</w:t>
            </w: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rPr>
                <w:rFonts w:ascii="Times" w:hAnsi="Times"/>
              </w:rPr>
            </w:pPr>
            <w:r>
              <w:tab/>
            </w:r>
            <w:r>
              <w:rPr>
                <w:rFonts w:ascii="Times" w:hAnsi="Times"/>
              </w:rPr>
              <w:t xml:space="preserve">over 600 kL </w:t>
            </w:r>
            <w:r>
              <w:rPr>
                <w:spacing w:val="-1"/>
              </w:rPr>
              <w:t>but</w:t>
            </w:r>
            <w:r>
              <w:rPr>
                <w:rFonts w:ascii="Times" w:hAnsi="Times"/>
              </w:rPr>
              <w:t xml:space="preserve"> not over 1 100 000 kL </w:t>
            </w:r>
            <w:r>
              <w:rPr>
                <w:rFonts w:ascii="Times" w:hAnsi="Times"/>
              </w:rPr>
              <w:tab/>
            </w:r>
          </w:p>
        </w:tc>
        <w:tc>
          <w:tcPr>
            <w:tcW w:w="1440" w:type="dxa"/>
          </w:tcPr>
          <w:p>
            <w:pPr>
              <w:pStyle w:val="yTableNAm"/>
              <w:spacing w:before="60"/>
            </w:pPr>
            <w:r>
              <w:br/>
              <w:t>122.0 cents</w:t>
            </w:r>
          </w:p>
        </w:tc>
      </w:tr>
      <w:tr>
        <w:tc>
          <w:tcPr>
            <w:tcW w:w="960" w:type="dxa"/>
          </w:tcPr>
          <w:p>
            <w:pPr>
              <w:pStyle w:val="yTableNAm"/>
              <w:spacing w:before="60"/>
            </w:pPr>
          </w:p>
        </w:tc>
        <w:tc>
          <w:tcPr>
            <w:tcW w:w="4800" w:type="dxa"/>
          </w:tcPr>
          <w:p>
            <w:pPr>
              <w:pStyle w:val="yTableNAm"/>
              <w:tabs>
                <w:tab w:val="clear" w:pos="567"/>
                <w:tab w:val="left" w:pos="1256"/>
                <w:tab w:val="left" w:leader="dot" w:pos="4572"/>
              </w:tabs>
              <w:spacing w:before="60"/>
              <w:ind w:left="1259" w:hanging="1259"/>
              <w:rPr>
                <w:spacing w:val="-1"/>
              </w:rPr>
            </w:pPr>
            <w:r>
              <w:rPr>
                <w:spacing w:val="-1"/>
              </w:rPr>
              <w:tab/>
            </w:r>
            <w:r>
              <w:t>over</w:t>
            </w:r>
            <w:r>
              <w:rPr>
                <w:spacing w:val="-1"/>
              </w:rPr>
              <w:t xml:space="preserve"> 1 100 000 kL </w:t>
            </w:r>
            <w:r>
              <w:rPr>
                <w:spacing w:val="-1"/>
              </w:rPr>
              <w:tab/>
            </w:r>
          </w:p>
        </w:tc>
        <w:tc>
          <w:tcPr>
            <w:tcW w:w="1440" w:type="dxa"/>
          </w:tcPr>
          <w:p>
            <w:pPr>
              <w:pStyle w:val="yTableNAm"/>
              <w:spacing w:before="60"/>
            </w:pPr>
            <w:r>
              <w:t>120.8 cents</w:t>
            </w:r>
          </w:p>
        </w:tc>
      </w:tr>
      <w:tr>
        <w:tc>
          <w:tcPr>
            <w:tcW w:w="960" w:type="dxa"/>
          </w:tcPr>
          <w:p>
            <w:pPr>
              <w:pStyle w:val="yTableNAm"/>
            </w:pPr>
          </w:p>
        </w:tc>
        <w:tc>
          <w:tcPr>
            <w:tcW w:w="4800" w:type="dxa"/>
          </w:tcPr>
          <w:p>
            <w:pPr>
              <w:pStyle w:val="yTableNAm"/>
              <w:tabs>
                <w:tab w:val="clear" w:pos="567"/>
                <w:tab w:val="left" w:pos="416"/>
                <w:tab w:val="left" w:pos="1016"/>
              </w:tabs>
              <w:ind w:left="1016" w:hanging="1016"/>
              <w:rPr>
                <w:spacing w:val="-1"/>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440" w:type="dxa"/>
          </w:tcPr>
          <w:p>
            <w:pPr>
              <w:pStyle w:val="yTableNAm"/>
            </w:pPr>
          </w:p>
        </w:tc>
      </w:tr>
    </w:tbl>
    <w:p>
      <w:pPr>
        <w:pStyle w:val="ySubsection"/>
        <w:spacing w:before="0"/>
      </w:pPr>
    </w:p>
    <w:tbl>
      <w:tblPr>
        <w:tblW w:w="6520" w:type="dxa"/>
        <w:tblInd w:w="454" w:type="dxa"/>
        <w:tblLayout w:type="fixed"/>
        <w:tblCellMar>
          <w:left w:w="28" w:type="dxa"/>
          <w:right w:w="28" w:type="dxa"/>
        </w:tblCellMar>
        <w:tblLook w:val="0000" w:firstRow="0" w:lastRow="0" w:firstColumn="0" w:lastColumn="0" w:noHBand="0" w:noVBand="0"/>
      </w:tblPr>
      <w:tblGrid>
        <w:gridCol w:w="1842"/>
        <w:gridCol w:w="2339"/>
        <w:gridCol w:w="2339"/>
      </w:tblGrid>
      <w:tr>
        <w:trPr>
          <w:cantSplit/>
          <w:trHeight w:val="217"/>
          <w:tblHeader/>
        </w:trPr>
        <w:tc>
          <w:tcPr>
            <w:tcW w:w="1842" w:type="dxa"/>
            <w:vMerge w:val="restart"/>
            <w:tcBorders>
              <w:top w:val="single" w:sz="4" w:space="0" w:color="auto"/>
            </w:tcBorders>
          </w:tcPr>
          <w:p>
            <w:pPr>
              <w:pStyle w:val="yTableNAm"/>
              <w:spacing w:before="60"/>
              <w:rPr>
                <w:b/>
                <w:bCs/>
              </w:rPr>
            </w:pPr>
            <w:r>
              <w:rPr>
                <w:b/>
                <w:bCs/>
              </w:rPr>
              <w:t>Class</w:t>
            </w:r>
          </w:p>
        </w:tc>
        <w:tc>
          <w:tcPr>
            <w:tcW w:w="4678" w:type="dxa"/>
            <w:gridSpan w:val="2"/>
            <w:tcBorders>
              <w:top w:val="single" w:sz="4" w:space="0" w:color="auto"/>
            </w:tcBorders>
          </w:tcPr>
          <w:p>
            <w:pPr>
              <w:pStyle w:val="yTableNAm"/>
              <w:spacing w:before="60"/>
              <w:jc w:val="center"/>
              <w:rPr>
                <w:b/>
                <w:bCs/>
              </w:rPr>
            </w:pPr>
            <w:r>
              <w:rPr>
                <w:b/>
                <w:bCs/>
              </w:rPr>
              <w:t>Consumption (kL)</w:t>
            </w:r>
          </w:p>
        </w:tc>
      </w:tr>
      <w:tr>
        <w:trPr>
          <w:cantSplit/>
          <w:trHeight w:val="217"/>
          <w:tblHeader/>
        </w:trPr>
        <w:tc>
          <w:tcPr>
            <w:tcW w:w="1842" w:type="dxa"/>
            <w:vMerge/>
            <w:tcBorders>
              <w:bottom w:val="single" w:sz="4" w:space="0" w:color="auto"/>
            </w:tcBorders>
          </w:tcPr>
          <w:p>
            <w:pPr>
              <w:pStyle w:val="yTableNAm"/>
              <w:spacing w:before="60"/>
              <w:rPr>
                <w:b/>
                <w:bCs/>
              </w:rPr>
            </w:pPr>
          </w:p>
        </w:tc>
        <w:tc>
          <w:tcPr>
            <w:tcW w:w="2339" w:type="dxa"/>
            <w:tcBorders>
              <w:bottom w:val="single" w:sz="4" w:space="0" w:color="auto"/>
            </w:tcBorders>
          </w:tcPr>
          <w:p>
            <w:pPr>
              <w:pStyle w:val="yTableNAm"/>
              <w:spacing w:before="60"/>
              <w:jc w:val="center"/>
              <w:rPr>
                <w:b/>
                <w:bCs/>
              </w:rPr>
            </w:pPr>
            <w:r>
              <w:rPr>
                <w:b/>
                <w:bCs/>
              </w:rPr>
              <w:t>Up to 300</w:t>
            </w:r>
          </w:p>
        </w:tc>
        <w:tc>
          <w:tcPr>
            <w:tcW w:w="2339" w:type="dxa"/>
            <w:tcBorders>
              <w:bottom w:val="single" w:sz="4" w:space="0" w:color="auto"/>
            </w:tcBorders>
          </w:tcPr>
          <w:p>
            <w:pPr>
              <w:pStyle w:val="yTableNAm"/>
              <w:spacing w:before="60"/>
              <w:jc w:val="center"/>
              <w:rPr>
                <w:b/>
                <w:bCs/>
              </w:rPr>
            </w:pPr>
            <w:r>
              <w:rPr>
                <w:b/>
                <w:bCs/>
              </w:rPr>
              <w:t>Over 300</w:t>
            </w:r>
          </w:p>
        </w:tc>
      </w:tr>
      <w:tr>
        <w:tc>
          <w:tcPr>
            <w:tcW w:w="1842" w:type="dxa"/>
            <w:tcBorders>
              <w:top w:val="single" w:sz="4" w:space="0" w:color="auto"/>
            </w:tcBorders>
          </w:tcPr>
          <w:p>
            <w:pPr>
              <w:pStyle w:val="yTableNAm"/>
              <w:spacing w:before="60"/>
            </w:pPr>
            <w:r>
              <w:t>Class 1 (c/kL)</w:t>
            </w:r>
          </w:p>
        </w:tc>
        <w:tc>
          <w:tcPr>
            <w:tcW w:w="2339" w:type="dxa"/>
            <w:tcBorders>
              <w:top w:val="single" w:sz="4" w:space="0" w:color="auto"/>
            </w:tcBorders>
          </w:tcPr>
          <w:p>
            <w:pPr>
              <w:pStyle w:val="yTableNAm"/>
              <w:spacing w:before="60"/>
              <w:jc w:val="center"/>
            </w:pPr>
            <w:r>
              <w:t>119.7</w:t>
            </w:r>
          </w:p>
        </w:tc>
        <w:tc>
          <w:tcPr>
            <w:tcW w:w="2339" w:type="dxa"/>
            <w:tcBorders>
              <w:top w:val="single" w:sz="4" w:space="0" w:color="auto"/>
            </w:tcBorders>
          </w:tcPr>
          <w:p>
            <w:pPr>
              <w:pStyle w:val="yTableNAm"/>
              <w:spacing w:before="60"/>
              <w:jc w:val="center"/>
            </w:pPr>
            <w:r>
              <w:t>176.8</w:t>
            </w:r>
          </w:p>
        </w:tc>
      </w:tr>
      <w:tr>
        <w:tc>
          <w:tcPr>
            <w:tcW w:w="1842" w:type="dxa"/>
          </w:tcPr>
          <w:p>
            <w:pPr>
              <w:pStyle w:val="yTableNAm"/>
              <w:spacing w:before="60"/>
            </w:pPr>
            <w:r>
              <w:t>Class 2 (c/kL)</w:t>
            </w:r>
          </w:p>
        </w:tc>
        <w:tc>
          <w:tcPr>
            <w:tcW w:w="2339" w:type="dxa"/>
          </w:tcPr>
          <w:p>
            <w:pPr>
              <w:pStyle w:val="yTableNAm"/>
              <w:spacing w:before="60"/>
              <w:jc w:val="center"/>
            </w:pPr>
            <w:r>
              <w:t>133.9</w:t>
            </w:r>
          </w:p>
        </w:tc>
        <w:tc>
          <w:tcPr>
            <w:tcW w:w="2339" w:type="dxa"/>
          </w:tcPr>
          <w:p>
            <w:pPr>
              <w:pStyle w:val="yTableNAm"/>
              <w:spacing w:before="60"/>
              <w:jc w:val="center"/>
            </w:pPr>
            <w:r>
              <w:t>192.6</w:t>
            </w:r>
          </w:p>
        </w:tc>
      </w:tr>
      <w:tr>
        <w:tc>
          <w:tcPr>
            <w:tcW w:w="1842" w:type="dxa"/>
          </w:tcPr>
          <w:p>
            <w:pPr>
              <w:pStyle w:val="yTableNAm"/>
              <w:spacing w:before="60"/>
            </w:pPr>
            <w:r>
              <w:t>Class 3 (c/kL)</w:t>
            </w:r>
          </w:p>
        </w:tc>
        <w:tc>
          <w:tcPr>
            <w:tcW w:w="2339" w:type="dxa"/>
          </w:tcPr>
          <w:p>
            <w:pPr>
              <w:pStyle w:val="yTableNAm"/>
              <w:spacing w:before="60"/>
              <w:jc w:val="center"/>
            </w:pPr>
            <w:r>
              <w:t>149.6</w:t>
            </w:r>
          </w:p>
        </w:tc>
        <w:tc>
          <w:tcPr>
            <w:tcW w:w="2339" w:type="dxa"/>
          </w:tcPr>
          <w:p>
            <w:pPr>
              <w:pStyle w:val="yTableNAm"/>
              <w:spacing w:before="60"/>
              <w:jc w:val="center"/>
            </w:pPr>
            <w:r>
              <w:t>209.5</w:t>
            </w:r>
          </w:p>
        </w:tc>
      </w:tr>
      <w:tr>
        <w:tc>
          <w:tcPr>
            <w:tcW w:w="1842" w:type="dxa"/>
          </w:tcPr>
          <w:p>
            <w:pPr>
              <w:pStyle w:val="yTableNAm"/>
              <w:spacing w:before="60"/>
            </w:pPr>
            <w:r>
              <w:t>Class 4 (c/kL)</w:t>
            </w:r>
          </w:p>
        </w:tc>
        <w:tc>
          <w:tcPr>
            <w:tcW w:w="2339" w:type="dxa"/>
          </w:tcPr>
          <w:p>
            <w:pPr>
              <w:pStyle w:val="yTableNAm"/>
              <w:spacing w:before="60"/>
              <w:jc w:val="center"/>
            </w:pPr>
            <w:r>
              <w:t>167.2</w:t>
            </w:r>
          </w:p>
        </w:tc>
        <w:tc>
          <w:tcPr>
            <w:tcW w:w="2339" w:type="dxa"/>
          </w:tcPr>
          <w:p>
            <w:pPr>
              <w:pStyle w:val="yTableNAm"/>
              <w:spacing w:before="60"/>
              <w:jc w:val="center"/>
            </w:pPr>
            <w:r>
              <w:t>228.2</w:t>
            </w:r>
          </w:p>
        </w:tc>
      </w:tr>
      <w:tr>
        <w:tc>
          <w:tcPr>
            <w:tcW w:w="1842" w:type="dxa"/>
          </w:tcPr>
          <w:p>
            <w:pPr>
              <w:pStyle w:val="yTableNAm"/>
              <w:spacing w:before="60"/>
            </w:pPr>
            <w:r>
              <w:t>Class 5 (c/kL)</w:t>
            </w:r>
          </w:p>
        </w:tc>
        <w:tc>
          <w:tcPr>
            <w:tcW w:w="2339" w:type="dxa"/>
          </w:tcPr>
          <w:p>
            <w:pPr>
              <w:pStyle w:val="yTableNAm"/>
              <w:spacing w:before="60"/>
              <w:jc w:val="center"/>
            </w:pPr>
            <w:r>
              <w:t>187.0</w:t>
            </w:r>
          </w:p>
        </w:tc>
        <w:tc>
          <w:tcPr>
            <w:tcW w:w="2339" w:type="dxa"/>
          </w:tcPr>
          <w:p>
            <w:pPr>
              <w:pStyle w:val="yTableNAm"/>
              <w:spacing w:before="60"/>
              <w:jc w:val="center"/>
            </w:pPr>
            <w:r>
              <w:t>248.5</w:t>
            </w:r>
          </w:p>
        </w:tc>
      </w:tr>
      <w:tr>
        <w:tc>
          <w:tcPr>
            <w:tcW w:w="1842" w:type="dxa"/>
          </w:tcPr>
          <w:p>
            <w:pPr>
              <w:pStyle w:val="yTableNAm"/>
              <w:spacing w:before="60"/>
            </w:pPr>
            <w:r>
              <w:t>Class 6 (c/kL)</w:t>
            </w:r>
          </w:p>
        </w:tc>
        <w:tc>
          <w:tcPr>
            <w:tcW w:w="2339" w:type="dxa"/>
          </w:tcPr>
          <w:p>
            <w:pPr>
              <w:pStyle w:val="yTableNAm"/>
              <w:spacing w:before="60"/>
              <w:jc w:val="center"/>
            </w:pPr>
            <w:r>
              <w:t>203.1</w:t>
            </w:r>
          </w:p>
        </w:tc>
        <w:tc>
          <w:tcPr>
            <w:tcW w:w="2339" w:type="dxa"/>
          </w:tcPr>
          <w:p>
            <w:pPr>
              <w:pStyle w:val="yTableNAm"/>
              <w:spacing w:before="60"/>
              <w:jc w:val="center"/>
            </w:pPr>
            <w:r>
              <w:t>270.6</w:t>
            </w:r>
          </w:p>
        </w:tc>
      </w:tr>
      <w:tr>
        <w:tc>
          <w:tcPr>
            <w:tcW w:w="1842" w:type="dxa"/>
          </w:tcPr>
          <w:p>
            <w:pPr>
              <w:pStyle w:val="yTableNAm"/>
              <w:spacing w:before="60"/>
            </w:pPr>
            <w:r>
              <w:t>Class 7 (c/kL)</w:t>
            </w:r>
          </w:p>
        </w:tc>
        <w:tc>
          <w:tcPr>
            <w:tcW w:w="2339" w:type="dxa"/>
          </w:tcPr>
          <w:p>
            <w:pPr>
              <w:pStyle w:val="yTableNAm"/>
              <w:spacing w:before="60"/>
              <w:jc w:val="center"/>
            </w:pPr>
            <w:r>
              <w:t>220.6</w:t>
            </w:r>
          </w:p>
        </w:tc>
        <w:tc>
          <w:tcPr>
            <w:tcW w:w="2339" w:type="dxa"/>
          </w:tcPr>
          <w:p>
            <w:pPr>
              <w:pStyle w:val="yTableNAm"/>
              <w:spacing w:before="60"/>
              <w:jc w:val="center"/>
            </w:pPr>
            <w:r>
              <w:t>294.7</w:t>
            </w:r>
          </w:p>
        </w:tc>
      </w:tr>
      <w:tr>
        <w:tc>
          <w:tcPr>
            <w:tcW w:w="1842" w:type="dxa"/>
          </w:tcPr>
          <w:p>
            <w:pPr>
              <w:pStyle w:val="yTableNAm"/>
              <w:spacing w:before="60"/>
            </w:pPr>
            <w:r>
              <w:t>Class 8 (c/kL)</w:t>
            </w:r>
          </w:p>
        </w:tc>
        <w:tc>
          <w:tcPr>
            <w:tcW w:w="2339" w:type="dxa"/>
          </w:tcPr>
          <w:p>
            <w:pPr>
              <w:pStyle w:val="yTableNAm"/>
              <w:spacing w:before="60"/>
              <w:jc w:val="center"/>
            </w:pPr>
            <w:r>
              <w:t>237.4</w:t>
            </w:r>
          </w:p>
        </w:tc>
        <w:tc>
          <w:tcPr>
            <w:tcW w:w="2339" w:type="dxa"/>
          </w:tcPr>
          <w:p>
            <w:pPr>
              <w:pStyle w:val="yTableNAm"/>
              <w:spacing w:before="60"/>
              <w:jc w:val="center"/>
            </w:pPr>
            <w:r>
              <w:t>320.9</w:t>
            </w:r>
          </w:p>
        </w:tc>
      </w:tr>
      <w:tr>
        <w:tc>
          <w:tcPr>
            <w:tcW w:w="1842" w:type="dxa"/>
          </w:tcPr>
          <w:p>
            <w:pPr>
              <w:pStyle w:val="yTableNAm"/>
              <w:spacing w:before="60"/>
            </w:pPr>
            <w:r>
              <w:t>Class 9 (c/kL)</w:t>
            </w:r>
          </w:p>
        </w:tc>
        <w:tc>
          <w:tcPr>
            <w:tcW w:w="2339" w:type="dxa"/>
          </w:tcPr>
          <w:p>
            <w:pPr>
              <w:pStyle w:val="yTableNAm"/>
              <w:spacing w:before="60"/>
              <w:jc w:val="center"/>
            </w:pPr>
            <w:r>
              <w:t>255.5</w:t>
            </w:r>
          </w:p>
        </w:tc>
        <w:tc>
          <w:tcPr>
            <w:tcW w:w="2339" w:type="dxa"/>
          </w:tcPr>
          <w:p>
            <w:pPr>
              <w:pStyle w:val="yTableNAm"/>
              <w:spacing w:before="60"/>
              <w:jc w:val="center"/>
            </w:pPr>
            <w:r>
              <w:t>349.4</w:t>
            </w:r>
          </w:p>
        </w:tc>
      </w:tr>
      <w:tr>
        <w:tc>
          <w:tcPr>
            <w:tcW w:w="1842" w:type="dxa"/>
          </w:tcPr>
          <w:p>
            <w:pPr>
              <w:pStyle w:val="yTableNAm"/>
              <w:spacing w:before="60"/>
            </w:pPr>
            <w:r>
              <w:t>Class 10 (c/kL)</w:t>
            </w:r>
          </w:p>
        </w:tc>
        <w:tc>
          <w:tcPr>
            <w:tcW w:w="2339" w:type="dxa"/>
          </w:tcPr>
          <w:p>
            <w:pPr>
              <w:pStyle w:val="yTableNAm"/>
              <w:spacing w:before="60"/>
              <w:jc w:val="center"/>
            </w:pPr>
            <w:r>
              <w:t>265.9</w:t>
            </w:r>
          </w:p>
        </w:tc>
        <w:tc>
          <w:tcPr>
            <w:tcW w:w="2339" w:type="dxa"/>
          </w:tcPr>
          <w:p>
            <w:pPr>
              <w:pStyle w:val="yTableNAm"/>
              <w:spacing w:before="60"/>
              <w:jc w:val="center"/>
            </w:pPr>
            <w:r>
              <w:t>380.5</w:t>
            </w:r>
          </w:p>
        </w:tc>
      </w:tr>
      <w:tr>
        <w:tc>
          <w:tcPr>
            <w:tcW w:w="1842" w:type="dxa"/>
          </w:tcPr>
          <w:p>
            <w:pPr>
              <w:pStyle w:val="yTableNAm"/>
              <w:spacing w:before="60"/>
            </w:pPr>
            <w:r>
              <w:t>Class 11 (c/kL)</w:t>
            </w:r>
          </w:p>
        </w:tc>
        <w:tc>
          <w:tcPr>
            <w:tcW w:w="2339" w:type="dxa"/>
          </w:tcPr>
          <w:p>
            <w:pPr>
              <w:pStyle w:val="yTableNAm"/>
              <w:spacing w:before="60"/>
              <w:jc w:val="center"/>
            </w:pPr>
            <w:r>
              <w:t>291.9</w:t>
            </w:r>
          </w:p>
        </w:tc>
        <w:tc>
          <w:tcPr>
            <w:tcW w:w="2339" w:type="dxa"/>
          </w:tcPr>
          <w:p>
            <w:pPr>
              <w:pStyle w:val="yTableNAm"/>
              <w:spacing w:before="60"/>
              <w:jc w:val="center"/>
            </w:pPr>
            <w:r>
              <w:t>414.3</w:t>
            </w:r>
          </w:p>
        </w:tc>
      </w:tr>
      <w:tr>
        <w:tc>
          <w:tcPr>
            <w:tcW w:w="1842" w:type="dxa"/>
          </w:tcPr>
          <w:p>
            <w:pPr>
              <w:pStyle w:val="yTableNAm"/>
              <w:spacing w:before="60"/>
            </w:pPr>
            <w:r>
              <w:t>Class 12 (c/kL)</w:t>
            </w:r>
          </w:p>
        </w:tc>
        <w:tc>
          <w:tcPr>
            <w:tcW w:w="2339" w:type="dxa"/>
          </w:tcPr>
          <w:p>
            <w:pPr>
              <w:pStyle w:val="yTableNAm"/>
              <w:spacing w:before="60"/>
              <w:jc w:val="center"/>
            </w:pPr>
            <w:r>
              <w:t>320.4</w:t>
            </w:r>
          </w:p>
        </w:tc>
        <w:tc>
          <w:tcPr>
            <w:tcW w:w="2339" w:type="dxa"/>
          </w:tcPr>
          <w:p>
            <w:pPr>
              <w:pStyle w:val="yTableNAm"/>
              <w:spacing w:before="60"/>
              <w:jc w:val="center"/>
            </w:pPr>
            <w:r>
              <w:t>451.2</w:t>
            </w:r>
          </w:p>
        </w:tc>
      </w:tr>
      <w:tr>
        <w:tc>
          <w:tcPr>
            <w:tcW w:w="1842" w:type="dxa"/>
          </w:tcPr>
          <w:p>
            <w:pPr>
              <w:pStyle w:val="yTableNAm"/>
              <w:spacing w:before="60"/>
            </w:pPr>
            <w:r>
              <w:t>Class 13 (c/kL)</w:t>
            </w:r>
          </w:p>
        </w:tc>
        <w:tc>
          <w:tcPr>
            <w:tcW w:w="2339" w:type="dxa"/>
          </w:tcPr>
          <w:p>
            <w:pPr>
              <w:pStyle w:val="yTableNAm"/>
              <w:spacing w:before="60"/>
              <w:jc w:val="center"/>
            </w:pPr>
            <w:r>
              <w:t>351.7</w:t>
            </w:r>
          </w:p>
        </w:tc>
        <w:tc>
          <w:tcPr>
            <w:tcW w:w="2339" w:type="dxa"/>
          </w:tcPr>
          <w:p>
            <w:pPr>
              <w:pStyle w:val="yTableNAm"/>
              <w:spacing w:before="60"/>
              <w:jc w:val="center"/>
            </w:pPr>
            <w:r>
              <w:t>491.3</w:t>
            </w:r>
          </w:p>
        </w:tc>
      </w:tr>
      <w:tr>
        <w:tc>
          <w:tcPr>
            <w:tcW w:w="1842" w:type="dxa"/>
          </w:tcPr>
          <w:p>
            <w:pPr>
              <w:pStyle w:val="yTableNAm"/>
              <w:spacing w:before="60"/>
            </w:pPr>
            <w:r>
              <w:t>Class 14 (c/kL)</w:t>
            </w:r>
          </w:p>
        </w:tc>
        <w:tc>
          <w:tcPr>
            <w:tcW w:w="2339" w:type="dxa"/>
          </w:tcPr>
          <w:p>
            <w:pPr>
              <w:pStyle w:val="yTableNAm"/>
              <w:spacing w:before="60"/>
              <w:jc w:val="center"/>
            </w:pPr>
            <w:r>
              <w:t>386.2</w:t>
            </w:r>
          </w:p>
        </w:tc>
        <w:tc>
          <w:tcPr>
            <w:tcW w:w="2339" w:type="dxa"/>
          </w:tcPr>
          <w:p>
            <w:pPr>
              <w:pStyle w:val="yTableNAm"/>
              <w:spacing w:before="60"/>
              <w:jc w:val="center"/>
            </w:pPr>
            <w:r>
              <w:t>535.0</w:t>
            </w:r>
          </w:p>
        </w:tc>
      </w:tr>
      <w:tr>
        <w:tc>
          <w:tcPr>
            <w:tcW w:w="1842" w:type="dxa"/>
            <w:tcBorders>
              <w:bottom w:val="single" w:sz="4" w:space="0" w:color="auto"/>
            </w:tcBorders>
          </w:tcPr>
          <w:p>
            <w:pPr>
              <w:pStyle w:val="yTableNAm"/>
              <w:spacing w:before="60"/>
            </w:pPr>
            <w:r>
              <w:t>Class 15 (c/kL)</w:t>
            </w:r>
          </w:p>
        </w:tc>
        <w:tc>
          <w:tcPr>
            <w:tcW w:w="2339" w:type="dxa"/>
            <w:tcBorders>
              <w:bottom w:val="single" w:sz="4" w:space="0" w:color="auto"/>
            </w:tcBorders>
          </w:tcPr>
          <w:p>
            <w:pPr>
              <w:pStyle w:val="yTableNAm"/>
              <w:spacing w:before="60"/>
              <w:jc w:val="center"/>
            </w:pPr>
            <w:r>
              <w:t>423.9</w:t>
            </w:r>
          </w:p>
        </w:tc>
        <w:tc>
          <w:tcPr>
            <w:tcW w:w="2339" w:type="dxa"/>
            <w:tcBorders>
              <w:bottom w:val="single" w:sz="4" w:space="0" w:color="auto"/>
            </w:tcBorders>
          </w:tcPr>
          <w:p>
            <w:pPr>
              <w:pStyle w:val="yTableNAm"/>
              <w:spacing w:before="60"/>
              <w:jc w:val="center"/>
            </w:pPr>
            <w:r>
              <w:t>582.6</w:t>
            </w:r>
          </w:p>
        </w:tc>
      </w:tr>
    </w:tbl>
    <w:p>
      <w:pPr>
        <w:pStyle w:val="ySubsection"/>
        <w:spacing w:before="0"/>
      </w:pPr>
    </w:p>
    <w:p>
      <w:pPr>
        <w:pStyle w:val="yHeading5"/>
        <w:keepLines w:val="0"/>
        <w:tabs>
          <w:tab w:val="clear" w:pos="879"/>
        </w:tabs>
        <w:spacing w:before="0"/>
        <w:ind w:left="964" w:hanging="964"/>
        <w:rPr>
          <w:b w:val="0"/>
          <w:bCs/>
        </w:rPr>
      </w:pPr>
      <w:bookmarkStart w:id="624" w:name="_Toc237309601"/>
      <w:r>
        <w:rPr>
          <w:rStyle w:val="CharSClsNo"/>
        </w:rPr>
        <w:t>32</w:t>
      </w:r>
      <w:r>
        <w:t>.</w:t>
      </w:r>
      <w:r>
        <w:tab/>
        <w:t>Stock</w:t>
      </w:r>
      <w:bookmarkEnd w:id="624"/>
    </w:p>
    <w:tbl>
      <w:tblPr>
        <w:tblW w:w="0" w:type="auto"/>
        <w:tblInd w:w="-12" w:type="dxa"/>
        <w:tblLook w:val="0000" w:firstRow="0" w:lastRow="0" w:firstColumn="0" w:lastColumn="0" w:noHBand="0" w:noVBand="0"/>
      </w:tblPr>
      <w:tblGrid>
        <w:gridCol w:w="960"/>
        <w:gridCol w:w="4742"/>
        <w:gridCol w:w="1498"/>
      </w:tblGrid>
      <w:tr>
        <w:tc>
          <w:tcPr>
            <w:tcW w:w="960" w:type="dxa"/>
          </w:tcPr>
          <w:p>
            <w:pPr>
              <w:pStyle w:val="yTableNAm"/>
              <w:keepNext/>
              <w:rPr>
                <w:rStyle w:val="CharSClsNo"/>
              </w:rPr>
            </w:pPr>
          </w:p>
        </w:tc>
        <w:tc>
          <w:tcPr>
            <w:tcW w:w="4742" w:type="dxa"/>
          </w:tcPr>
          <w:p>
            <w:pPr>
              <w:pStyle w:val="yTableNAm"/>
              <w:keepNext/>
              <w:tabs>
                <w:tab w:val="left" w:leader="dot" w:pos="4572"/>
              </w:tabs>
              <w:rPr>
                <w:spacing w:val="-1"/>
              </w:rPr>
            </w:pPr>
            <w:r>
              <w:rPr>
                <w:spacing w:val="-1"/>
              </w:rPr>
              <w:t xml:space="preserve">For each kilolitre of water supplied for the purpose of watering stock on land that is not the subject of a charge under item 10 </w:t>
            </w:r>
            <w:r>
              <w:rPr>
                <w:spacing w:val="-1"/>
              </w:rPr>
              <w:tab/>
            </w:r>
          </w:p>
        </w:tc>
        <w:tc>
          <w:tcPr>
            <w:tcW w:w="1498" w:type="dxa"/>
          </w:tcPr>
          <w:p>
            <w:pPr>
              <w:pStyle w:val="yTableNAm"/>
              <w:keepNext/>
              <w:rPr>
                <w:spacing w:val="-1"/>
              </w:rPr>
            </w:pPr>
            <w:r>
              <w:br/>
            </w:r>
            <w:r>
              <w:br/>
              <w:t>112.8</w:t>
            </w:r>
            <w:r>
              <w:rPr>
                <w:spacing w:val="-1"/>
              </w:rPr>
              <w:t xml:space="preserve"> </w:t>
            </w:r>
            <w:r>
              <w:t>cents</w:t>
            </w:r>
          </w:p>
        </w:tc>
      </w:tr>
    </w:tbl>
    <w:p>
      <w:pPr>
        <w:pStyle w:val="yHeading5"/>
        <w:keepLines w:val="0"/>
        <w:tabs>
          <w:tab w:val="clear" w:pos="879"/>
        </w:tabs>
        <w:ind w:left="964" w:hanging="966"/>
        <w:rPr>
          <w:b w:val="0"/>
          <w:bCs/>
        </w:rPr>
      </w:pPr>
      <w:bookmarkStart w:id="625" w:name="_Toc237309602"/>
      <w:r>
        <w:rPr>
          <w:rStyle w:val="CharSClsNo"/>
        </w:rPr>
        <w:t>33</w:t>
      </w:r>
      <w:r>
        <w:t>.</w:t>
      </w:r>
      <w:r>
        <w:tab/>
        <w:t>Building</w:t>
      </w:r>
      <w:bookmarkEnd w:id="625"/>
    </w:p>
    <w:tbl>
      <w:tblPr>
        <w:tblW w:w="0" w:type="auto"/>
        <w:tblInd w:w="-12" w:type="dxa"/>
        <w:tblLook w:val="0000" w:firstRow="0" w:lastRow="0" w:firstColumn="0" w:lastColumn="0" w:noHBand="0" w:noVBand="0"/>
      </w:tblPr>
      <w:tblGrid>
        <w:gridCol w:w="960"/>
        <w:gridCol w:w="4742"/>
        <w:gridCol w:w="1498"/>
      </w:tblGrid>
      <w:tr>
        <w:tc>
          <w:tcPr>
            <w:tcW w:w="960" w:type="dxa"/>
          </w:tcPr>
          <w:p>
            <w:pPr>
              <w:pStyle w:val="yTableNAm"/>
            </w:pPr>
          </w:p>
        </w:tc>
        <w:tc>
          <w:tcPr>
            <w:tcW w:w="4742" w:type="dxa"/>
          </w:tcPr>
          <w:p>
            <w:pPr>
              <w:pStyle w:val="yTableNAm"/>
            </w:pPr>
            <w:r>
              <w:t>For each kilolitre of water supplied to land that is neither a residential property, nor any other property held for residential purposes, through a water supply connection that is provided for building purposes —</w:t>
            </w:r>
          </w:p>
        </w:tc>
        <w:tc>
          <w:tcPr>
            <w:tcW w:w="1498" w:type="dxa"/>
          </w:tcPr>
          <w:p>
            <w:pPr>
              <w:pStyle w:val="yTableNAm"/>
              <w:rPr>
                <w:spacing w:val="-1"/>
              </w:rPr>
            </w:pPr>
          </w:p>
        </w:tc>
      </w:tr>
      <w:tr>
        <w:tc>
          <w:tcPr>
            <w:tcW w:w="960" w:type="dxa"/>
          </w:tcPr>
          <w:p>
            <w:pPr>
              <w:pStyle w:val="yTableNAm"/>
            </w:pPr>
          </w:p>
        </w:tc>
        <w:tc>
          <w:tcPr>
            <w:tcW w:w="4742" w:type="dxa"/>
          </w:tcPr>
          <w:p>
            <w:pPr>
              <w:pStyle w:val="yTableNAm"/>
              <w:tabs>
                <w:tab w:val="clear" w:pos="567"/>
                <w:tab w:val="left" w:pos="416"/>
                <w:tab w:val="left" w:pos="1016"/>
              </w:tabs>
              <w:ind w:left="1016" w:hanging="1016"/>
            </w:pPr>
            <w:r>
              <w:rPr>
                <w:spacing w:val="-1"/>
              </w:rPr>
              <w:tab/>
              <w:t>(a)</w:t>
            </w:r>
            <w:r>
              <w:rPr>
                <w:spacing w:val="-1"/>
              </w:rPr>
              <w:tab/>
            </w:r>
            <w:r>
              <w:t xml:space="preserve">in the </w:t>
            </w:r>
            <w:r>
              <w:rPr>
                <w:spacing w:val="-1"/>
              </w:rPr>
              <w:t>metropolitan</w:t>
            </w:r>
            <w:r>
              <w:t xml:space="preserve"> area, the charge that would apply under item 24 if the water supplied through that connection were the only water supplied to the land;</w:t>
            </w:r>
          </w:p>
        </w:tc>
        <w:tc>
          <w:tcPr>
            <w:tcW w:w="1498" w:type="dxa"/>
          </w:tcPr>
          <w:p>
            <w:pPr>
              <w:pStyle w:val="yTableNAm"/>
              <w:rPr>
                <w:spacing w:val="-1"/>
              </w:rPr>
            </w:pPr>
          </w:p>
        </w:tc>
      </w:tr>
      <w:tr>
        <w:tc>
          <w:tcPr>
            <w:tcW w:w="960" w:type="dxa"/>
          </w:tcPr>
          <w:p>
            <w:pPr>
              <w:pStyle w:val="yTableNAm"/>
            </w:pPr>
          </w:p>
        </w:tc>
        <w:tc>
          <w:tcPr>
            <w:tcW w:w="4742" w:type="dxa"/>
          </w:tcPr>
          <w:p>
            <w:pPr>
              <w:pStyle w:val="yTableNAm"/>
              <w:tabs>
                <w:tab w:val="clear" w:pos="567"/>
                <w:tab w:val="left" w:pos="416"/>
                <w:tab w:val="left" w:pos="1016"/>
              </w:tabs>
              <w:ind w:left="1016" w:hanging="1016"/>
            </w:pPr>
            <w:r>
              <w:rPr>
                <w:spacing w:val="-1"/>
              </w:rPr>
              <w:tab/>
              <w:t>(b)</w:t>
            </w:r>
            <w:r>
              <w:rPr>
                <w:spacing w:val="-1"/>
              </w:rPr>
              <w:tab/>
              <w:t>not in the metropolitan area, the charge that would apply under item 27(b) if the water supplied through that connection were the only water supplied to the land.</w:t>
            </w:r>
          </w:p>
        </w:tc>
        <w:tc>
          <w:tcPr>
            <w:tcW w:w="1498" w:type="dxa"/>
          </w:tcPr>
          <w:p>
            <w:pPr>
              <w:pStyle w:val="yTableNAm"/>
              <w:rPr>
                <w:spacing w:val="-1"/>
              </w:rPr>
            </w:pPr>
          </w:p>
        </w:tc>
      </w:tr>
    </w:tbl>
    <w:p>
      <w:pPr>
        <w:pStyle w:val="yHeading5"/>
        <w:keepLines w:val="0"/>
        <w:tabs>
          <w:tab w:val="clear" w:pos="879"/>
        </w:tabs>
        <w:ind w:left="964" w:hanging="966"/>
        <w:rPr>
          <w:b w:val="0"/>
          <w:bCs/>
        </w:rPr>
      </w:pPr>
      <w:bookmarkStart w:id="626" w:name="_Toc237309603"/>
      <w:r>
        <w:rPr>
          <w:rStyle w:val="CharSClsNo"/>
        </w:rPr>
        <w:t>34</w:t>
      </w:r>
      <w:r>
        <w:t>.</w:t>
      </w:r>
      <w:r>
        <w:tab/>
        <w:t>Metropolitan hydrant standpipes</w:t>
      </w:r>
      <w:bookmarkEnd w:id="626"/>
    </w:p>
    <w:tbl>
      <w:tblPr>
        <w:tblW w:w="0" w:type="auto"/>
        <w:tblInd w:w="-12" w:type="dxa"/>
        <w:tblLook w:val="0000" w:firstRow="0" w:lastRow="0" w:firstColumn="0" w:lastColumn="0" w:noHBand="0" w:noVBand="0"/>
      </w:tblPr>
      <w:tblGrid>
        <w:gridCol w:w="960"/>
        <w:gridCol w:w="4742"/>
        <w:gridCol w:w="1498"/>
      </w:tblGrid>
      <w:tr>
        <w:tc>
          <w:tcPr>
            <w:tcW w:w="960" w:type="dxa"/>
          </w:tcPr>
          <w:p>
            <w:pPr>
              <w:pStyle w:val="yTableNAm"/>
              <w:rPr>
                <w:rStyle w:val="CharSClsNo"/>
              </w:rPr>
            </w:pPr>
          </w:p>
        </w:tc>
        <w:tc>
          <w:tcPr>
            <w:tcW w:w="4742" w:type="dxa"/>
          </w:tcPr>
          <w:p>
            <w:pPr>
              <w:pStyle w:val="yTableNAm"/>
              <w:tabs>
                <w:tab w:val="left" w:leader="dot" w:pos="4572"/>
              </w:tabs>
              <w:rPr>
                <w:spacing w:val="-1"/>
              </w:rPr>
            </w:pPr>
            <w:r>
              <w:rPr>
                <w:spacing w:val="-1"/>
              </w:rPr>
              <w:t xml:space="preserve">For each kilolitre of water supplied </w:t>
            </w:r>
            <w:r>
              <w:t>through</w:t>
            </w:r>
            <w:r>
              <w:rPr>
                <w:spacing w:val="-1"/>
              </w:rPr>
              <w:t xml:space="preserve"> a hydrant standpipe in the metropolitan area </w:t>
            </w:r>
            <w:r>
              <w:rPr>
                <w:spacing w:val="-1"/>
              </w:rPr>
              <w:tab/>
            </w:r>
          </w:p>
        </w:tc>
        <w:tc>
          <w:tcPr>
            <w:tcW w:w="1498" w:type="dxa"/>
          </w:tcPr>
          <w:p>
            <w:pPr>
              <w:pStyle w:val="yTableNAm"/>
              <w:rPr>
                <w:spacing w:val="-1"/>
              </w:rPr>
            </w:pPr>
            <w:r>
              <w:rPr>
                <w:spacing w:val="-1"/>
              </w:rPr>
              <w:br/>
              <w:t>122.0 cents</w:t>
            </w:r>
          </w:p>
        </w:tc>
      </w:tr>
    </w:tbl>
    <w:p>
      <w:pPr>
        <w:pStyle w:val="yFootnotesection"/>
      </w:pPr>
      <w:r>
        <w:tab/>
        <w:t>[Division 2 inserted in Gazette 19 Jun 2009 p. 2330-41.]</w:t>
      </w:r>
    </w:p>
    <w:p>
      <w:pPr>
        <w:pStyle w:val="yHeading3"/>
      </w:pPr>
      <w:bookmarkStart w:id="627" w:name="_Toc233448385"/>
      <w:bookmarkStart w:id="628" w:name="_Toc233611692"/>
      <w:bookmarkStart w:id="629" w:name="_Toc234730699"/>
      <w:bookmarkStart w:id="630" w:name="_Toc234733225"/>
      <w:bookmarkStart w:id="631" w:name="_Toc235863962"/>
      <w:bookmarkStart w:id="632" w:name="_Toc235933437"/>
      <w:bookmarkStart w:id="633" w:name="_Toc237164425"/>
      <w:bookmarkStart w:id="634" w:name="_Toc237244308"/>
      <w:bookmarkStart w:id="635" w:name="_Toc237245609"/>
      <w:bookmarkStart w:id="636" w:name="_Toc237245740"/>
      <w:bookmarkStart w:id="637" w:name="_Toc237247882"/>
      <w:bookmarkStart w:id="638" w:name="_Toc237254185"/>
      <w:bookmarkStart w:id="639" w:name="_Toc237309604"/>
      <w:r>
        <w:rPr>
          <w:rStyle w:val="CharSDivNo"/>
        </w:rPr>
        <w:t>Division 3</w:t>
      </w:r>
      <w:r>
        <w:rPr>
          <w:b w:val="0"/>
        </w:rPr>
        <w:t> — </w:t>
      </w:r>
      <w:r>
        <w:rPr>
          <w:rStyle w:val="CharSDivText"/>
        </w:rPr>
        <w:t>Formula for the purposes of by</w:t>
      </w:r>
      <w:r>
        <w:rPr>
          <w:rStyle w:val="CharSDivText"/>
        </w:rPr>
        <w:noBreakHyphen/>
        <w:t>law 17(3)</w:t>
      </w:r>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yFootnoteheading"/>
      </w:pPr>
      <w:r>
        <w:tab/>
        <w:t>[Heading inserted in Gazette 19 Jun 2009 p. 2342.]</w:t>
      </w:r>
    </w:p>
    <w:p>
      <w:pPr>
        <w:pStyle w:val="yHeading5"/>
      </w:pPr>
      <w:bookmarkStart w:id="640" w:name="_Toc237309605"/>
      <w:r>
        <w:rPr>
          <w:rStyle w:val="CharSClsNo"/>
        </w:rPr>
        <w:t>35</w:t>
      </w:r>
      <w:r>
        <w:t>.</w:t>
      </w:r>
      <w:r>
        <w:rPr>
          <w:b w:val="0"/>
        </w:rPr>
        <w:tab/>
      </w:r>
      <w:r>
        <w:t>Formula for the purposes of by</w:t>
      </w:r>
      <w:r>
        <w:noBreakHyphen/>
        <w:t>law 17(3)</w:t>
      </w:r>
      <w:bookmarkEnd w:id="640"/>
    </w:p>
    <w:p>
      <w:pPr>
        <w:pStyle w:val="ySubsection"/>
      </w:pPr>
      <w:r>
        <w:tab/>
      </w:r>
      <w:r>
        <w:tab/>
        <w:t>The formula for the purposes of by</w:t>
      </w:r>
      <w:r>
        <w:noBreakHyphen/>
        <w:t xml:space="preserve">law 17(3) is as follows — </w:t>
      </w:r>
    </w:p>
    <w:p>
      <w:pPr>
        <w:pStyle w:val="Equation"/>
        <w:spacing w:before="120"/>
        <w:jc w:val="center"/>
      </w:pPr>
      <w:r>
        <w:rPr>
          <w:position w:val="-10"/>
          <w:lang w:eastAsia="en-AU"/>
        </w:rPr>
        <w:drawing>
          <wp:inline distT="0" distB="0" distL="0" distR="0">
            <wp:extent cx="409575" cy="2000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jc w:val="center"/>
      </w:pPr>
      <w:r>
        <w:rPr>
          <w:position w:val="-10"/>
          <w:lang w:eastAsia="en-AU"/>
        </w:rPr>
        <w:drawing>
          <wp:inline distT="0" distB="0" distL="0" distR="0">
            <wp:extent cx="409575" cy="20002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jc w:val="center"/>
        <w:rPr>
          <w:sz w:val="24"/>
        </w:rPr>
      </w:pPr>
      <w:r>
        <w:rPr>
          <w:sz w:val="24"/>
        </w:rPr>
        <w:t xml:space="preserve">C </w:t>
      </w:r>
      <w:r>
        <w:rPr>
          <w:sz w:val="24"/>
        </w:rPr>
        <w:sym w:font="Symbol" w:char="F02D"/>
      </w:r>
      <w:r>
        <w:rPr>
          <w:sz w:val="24"/>
        </w:rPr>
        <w:t xml:space="preserve"> 350 + (350 </w:t>
      </w:r>
      <w:r>
        <w:rPr>
          <w:sz w:val="24"/>
        </w:rPr>
        <w:sym w:font="Symbol" w:char="F0B4"/>
      </w:r>
      <w:r>
        <w:rPr>
          <w:sz w:val="24"/>
        </w:rPr>
        <w:t xml:space="preserve"> D)</w:t>
      </w:r>
    </w:p>
    <w:p>
      <w:pPr>
        <w:pStyle w:val="yIndenta"/>
        <w:keepNext/>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pPr>
      <w:r>
        <w:tab/>
        <w:t>[Division 3 inserted in Gazette 19 Jun 2009 p. 2342.]</w:t>
      </w:r>
    </w:p>
    <w:p>
      <w:pPr>
        <w:pStyle w:val="yHeading3"/>
      </w:pPr>
      <w:bookmarkStart w:id="641" w:name="_Toc233448387"/>
      <w:bookmarkStart w:id="642" w:name="_Toc233611694"/>
      <w:bookmarkStart w:id="643" w:name="_Toc234730701"/>
      <w:bookmarkStart w:id="644" w:name="_Toc234733227"/>
      <w:bookmarkStart w:id="645" w:name="_Toc235863964"/>
      <w:bookmarkStart w:id="646" w:name="_Toc235933439"/>
      <w:bookmarkStart w:id="647" w:name="_Toc237164427"/>
      <w:bookmarkStart w:id="648" w:name="_Toc237244310"/>
      <w:bookmarkStart w:id="649" w:name="_Toc237245611"/>
      <w:bookmarkStart w:id="650" w:name="_Toc237245742"/>
      <w:bookmarkStart w:id="651" w:name="_Toc237247884"/>
      <w:bookmarkStart w:id="652" w:name="_Toc237254187"/>
      <w:bookmarkStart w:id="653" w:name="_Toc237309606"/>
      <w:r>
        <w:rPr>
          <w:rStyle w:val="CharSDivNo"/>
        </w:rPr>
        <w:t>Division 4</w:t>
      </w:r>
      <w:r>
        <w:rPr>
          <w:b w:val="0"/>
        </w:rPr>
        <w:t> — </w:t>
      </w:r>
      <w:r>
        <w:rPr>
          <w:rStyle w:val="CharSDivText"/>
        </w:rPr>
        <w:t>Capital infrastructure charges determined under by</w:t>
      </w:r>
      <w:r>
        <w:rPr>
          <w:rStyle w:val="CharSDivText"/>
        </w:rPr>
        <w:noBreakHyphen/>
        <w:t>law 19A</w:t>
      </w:r>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yFootnoteheading"/>
      </w:pPr>
      <w:r>
        <w:tab/>
        <w:t>[Heading inserted in Gazette 19 Jun 2009 p. 2342.]</w:t>
      </w:r>
    </w:p>
    <w:p>
      <w:pPr>
        <w:pStyle w:val="yHeading5"/>
      </w:pPr>
      <w:bookmarkStart w:id="654" w:name="_Toc237309607"/>
      <w:r>
        <w:rPr>
          <w:rStyle w:val="CharSClsNo"/>
        </w:rPr>
        <w:t>36</w:t>
      </w:r>
      <w:r>
        <w:t>.</w:t>
      </w:r>
      <w:r>
        <w:rPr>
          <w:b w:val="0"/>
        </w:rPr>
        <w:tab/>
      </w:r>
      <w:r>
        <w:t>Capital infrastructure charges determined under by</w:t>
      </w:r>
      <w:r>
        <w:noBreakHyphen/>
        <w:t>law 19A</w:t>
      </w:r>
      <w:bookmarkEnd w:id="654"/>
    </w:p>
    <w:p>
      <w:pPr>
        <w:pStyle w:val="ySubsection"/>
      </w:pPr>
      <w:r>
        <w:tab/>
      </w:r>
      <w:r>
        <w:tab/>
        <w:t>The capital infrastructure charges determined under by</w:t>
      </w:r>
      <w:r>
        <w:noBreakHyphen/>
        <w:t xml:space="preserve">law 19A are as follows — </w:t>
      </w:r>
    </w:p>
    <w:p>
      <w:pPr>
        <w:pStyle w:val="ySubsection"/>
        <w:spacing w:before="0"/>
      </w:pPr>
    </w:p>
    <w:tbl>
      <w:tblPr>
        <w:tblW w:w="7088" w:type="dxa"/>
        <w:tblInd w:w="56" w:type="dxa"/>
        <w:tblLayout w:type="fixed"/>
        <w:tblCellMar>
          <w:left w:w="56" w:type="dxa"/>
          <w:right w:w="56" w:type="dxa"/>
        </w:tblCellMar>
        <w:tblLook w:val="0000" w:firstRow="0" w:lastRow="0" w:firstColumn="0" w:lastColumn="0" w:noHBand="0" w:noVBand="0"/>
      </w:tblPr>
      <w:tblGrid>
        <w:gridCol w:w="2694"/>
        <w:gridCol w:w="1559"/>
        <w:gridCol w:w="1559"/>
        <w:gridCol w:w="1276"/>
      </w:tblGrid>
      <w:tr>
        <w:trPr>
          <w:tblHeader/>
        </w:trPr>
        <w:tc>
          <w:tcPr>
            <w:tcW w:w="2694" w:type="dxa"/>
            <w:tcBorders>
              <w:top w:val="single" w:sz="4" w:space="0" w:color="auto"/>
            </w:tcBorders>
          </w:tcPr>
          <w:p>
            <w:pPr>
              <w:pStyle w:val="yTableNAm"/>
              <w:rPr>
                <w:b/>
                <w:bCs/>
              </w:rPr>
            </w:pPr>
            <w:r>
              <w:rPr>
                <w:b/>
                <w:bCs/>
              </w:rPr>
              <w:br w:type="page"/>
              <w:t>Column 1</w:t>
            </w:r>
          </w:p>
        </w:tc>
        <w:tc>
          <w:tcPr>
            <w:tcW w:w="1559" w:type="dxa"/>
            <w:tcBorders>
              <w:top w:val="single" w:sz="4" w:space="0" w:color="auto"/>
            </w:tcBorders>
          </w:tcPr>
          <w:p>
            <w:pPr>
              <w:pStyle w:val="yTableNAm"/>
              <w:jc w:val="center"/>
              <w:rPr>
                <w:b/>
                <w:bCs/>
              </w:rPr>
            </w:pPr>
            <w:r>
              <w:rPr>
                <w:b/>
                <w:bCs/>
              </w:rPr>
              <w:t>Column 2</w:t>
            </w:r>
          </w:p>
        </w:tc>
        <w:tc>
          <w:tcPr>
            <w:tcW w:w="1559" w:type="dxa"/>
            <w:tcBorders>
              <w:top w:val="single" w:sz="4" w:space="0" w:color="auto"/>
            </w:tcBorders>
          </w:tcPr>
          <w:p>
            <w:pPr>
              <w:pStyle w:val="yTableNAm"/>
              <w:jc w:val="center"/>
              <w:rPr>
                <w:b/>
                <w:bCs/>
              </w:rPr>
            </w:pPr>
            <w:r>
              <w:rPr>
                <w:b/>
                <w:bCs/>
              </w:rPr>
              <w:t>Column 3</w:t>
            </w:r>
          </w:p>
        </w:tc>
        <w:tc>
          <w:tcPr>
            <w:tcW w:w="1276" w:type="dxa"/>
            <w:tcBorders>
              <w:top w:val="single" w:sz="4" w:space="0" w:color="auto"/>
            </w:tcBorders>
          </w:tcPr>
          <w:p>
            <w:pPr>
              <w:pStyle w:val="yTableNAm"/>
              <w:jc w:val="center"/>
              <w:rPr>
                <w:b/>
                <w:bCs/>
              </w:rPr>
            </w:pPr>
            <w:r>
              <w:rPr>
                <w:b/>
                <w:bCs/>
              </w:rPr>
              <w:t>Column 4</w:t>
            </w:r>
          </w:p>
        </w:tc>
      </w:tr>
      <w:tr>
        <w:trPr>
          <w:tblHeader/>
        </w:trPr>
        <w:tc>
          <w:tcPr>
            <w:tcW w:w="2694" w:type="dxa"/>
            <w:tcBorders>
              <w:bottom w:val="single" w:sz="4" w:space="0" w:color="auto"/>
            </w:tcBorders>
          </w:tcPr>
          <w:p>
            <w:pPr>
              <w:pStyle w:val="yTableNAm"/>
              <w:rPr>
                <w:b/>
                <w:bCs/>
                <w:i/>
              </w:rPr>
            </w:pPr>
            <w:r>
              <w:rPr>
                <w:b/>
                <w:bCs/>
                <w:i/>
              </w:rPr>
              <w:t>Area</w:t>
            </w:r>
          </w:p>
        </w:tc>
        <w:tc>
          <w:tcPr>
            <w:tcW w:w="1559" w:type="dxa"/>
            <w:tcBorders>
              <w:bottom w:val="single" w:sz="4" w:space="0" w:color="auto"/>
            </w:tcBorders>
          </w:tcPr>
          <w:p>
            <w:pPr>
              <w:pStyle w:val="yTableNAm"/>
              <w:jc w:val="center"/>
              <w:rPr>
                <w:b/>
                <w:bCs/>
                <w:i/>
              </w:rPr>
            </w:pPr>
            <w:r>
              <w:rPr>
                <w:b/>
                <w:bCs/>
                <w:i/>
              </w:rPr>
              <w:t>Single Charge</w:t>
            </w:r>
          </w:p>
        </w:tc>
        <w:tc>
          <w:tcPr>
            <w:tcW w:w="1559" w:type="dxa"/>
            <w:tcBorders>
              <w:bottom w:val="single" w:sz="4" w:space="0" w:color="auto"/>
            </w:tcBorders>
          </w:tcPr>
          <w:p>
            <w:pPr>
              <w:pStyle w:val="yTableNAm"/>
              <w:jc w:val="center"/>
              <w:rPr>
                <w:b/>
                <w:bCs/>
                <w:i/>
              </w:rPr>
            </w:pPr>
            <w:r>
              <w:rPr>
                <w:b/>
                <w:bCs/>
                <w:i/>
              </w:rPr>
              <w:t>Annual Charge</w:t>
            </w:r>
          </w:p>
        </w:tc>
        <w:tc>
          <w:tcPr>
            <w:tcW w:w="1276" w:type="dxa"/>
            <w:tcBorders>
              <w:bottom w:val="single" w:sz="4" w:space="0" w:color="auto"/>
            </w:tcBorders>
          </w:tcPr>
          <w:p>
            <w:pPr>
              <w:pStyle w:val="yTableNAm"/>
              <w:jc w:val="center"/>
              <w:rPr>
                <w:b/>
                <w:bCs/>
                <w:i/>
              </w:rPr>
            </w:pPr>
            <w:r>
              <w:rPr>
                <w:b/>
                <w:bCs/>
                <w:i/>
              </w:rPr>
              <w:t>No. of years</w:t>
            </w:r>
          </w:p>
        </w:tc>
      </w:tr>
      <w:tr>
        <w:tc>
          <w:tcPr>
            <w:tcW w:w="2694" w:type="dxa"/>
          </w:tcPr>
          <w:p>
            <w:pPr>
              <w:pStyle w:val="yTableNAm"/>
            </w:pPr>
            <w:r>
              <w:t>Greenough Flats</w:t>
            </w:r>
          </w:p>
        </w:tc>
        <w:tc>
          <w:tcPr>
            <w:tcW w:w="1559" w:type="dxa"/>
          </w:tcPr>
          <w:p>
            <w:pPr>
              <w:pStyle w:val="yTableNAm"/>
              <w:jc w:val="center"/>
            </w:pPr>
            <w:r>
              <w:t>$4 800.00</w:t>
            </w:r>
          </w:p>
        </w:tc>
        <w:tc>
          <w:tcPr>
            <w:tcW w:w="1559" w:type="dxa"/>
          </w:tcPr>
          <w:p>
            <w:pPr>
              <w:pStyle w:val="yTableNAm"/>
              <w:jc w:val="center"/>
            </w:pPr>
            <w:r>
              <w:t>$667.70</w:t>
            </w:r>
          </w:p>
        </w:tc>
        <w:tc>
          <w:tcPr>
            <w:tcW w:w="1276" w:type="dxa"/>
          </w:tcPr>
          <w:p>
            <w:pPr>
              <w:pStyle w:val="yTableNAm"/>
              <w:jc w:val="center"/>
            </w:pPr>
            <w:r>
              <w:t>10</w:t>
            </w:r>
          </w:p>
        </w:tc>
      </w:tr>
      <w:tr>
        <w:tc>
          <w:tcPr>
            <w:tcW w:w="2694" w:type="dxa"/>
          </w:tcPr>
          <w:p>
            <w:pPr>
              <w:pStyle w:val="yTableNAm"/>
            </w:pPr>
            <w:r>
              <w:t>Nilgen</w:t>
            </w:r>
          </w:p>
        </w:tc>
        <w:tc>
          <w:tcPr>
            <w:tcW w:w="1559" w:type="dxa"/>
          </w:tcPr>
          <w:p>
            <w:pPr>
              <w:pStyle w:val="yTableNAm"/>
              <w:jc w:val="center"/>
            </w:pPr>
            <w:r>
              <w:t>$3 120.00</w:t>
            </w:r>
          </w:p>
        </w:tc>
        <w:tc>
          <w:tcPr>
            <w:tcW w:w="1559" w:type="dxa"/>
          </w:tcPr>
          <w:p>
            <w:pPr>
              <w:pStyle w:val="yTableNAm"/>
              <w:jc w:val="center"/>
            </w:pPr>
            <w:r>
              <w:t>$463.80</w:t>
            </w:r>
          </w:p>
        </w:tc>
        <w:tc>
          <w:tcPr>
            <w:tcW w:w="1276" w:type="dxa"/>
          </w:tcPr>
          <w:p>
            <w:pPr>
              <w:pStyle w:val="yTableNAm"/>
              <w:jc w:val="center"/>
            </w:pPr>
            <w:r>
              <w:t>10</w:t>
            </w:r>
          </w:p>
        </w:tc>
      </w:tr>
      <w:tr>
        <w:tc>
          <w:tcPr>
            <w:tcW w:w="2694" w:type="dxa"/>
          </w:tcPr>
          <w:p>
            <w:pPr>
              <w:pStyle w:val="yTableNAm"/>
            </w:pPr>
            <w:r>
              <w:t>Prevelly</w:t>
            </w:r>
          </w:p>
        </w:tc>
        <w:tc>
          <w:tcPr>
            <w:tcW w:w="1559" w:type="dxa"/>
          </w:tcPr>
          <w:p>
            <w:pPr>
              <w:pStyle w:val="yTableNAm"/>
              <w:jc w:val="center"/>
            </w:pPr>
            <w:r>
              <w:t>$2 755.00</w:t>
            </w:r>
          </w:p>
        </w:tc>
        <w:tc>
          <w:tcPr>
            <w:tcW w:w="1559" w:type="dxa"/>
          </w:tcPr>
          <w:p>
            <w:pPr>
              <w:pStyle w:val="yTableNAm"/>
              <w:jc w:val="center"/>
            </w:pPr>
            <w:r>
              <w:t>$345.00</w:t>
            </w:r>
          </w:p>
        </w:tc>
        <w:tc>
          <w:tcPr>
            <w:tcW w:w="1276" w:type="dxa"/>
          </w:tcPr>
          <w:p>
            <w:pPr>
              <w:pStyle w:val="yTableNAm"/>
              <w:jc w:val="center"/>
            </w:pPr>
            <w:r>
              <w:t>10</w:t>
            </w:r>
          </w:p>
        </w:tc>
      </w:tr>
      <w:tr>
        <w:tc>
          <w:tcPr>
            <w:tcW w:w="2694" w:type="dxa"/>
          </w:tcPr>
          <w:p>
            <w:pPr>
              <w:pStyle w:val="yTableNAm"/>
            </w:pPr>
            <w:r>
              <w:t>South</w:t>
            </w:r>
            <w:r>
              <w:noBreakHyphen/>
              <w:t>west Moora</w:t>
            </w:r>
          </w:p>
        </w:tc>
        <w:tc>
          <w:tcPr>
            <w:tcW w:w="1559" w:type="dxa"/>
          </w:tcPr>
          <w:p>
            <w:pPr>
              <w:pStyle w:val="yTableNAm"/>
              <w:jc w:val="center"/>
            </w:pPr>
            <w:r>
              <w:t>$3 074.00</w:t>
            </w:r>
          </w:p>
        </w:tc>
        <w:tc>
          <w:tcPr>
            <w:tcW w:w="1559" w:type="dxa"/>
          </w:tcPr>
          <w:p>
            <w:pPr>
              <w:pStyle w:val="yTableNAm"/>
              <w:jc w:val="center"/>
            </w:pPr>
            <w:r>
              <w:t>$427.60</w:t>
            </w:r>
          </w:p>
        </w:tc>
        <w:tc>
          <w:tcPr>
            <w:tcW w:w="1276" w:type="dxa"/>
          </w:tcPr>
          <w:p>
            <w:pPr>
              <w:pStyle w:val="yTableNAm"/>
              <w:jc w:val="center"/>
            </w:pPr>
            <w:r>
              <w:t>10</w:t>
            </w:r>
          </w:p>
        </w:tc>
      </w:tr>
      <w:tr>
        <w:tc>
          <w:tcPr>
            <w:tcW w:w="2694" w:type="dxa"/>
            <w:tcBorders>
              <w:bottom w:val="single" w:sz="4" w:space="0" w:color="auto"/>
            </w:tcBorders>
          </w:tcPr>
          <w:p>
            <w:pPr>
              <w:pStyle w:val="yTableNAm"/>
            </w:pPr>
            <w:r>
              <w:t>Stirling Trunk Main Services</w:t>
            </w:r>
          </w:p>
        </w:tc>
        <w:tc>
          <w:tcPr>
            <w:tcW w:w="1559" w:type="dxa"/>
            <w:tcBorders>
              <w:bottom w:val="single" w:sz="4" w:space="0" w:color="auto"/>
            </w:tcBorders>
          </w:tcPr>
          <w:p>
            <w:pPr>
              <w:pStyle w:val="yTableNAm"/>
              <w:jc w:val="center"/>
            </w:pPr>
            <w:r>
              <w:t>$2 448.00</w:t>
            </w:r>
          </w:p>
        </w:tc>
        <w:tc>
          <w:tcPr>
            <w:tcW w:w="1559" w:type="dxa"/>
            <w:tcBorders>
              <w:bottom w:val="single" w:sz="4" w:space="0" w:color="auto"/>
            </w:tcBorders>
          </w:tcPr>
          <w:p>
            <w:pPr>
              <w:pStyle w:val="yTableNAm"/>
              <w:jc w:val="center"/>
            </w:pPr>
            <w:r>
              <w:t>$401.00</w:t>
            </w:r>
          </w:p>
        </w:tc>
        <w:tc>
          <w:tcPr>
            <w:tcW w:w="1276" w:type="dxa"/>
            <w:tcBorders>
              <w:bottom w:val="single" w:sz="4" w:space="0" w:color="auto"/>
            </w:tcBorders>
          </w:tcPr>
          <w:p>
            <w:pPr>
              <w:pStyle w:val="yTableNAm"/>
              <w:jc w:val="center"/>
            </w:pPr>
            <w:r>
              <w:t>10</w:t>
            </w:r>
          </w:p>
        </w:tc>
      </w:tr>
    </w:tbl>
    <w:p>
      <w:pPr>
        <w:pStyle w:val="yFootnotesection"/>
      </w:pPr>
      <w:r>
        <w:tab/>
        <w:t>[Division 4 inserted in Gazette 19 Jun 2009 p. 2342-3.]</w:t>
      </w:r>
    </w:p>
    <w:p>
      <w:pPr>
        <w:pStyle w:val="yScheduleHeading"/>
      </w:pPr>
      <w:bookmarkStart w:id="655" w:name="_Toc233448392"/>
      <w:bookmarkStart w:id="656" w:name="_Toc233611696"/>
      <w:bookmarkStart w:id="657" w:name="_Toc234730703"/>
      <w:bookmarkStart w:id="658" w:name="_Toc234733229"/>
      <w:bookmarkStart w:id="659" w:name="_Toc235863966"/>
      <w:bookmarkStart w:id="660" w:name="_Toc235933441"/>
      <w:bookmarkStart w:id="661" w:name="_Toc237164429"/>
      <w:bookmarkStart w:id="662" w:name="_Toc237244312"/>
      <w:bookmarkStart w:id="663" w:name="_Toc237245613"/>
      <w:bookmarkStart w:id="664" w:name="_Toc237245744"/>
      <w:bookmarkStart w:id="665" w:name="_Toc237247886"/>
      <w:bookmarkStart w:id="666" w:name="_Toc237254189"/>
      <w:bookmarkStart w:id="667" w:name="_Toc237309608"/>
      <w:bookmarkStart w:id="668" w:name="_Toc103741755"/>
      <w:bookmarkStart w:id="669" w:name="_Toc139771095"/>
      <w:bookmarkStart w:id="670" w:name="_Toc139771473"/>
      <w:bookmarkStart w:id="671" w:name="_Toc151191688"/>
      <w:bookmarkStart w:id="672" w:name="_Toc151260581"/>
      <w:bookmarkStart w:id="673" w:name="_Toc164158688"/>
      <w:bookmarkStart w:id="674" w:name="_Toc164221060"/>
      <w:bookmarkStart w:id="675" w:name="_Toc170879115"/>
      <w:bookmarkStart w:id="676" w:name="_Toc170894765"/>
      <w:bookmarkStart w:id="677" w:name="_Toc175712731"/>
      <w:bookmarkStart w:id="678" w:name="_Toc175970672"/>
      <w:bookmarkStart w:id="679" w:name="_Toc176335391"/>
      <w:bookmarkStart w:id="680" w:name="_Toc176338966"/>
      <w:bookmarkStart w:id="681" w:name="_Toc178742991"/>
      <w:bookmarkStart w:id="682" w:name="_Toc179363414"/>
      <w:bookmarkStart w:id="683" w:name="_Toc179604483"/>
      <w:bookmarkStart w:id="684" w:name="_Toc180204676"/>
      <w:bookmarkStart w:id="685" w:name="_Toc180204892"/>
      <w:bookmarkStart w:id="686" w:name="_Toc185844637"/>
      <w:bookmarkStart w:id="687" w:name="_Toc185845257"/>
      <w:bookmarkStart w:id="688" w:name="_Toc185927222"/>
      <w:bookmarkStart w:id="689" w:name="_Toc202506016"/>
      <w:bookmarkStart w:id="690" w:name="_Toc202672748"/>
      <w:bookmarkStart w:id="691" w:name="_Toc202691763"/>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SchNo"/>
        </w:rPr>
        <w:t>Schedule 2</w:t>
      </w:r>
      <w:r>
        <w:t> — </w:t>
      </w:r>
      <w:r>
        <w:rPr>
          <w:rStyle w:val="CharSchText"/>
        </w:rPr>
        <w:t xml:space="preserve">Charges for water supply under the </w:t>
      </w:r>
      <w:r>
        <w:rPr>
          <w:rStyle w:val="CharSchText"/>
          <w:i/>
          <w:iCs/>
        </w:rPr>
        <w:t>Rights in Water and Irrigation Act 1914</w:t>
      </w:r>
      <w:r>
        <w:rPr>
          <w:rStyle w:val="CharSchText"/>
        </w:rPr>
        <w:t xml:space="preserve"> for 2009/2010</w:t>
      </w:r>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yShoulderClause"/>
        <w:spacing w:before="40"/>
      </w:pPr>
      <w:r>
        <w:t xml:space="preserve">[bl. </w:t>
      </w:r>
      <w:r>
        <w:rPr>
          <w:snapToGrid w:val="0"/>
        </w:rPr>
        <w:t>20</w:t>
      </w:r>
      <w:r>
        <w:t>]</w:t>
      </w:r>
    </w:p>
    <w:p>
      <w:pPr>
        <w:pStyle w:val="yFootnoteheading"/>
        <w:spacing w:before="0"/>
      </w:pPr>
      <w:r>
        <w:tab/>
        <w:t>[Heading inserted in Gazette 19 Jun 2009 p. 2343.]</w:t>
      </w:r>
    </w:p>
    <w:p>
      <w:pPr>
        <w:pStyle w:val="yHeading3"/>
      </w:pPr>
      <w:bookmarkStart w:id="692" w:name="_Toc233448393"/>
      <w:bookmarkStart w:id="693" w:name="_Toc233611697"/>
      <w:bookmarkStart w:id="694" w:name="_Toc234730704"/>
      <w:bookmarkStart w:id="695" w:name="_Toc234733230"/>
      <w:bookmarkStart w:id="696" w:name="_Toc235863967"/>
      <w:bookmarkStart w:id="697" w:name="_Toc235933442"/>
      <w:bookmarkStart w:id="698" w:name="_Toc237164430"/>
      <w:bookmarkStart w:id="699" w:name="_Toc237244313"/>
      <w:bookmarkStart w:id="700" w:name="_Toc237245614"/>
      <w:bookmarkStart w:id="701" w:name="_Toc237245745"/>
      <w:bookmarkStart w:id="702" w:name="_Toc237247887"/>
      <w:bookmarkStart w:id="703" w:name="_Toc237254190"/>
      <w:bookmarkStart w:id="704" w:name="_Toc237309609"/>
      <w:r>
        <w:rPr>
          <w:rStyle w:val="CharSDivNo"/>
        </w:rPr>
        <w:t>Division 1</w:t>
      </w:r>
      <w:r>
        <w:rPr>
          <w:b w:val="0"/>
        </w:rPr>
        <w:t> — </w:t>
      </w:r>
      <w:r>
        <w:rPr>
          <w:rStyle w:val="CharSDivText"/>
        </w:rPr>
        <w:t>Fixed charges</w:t>
      </w:r>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yFootnoteheading"/>
        <w:spacing w:before="100"/>
      </w:pPr>
      <w:r>
        <w:tab/>
        <w:t>[Heading inserted in Gazette 19 Jun 2009 p. 2343.]</w:t>
      </w:r>
    </w:p>
    <w:p>
      <w:pPr>
        <w:pStyle w:val="yHeading5"/>
        <w:tabs>
          <w:tab w:val="clear" w:pos="879"/>
        </w:tabs>
        <w:spacing w:before="180"/>
        <w:ind w:left="964" w:hanging="964"/>
      </w:pPr>
      <w:bookmarkStart w:id="705" w:name="_Toc237309610"/>
      <w:r>
        <w:rPr>
          <w:rStyle w:val="CharSClsNo"/>
        </w:rPr>
        <w:t>1</w:t>
      </w:r>
      <w:r>
        <w:t>.</w:t>
      </w:r>
      <w:r>
        <w:tab/>
        <w:t xml:space="preserve">Supply under the </w:t>
      </w:r>
      <w:r>
        <w:rPr>
          <w:i/>
        </w:rPr>
        <w:t>Ord Irrigation District By</w:t>
      </w:r>
      <w:r>
        <w:rPr>
          <w:i/>
        </w:rPr>
        <w:noBreakHyphen/>
        <w:t xml:space="preserve">laws 1963 </w:t>
      </w:r>
      <w:r>
        <w:t>by</w:t>
      </w:r>
      <w:r>
        <w:noBreakHyphen/>
        <w:t>law 31A</w:t>
      </w:r>
      <w:r>
        <w:rPr>
          <w:iCs/>
        </w:rPr>
        <w:t xml:space="preserve"> other</w:t>
      </w:r>
      <w:r>
        <w:t xml:space="preserve"> than under Division 2</w:t>
      </w:r>
      <w:bookmarkEnd w:id="705"/>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 xml:space="preserve">In respect of land to which water is supplied under the </w:t>
            </w:r>
            <w:r>
              <w:rPr>
                <w:i/>
              </w:rPr>
              <w:t>Ord Irrigation District By</w:t>
            </w:r>
            <w:r>
              <w:rPr>
                <w:i/>
              </w:rPr>
              <w:noBreakHyphen/>
              <w:t>laws 1963</w:t>
            </w:r>
            <w:r>
              <w:t xml:space="preserve"> by</w:t>
            </w:r>
            <w:r>
              <w:noBreakHyphen/>
              <w:t>law 31A, for purposes other than those mentioned in Division 2, an amount per supply point of —</w:t>
            </w:r>
          </w:p>
        </w:tc>
        <w:tc>
          <w:tcPr>
            <w:tcW w:w="1440" w:type="dxa"/>
          </w:tcPr>
          <w:p>
            <w:pPr>
              <w:pStyle w:val="yTableNAm"/>
            </w:pPr>
          </w:p>
        </w:tc>
      </w:tr>
      <w:tr>
        <w:tc>
          <w:tcPr>
            <w:tcW w:w="960" w:type="dxa"/>
          </w:tcPr>
          <w:p>
            <w:pPr>
              <w:pStyle w:val="yTableNAm"/>
              <w:spacing w:before="80"/>
            </w:pPr>
          </w:p>
        </w:tc>
        <w:tc>
          <w:tcPr>
            <w:tcW w:w="4800" w:type="dxa"/>
          </w:tcPr>
          <w:p>
            <w:pPr>
              <w:pStyle w:val="yTableNAm"/>
              <w:tabs>
                <w:tab w:val="clear" w:pos="567"/>
                <w:tab w:val="left" w:pos="416"/>
                <w:tab w:val="left" w:pos="1016"/>
                <w:tab w:val="left" w:leader="dot" w:pos="4572"/>
              </w:tabs>
              <w:spacing w:before="80"/>
              <w:ind w:left="1016" w:right="12" w:hanging="1016"/>
            </w:pPr>
            <w:r>
              <w:tab/>
              <w:t>(a)</w:t>
            </w:r>
            <w:r>
              <w:tab/>
              <w:t xml:space="preserve">where the supply is assured </w:t>
            </w:r>
            <w:r>
              <w:tab/>
            </w:r>
          </w:p>
        </w:tc>
        <w:tc>
          <w:tcPr>
            <w:tcW w:w="1440" w:type="dxa"/>
          </w:tcPr>
          <w:p>
            <w:pPr>
              <w:pStyle w:val="yTableNAm"/>
              <w:spacing w:before="80"/>
            </w:pPr>
            <w:r>
              <w:t>$222.50</w:t>
            </w:r>
          </w:p>
        </w:tc>
      </w:tr>
      <w:tr>
        <w:tc>
          <w:tcPr>
            <w:tcW w:w="960" w:type="dxa"/>
          </w:tcPr>
          <w:p>
            <w:pPr>
              <w:pStyle w:val="yTableNAm"/>
              <w:spacing w:before="80"/>
            </w:pPr>
          </w:p>
        </w:tc>
        <w:tc>
          <w:tcPr>
            <w:tcW w:w="4800" w:type="dxa"/>
          </w:tcPr>
          <w:p>
            <w:pPr>
              <w:pStyle w:val="yTableNAm"/>
              <w:tabs>
                <w:tab w:val="clear" w:pos="567"/>
                <w:tab w:val="left" w:pos="416"/>
                <w:tab w:val="left" w:pos="1016"/>
                <w:tab w:val="left" w:leader="dot" w:pos="4572"/>
              </w:tabs>
              <w:spacing w:before="80"/>
              <w:ind w:left="1016" w:right="12" w:hanging="1016"/>
            </w:pPr>
            <w:r>
              <w:tab/>
              <w:t>(b)</w:t>
            </w:r>
            <w:r>
              <w:tab/>
              <w:t xml:space="preserve">where the supply is not assured </w:t>
            </w:r>
            <w:r>
              <w:tab/>
            </w:r>
          </w:p>
        </w:tc>
        <w:tc>
          <w:tcPr>
            <w:tcW w:w="1440" w:type="dxa"/>
          </w:tcPr>
          <w:p>
            <w:pPr>
              <w:pStyle w:val="yTableNAm"/>
              <w:spacing w:before="80"/>
            </w:pPr>
            <w:r>
              <w:t>$163.00</w:t>
            </w:r>
          </w:p>
        </w:tc>
      </w:tr>
    </w:tbl>
    <w:p>
      <w:pPr>
        <w:pStyle w:val="yFootnotesection"/>
        <w:spacing w:before="100"/>
      </w:pPr>
      <w:r>
        <w:tab/>
        <w:t>[Division 1 inserted in Gazette 19 Jun 2009 p. 2343.]</w:t>
      </w:r>
    </w:p>
    <w:p>
      <w:pPr>
        <w:pStyle w:val="yHeading3"/>
      </w:pPr>
      <w:bookmarkStart w:id="706" w:name="_Toc233448394"/>
      <w:bookmarkStart w:id="707" w:name="_Toc233611698"/>
      <w:bookmarkStart w:id="708" w:name="_Toc234730705"/>
      <w:bookmarkStart w:id="709" w:name="_Toc234733231"/>
      <w:bookmarkStart w:id="710" w:name="_Toc235863968"/>
      <w:bookmarkStart w:id="711" w:name="_Toc235933443"/>
      <w:bookmarkStart w:id="712" w:name="_Toc237164431"/>
      <w:bookmarkStart w:id="713" w:name="_Toc237244315"/>
      <w:bookmarkStart w:id="714" w:name="_Toc237245616"/>
      <w:bookmarkStart w:id="715" w:name="_Toc237245747"/>
      <w:bookmarkStart w:id="716" w:name="_Toc237247889"/>
      <w:bookmarkStart w:id="717" w:name="_Toc237254192"/>
      <w:bookmarkStart w:id="718" w:name="_Toc237309611"/>
      <w:r>
        <w:rPr>
          <w:rStyle w:val="CharSDivNo"/>
        </w:rPr>
        <w:t>Division 2</w:t>
      </w:r>
      <w:r>
        <w:rPr>
          <w:b w:val="0"/>
        </w:rPr>
        <w:t> — </w:t>
      </w:r>
      <w:r>
        <w:rPr>
          <w:rStyle w:val="CharSDivText"/>
        </w:rPr>
        <w:t>Variable charges and charges by way of a rate</w:t>
      </w:r>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yFootnoteheading"/>
        <w:spacing w:before="100"/>
      </w:pPr>
      <w:r>
        <w:tab/>
        <w:t>[Heading inserted in Gazette 19 Jun 2009 p. 2344.]</w:t>
      </w:r>
    </w:p>
    <w:p>
      <w:pPr>
        <w:pStyle w:val="yHeading5"/>
        <w:tabs>
          <w:tab w:val="clear" w:pos="879"/>
        </w:tabs>
        <w:spacing w:before="180"/>
        <w:ind w:left="964" w:hanging="964"/>
      </w:pPr>
      <w:bookmarkStart w:id="719" w:name="_Toc237309612"/>
      <w:r>
        <w:rPr>
          <w:rStyle w:val="CharSClsNo"/>
        </w:rPr>
        <w:t>2</w:t>
      </w:r>
      <w:r>
        <w:t>.</w:t>
      </w:r>
      <w:r>
        <w:tab/>
        <w:t xml:space="preserve">Supply under the </w:t>
      </w:r>
      <w:r>
        <w:rPr>
          <w:i/>
        </w:rPr>
        <w:t>Ord Irrigation District By</w:t>
      </w:r>
      <w:r>
        <w:rPr>
          <w:i/>
        </w:rPr>
        <w:noBreakHyphen/>
        <w:t>laws 1963</w:t>
      </w:r>
      <w:r>
        <w:rPr>
          <w:iCs/>
        </w:rPr>
        <w:t xml:space="preserve"> </w:t>
      </w:r>
      <w:r>
        <w:t>by</w:t>
      </w:r>
      <w:r>
        <w:noBreakHyphen/>
        <w:t>law 31A</w:t>
      </w:r>
      <w:bookmarkEnd w:id="719"/>
    </w:p>
    <w:tbl>
      <w:tblPr>
        <w:tblW w:w="7200" w:type="dxa"/>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 xml:space="preserve">In respect of land to which water is supplied under the </w:t>
            </w:r>
            <w:r>
              <w:rPr>
                <w:i/>
              </w:rPr>
              <w:t>Ord Irrigation District By</w:t>
            </w:r>
            <w:r>
              <w:rPr>
                <w:i/>
              </w:rPr>
              <w:noBreakHyphen/>
              <w:t>laws 1963</w:t>
            </w:r>
            <w:r>
              <w:t xml:space="preserve"> by</w:t>
            </w:r>
            <w:r>
              <w:noBreakHyphen/>
              <w:t>law 31A for the purposes of stock</w:t>
            </w:r>
            <w:r>
              <w:noBreakHyphen/>
              <w:t>water or dust prevention in feed lots —</w:t>
            </w:r>
          </w:p>
        </w:tc>
        <w:tc>
          <w:tcPr>
            <w:tcW w:w="1440" w:type="dxa"/>
          </w:tcPr>
          <w:p>
            <w:pPr>
              <w:pStyle w:val="yTableNAm"/>
            </w:pPr>
          </w:p>
        </w:tc>
      </w:tr>
      <w:tr>
        <w:tc>
          <w:tcPr>
            <w:tcW w:w="960" w:type="dxa"/>
          </w:tcPr>
          <w:p>
            <w:pPr>
              <w:pStyle w:val="yTableNAm"/>
              <w:spacing w:before="80"/>
            </w:pPr>
          </w:p>
        </w:tc>
        <w:tc>
          <w:tcPr>
            <w:tcW w:w="4800" w:type="dxa"/>
          </w:tcPr>
          <w:p>
            <w:pPr>
              <w:pStyle w:val="yTableNAm"/>
              <w:tabs>
                <w:tab w:val="clear" w:pos="567"/>
                <w:tab w:val="left" w:pos="416"/>
                <w:tab w:val="left" w:pos="1016"/>
                <w:tab w:val="left" w:leader="dot" w:pos="4572"/>
              </w:tabs>
              <w:spacing w:before="80"/>
              <w:ind w:left="1016" w:right="12" w:hanging="1016"/>
            </w:pPr>
            <w:r>
              <w:tab/>
              <w:t>(a)</w:t>
            </w:r>
            <w:r>
              <w:tab/>
              <w:t xml:space="preserve">where the maximum area used as a feed lot during the year is not more than 4 hectares </w:t>
            </w:r>
            <w:r>
              <w:tab/>
            </w:r>
          </w:p>
        </w:tc>
        <w:tc>
          <w:tcPr>
            <w:tcW w:w="1440" w:type="dxa"/>
          </w:tcPr>
          <w:p>
            <w:pPr>
              <w:pStyle w:val="yTableNAm"/>
              <w:spacing w:before="80"/>
            </w:pPr>
            <w:r>
              <w:br/>
            </w:r>
            <w:r>
              <w:br/>
              <w:t>$597.00</w:t>
            </w:r>
          </w:p>
        </w:tc>
      </w:tr>
      <w:tr>
        <w:tc>
          <w:tcPr>
            <w:tcW w:w="960" w:type="dxa"/>
          </w:tcPr>
          <w:p>
            <w:pPr>
              <w:pStyle w:val="yTableNAm"/>
              <w:spacing w:before="80"/>
            </w:pPr>
          </w:p>
        </w:tc>
        <w:tc>
          <w:tcPr>
            <w:tcW w:w="4800" w:type="dxa"/>
          </w:tcPr>
          <w:p>
            <w:pPr>
              <w:pStyle w:val="yTableNAm"/>
              <w:tabs>
                <w:tab w:val="clear" w:pos="567"/>
                <w:tab w:val="left" w:pos="416"/>
                <w:tab w:val="left" w:pos="1016"/>
                <w:tab w:val="left" w:leader="dot" w:pos="4572"/>
              </w:tabs>
              <w:spacing w:before="80"/>
              <w:ind w:left="1016" w:right="12" w:hanging="1016"/>
            </w:pPr>
            <w:r>
              <w:tab/>
              <w:t>(b)</w:t>
            </w:r>
            <w:r>
              <w:tab/>
              <w:t xml:space="preserve">where the maximum area used as a feed lot during the year is more than 4 hectares, the amount specified in paragraph (a) and, for each hectare (or part thereof) in excess of 4 hectares that is so used, a further amount of </w:t>
            </w:r>
            <w:r>
              <w:tab/>
            </w:r>
          </w:p>
        </w:tc>
        <w:tc>
          <w:tcPr>
            <w:tcW w:w="1440" w:type="dxa"/>
          </w:tcPr>
          <w:p>
            <w:pPr>
              <w:pStyle w:val="yTableNAm"/>
              <w:spacing w:before="80"/>
            </w:pPr>
            <w:r>
              <w:br/>
            </w:r>
            <w:r>
              <w:br/>
            </w:r>
            <w:r>
              <w:br/>
            </w:r>
            <w:r>
              <w:br/>
            </w:r>
            <w:r>
              <w:br/>
              <w:t>$118.50</w:t>
            </w:r>
          </w:p>
        </w:tc>
      </w:tr>
    </w:tbl>
    <w:p>
      <w:pPr>
        <w:pStyle w:val="yFootnotesection"/>
        <w:spacing w:before="100"/>
      </w:pPr>
      <w:r>
        <w:tab/>
        <w:t>[Division 2 inserted in Gazette 19 Jun 2009 p. 2344.]</w:t>
      </w:r>
    </w:p>
    <w:p>
      <w:pPr>
        <w:pStyle w:val="yScheduleHeading"/>
      </w:pPr>
      <w:bookmarkStart w:id="720" w:name="_Toc233448420"/>
      <w:bookmarkStart w:id="721" w:name="_Toc233611699"/>
      <w:bookmarkStart w:id="722" w:name="_Toc234730706"/>
      <w:bookmarkStart w:id="723" w:name="_Toc234733232"/>
      <w:bookmarkStart w:id="724" w:name="_Toc235863969"/>
      <w:bookmarkStart w:id="725" w:name="_Toc235933444"/>
      <w:bookmarkStart w:id="726" w:name="_Toc237164432"/>
      <w:bookmarkStart w:id="727" w:name="_Toc237244316"/>
      <w:bookmarkStart w:id="728" w:name="_Toc237245618"/>
      <w:bookmarkStart w:id="729" w:name="_Toc237245749"/>
      <w:bookmarkStart w:id="730" w:name="_Toc237247891"/>
      <w:bookmarkStart w:id="731" w:name="_Toc237254194"/>
      <w:bookmarkStart w:id="732" w:name="_Toc237309613"/>
      <w:bookmarkStart w:id="733" w:name="_Toc170879125"/>
      <w:bookmarkStart w:id="734" w:name="_Toc170894773"/>
      <w:bookmarkStart w:id="735" w:name="_Toc175712739"/>
      <w:bookmarkStart w:id="736" w:name="_Toc175970680"/>
      <w:bookmarkStart w:id="737" w:name="_Toc176335399"/>
      <w:bookmarkStart w:id="738" w:name="_Toc176338974"/>
      <w:bookmarkStart w:id="739" w:name="_Toc178742999"/>
      <w:bookmarkStart w:id="740" w:name="_Toc179363422"/>
      <w:bookmarkStart w:id="741" w:name="_Toc179604491"/>
      <w:bookmarkStart w:id="742" w:name="_Toc180204684"/>
      <w:bookmarkStart w:id="743" w:name="_Toc180204900"/>
      <w:bookmarkStart w:id="744" w:name="_Toc185844645"/>
      <w:bookmarkStart w:id="745" w:name="_Toc185845265"/>
      <w:bookmarkStart w:id="746" w:name="_Toc185927230"/>
      <w:bookmarkStart w:id="747" w:name="_Toc202506071"/>
      <w:bookmarkStart w:id="748" w:name="_Toc202672803"/>
      <w:bookmarkStart w:id="749" w:name="_Toc202691788"/>
      <w:bookmarkStart w:id="750" w:name="_Toc139771097"/>
      <w:bookmarkStart w:id="751" w:name="_Toc139771475"/>
      <w:bookmarkStart w:id="752" w:name="_Toc151191690"/>
      <w:bookmarkStart w:id="753" w:name="_Toc151260583"/>
      <w:bookmarkStart w:id="754" w:name="_Toc164158690"/>
      <w:bookmarkStart w:id="755" w:name="_Toc164221062"/>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r>
        <w:rPr>
          <w:rStyle w:val="CharSchNo"/>
        </w:rPr>
        <w:t>Schedule 3</w:t>
      </w:r>
      <w:r>
        <w:t> — </w:t>
      </w:r>
      <w:r>
        <w:rPr>
          <w:rStyle w:val="CharSchText"/>
        </w:rPr>
        <w:t>Charges for sewerage for 2009/2010</w:t>
      </w:r>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yShoulderClause"/>
      </w:pPr>
      <w:r>
        <w:t>[bl. 21, 25A, 25B, 25C, 26, 26A, 26B]</w:t>
      </w:r>
    </w:p>
    <w:p>
      <w:pPr>
        <w:pStyle w:val="yFootnoteheading"/>
      </w:pPr>
      <w:r>
        <w:tab/>
        <w:t>[Heading inserted in Gazette 19 Jun 2009 p. 2344.]</w:t>
      </w:r>
    </w:p>
    <w:p>
      <w:pPr>
        <w:pStyle w:val="yHeading3"/>
      </w:pPr>
      <w:bookmarkStart w:id="756" w:name="_Toc233448421"/>
      <w:bookmarkStart w:id="757" w:name="_Toc233611700"/>
      <w:bookmarkStart w:id="758" w:name="_Toc234730707"/>
      <w:bookmarkStart w:id="759" w:name="_Toc234733233"/>
      <w:bookmarkStart w:id="760" w:name="_Toc235863970"/>
      <w:bookmarkStart w:id="761" w:name="_Toc235933445"/>
      <w:bookmarkStart w:id="762" w:name="_Toc237164433"/>
      <w:bookmarkStart w:id="763" w:name="_Toc237244317"/>
      <w:bookmarkStart w:id="764" w:name="_Toc237245619"/>
      <w:bookmarkStart w:id="765" w:name="_Toc237245750"/>
      <w:bookmarkStart w:id="766" w:name="_Toc237247892"/>
      <w:bookmarkStart w:id="767" w:name="_Toc237254195"/>
      <w:bookmarkStart w:id="768" w:name="_Toc237309614"/>
      <w:r>
        <w:rPr>
          <w:rStyle w:val="CharSDivNo"/>
        </w:rPr>
        <w:t>Division 1</w:t>
      </w:r>
      <w:r>
        <w:rPr>
          <w:b w:val="0"/>
        </w:rPr>
        <w:t> — </w:t>
      </w:r>
      <w:r>
        <w:rPr>
          <w:rStyle w:val="CharSDivText"/>
        </w:rPr>
        <w:t>Fixed charges</w:t>
      </w:r>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yFootnoteheading"/>
      </w:pPr>
      <w:r>
        <w:tab/>
        <w:t>[Heading inserted in Gazette 19 Jun 2009 p. 2344.]</w:t>
      </w:r>
    </w:p>
    <w:p>
      <w:pPr>
        <w:pStyle w:val="yHeading5"/>
        <w:tabs>
          <w:tab w:val="clear" w:pos="879"/>
        </w:tabs>
        <w:spacing w:before="180"/>
        <w:ind w:left="964" w:hanging="964"/>
      </w:pPr>
      <w:bookmarkStart w:id="769" w:name="_Toc237309615"/>
      <w:r>
        <w:rPr>
          <w:rStyle w:val="CharSClsNo"/>
        </w:rPr>
        <w:t>1</w:t>
      </w:r>
      <w:r>
        <w:t>.</w:t>
      </w:r>
      <w:r>
        <w:tab/>
        <w:t>Connected metropolitan exempt</w:t>
      </w:r>
      <w:bookmarkEnd w:id="769"/>
    </w:p>
    <w:tbl>
      <w:tblPr>
        <w:tblW w:w="0" w:type="auto"/>
        <w:tblInd w:w="-12" w:type="dxa"/>
        <w:tblLayout w:type="fixed"/>
        <w:tblLook w:val="0000" w:firstRow="0" w:lastRow="0" w:firstColumn="0" w:lastColumn="0" w:noHBand="0" w:noVBand="0"/>
      </w:tblPr>
      <w:tblGrid>
        <w:gridCol w:w="960"/>
        <w:gridCol w:w="4680"/>
        <w:gridCol w:w="1560"/>
      </w:tblGrid>
      <w:tr>
        <w:tc>
          <w:tcPr>
            <w:tcW w:w="960" w:type="dxa"/>
          </w:tcPr>
          <w:p>
            <w:pPr>
              <w:pStyle w:val="yTableNAm"/>
            </w:pPr>
          </w:p>
        </w:tc>
        <w:tc>
          <w:tcPr>
            <w:tcW w:w="4680" w:type="dxa"/>
          </w:tcPr>
          <w:p>
            <w:pPr>
              <w:pStyle w:val="yTableNAm"/>
            </w:pPr>
            <w:r>
              <w:t>In respect of land described in by</w:t>
            </w:r>
            <w:r>
              <w:noBreakHyphen/>
              <w:t>law 4 that is in the metropolitan area, not being a non</w:t>
            </w:r>
            <w:r>
              <w:noBreakHyphen/>
              <w:t>commercial Government property, or a property held by a Government trading organisation —</w:t>
            </w:r>
          </w:p>
        </w:tc>
        <w:tc>
          <w:tcPr>
            <w:tcW w:w="1560" w:type="dxa"/>
          </w:tcPr>
          <w:p>
            <w:pPr>
              <w:pStyle w:val="yTableNAm"/>
            </w:pPr>
          </w:p>
        </w:tc>
      </w:tr>
      <w:tr>
        <w:tc>
          <w:tcPr>
            <w:tcW w:w="960" w:type="dxa"/>
          </w:tcPr>
          <w:p>
            <w:pPr>
              <w:pStyle w:val="yTableNAm"/>
            </w:pPr>
          </w:p>
        </w:tc>
        <w:tc>
          <w:tcPr>
            <w:tcW w:w="4680" w:type="dxa"/>
          </w:tcPr>
          <w:p>
            <w:pPr>
              <w:pStyle w:val="yTableNAm"/>
              <w:tabs>
                <w:tab w:val="clear" w:pos="567"/>
                <w:tab w:val="left" w:pos="416"/>
                <w:tab w:val="left" w:pos="896"/>
              </w:tabs>
              <w:ind w:left="896" w:hanging="896"/>
            </w:pPr>
            <w:r>
              <w:tab/>
              <w:t>(a)</w:t>
            </w:r>
            <w:r>
              <w:tab/>
              <w:t>in the case of land used as a home for the aged —</w:t>
            </w:r>
          </w:p>
        </w:tc>
        <w:tc>
          <w:tcPr>
            <w:tcW w:w="1560" w:type="dxa"/>
          </w:tcPr>
          <w:p>
            <w:pPr>
              <w:pStyle w:val="yTableNAm"/>
              <w:rPr>
                <w:spacing w:val="-1"/>
              </w:rPr>
            </w:pPr>
          </w:p>
        </w:tc>
      </w:tr>
      <w:tr>
        <w:tc>
          <w:tcPr>
            <w:tcW w:w="960" w:type="dxa"/>
          </w:tcPr>
          <w:p>
            <w:pPr>
              <w:pStyle w:val="yTableNAm"/>
              <w:spacing w:before="80"/>
            </w:pPr>
          </w:p>
        </w:tc>
        <w:tc>
          <w:tcPr>
            <w:tcW w:w="4680" w:type="dxa"/>
          </w:tcPr>
          <w:p>
            <w:pPr>
              <w:pStyle w:val="yTableNAm"/>
              <w:tabs>
                <w:tab w:val="clear" w:pos="567"/>
                <w:tab w:val="left" w:pos="1136"/>
                <w:tab w:val="left" w:leader="dot" w:pos="4452"/>
              </w:tabs>
              <w:spacing w:before="80"/>
              <w:ind w:left="1134" w:hanging="1134"/>
              <w:rPr>
                <w:spacing w:val="-1"/>
              </w:rPr>
            </w:pPr>
            <w:r>
              <w:rPr>
                <w:spacing w:val="-1"/>
              </w:rPr>
              <w:tab/>
              <w:t xml:space="preserve">for the </w:t>
            </w:r>
            <w:r>
              <w:t>first</w:t>
            </w:r>
            <w:r>
              <w:rPr>
                <w:spacing w:val="-1"/>
              </w:rPr>
              <w:t xml:space="preserve"> major fixture that discharges into the sewer </w:t>
            </w:r>
            <w:r>
              <w:rPr>
                <w:spacing w:val="-1"/>
              </w:rPr>
              <w:tab/>
            </w:r>
          </w:p>
        </w:tc>
        <w:tc>
          <w:tcPr>
            <w:tcW w:w="1560" w:type="dxa"/>
          </w:tcPr>
          <w:p>
            <w:pPr>
              <w:pStyle w:val="yTableNAm"/>
              <w:spacing w:before="80"/>
              <w:rPr>
                <w:spacing w:val="-1"/>
              </w:rPr>
            </w:pPr>
            <w:r>
              <w:rPr>
                <w:spacing w:val="-1"/>
              </w:rPr>
              <w:br/>
              <w:t>$170.20</w:t>
            </w:r>
          </w:p>
        </w:tc>
      </w:tr>
      <w:tr>
        <w:tc>
          <w:tcPr>
            <w:tcW w:w="960" w:type="dxa"/>
          </w:tcPr>
          <w:p>
            <w:pPr>
              <w:pStyle w:val="yTableNAm"/>
              <w:spacing w:before="80"/>
            </w:pPr>
          </w:p>
        </w:tc>
        <w:tc>
          <w:tcPr>
            <w:tcW w:w="4680" w:type="dxa"/>
          </w:tcPr>
          <w:p>
            <w:pPr>
              <w:pStyle w:val="yTableNAm"/>
              <w:tabs>
                <w:tab w:val="clear" w:pos="567"/>
                <w:tab w:val="left" w:pos="1136"/>
                <w:tab w:val="left" w:leader="dot" w:pos="4452"/>
              </w:tabs>
              <w:spacing w:before="80"/>
              <w:ind w:left="1134" w:hanging="1134"/>
              <w:rPr>
                <w:spacing w:val="-1"/>
              </w:rPr>
            </w:pPr>
            <w:r>
              <w:rPr>
                <w:spacing w:val="-1"/>
              </w:rPr>
              <w:tab/>
              <w:t xml:space="preserve">for each </w:t>
            </w:r>
            <w:r>
              <w:t>additional</w:t>
            </w:r>
            <w:r>
              <w:rPr>
                <w:spacing w:val="-1"/>
              </w:rPr>
              <w:t xml:space="preserve"> major fixture that discharges into the sewer </w:t>
            </w:r>
            <w:r>
              <w:rPr>
                <w:spacing w:val="-1"/>
              </w:rPr>
              <w:tab/>
            </w:r>
          </w:p>
        </w:tc>
        <w:tc>
          <w:tcPr>
            <w:tcW w:w="1560" w:type="dxa"/>
          </w:tcPr>
          <w:p>
            <w:pPr>
              <w:pStyle w:val="yTableNAm"/>
              <w:spacing w:before="80"/>
              <w:rPr>
                <w:spacing w:val="-1"/>
              </w:rPr>
            </w:pPr>
            <w:r>
              <w:rPr>
                <w:spacing w:val="-1"/>
              </w:rPr>
              <w:br/>
              <w:t>$74.80</w:t>
            </w:r>
          </w:p>
        </w:tc>
      </w:tr>
      <w:tr>
        <w:tc>
          <w:tcPr>
            <w:tcW w:w="960" w:type="dxa"/>
          </w:tcPr>
          <w:p>
            <w:pPr>
              <w:pStyle w:val="yTableNAm"/>
            </w:pPr>
          </w:p>
        </w:tc>
        <w:tc>
          <w:tcPr>
            <w:tcW w:w="4680" w:type="dxa"/>
          </w:tcPr>
          <w:p>
            <w:pPr>
              <w:pStyle w:val="yTableNAm"/>
              <w:tabs>
                <w:tab w:val="clear" w:pos="567"/>
                <w:tab w:val="left" w:pos="416"/>
                <w:tab w:val="left" w:pos="896"/>
                <w:tab w:val="left" w:leader="dot" w:pos="4452"/>
              </w:tabs>
              <w:ind w:left="896" w:hanging="896"/>
            </w:pPr>
            <w:r>
              <w:rPr>
                <w:spacing w:val="-4"/>
              </w:rPr>
              <w:tab/>
              <w:t>(b)</w:t>
            </w:r>
            <w:r>
              <w:rPr>
                <w:spacing w:val="-4"/>
              </w:rPr>
              <w:tab/>
              <w:t xml:space="preserve">in </w:t>
            </w:r>
            <w:r>
              <w:t>any</w:t>
            </w:r>
            <w:r>
              <w:rPr>
                <w:spacing w:val="-4"/>
              </w:rPr>
              <w:t xml:space="preserve"> </w:t>
            </w:r>
            <w:r>
              <w:t>other</w:t>
            </w:r>
            <w:r>
              <w:rPr>
                <w:spacing w:val="-4"/>
              </w:rPr>
              <w:t xml:space="preserve"> case, a charge equal to the number of major fixtures multiplied by </w:t>
            </w:r>
            <w:r>
              <w:rPr>
                <w:spacing w:val="-4"/>
              </w:rPr>
              <w:tab/>
            </w:r>
          </w:p>
        </w:tc>
        <w:tc>
          <w:tcPr>
            <w:tcW w:w="1560" w:type="dxa"/>
          </w:tcPr>
          <w:p>
            <w:pPr>
              <w:pStyle w:val="yTableNAm"/>
              <w:rPr>
                <w:spacing w:val="-1"/>
              </w:rPr>
            </w:pPr>
            <w:r>
              <w:rPr>
                <w:spacing w:val="-1"/>
              </w:rPr>
              <w:br/>
              <w:t>$170.20</w:t>
            </w:r>
          </w:p>
        </w:tc>
      </w:tr>
    </w:tbl>
    <w:p>
      <w:pPr>
        <w:pStyle w:val="yHeading5"/>
        <w:tabs>
          <w:tab w:val="clear" w:pos="879"/>
        </w:tabs>
        <w:spacing w:before="180"/>
        <w:ind w:left="964" w:hanging="964"/>
      </w:pPr>
      <w:bookmarkStart w:id="770" w:name="_Toc237309616"/>
      <w:r>
        <w:rPr>
          <w:rStyle w:val="CharSClsNo"/>
        </w:rPr>
        <w:t>2</w:t>
      </w:r>
      <w:r>
        <w:t>.</w:t>
      </w:r>
      <w:r>
        <w:tab/>
        <w:t>Connected country exempt</w:t>
      </w:r>
      <w:bookmarkEnd w:id="770"/>
    </w:p>
    <w:tbl>
      <w:tblPr>
        <w:tblW w:w="0" w:type="auto"/>
        <w:tblInd w:w="-12" w:type="dxa"/>
        <w:tblLayout w:type="fixed"/>
        <w:tblLook w:val="0000" w:firstRow="0" w:lastRow="0" w:firstColumn="0" w:lastColumn="0" w:noHBand="0" w:noVBand="0"/>
      </w:tblPr>
      <w:tblGrid>
        <w:gridCol w:w="960"/>
        <w:gridCol w:w="4680"/>
        <w:gridCol w:w="1560"/>
      </w:tblGrid>
      <w:tr>
        <w:tc>
          <w:tcPr>
            <w:tcW w:w="960" w:type="dxa"/>
          </w:tcPr>
          <w:p>
            <w:pPr>
              <w:pStyle w:val="yTableNAm"/>
            </w:pPr>
          </w:p>
        </w:tc>
        <w:tc>
          <w:tcPr>
            <w:tcW w:w="4680" w:type="dxa"/>
          </w:tcPr>
          <w:p>
            <w:pPr>
              <w:pStyle w:val="yTableNAm"/>
              <w:rPr>
                <w:spacing w:val="-4"/>
              </w:rPr>
            </w:pPr>
            <w:r>
              <w:t>In respect of land in a country sewerage area that is classified as —</w:t>
            </w:r>
          </w:p>
        </w:tc>
        <w:tc>
          <w:tcPr>
            <w:tcW w:w="1560" w:type="dxa"/>
          </w:tcPr>
          <w:p>
            <w:pPr>
              <w:pStyle w:val="yTableNAm"/>
              <w:rPr>
                <w:spacing w:val="-1"/>
              </w:rPr>
            </w:pPr>
          </w:p>
        </w:tc>
      </w:tr>
      <w:tr>
        <w:tc>
          <w:tcPr>
            <w:tcW w:w="960" w:type="dxa"/>
          </w:tcPr>
          <w:p>
            <w:pPr>
              <w:pStyle w:val="yTableNAm"/>
            </w:pPr>
          </w:p>
        </w:tc>
        <w:tc>
          <w:tcPr>
            <w:tcW w:w="4680" w:type="dxa"/>
          </w:tcPr>
          <w:p>
            <w:pPr>
              <w:pStyle w:val="yTableNAm"/>
              <w:tabs>
                <w:tab w:val="clear" w:pos="567"/>
                <w:tab w:val="left" w:pos="416"/>
                <w:tab w:val="left" w:pos="896"/>
              </w:tabs>
              <w:ind w:left="896" w:hanging="896"/>
            </w:pPr>
            <w:r>
              <w:tab/>
              <w:t>(a)</w:t>
            </w:r>
            <w:r>
              <w:tab/>
              <w:t>i</w:t>
            </w:r>
            <w:r>
              <w:rPr>
                <w:snapToGrid w:val="0"/>
                <w:spacing w:val="-4"/>
              </w:rPr>
              <w:t>nstitutional public</w:t>
            </w:r>
            <w:r>
              <w:t xml:space="preserve">, an amount of — </w:t>
            </w:r>
          </w:p>
        </w:tc>
        <w:tc>
          <w:tcPr>
            <w:tcW w:w="1560" w:type="dxa"/>
          </w:tcPr>
          <w:p>
            <w:pPr>
              <w:pStyle w:val="yTableNAm"/>
              <w:rPr>
                <w:spacing w:val="-1"/>
              </w:rPr>
            </w:pPr>
          </w:p>
        </w:tc>
      </w:tr>
      <w:tr>
        <w:tc>
          <w:tcPr>
            <w:tcW w:w="960" w:type="dxa"/>
          </w:tcPr>
          <w:p>
            <w:pPr>
              <w:pStyle w:val="yTableNAm"/>
              <w:spacing w:before="80"/>
            </w:pPr>
          </w:p>
        </w:tc>
        <w:tc>
          <w:tcPr>
            <w:tcW w:w="4680" w:type="dxa"/>
          </w:tcPr>
          <w:p>
            <w:pPr>
              <w:pStyle w:val="yTableNAm"/>
              <w:tabs>
                <w:tab w:val="clear" w:pos="567"/>
                <w:tab w:val="left" w:pos="1136"/>
                <w:tab w:val="left" w:leader="dot" w:pos="4452"/>
              </w:tabs>
              <w:spacing w:before="80"/>
              <w:ind w:left="1134" w:hanging="1134"/>
              <w:rPr>
                <w:spacing w:val="-1"/>
              </w:rPr>
            </w:pPr>
            <w:r>
              <w:rPr>
                <w:spacing w:val="-1"/>
              </w:rPr>
              <w:tab/>
              <w:t xml:space="preserve">for the first major fixture that discharges into the sewer </w:t>
            </w:r>
            <w:r>
              <w:rPr>
                <w:spacing w:val="-1"/>
              </w:rPr>
              <w:tab/>
            </w:r>
          </w:p>
        </w:tc>
        <w:tc>
          <w:tcPr>
            <w:tcW w:w="1560" w:type="dxa"/>
          </w:tcPr>
          <w:p>
            <w:pPr>
              <w:pStyle w:val="yTableNAm"/>
              <w:spacing w:before="80"/>
              <w:rPr>
                <w:spacing w:val="-1"/>
              </w:rPr>
            </w:pPr>
            <w:r>
              <w:rPr>
                <w:spacing w:val="-1"/>
              </w:rPr>
              <w:br/>
              <w:t>$170.20</w:t>
            </w:r>
          </w:p>
        </w:tc>
      </w:tr>
      <w:tr>
        <w:tc>
          <w:tcPr>
            <w:tcW w:w="960" w:type="dxa"/>
          </w:tcPr>
          <w:p>
            <w:pPr>
              <w:pStyle w:val="yTableNAm"/>
              <w:spacing w:before="80"/>
            </w:pPr>
          </w:p>
        </w:tc>
        <w:tc>
          <w:tcPr>
            <w:tcW w:w="4680" w:type="dxa"/>
          </w:tcPr>
          <w:p>
            <w:pPr>
              <w:pStyle w:val="yTableNAm"/>
              <w:tabs>
                <w:tab w:val="clear" w:pos="567"/>
                <w:tab w:val="left" w:pos="1136"/>
                <w:tab w:val="left" w:leader="dot" w:pos="4452"/>
              </w:tabs>
              <w:spacing w:before="80"/>
              <w:ind w:left="1136" w:hanging="1136"/>
              <w:rPr>
                <w:spacing w:val="-1"/>
              </w:rPr>
            </w:pPr>
            <w:r>
              <w:rPr>
                <w:spacing w:val="-1"/>
              </w:rPr>
              <w:tab/>
              <w:t xml:space="preserve">for each </w:t>
            </w:r>
            <w:r>
              <w:t>additional</w:t>
            </w:r>
            <w:r>
              <w:rPr>
                <w:spacing w:val="-1"/>
              </w:rPr>
              <w:t xml:space="preserve"> major fixture that discharges into the sewer </w:t>
            </w:r>
            <w:r>
              <w:rPr>
                <w:spacing w:val="-1"/>
              </w:rPr>
              <w:tab/>
            </w:r>
          </w:p>
        </w:tc>
        <w:tc>
          <w:tcPr>
            <w:tcW w:w="1560" w:type="dxa"/>
          </w:tcPr>
          <w:p>
            <w:pPr>
              <w:pStyle w:val="yTableNAm"/>
              <w:spacing w:before="80"/>
              <w:rPr>
                <w:spacing w:val="-1"/>
              </w:rPr>
            </w:pPr>
            <w:r>
              <w:rPr>
                <w:spacing w:val="-1"/>
              </w:rPr>
              <w:br/>
              <w:t>$74.80</w:t>
            </w:r>
          </w:p>
        </w:tc>
      </w:tr>
      <w:tr>
        <w:tc>
          <w:tcPr>
            <w:tcW w:w="960" w:type="dxa"/>
          </w:tcPr>
          <w:p>
            <w:pPr>
              <w:pStyle w:val="yTableNAm"/>
            </w:pPr>
          </w:p>
        </w:tc>
        <w:tc>
          <w:tcPr>
            <w:tcW w:w="4680" w:type="dxa"/>
          </w:tcPr>
          <w:p>
            <w:pPr>
              <w:pStyle w:val="yTableNAm"/>
              <w:tabs>
                <w:tab w:val="clear" w:pos="567"/>
                <w:tab w:val="left" w:pos="416"/>
                <w:tab w:val="left" w:pos="896"/>
              </w:tabs>
              <w:ind w:left="896" w:hanging="896"/>
            </w:pPr>
            <w:r>
              <w:rPr>
                <w:spacing w:val="-1"/>
              </w:rPr>
              <w:tab/>
              <w:t>(b)</w:t>
            </w:r>
            <w:r>
              <w:rPr>
                <w:spacing w:val="-1"/>
              </w:rPr>
              <w:tab/>
            </w:r>
            <w:r>
              <w:t>charitable purposes</w:t>
            </w:r>
            <w:r>
              <w:rPr>
                <w:spacing w:val="-1"/>
              </w:rPr>
              <w:t xml:space="preserve">, an amount of — </w:t>
            </w:r>
          </w:p>
        </w:tc>
        <w:tc>
          <w:tcPr>
            <w:tcW w:w="1560" w:type="dxa"/>
          </w:tcPr>
          <w:p>
            <w:pPr>
              <w:pStyle w:val="yTableNAm"/>
              <w:rPr>
                <w:spacing w:val="-1"/>
              </w:rPr>
            </w:pPr>
          </w:p>
        </w:tc>
      </w:tr>
      <w:tr>
        <w:tc>
          <w:tcPr>
            <w:tcW w:w="960" w:type="dxa"/>
          </w:tcPr>
          <w:p>
            <w:pPr>
              <w:pStyle w:val="yTableNAm"/>
              <w:spacing w:before="80"/>
            </w:pPr>
          </w:p>
        </w:tc>
        <w:tc>
          <w:tcPr>
            <w:tcW w:w="4680" w:type="dxa"/>
          </w:tcPr>
          <w:p>
            <w:pPr>
              <w:pStyle w:val="yTableNAm"/>
              <w:tabs>
                <w:tab w:val="clear" w:pos="567"/>
                <w:tab w:val="left" w:pos="1136"/>
                <w:tab w:val="left" w:leader="dot" w:pos="4452"/>
              </w:tabs>
              <w:spacing w:before="80"/>
              <w:ind w:left="1136" w:hanging="1136"/>
              <w:rPr>
                <w:spacing w:val="-1"/>
              </w:rPr>
            </w:pPr>
            <w:r>
              <w:rPr>
                <w:spacing w:val="-1"/>
              </w:rPr>
              <w:tab/>
              <w:t xml:space="preserve">for the first major fixture that discharges into the sewer </w:t>
            </w:r>
            <w:r>
              <w:rPr>
                <w:spacing w:val="-1"/>
              </w:rPr>
              <w:tab/>
            </w:r>
          </w:p>
        </w:tc>
        <w:tc>
          <w:tcPr>
            <w:tcW w:w="1560" w:type="dxa"/>
          </w:tcPr>
          <w:p>
            <w:pPr>
              <w:pStyle w:val="yTableNAm"/>
              <w:spacing w:before="80"/>
              <w:rPr>
                <w:spacing w:val="-1"/>
              </w:rPr>
            </w:pPr>
            <w:r>
              <w:rPr>
                <w:spacing w:val="-1"/>
              </w:rPr>
              <w:br/>
              <w:t>$170.20</w:t>
            </w:r>
          </w:p>
        </w:tc>
      </w:tr>
      <w:tr>
        <w:tc>
          <w:tcPr>
            <w:tcW w:w="960" w:type="dxa"/>
          </w:tcPr>
          <w:p>
            <w:pPr>
              <w:pStyle w:val="yTableNAm"/>
              <w:spacing w:before="80"/>
            </w:pPr>
          </w:p>
        </w:tc>
        <w:tc>
          <w:tcPr>
            <w:tcW w:w="4680" w:type="dxa"/>
          </w:tcPr>
          <w:p>
            <w:pPr>
              <w:pStyle w:val="yTableNAm"/>
              <w:tabs>
                <w:tab w:val="clear" w:pos="567"/>
                <w:tab w:val="left" w:pos="1136"/>
                <w:tab w:val="left" w:leader="dot" w:pos="4452"/>
              </w:tabs>
              <w:spacing w:before="80"/>
              <w:ind w:left="1136" w:hanging="1136"/>
              <w:rPr>
                <w:spacing w:val="-1"/>
              </w:rPr>
            </w:pPr>
            <w:r>
              <w:rPr>
                <w:spacing w:val="-1"/>
              </w:rPr>
              <w:tab/>
              <w:t xml:space="preserve">for </w:t>
            </w:r>
            <w:r>
              <w:t>each</w:t>
            </w:r>
            <w:r>
              <w:rPr>
                <w:spacing w:val="-1"/>
              </w:rPr>
              <w:t xml:space="preserve"> additional major fixture that discharges into the sewer </w:t>
            </w:r>
            <w:r>
              <w:rPr>
                <w:spacing w:val="-1"/>
              </w:rPr>
              <w:tab/>
            </w:r>
          </w:p>
        </w:tc>
        <w:tc>
          <w:tcPr>
            <w:tcW w:w="1560" w:type="dxa"/>
          </w:tcPr>
          <w:p>
            <w:pPr>
              <w:pStyle w:val="yTableNAm"/>
              <w:spacing w:before="80"/>
              <w:rPr>
                <w:spacing w:val="-1"/>
              </w:rPr>
            </w:pPr>
            <w:r>
              <w:rPr>
                <w:spacing w:val="-1"/>
              </w:rPr>
              <w:br/>
              <w:t>$74.80</w:t>
            </w:r>
          </w:p>
        </w:tc>
      </w:tr>
      <w:tr>
        <w:tc>
          <w:tcPr>
            <w:tcW w:w="960" w:type="dxa"/>
          </w:tcPr>
          <w:p>
            <w:pPr>
              <w:pStyle w:val="yTableNAm"/>
            </w:pPr>
          </w:p>
        </w:tc>
        <w:tc>
          <w:tcPr>
            <w:tcW w:w="4680" w:type="dxa"/>
          </w:tcPr>
          <w:p>
            <w:pPr>
              <w:pStyle w:val="yTableNAm"/>
              <w:tabs>
                <w:tab w:val="clear" w:pos="567"/>
                <w:tab w:val="left" w:pos="416"/>
                <w:tab w:val="left" w:pos="896"/>
                <w:tab w:val="left" w:leader="dot" w:pos="4452"/>
              </w:tabs>
              <w:ind w:left="896" w:hanging="896"/>
            </w:pPr>
            <w:r>
              <w:rPr>
                <w:spacing w:val="-1"/>
              </w:rPr>
              <w:tab/>
              <w:t>(c)</w:t>
            </w:r>
            <w:r>
              <w:rPr>
                <w:spacing w:val="-1"/>
              </w:rPr>
              <w:tab/>
            </w:r>
            <w:r>
              <w:t>c</w:t>
            </w:r>
            <w:r>
              <w:rPr>
                <w:snapToGrid w:val="0"/>
              </w:rPr>
              <w:t xml:space="preserve">ommunity </w:t>
            </w:r>
            <w:r>
              <w:rPr>
                <w:spacing w:val="-4"/>
              </w:rPr>
              <w:t>residential</w:t>
            </w:r>
            <w:r>
              <w:rPr>
                <w:spacing w:val="-1"/>
              </w:rPr>
              <w:t xml:space="preserve">, an amount for each major </w:t>
            </w:r>
            <w:r>
              <w:t>fixture</w:t>
            </w:r>
            <w:r>
              <w:rPr>
                <w:spacing w:val="-1"/>
              </w:rPr>
              <w:t xml:space="preserve"> that discharges into the sewer </w:t>
            </w:r>
            <w:r>
              <w:rPr>
                <w:spacing w:val="-1"/>
              </w:rPr>
              <w:tab/>
            </w:r>
          </w:p>
        </w:tc>
        <w:tc>
          <w:tcPr>
            <w:tcW w:w="1560" w:type="dxa"/>
          </w:tcPr>
          <w:p>
            <w:pPr>
              <w:pStyle w:val="yTableNAm"/>
              <w:rPr>
                <w:spacing w:val="-1"/>
              </w:rPr>
            </w:pPr>
            <w:r>
              <w:rPr>
                <w:spacing w:val="-1"/>
              </w:rPr>
              <w:br/>
            </w:r>
            <w:r>
              <w:rPr>
                <w:spacing w:val="-1"/>
              </w:rPr>
              <w:br/>
              <w:t>$74.80</w:t>
            </w:r>
          </w:p>
        </w:tc>
      </w:tr>
      <w:tr>
        <w:tc>
          <w:tcPr>
            <w:tcW w:w="960" w:type="dxa"/>
          </w:tcPr>
          <w:p>
            <w:pPr>
              <w:pStyle w:val="yTableNAm"/>
            </w:pPr>
          </w:p>
        </w:tc>
        <w:tc>
          <w:tcPr>
            <w:tcW w:w="4680" w:type="dxa"/>
          </w:tcPr>
          <w:p>
            <w:pPr>
              <w:pStyle w:val="yTableNAm"/>
              <w:tabs>
                <w:tab w:val="clear" w:pos="567"/>
                <w:tab w:val="left" w:pos="416"/>
                <w:tab w:val="left" w:pos="896"/>
              </w:tabs>
              <w:ind w:left="896" w:hanging="896"/>
            </w:pPr>
            <w:r>
              <w:rPr>
                <w:spacing w:val="-1"/>
              </w:rPr>
              <w:tab/>
              <w:t>(d)</w:t>
            </w:r>
            <w:r>
              <w:rPr>
                <w:spacing w:val="-1"/>
              </w:rPr>
              <w:tab/>
            </w:r>
            <w:r>
              <w:t>general</w:t>
            </w:r>
            <w:r>
              <w:rPr>
                <w:spacing w:val="-1"/>
              </w:rPr>
              <w:t xml:space="preserve"> exempt, an amount of — </w:t>
            </w:r>
          </w:p>
        </w:tc>
        <w:tc>
          <w:tcPr>
            <w:tcW w:w="1560" w:type="dxa"/>
          </w:tcPr>
          <w:p>
            <w:pPr>
              <w:pStyle w:val="yTableNAm"/>
              <w:rPr>
                <w:spacing w:val="-1"/>
              </w:rPr>
            </w:pPr>
          </w:p>
        </w:tc>
      </w:tr>
      <w:tr>
        <w:tc>
          <w:tcPr>
            <w:tcW w:w="960" w:type="dxa"/>
          </w:tcPr>
          <w:p>
            <w:pPr>
              <w:pStyle w:val="yTableNAm"/>
            </w:pPr>
          </w:p>
        </w:tc>
        <w:tc>
          <w:tcPr>
            <w:tcW w:w="4680" w:type="dxa"/>
          </w:tcPr>
          <w:p>
            <w:pPr>
              <w:pStyle w:val="yTableNAm"/>
              <w:tabs>
                <w:tab w:val="clear" w:pos="567"/>
                <w:tab w:val="left" w:pos="1136"/>
                <w:tab w:val="left" w:leader="dot" w:pos="4452"/>
              </w:tabs>
              <w:ind w:left="1136" w:hanging="1136"/>
              <w:rPr>
                <w:spacing w:val="-1"/>
              </w:rPr>
            </w:pPr>
            <w:r>
              <w:rPr>
                <w:spacing w:val="-1"/>
              </w:rPr>
              <w:tab/>
              <w:t xml:space="preserve">for the first major fixture that discharges into the sewer </w:t>
            </w:r>
            <w:r>
              <w:rPr>
                <w:spacing w:val="-1"/>
              </w:rPr>
              <w:tab/>
            </w:r>
          </w:p>
        </w:tc>
        <w:tc>
          <w:tcPr>
            <w:tcW w:w="1560" w:type="dxa"/>
          </w:tcPr>
          <w:p>
            <w:pPr>
              <w:pStyle w:val="yTableNAm"/>
              <w:rPr>
                <w:spacing w:val="-1"/>
              </w:rPr>
            </w:pPr>
            <w:r>
              <w:rPr>
                <w:spacing w:val="-1"/>
              </w:rPr>
              <w:br/>
              <w:t>$170.20</w:t>
            </w:r>
          </w:p>
        </w:tc>
      </w:tr>
      <w:tr>
        <w:tc>
          <w:tcPr>
            <w:tcW w:w="960" w:type="dxa"/>
          </w:tcPr>
          <w:p>
            <w:pPr>
              <w:pStyle w:val="yTableNAm"/>
            </w:pPr>
          </w:p>
        </w:tc>
        <w:tc>
          <w:tcPr>
            <w:tcW w:w="4680" w:type="dxa"/>
          </w:tcPr>
          <w:p>
            <w:pPr>
              <w:pStyle w:val="yTableNAm"/>
              <w:tabs>
                <w:tab w:val="clear" w:pos="567"/>
                <w:tab w:val="left" w:pos="1136"/>
                <w:tab w:val="left" w:leader="dot" w:pos="4452"/>
              </w:tabs>
              <w:ind w:left="1136" w:hanging="1136"/>
              <w:rPr>
                <w:spacing w:val="-1"/>
              </w:rPr>
            </w:pPr>
            <w:r>
              <w:rPr>
                <w:spacing w:val="-1"/>
              </w:rPr>
              <w:tab/>
              <w:t xml:space="preserve">for each additional major fixture that discharges into the sewer </w:t>
            </w:r>
            <w:r>
              <w:rPr>
                <w:spacing w:val="-1"/>
              </w:rPr>
              <w:tab/>
            </w:r>
          </w:p>
        </w:tc>
        <w:tc>
          <w:tcPr>
            <w:tcW w:w="1560" w:type="dxa"/>
          </w:tcPr>
          <w:p>
            <w:pPr>
              <w:pStyle w:val="yTableNAm"/>
              <w:rPr>
                <w:spacing w:val="-1"/>
              </w:rPr>
            </w:pPr>
            <w:r>
              <w:rPr>
                <w:spacing w:val="-1"/>
              </w:rPr>
              <w:br/>
              <w:t>$74.80</w:t>
            </w:r>
          </w:p>
        </w:tc>
      </w:tr>
    </w:tbl>
    <w:p>
      <w:pPr>
        <w:pStyle w:val="yHeading5"/>
        <w:tabs>
          <w:tab w:val="clear" w:pos="879"/>
        </w:tabs>
        <w:ind w:left="964" w:hanging="966"/>
        <w:rPr>
          <w:b w:val="0"/>
          <w:bCs/>
          <w:spacing w:val="-1"/>
        </w:rPr>
      </w:pPr>
      <w:bookmarkStart w:id="771" w:name="_Toc237309617"/>
      <w:r>
        <w:rPr>
          <w:rStyle w:val="CharSClsNo"/>
        </w:rPr>
        <w:t>3</w:t>
      </w:r>
      <w:r>
        <w:t>.</w:t>
      </w:r>
      <w:r>
        <w:tab/>
        <w:t>Strata</w:t>
      </w:r>
      <w:r>
        <w:noBreakHyphen/>
        <w:t>titled caravan bay</w:t>
      </w:r>
      <w:bookmarkEnd w:id="771"/>
    </w:p>
    <w:tbl>
      <w:tblPr>
        <w:tblW w:w="0" w:type="auto"/>
        <w:tblInd w:w="-12" w:type="dxa"/>
        <w:tblLayout w:type="fixed"/>
        <w:tblLook w:val="0000" w:firstRow="0" w:lastRow="0" w:firstColumn="0" w:lastColumn="0" w:noHBand="0" w:noVBand="0"/>
      </w:tblPr>
      <w:tblGrid>
        <w:gridCol w:w="960"/>
        <w:gridCol w:w="4680"/>
        <w:gridCol w:w="1560"/>
      </w:tblGrid>
      <w:tr>
        <w:tc>
          <w:tcPr>
            <w:tcW w:w="960" w:type="dxa"/>
          </w:tcPr>
          <w:p>
            <w:pPr>
              <w:pStyle w:val="yTableNAm"/>
            </w:pPr>
          </w:p>
        </w:tc>
        <w:tc>
          <w:tcPr>
            <w:tcW w:w="4680" w:type="dxa"/>
          </w:tcPr>
          <w:p>
            <w:pPr>
              <w:pStyle w:val="yTableNAm"/>
              <w:tabs>
                <w:tab w:val="left" w:leader="dot" w:pos="4452"/>
              </w:tabs>
              <w:ind w:right="12"/>
              <w:rPr>
                <w:spacing w:val="-1"/>
              </w:rPr>
            </w:pPr>
            <w:r>
              <w:rPr>
                <w:spacing w:val="-1"/>
              </w:rPr>
              <w:t xml:space="preserve">In </w:t>
            </w:r>
            <w:r>
              <w:t>respect</w:t>
            </w:r>
            <w:r>
              <w:rPr>
                <w:spacing w:val="-1"/>
              </w:rPr>
              <w:t xml:space="preserve"> of each residential property being a single caravan bay that is a lot within the meaning of the </w:t>
            </w:r>
            <w:r>
              <w:rPr>
                <w:i/>
                <w:spacing w:val="-1"/>
              </w:rPr>
              <w:t>Strata Titles Act 1985</w:t>
            </w:r>
            <w:r>
              <w:rPr>
                <w:spacing w:val="-1"/>
              </w:rPr>
              <w:t xml:space="preserve"> </w:t>
            </w:r>
            <w:r>
              <w:rPr>
                <w:spacing w:val="-1"/>
              </w:rPr>
              <w:tab/>
            </w:r>
          </w:p>
        </w:tc>
        <w:tc>
          <w:tcPr>
            <w:tcW w:w="1560" w:type="dxa"/>
          </w:tcPr>
          <w:p>
            <w:pPr>
              <w:pStyle w:val="yTableNAm"/>
              <w:rPr>
                <w:spacing w:val="-1"/>
              </w:rPr>
            </w:pPr>
            <w:r>
              <w:rPr>
                <w:spacing w:val="-1"/>
              </w:rPr>
              <w:br/>
            </w:r>
            <w:r>
              <w:rPr>
                <w:spacing w:val="-1"/>
              </w:rPr>
              <w:br/>
              <w:t>$209.10</w:t>
            </w:r>
          </w:p>
        </w:tc>
      </w:tr>
    </w:tbl>
    <w:p>
      <w:pPr>
        <w:pStyle w:val="yHeading5"/>
        <w:tabs>
          <w:tab w:val="clear" w:pos="879"/>
        </w:tabs>
        <w:ind w:left="964" w:hanging="966"/>
        <w:rPr>
          <w:b w:val="0"/>
          <w:bCs/>
        </w:rPr>
      </w:pPr>
      <w:bookmarkStart w:id="772" w:name="_Toc237309618"/>
      <w:r>
        <w:rPr>
          <w:rStyle w:val="CharSClsNo"/>
        </w:rPr>
        <w:t>4</w:t>
      </w:r>
      <w:r>
        <w:t>.</w:t>
      </w:r>
      <w:r>
        <w:tab/>
        <w:t>Strata</w:t>
      </w:r>
      <w:r>
        <w:noBreakHyphen/>
        <w:t>titled storage unit and strata</w:t>
      </w:r>
      <w:r>
        <w:noBreakHyphen/>
        <w:t>titled parking bay</w:t>
      </w:r>
      <w:bookmarkEnd w:id="772"/>
    </w:p>
    <w:tbl>
      <w:tblPr>
        <w:tblW w:w="0" w:type="auto"/>
        <w:tblInd w:w="-12" w:type="dxa"/>
        <w:tblLayout w:type="fixed"/>
        <w:tblLook w:val="0000" w:firstRow="0" w:lastRow="0" w:firstColumn="0" w:lastColumn="0" w:noHBand="0" w:noVBand="0"/>
      </w:tblPr>
      <w:tblGrid>
        <w:gridCol w:w="960"/>
        <w:gridCol w:w="4680"/>
        <w:gridCol w:w="1560"/>
      </w:tblGrid>
      <w:tr>
        <w:tc>
          <w:tcPr>
            <w:tcW w:w="960" w:type="dxa"/>
          </w:tcPr>
          <w:p>
            <w:pPr>
              <w:pStyle w:val="yTableNAm"/>
            </w:pPr>
          </w:p>
        </w:tc>
        <w:tc>
          <w:tcPr>
            <w:tcW w:w="4680" w:type="dxa"/>
          </w:tcPr>
          <w:p>
            <w:pPr>
              <w:pStyle w:val="yTableNAm"/>
              <w:tabs>
                <w:tab w:val="left" w:leader="dot" w:pos="4452"/>
              </w:tabs>
              <w:ind w:right="12"/>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r>
              <w:rPr>
                <w:spacing w:val="-1"/>
              </w:rPr>
              <w:tab/>
            </w:r>
          </w:p>
        </w:tc>
        <w:tc>
          <w:tcPr>
            <w:tcW w:w="1560" w:type="dxa"/>
          </w:tcPr>
          <w:p>
            <w:pPr>
              <w:pStyle w:val="yTableNAm"/>
              <w:rPr>
                <w:spacing w:val="-1"/>
              </w:rPr>
            </w:pPr>
            <w:r>
              <w:rPr>
                <w:spacing w:val="-1"/>
              </w:rPr>
              <w:br/>
            </w:r>
            <w:r>
              <w:rPr>
                <w:spacing w:val="-1"/>
              </w:rPr>
              <w:br/>
              <w:t>$62.70</w:t>
            </w:r>
          </w:p>
        </w:tc>
      </w:tr>
    </w:tbl>
    <w:p>
      <w:pPr>
        <w:pStyle w:val="yHeading5"/>
        <w:tabs>
          <w:tab w:val="clear" w:pos="879"/>
        </w:tabs>
        <w:ind w:left="964" w:hanging="966"/>
        <w:rPr>
          <w:b w:val="0"/>
          <w:bCs/>
          <w:spacing w:val="-1"/>
        </w:rPr>
      </w:pPr>
      <w:bookmarkStart w:id="773" w:name="_Toc237309619"/>
      <w:r>
        <w:rPr>
          <w:rStyle w:val="CharSClsNo"/>
        </w:rPr>
        <w:t>5</w:t>
      </w:r>
      <w:r>
        <w:t>.</w:t>
      </w:r>
      <w:r>
        <w:tab/>
        <w:t>Non</w:t>
      </w:r>
      <w:r>
        <w:noBreakHyphen/>
        <w:t>residential strata</w:t>
      </w:r>
      <w:r>
        <w:noBreakHyphen/>
        <w:t>titled unit (except a storage unit or parking bay)</w:t>
      </w:r>
      <w:bookmarkEnd w:id="773"/>
    </w:p>
    <w:tbl>
      <w:tblPr>
        <w:tblW w:w="0" w:type="auto"/>
        <w:tblInd w:w="-12" w:type="dxa"/>
        <w:tblLayout w:type="fixed"/>
        <w:tblLook w:val="0000" w:firstRow="0" w:lastRow="0" w:firstColumn="0" w:lastColumn="0" w:noHBand="0" w:noVBand="0"/>
      </w:tblPr>
      <w:tblGrid>
        <w:gridCol w:w="960"/>
        <w:gridCol w:w="4680"/>
        <w:gridCol w:w="1560"/>
      </w:tblGrid>
      <w:tr>
        <w:tc>
          <w:tcPr>
            <w:tcW w:w="960" w:type="dxa"/>
          </w:tcPr>
          <w:p>
            <w:pPr>
              <w:pStyle w:val="yTableNAm"/>
            </w:pPr>
          </w:p>
        </w:tc>
        <w:tc>
          <w:tcPr>
            <w:tcW w:w="4680" w:type="dxa"/>
          </w:tcPr>
          <w:p>
            <w:pPr>
              <w:pStyle w:val="yTableNAm"/>
              <w:rPr>
                <w:spacing w:val="-1"/>
              </w:rPr>
            </w:pPr>
            <w:r>
              <w:t>In respect of land that —</w:t>
            </w:r>
          </w:p>
        </w:tc>
        <w:tc>
          <w:tcPr>
            <w:tcW w:w="1560" w:type="dxa"/>
          </w:tcPr>
          <w:p>
            <w:pPr>
              <w:pStyle w:val="yTableNAm"/>
              <w:rPr>
                <w:spacing w:val="-1"/>
              </w:rPr>
            </w:pPr>
          </w:p>
        </w:tc>
      </w:tr>
      <w:tr>
        <w:tc>
          <w:tcPr>
            <w:tcW w:w="960" w:type="dxa"/>
          </w:tcPr>
          <w:p>
            <w:pPr>
              <w:pStyle w:val="yTableNAm"/>
            </w:pPr>
          </w:p>
        </w:tc>
        <w:tc>
          <w:tcPr>
            <w:tcW w:w="4680" w:type="dxa"/>
          </w:tcPr>
          <w:p>
            <w:pPr>
              <w:pStyle w:val="yTableNAm"/>
              <w:tabs>
                <w:tab w:val="clear" w:pos="567"/>
                <w:tab w:val="left" w:pos="416"/>
                <w:tab w:val="left" w:pos="896"/>
              </w:tabs>
              <w:ind w:left="896" w:hanging="896"/>
              <w:rPr>
                <w:spacing w:val="-1"/>
              </w:rPr>
            </w:pPr>
            <w:r>
              <w:tab/>
              <w:t>(a)</w:t>
            </w:r>
            <w:r>
              <w:tab/>
              <w:t>is classified non</w:t>
            </w:r>
            <w:r>
              <w:noBreakHyphen/>
              <w:t>residential; and</w:t>
            </w:r>
          </w:p>
        </w:tc>
        <w:tc>
          <w:tcPr>
            <w:tcW w:w="1560" w:type="dxa"/>
          </w:tcPr>
          <w:p>
            <w:pPr>
              <w:pStyle w:val="yTableNAm"/>
              <w:rPr>
                <w:spacing w:val="-1"/>
              </w:rPr>
            </w:pPr>
          </w:p>
        </w:tc>
      </w:tr>
      <w:tr>
        <w:tc>
          <w:tcPr>
            <w:tcW w:w="960" w:type="dxa"/>
          </w:tcPr>
          <w:p>
            <w:pPr>
              <w:pStyle w:val="yTableNAm"/>
            </w:pPr>
          </w:p>
        </w:tc>
        <w:tc>
          <w:tcPr>
            <w:tcW w:w="4680" w:type="dxa"/>
          </w:tcPr>
          <w:p>
            <w:pPr>
              <w:pStyle w:val="yTableNAm"/>
              <w:tabs>
                <w:tab w:val="clear" w:pos="567"/>
                <w:tab w:val="left" w:pos="416"/>
                <w:tab w:val="left" w:pos="896"/>
              </w:tabs>
              <w:ind w:left="896" w:hanging="896"/>
              <w:rPr>
                <w:spacing w:val="-1"/>
              </w:rPr>
            </w:pPr>
            <w:r>
              <w:tab/>
              <w:t>(b)</w:t>
            </w:r>
            <w:r>
              <w:tab/>
              <w:t xml:space="preserve">comprises a unit that is a lot within the meaning of the </w:t>
            </w:r>
            <w:r>
              <w:rPr>
                <w:i/>
              </w:rPr>
              <w:t>Strata Titles Act 1985</w:t>
            </w:r>
            <w:r>
              <w:t>; and</w:t>
            </w:r>
          </w:p>
        </w:tc>
        <w:tc>
          <w:tcPr>
            <w:tcW w:w="1560" w:type="dxa"/>
          </w:tcPr>
          <w:p>
            <w:pPr>
              <w:pStyle w:val="yTableNAm"/>
              <w:rPr>
                <w:spacing w:val="-1"/>
              </w:rPr>
            </w:pPr>
          </w:p>
        </w:tc>
      </w:tr>
      <w:tr>
        <w:tc>
          <w:tcPr>
            <w:tcW w:w="960" w:type="dxa"/>
          </w:tcPr>
          <w:p>
            <w:pPr>
              <w:pStyle w:val="yTableNAm"/>
            </w:pPr>
          </w:p>
        </w:tc>
        <w:tc>
          <w:tcPr>
            <w:tcW w:w="4680" w:type="dxa"/>
          </w:tcPr>
          <w:p>
            <w:pPr>
              <w:pStyle w:val="yTableNAm"/>
              <w:tabs>
                <w:tab w:val="clear" w:pos="567"/>
                <w:tab w:val="left" w:pos="416"/>
                <w:tab w:val="left" w:pos="896"/>
              </w:tabs>
              <w:ind w:left="896" w:hanging="896"/>
            </w:pPr>
            <w:r>
              <w:tab/>
              <w:t>(c)</w:t>
            </w:r>
            <w:r>
              <w:tab/>
              <w:t>shares a major fixture with another unit described in paragraph (b) and has no other major fixtures that discharge into the sewer; and</w:t>
            </w:r>
          </w:p>
        </w:tc>
        <w:tc>
          <w:tcPr>
            <w:tcW w:w="1560" w:type="dxa"/>
          </w:tcPr>
          <w:p>
            <w:pPr>
              <w:pStyle w:val="yTableNAm"/>
              <w:rPr>
                <w:spacing w:val="-1"/>
              </w:rPr>
            </w:pPr>
          </w:p>
        </w:tc>
      </w:tr>
      <w:tr>
        <w:tc>
          <w:tcPr>
            <w:tcW w:w="960" w:type="dxa"/>
          </w:tcPr>
          <w:p>
            <w:pPr>
              <w:pStyle w:val="yTableNAm"/>
            </w:pPr>
          </w:p>
        </w:tc>
        <w:tc>
          <w:tcPr>
            <w:tcW w:w="4680" w:type="dxa"/>
          </w:tcPr>
          <w:p>
            <w:pPr>
              <w:pStyle w:val="yTableNAm"/>
              <w:tabs>
                <w:tab w:val="clear" w:pos="567"/>
                <w:tab w:val="left" w:pos="416"/>
                <w:tab w:val="left" w:pos="896"/>
              </w:tabs>
              <w:ind w:left="896" w:hanging="896"/>
            </w:pPr>
            <w:r>
              <w:tab/>
              <w:t>(d)</w:t>
            </w:r>
            <w:r>
              <w:tab/>
              <w:t>is not land mentioned in item 4,</w:t>
            </w:r>
          </w:p>
        </w:tc>
        <w:tc>
          <w:tcPr>
            <w:tcW w:w="1560" w:type="dxa"/>
          </w:tcPr>
          <w:p>
            <w:pPr>
              <w:pStyle w:val="yTableNAm"/>
              <w:rPr>
                <w:spacing w:val="-1"/>
              </w:rPr>
            </w:pPr>
          </w:p>
        </w:tc>
      </w:tr>
      <w:tr>
        <w:tc>
          <w:tcPr>
            <w:tcW w:w="960" w:type="dxa"/>
          </w:tcPr>
          <w:p>
            <w:pPr>
              <w:pStyle w:val="yTableNAm"/>
            </w:pPr>
          </w:p>
        </w:tc>
        <w:tc>
          <w:tcPr>
            <w:tcW w:w="4680" w:type="dxa"/>
          </w:tcPr>
          <w:p>
            <w:pPr>
              <w:pStyle w:val="yTableNAm"/>
              <w:tabs>
                <w:tab w:val="left" w:leader="dot" w:pos="4452"/>
              </w:tabs>
              <w:ind w:right="12"/>
              <w:rPr>
                <w:spacing w:val="-1"/>
              </w:rPr>
            </w:pPr>
            <w:r>
              <w:rPr>
                <w:spacing w:val="-1"/>
              </w:rPr>
              <w:t xml:space="preserve">and </w:t>
            </w:r>
            <w:r>
              <w:t xml:space="preserve">where </w:t>
            </w:r>
            <w:r>
              <w:rPr>
                <w:spacing w:val="-1"/>
              </w:rPr>
              <w:t xml:space="preserve">the total number of major fixtures shared by all the units on the relevant strata plan is less than the number of those units </w:t>
            </w:r>
            <w:r>
              <w:rPr>
                <w:spacing w:val="-1"/>
              </w:rPr>
              <w:tab/>
            </w:r>
          </w:p>
        </w:tc>
        <w:tc>
          <w:tcPr>
            <w:tcW w:w="1560" w:type="dxa"/>
          </w:tcPr>
          <w:p>
            <w:pPr>
              <w:pStyle w:val="yTableNAm"/>
              <w:rPr>
                <w:spacing w:val="-1"/>
              </w:rPr>
            </w:pPr>
            <w:r>
              <w:rPr>
                <w:spacing w:val="-1"/>
              </w:rPr>
              <w:br/>
            </w:r>
            <w:r>
              <w:rPr>
                <w:spacing w:val="-1"/>
              </w:rPr>
              <w:br/>
              <w:t>$393.70</w:t>
            </w:r>
          </w:p>
        </w:tc>
      </w:tr>
      <w:tr>
        <w:trPr>
          <w:cantSplit/>
        </w:trPr>
        <w:tc>
          <w:tcPr>
            <w:tcW w:w="7200" w:type="dxa"/>
            <w:gridSpan w:val="3"/>
          </w:tcPr>
          <w:p>
            <w:pPr>
              <w:pStyle w:val="yHeading5"/>
              <w:tabs>
                <w:tab w:val="clear" w:pos="879"/>
              </w:tabs>
              <w:spacing w:before="180"/>
              <w:ind w:left="964" w:hanging="964"/>
              <w:rPr>
                <w:b w:val="0"/>
                <w:bCs/>
                <w:spacing w:val="-1"/>
              </w:rPr>
            </w:pPr>
            <w:bookmarkStart w:id="774" w:name="_Toc237309620"/>
            <w:r>
              <w:rPr>
                <w:rStyle w:val="CharSClsNo"/>
              </w:rPr>
              <w:t>6</w:t>
            </w:r>
            <w:r>
              <w:t>.</w:t>
            </w:r>
            <w:r>
              <w:tab/>
              <w:t>Land from which industrial waste is discharged into a sewer of the Corporation</w:t>
            </w:r>
            <w:bookmarkEnd w:id="774"/>
          </w:p>
        </w:tc>
      </w:tr>
      <w:tr>
        <w:tc>
          <w:tcPr>
            <w:tcW w:w="960" w:type="dxa"/>
          </w:tcPr>
          <w:p>
            <w:pPr>
              <w:pStyle w:val="yTableNAm"/>
            </w:pPr>
          </w:p>
        </w:tc>
        <w:tc>
          <w:tcPr>
            <w:tcW w:w="4680" w:type="dxa"/>
          </w:tcPr>
          <w:p>
            <w:pPr>
              <w:pStyle w:val="yTableNAm"/>
              <w:tabs>
                <w:tab w:val="left" w:leader="dot" w:pos="4452"/>
              </w:tabs>
              <w:ind w:right="12"/>
            </w:pPr>
            <w:r>
              <w:t xml:space="preserve">Discharge pursuant to permit </w:t>
            </w:r>
            <w:r>
              <w:tab/>
            </w:r>
          </w:p>
        </w:tc>
        <w:tc>
          <w:tcPr>
            <w:tcW w:w="1560" w:type="dxa"/>
          </w:tcPr>
          <w:p>
            <w:pPr>
              <w:pStyle w:val="yTableNAm"/>
            </w:pPr>
            <w:r>
              <w:t>$195.60</w:t>
            </w:r>
          </w:p>
        </w:tc>
      </w:tr>
      <w:tr>
        <w:trPr>
          <w:cantSplit/>
        </w:trPr>
        <w:tc>
          <w:tcPr>
            <w:tcW w:w="7200" w:type="dxa"/>
            <w:gridSpan w:val="3"/>
          </w:tcPr>
          <w:p>
            <w:pPr>
              <w:pStyle w:val="yHeading5"/>
              <w:tabs>
                <w:tab w:val="clear" w:pos="879"/>
              </w:tabs>
              <w:spacing w:before="180"/>
              <w:ind w:left="964" w:hanging="964"/>
              <w:rPr>
                <w:rStyle w:val="CharSClsNo"/>
              </w:rPr>
            </w:pPr>
            <w:bookmarkStart w:id="775" w:name="_Toc237309621"/>
            <w:r>
              <w:rPr>
                <w:rStyle w:val="CharSClsNo"/>
              </w:rPr>
              <w:t>7</w:t>
            </w:r>
            <w:r>
              <w:t>.</w:t>
            </w:r>
            <w:r>
              <w:tab/>
              <w:t>Land from which industrial waste is discharged into a sewer of the Corporation through grease arrestor</w:t>
            </w:r>
            <w:bookmarkEnd w:id="775"/>
          </w:p>
        </w:tc>
      </w:tr>
      <w:tr>
        <w:tc>
          <w:tcPr>
            <w:tcW w:w="960" w:type="dxa"/>
          </w:tcPr>
          <w:p>
            <w:pPr>
              <w:pStyle w:val="yTableNAm"/>
            </w:pPr>
          </w:p>
        </w:tc>
        <w:tc>
          <w:tcPr>
            <w:tcW w:w="4680" w:type="dxa"/>
          </w:tcPr>
          <w:p>
            <w:pPr>
              <w:pStyle w:val="yTableNAm"/>
              <w:rPr>
                <w:spacing w:val="-1"/>
              </w:rPr>
            </w:pPr>
            <w:r>
              <w:t>In respect of land the subject of a permit under which industrial waste is discharged into a sewer of the Corporation through one or more grease arrestors, in addition to any other charge applicable to the land under this Schedule —</w:t>
            </w:r>
          </w:p>
        </w:tc>
        <w:tc>
          <w:tcPr>
            <w:tcW w:w="1560" w:type="dxa"/>
          </w:tcPr>
          <w:p>
            <w:pPr>
              <w:pStyle w:val="yTableNAm"/>
              <w:rPr>
                <w:spacing w:val="-1"/>
              </w:rPr>
            </w:pPr>
          </w:p>
        </w:tc>
      </w:tr>
      <w:tr>
        <w:tc>
          <w:tcPr>
            <w:tcW w:w="960" w:type="dxa"/>
          </w:tcPr>
          <w:p>
            <w:pPr>
              <w:pStyle w:val="yTableNAm"/>
            </w:pPr>
          </w:p>
        </w:tc>
        <w:tc>
          <w:tcPr>
            <w:tcW w:w="4680" w:type="dxa"/>
          </w:tcPr>
          <w:p>
            <w:pPr>
              <w:pStyle w:val="yTableNAm"/>
              <w:tabs>
                <w:tab w:val="clear" w:pos="567"/>
                <w:tab w:val="left" w:pos="416"/>
                <w:tab w:val="left" w:pos="896"/>
                <w:tab w:val="left" w:leader="dot" w:pos="4452"/>
              </w:tabs>
              <w:ind w:left="896" w:hanging="896"/>
            </w:pPr>
            <w:r>
              <w:tab/>
              <w:t>(a)</w:t>
            </w:r>
            <w:r>
              <w:tab/>
              <w:t xml:space="preserve">in respect of each grease arrestor, not being a grease arrestor that is shared with other land the subject of a permit, a charge of </w:t>
            </w:r>
            <w:r>
              <w:tab/>
            </w:r>
          </w:p>
        </w:tc>
        <w:tc>
          <w:tcPr>
            <w:tcW w:w="1560" w:type="dxa"/>
          </w:tcPr>
          <w:p>
            <w:pPr>
              <w:pStyle w:val="yTableNAm"/>
            </w:pPr>
            <w:r>
              <w:br/>
            </w:r>
            <w:r>
              <w:br/>
            </w:r>
            <w:r>
              <w:br/>
              <w:t>$85.95</w:t>
            </w:r>
          </w:p>
        </w:tc>
      </w:tr>
      <w:tr>
        <w:tc>
          <w:tcPr>
            <w:tcW w:w="960" w:type="dxa"/>
          </w:tcPr>
          <w:p>
            <w:pPr>
              <w:pStyle w:val="yTableNAm"/>
            </w:pPr>
          </w:p>
        </w:tc>
        <w:tc>
          <w:tcPr>
            <w:tcW w:w="4680" w:type="dxa"/>
          </w:tcPr>
          <w:p>
            <w:pPr>
              <w:pStyle w:val="yTableNAm"/>
              <w:tabs>
                <w:tab w:val="clear" w:pos="567"/>
                <w:tab w:val="left" w:pos="416"/>
                <w:tab w:val="left" w:pos="896"/>
                <w:tab w:val="left" w:leader="dot" w:pos="4452"/>
              </w:tabs>
              <w:ind w:left="896" w:hanging="896"/>
            </w:pPr>
            <w:r>
              <w:tab/>
              <w:t>(b)</w:t>
            </w:r>
            <w:r>
              <w:tab/>
              <w:t xml:space="preserve">in respect of each grease arrestor that is shared with other land the subject of a permit, a charge of </w:t>
            </w:r>
            <w:r>
              <w:tab/>
            </w:r>
          </w:p>
        </w:tc>
        <w:tc>
          <w:tcPr>
            <w:tcW w:w="1560" w:type="dxa"/>
          </w:tcPr>
          <w:p>
            <w:pPr>
              <w:pStyle w:val="yTableNAm"/>
            </w:pPr>
            <w:r>
              <w:br/>
            </w:r>
            <w:r>
              <w:br/>
              <w:t>$46.90</w:t>
            </w:r>
          </w:p>
        </w:tc>
      </w:tr>
    </w:tbl>
    <w:p>
      <w:pPr>
        <w:pStyle w:val="yFootnotesection"/>
      </w:pPr>
      <w:r>
        <w:tab/>
        <w:t>[Division 1 inserted in Gazette 19 Jun 2009 p. 2344-7.]</w:t>
      </w:r>
    </w:p>
    <w:p>
      <w:pPr>
        <w:pStyle w:val="yHeading3"/>
      </w:pPr>
      <w:bookmarkStart w:id="776" w:name="_Toc233448422"/>
      <w:bookmarkStart w:id="777" w:name="_Toc233611701"/>
      <w:bookmarkStart w:id="778" w:name="_Toc234730708"/>
      <w:bookmarkStart w:id="779" w:name="_Toc234733234"/>
      <w:bookmarkStart w:id="780" w:name="_Toc235863971"/>
      <w:bookmarkStart w:id="781" w:name="_Toc235933446"/>
      <w:bookmarkStart w:id="782" w:name="_Toc237164434"/>
      <w:bookmarkStart w:id="783" w:name="_Toc237244318"/>
      <w:bookmarkStart w:id="784" w:name="_Toc237245627"/>
      <w:bookmarkStart w:id="785" w:name="_Toc237245758"/>
      <w:bookmarkStart w:id="786" w:name="_Toc237247900"/>
      <w:bookmarkStart w:id="787" w:name="_Toc237254203"/>
      <w:bookmarkStart w:id="788" w:name="_Toc237309622"/>
      <w:r>
        <w:rPr>
          <w:rStyle w:val="CharSDivNo"/>
        </w:rPr>
        <w:t>Division 2</w:t>
      </w:r>
      <w:r>
        <w:t> — </w:t>
      </w:r>
      <w:r>
        <w:rPr>
          <w:rStyle w:val="CharSDivText"/>
        </w:rPr>
        <w:t>Variable charges and charges by way of a rate</w:t>
      </w:r>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yFootnoteheading"/>
        <w:spacing w:after="120"/>
      </w:pPr>
      <w:r>
        <w:tab/>
        <w:t>[Heading inserted in Gazette 19 Jun 2009 p. 2347.]</w:t>
      </w:r>
    </w:p>
    <w:tbl>
      <w:tblPr>
        <w:tblW w:w="0" w:type="auto"/>
        <w:tblInd w:w="-12" w:type="dxa"/>
        <w:tblLook w:val="0000" w:firstRow="0" w:lastRow="0" w:firstColumn="0" w:lastColumn="0" w:noHBand="0" w:noVBand="0"/>
      </w:tblPr>
      <w:tblGrid>
        <w:gridCol w:w="960"/>
        <w:gridCol w:w="4672"/>
        <w:gridCol w:w="1568"/>
      </w:tblGrid>
      <w:tr>
        <w:trPr>
          <w:cantSplit/>
        </w:trPr>
        <w:tc>
          <w:tcPr>
            <w:tcW w:w="7200" w:type="dxa"/>
            <w:gridSpan w:val="3"/>
          </w:tcPr>
          <w:p>
            <w:pPr>
              <w:pStyle w:val="yHeading5"/>
              <w:tabs>
                <w:tab w:val="clear" w:pos="879"/>
              </w:tabs>
              <w:spacing w:before="180"/>
              <w:ind w:left="964" w:hanging="964"/>
            </w:pPr>
            <w:bookmarkStart w:id="789" w:name="_Toc237309623"/>
            <w:r>
              <w:rPr>
                <w:rStyle w:val="CharSClsNo"/>
              </w:rPr>
              <w:t>8</w:t>
            </w:r>
            <w:r>
              <w:t>.</w:t>
            </w:r>
            <w:r>
              <w:tab/>
              <w:t>Metropolitan residential</w:t>
            </w:r>
            <w:bookmarkEnd w:id="789"/>
          </w:p>
        </w:tc>
      </w:tr>
      <w:tr>
        <w:tc>
          <w:tcPr>
            <w:tcW w:w="960" w:type="dxa"/>
          </w:tcPr>
          <w:p>
            <w:pPr>
              <w:pStyle w:val="yTableNAm"/>
            </w:pPr>
          </w:p>
        </w:tc>
        <w:tc>
          <w:tcPr>
            <w:tcW w:w="4672" w:type="dxa"/>
          </w:tcPr>
          <w:p>
            <w:pPr>
              <w:pStyle w:val="yTableNAm"/>
              <w:rPr>
                <w:spacing w:val="-1"/>
              </w:rPr>
            </w:pPr>
            <w:r>
              <w:t>In respect of each residential property in the metropolitan area not being —</w:t>
            </w:r>
          </w:p>
        </w:tc>
        <w:tc>
          <w:tcPr>
            <w:tcW w:w="1568" w:type="dxa"/>
          </w:tcPr>
          <w:p>
            <w:pPr>
              <w:pStyle w:val="yTableNAm"/>
              <w:rPr>
                <w:spacing w:val="-1"/>
              </w:rPr>
            </w:pPr>
          </w:p>
        </w:tc>
      </w:tr>
      <w:tr>
        <w:tc>
          <w:tcPr>
            <w:tcW w:w="960" w:type="dxa"/>
          </w:tcPr>
          <w:p>
            <w:pPr>
              <w:pStyle w:val="yTableNAm"/>
            </w:pPr>
          </w:p>
        </w:tc>
        <w:tc>
          <w:tcPr>
            <w:tcW w:w="4672" w:type="dxa"/>
          </w:tcPr>
          <w:p>
            <w:pPr>
              <w:pStyle w:val="yTableNAm"/>
              <w:tabs>
                <w:tab w:val="clear" w:pos="567"/>
                <w:tab w:val="left" w:pos="416"/>
                <w:tab w:val="left" w:pos="896"/>
              </w:tabs>
              <w:ind w:left="896" w:hanging="896"/>
            </w:pPr>
            <w:r>
              <w:tab/>
              <w:t>(a)</w:t>
            </w:r>
            <w:r>
              <w:tab/>
              <w:t>subject to a charge under item 1 or 3; or</w:t>
            </w:r>
          </w:p>
        </w:tc>
        <w:tc>
          <w:tcPr>
            <w:tcW w:w="1568" w:type="dxa"/>
          </w:tcPr>
          <w:p>
            <w:pPr>
              <w:pStyle w:val="yTableNAm"/>
            </w:pPr>
          </w:p>
        </w:tc>
      </w:tr>
      <w:tr>
        <w:tc>
          <w:tcPr>
            <w:tcW w:w="960" w:type="dxa"/>
          </w:tcPr>
          <w:p>
            <w:pPr>
              <w:pStyle w:val="yTableNAm"/>
            </w:pPr>
          </w:p>
        </w:tc>
        <w:tc>
          <w:tcPr>
            <w:tcW w:w="4672" w:type="dxa"/>
          </w:tcPr>
          <w:p>
            <w:pPr>
              <w:pStyle w:val="yTableNAm"/>
              <w:tabs>
                <w:tab w:val="clear" w:pos="567"/>
                <w:tab w:val="left" w:pos="416"/>
                <w:tab w:val="left" w:pos="896"/>
              </w:tabs>
              <w:ind w:left="896" w:hanging="896"/>
            </w:pPr>
            <w:r>
              <w:tab/>
              <w:t>(b)</w:t>
            </w:r>
            <w:r>
              <w:tab/>
              <w:t>a caravan park or a nursing home,</w:t>
            </w:r>
          </w:p>
        </w:tc>
        <w:tc>
          <w:tcPr>
            <w:tcW w:w="1568" w:type="dxa"/>
          </w:tcPr>
          <w:p>
            <w:pPr>
              <w:pStyle w:val="yTableNAm"/>
            </w:pPr>
          </w:p>
        </w:tc>
      </w:tr>
      <w:tr>
        <w:tc>
          <w:tcPr>
            <w:tcW w:w="960" w:type="dxa"/>
          </w:tcPr>
          <w:p>
            <w:pPr>
              <w:pStyle w:val="yTableNAm"/>
            </w:pPr>
          </w:p>
        </w:tc>
        <w:tc>
          <w:tcPr>
            <w:tcW w:w="4672" w:type="dxa"/>
          </w:tcPr>
          <w:p>
            <w:pPr>
              <w:pStyle w:val="yTableNAm"/>
            </w:pPr>
            <w:r>
              <w:t>an amount for each dollar of the GRV —</w:t>
            </w:r>
          </w:p>
        </w:tc>
        <w:tc>
          <w:tcPr>
            <w:tcW w:w="1568" w:type="dxa"/>
          </w:tcPr>
          <w:p>
            <w:pPr>
              <w:pStyle w:val="yTableNAm"/>
            </w:pPr>
          </w:p>
        </w:tc>
      </w:tr>
      <w:tr>
        <w:tc>
          <w:tcPr>
            <w:tcW w:w="960" w:type="dxa"/>
          </w:tcPr>
          <w:p>
            <w:pPr>
              <w:pStyle w:val="yTableNAm"/>
            </w:pPr>
          </w:p>
        </w:tc>
        <w:tc>
          <w:tcPr>
            <w:tcW w:w="4672" w:type="dxa"/>
          </w:tcPr>
          <w:p>
            <w:pPr>
              <w:pStyle w:val="yTableNAm"/>
              <w:tabs>
                <w:tab w:val="clear" w:pos="567"/>
                <w:tab w:val="left" w:pos="972"/>
                <w:tab w:val="left" w:leader="dot" w:pos="4452"/>
              </w:tabs>
              <w:ind w:left="1136" w:hanging="1136"/>
              <w:rPr>
                <w:spacing w:val="-1"/>
              </w:rPr>
            </w:pPr>
            <w:r>
              <w:tab/>
              <w:t>up</w:t>
            </w:r>
            <w:r>
              <w:rPr>
                <w:spacing w:val="-1"/>
              </w:rPr>
              <w:t xml:space="preserve"> to $12 400 </w:t>
            </w:r>
            <w:r>
              <w:rPr>
                <w:spacing w:val="-1"/>
              </w:rPr>
              <w:tab/>
            </w:r>
          </w:p>
        </w:tc>
        <w:tc>
          <w:tcPr>
            <w:tcW w:w="1568" w:type="dxa"/>
          </w:tcPr>
          <w:p>
            <w:pPr>
              <w:pStyle w:val="yTableNAm"/>
              <w:rPr>
                <w:spacing w:val="-1"/>
              </w:rPr>
            </w:pPr>
            <w:r>
              <w:t>4.92 cents</w:t>
            </w:r>
            <w:r>
              <w:rPr>
                <w:spacing w:val="-1"/>
              </w:rPr>
              <w:t>/$ of GRV</w:t>
            </w:r>
          </w:p>
        </w:tc>
      </w:tr>
      <w:tr>
        <w:tc>
          <w:tcPr>
            <w:tcW w:w="960" w:type="dxa"/>
          </w:tcPr>
          <w:p>
            <w:pPr>
              <w:pStyle w:val="yTableNAm"/>
            </w:pPr>
          </w:p>
        </w:tc>
        <w:tc>
          <w:tcPr>
            <w:tcW w:w="4672" w:type="dxa"/>
          </w:tcPr>
          <w:p>
            <w:pPr>
              <w:pStyle w:val="yTableNAm"/>
              <w:tabs>
                <w:tab w:val="clear" w:pos="567"/>
                <w:tab w:val="left" w:pos="972"/>
                <w:tab w:val="left" w:leader="dot" w:pos="4452"/>
              </w:tabs>
              <w:ind w:left="1136" w:hanging="1136"/>
              <w:rPr>
                <w:spacing w:val="-1"/>
              </w:rPr>
            </w:pPr>
            <w:r>
              <w:tab/>
              <w:t>over</w:t>
            </w:r>
            <w:r>
              <w:rPr>
                <w:spacing w:val="-1"/>
              </w:rPr>
              <w:t xml:space="preserve"> $</w:t>
            </w:r>
            <w:r>
              <w:t>12</w:t>
            </w:r>
            <w:r>
              <w:rPr>
                <w:spacing w:val="-1"/>
              </w:rPr>
              <w:t xml:space="preserve"> 400 </w:t>
            </w:r>
            <w:r>
              <w:rPr>
                <w:spacing w:val="-1"/>
              </w:rPr>
              <w:tab/>
            </w:r>
          </w:p>
        </w:tc>
        <w:tc>
          <w:tcPr>
            <w:tcW w:w="1568" w:type="dxa"/>
          </w:tcPr>
          <w:p>
            <w:pPr>
              <w:pStyle w:val="yTableNAm"/>
              <w:rPr>
                <w:spacing w:val="-1"/>
              </w:rPr>
            </w:pPr>
            <w:r>
              <w:rPr>
                <w:spacing w:val="-1"/>
              </w:rPr>
              <w:t>1.69 cents/$ of GRV</w:t>
            </w:r>
          </w:p>
        </w:tc>
      </w:tr>
      <w:tr>
        <w:tc>
          <w:tcPr>
            <w:tcW w:w="960" w:type="dxa"/>
          </w:tcPr>
          <w:p>
            <w:pPr>
              <w:pStyle w:val="yTableNAm"/>
            </w:pPr>
          </w:p>
        </w:tc>
        <w:tc>
          <w:tcPr>
            <w:tcW w:w="4672" w:type="dxa"/>
          </w:tcPr>
          <w:p>
            <w:pPr>
              <w:pStyle w:val="yTableNAm"/>
              <w:tabs>
                <w:tab w:val="left" w:leader="dot" w:pos="4452"/>
              </w:tabs>
              <w:ind w:right="12"/>
              <w:rPr>
                <w:spacing w:val="-1"/>
              </w:rPr>
            </w:pPr>
            <w:r>
              <w:rPr>
                <w:spacing w:val="-1"/>
              </w:rPr>
              <w:t xml:space="preserve">Subject to a minimum of </w:t>
            </w:r>
            <w:r>
              <w:rPr>
                <w:spacing w:val="-1"/>
              </w:rPr>
              <w:tab/>
            </w:r>
          </w:p>
        </w:tc>
        <w:tc>
          <w:tcPr>
            <w:tcW w:w="1568" w:type="dxa"/>
          </w:tcPr>
          <w:p>
            <w:pPr>
              <w:pStyle w:val="yTableNAm"/>
              <w:rPr>
                <w:spacing w:val="-1"/>
              </w:rPr>
            </w:pPr>
            <w:r>
              <w:rPr>
                <w:spacing w:val="-1"/>
              </w:rPr>
              <w:t>$287.50</w:t>
            </w:r>
          </w:p>
        </w:tc>
      </w:tr>
      <w:tr>
        <w:trPr>
          <w:cantSplit/>
        </w:trPr>
        <w:tc>
          <w:tcPr>
            <w:tcW w:w="7200" w:type="dxa"/>
            <w:gridSpan w:val="3"/>
          </w:tcPr>
          <w:p>
            <w:pPr>
              <w:pStyle w:val="yHeading5"/>
              <w:tabs>
                <w:tab w:val="clear" w:pos="879"/>
              </w:tabs>
              <w:ind w:left="964" w:hanging="966"/>
              <w:rPr>
                <w:b w:val="0"/>
                <w:bCs/>
                <w:spacing w:val="-1"/>
              </w:rPr>
            </w:pPr>
            <w:bookmarkStart w:id="790" w:name="_Toc237309624"/>
            <w:r>
              <w:rPr>
                <w:rStyle w:val="CharSClsNo"/>
              </w:rPr>
              <w:t>9</w:t>
            </w:r>
            <w:r>
              <w:t>.</w:t>
            </w:r>
            <w:r>
              <w:tab/>
              <w:t>Vacant metropolitan non</w:t>
            </w:r>
            <w:r>
              <w:noBreakHyphen/>
              <w:t>residential</w:t>
            </w:r>
            <w:bookmarkEnd w:id="790"/>
          </w:p>
        </w:tc>
      </w:tr>
      <w:tr>
        <w:tc>
          <w:tcPr>
            <w:tcW w:w="960" w:type="dxa"/>
          </w:tcPr>
          <w:p>
            <w:pPr>
              <w:pStyle w:val="yTableNAm"/>
              <w:rPr>
                <w:rStyle w:val="CharSClsNo"/>
              </w:rPr>
            </w:pPr>
          </w:p>
        </w:tc>
        <w:tc>
          <w:tcPr>
            <w:tcW w:w="4672" w:type="dxa"/>
          </w:tcPr>
          <w:p>
            <w:pPr>
              <w:pStyle w:val="yTableNAm"/>
              <w:rPr>
                <w:spacing w:val="-1"/>
              </w:rPr>
            </w:pPr>
            <w:r>
              <w:t>In respect of vacant land in the metropolitan area not being —</w:t>
            </w:r>
          </w:p>
        </w:tc>
        <w:tc>
          <w:tcPr>
            <w:tcW w:w="1568" w:type="dxa"/>
          </w:tcPr>
          <w:p>
            <w:pPr>
              <w:pStyle w:val="yTableNAm"/>
              <w:rPr>
                <w:spacing w:val="-1"/>
              </w:rPr>
            </w:pPr>
          </w:p>
        </w:tc>
      </w:tr>
      <w:tr>
        <w:tc>
          <w:tcPr>
            <w:tcW w:w="960" w:type="dxa"/>
          </w:tcPr>
          <w:p>
            <w:pPr>
              <w:pStyle w:val="yTableNAm"/>
              <w:rPr>
                <w:rStyle w:val="CharSClsNo"/>
              </w:rPr>
            </w:pPr>
          </w:p>
        </w:tc>
        <w:tc>
          <w:tcPr>
            <w:tcW w:w="4672" w:type="dxa"/>
          </w:tcPr>
          <w:p>
            <w:pPr>
              <w:pStyle w:val="yTableNAm"/>
              <w:tabs>
                <w:tab w:val="clear" w:pos="567"/>
                <w:tab w:val="left" w:pos="416"/>
                <w:tab w:val="left" w:pos="896"/>
              </w:tabs>
              <w:ind w:left="896" w:hanging="896"/>
              <w:rPr>
                <w:spacing w:val="-1"/>
              </w:rPr>
            </w:pPr>
            <w:r>
              <w:tab/>
              <w:t>(a)</w:t>
            </w:r>
            <w:r>
              <w:tab/>
              <w:t>land comprised in a residential property; or</w:t>
            </w:r>
          </w:p>
        </w:tc>
        <w:tc>
          <w:tcPr>
            <w:tcW w:w="1568" w:type="dxa"/>
          </w:tcPr>
          <w:p>
            <w:pPr>
              <w:pStyle w:val="yTableNAm"/>
              <w:rPr>
                <w:spacing w:val="-1"/>
              </w:rPr>
            </w:pPr>
          </w:p>
        </w:tc>
      </w:tr>
      <w:tr>
        <w:tc>
          <w:tcPr>
            <w:tcW w:w="960" w:type="dxa"/>
          </w:tcPr>
          <w:p>
            <w:pPr>
              <w:pStyle w:val="yTableNAm"/>
              <w:rPr>
                <w:rStyle w:val="CharSClsNo"/>
              </w:rPr>
            </w:pPr>
          </w:p>
        </w:tc>
        <w:tc>
          <w:tcPr>
            <w:tcW w:w="4672" w:type="dxa"/>
          </w:tcPr>
          <w:p>
            <w:pPr>
              <w:pStyle w:val="yTableNAm"/>
              <w:tabs>
                <w:tab w:val="clear" w:pos="567"/>
                <w:tab w:val="left" w:pos="416"/>
                <w:tab w:val="left" w:pos="896"/>
              </w:tabs>
              <w:ind w:left="896" w:hanging="896"/>
              <w:rPr>
                <w:spacing w:val="-1"/>
              </w:rPr>
            </w:pPr>
            <w:r>
              <w:tab/>
              <w:t>(b)</w:t>
            </w:r>
            <w:r>
              <w:tab/>
              <w:t>a nursing home; or</w:t>
            </w:r>
          </w:p>
        </w:tc>
        <w:tc>
          <w:tcPr>
            <w:tcW w:w="1568" w:type="dxa"/>
          </w:tcPr>
          <w:p>
            <w:pPr>
              <w:pStyle w:val="yTableNAm"/>
              <w:rPr>
                <w:spacing w:val="-1"/>
              </w:rPr>
            </w:pPr>
          </w:p>
        </w:tc>
      </w:tr>
      <w:tr>
        <w:tc>
          <w:tcPr>
            <w:tcW w:w="960" w:type="dxa"/>
          </w:tcPr>
          <w:p>
            <w:pPr>
              <w:pStyle w:val="yTableNAm"/>
              <w:rPr>
                <w:rStyle w:val="CharSClsNo"/>
              </w:rPr>
            </w:pPr>
          </w:p>
        </w:tc>
        <w:tc>
          <w:tcPr>
            <w:tcW w:w="4672" w:type="dxa"/>
          </w:tcPr>
          <w:p>
            <w:pPr>
              <w:pStyle w:val="yTableNAm"/>
              <w:tabs>
                <w:tab w:val="clear" w:pos="567"/>
                <w:tab w:val="left" w:pos="416"/>
                <w:tab w:val="left" w:pos="896"/>
              </w:tabs>
              <w:ind w:left="896" w:hanging="896"/>
              <w:rPr>
                <w:spacing w:val="-1"/>
              </w:rPr>
            </w:pPr>
            <w:r>
              <w:tab/>
              <w:t>(c)</w:t>
            </w:r>
            <w:r>
              <w:tab/>
              <w:t>a caravan park; or</w:t>
            </w:r>
          </w:p>
        </w:tc>
        <w:tc>
          <w:tcPr>
            <w:tcW w:w="1568" w:type="dxa"/>
          </w:tcPr>
          <w:p>
            <w:pPr>
              <w:pStyle w:val="yTableNAm"/>
              <w:rPr>
                <w:spacing w:val="-1"/>
              </w:rPr>
            </w:pPr>
          </w:p>
        </w:tc>
      </w:tr>
      <w:tr>
        <w:tc>
          <w:tcPr>
            <w:tcW w:w="960" w:type="dxa"/>
          </w:tcPr>
          <w:p>
            <w:pPr>
              <w:pStyle w:val="yTableNAm"/>
              <w:rPr>
                <w:rStyle w:val="CharSClsNo"/>
              </w:rPr>
            </w:pPr>
          </w:p>
        </w:tc>
        <w:tc>
          <w:tcPr>
            <w:tcW w:w="4672" w:type="dxa"/>
          </w:tcPr>
          <w:p>
            <w:pPr>
              <w:pStyle w:val="yTableNAm"/>
              <w:tabs>
                <w:tab w:val="clear" w:pos="567"/>
                <w:tab w:val="left" w:pos="416"/>
                <w:tab w:val="left" w:pos="896"/>
              </w:tabs>
              <w:ind w:left="896" w:hanging="896"/>
            </w:pPr>
            <w:r>
              <w:tab/>
              <w:t>(d)</w:t>
            </w:r>
            <w:r>
              <w:tab/>
              <w:t>land referred to in item 1 or 3,</w:t>
            </w:r>
          </w:p>
        </w:tc>
        <w:tc>
          <w:tcPr>
            <w:tcW w:w="1568" w:type="dxa"/>
          </w:tcPr>
          <w:p>
            <w:pPr>
              <w:pStyle w:val="yTableNAm"/>
              <w:rPr>
                <w:spacing w:val="-1"/>
              </w:rPr>
            </w:pPr>
          </w:p>
        </w:tc>
      </w:tr>
      <w:tr>
        <w:tc>
          <w:tcPr>
            <w:tcW w:w="960" w:type="dxa"/>
          </w:tcPr>
          <w:p>
            <w:pPr>
              <w:pStyle w:val="yTableNAm"/>
              <w:rPr>
                <w:rStyle w:val="CharSClsNo"/>
              </w:rPr>
            </w:pPr>
          </w:p>
        </w:tc>
        <w:tc>
          <w:tcPr>
            <w:tcW w:w="4672" w:type="dxa"/>
          </w:tcPr>
          <w:p>
            <w:pPr>
              <w:pStyle w:val="yTableNAm"/>
              <w:tabs>
                <w:tab w:val="left" w:leader="dot" w:pos="4452"/>
              </w:tabs>
              <w:ind w:right="12"/>
              <w:rPr>
                <w:spacing w:val="-1"/>
              </w:rPr>
            </w:pPr>
            <w:r>
              <w:t xml:space="preserve">an amount of </w:t>
            </w:r>
            <w:r>
              <w:rPr>
                <w:spacing w:val="-1"/>
              </w:rPr>
              <w:tab/>
            </w:r>
          </w:p>
        </w:tc>
        <w:tc>
          <w:tcPr>
            <w:tcW w:w="1568" w:type="dxa"/>
          </w:tcPr>
          <w:p>
            <w:pPr>
              <w:pStyle w:val="yTableNAm"/>
              <w:rPr>
                <w:spacing w:val="-1"/>
              </w:rPr>
            </w:pPr>
            <w:r>
              <w:t>1.540 cents/$ of GRV</w:t>
            </w:r>
          </w:p>
        </w:tc>
      </w:tr>
      <w:tr>
        <w:tc>
          <w:tcPr>
            <w:tcW w:w="960" w:type="dxa"/>
          </w:tcPr>
          <w:p>
            <w:pPr>
              <w:pStyle w:val="yTableNAm"/>
              <w:rPr>
                <w:rStyle w:val="CharSClsNo"/>
              </w:rPr>
            </w:pPr>
          </w:p>
        </w:tc>
        <w:tc>
          <w:tcPr>
            <w:tcW w:w="4672" w:type="dxa"/>
          </w:tcPr>
          <w:p>
            <w:pPr>
              <w:pStyle w:val="yTableNAm"/>
              <w:tabs>
                <w:tab w:val="left" w:leader="dot" w:pos="4452"/>
              </w:tabs>
              <w:ind w:right="12"/>
              <w:rPr>
                <w:spacing w:val="-1"/>
              </w:rPr>
            </w:pPr>
            <w:r>
              <w:rPr>
                <w:spacing w:val="-1"/>
              </w:rPr>
              <w:t xml:space="preserve">subject to a </w:t>
            </w:r>
            <w:r>
              <w:t>minimum</w:t>
            </w:r>
            <w:r>
              <w:rPr>
                <w:spacing w:val="-1"/>
              </w:rPr>
              <w:t xml:space="preserve"> in respect of any vacant land the subject of a separate assessment of </w:t>
            </w:r>
            <w:r>
              <w:rPr>
                <w:spacing w:val="-1"/>
              </w:rPr>
              <w:tab/>
            </w:r>
          </w:p>
        </w:tc>
        <w:tc>
          <w:tcPr>
            <w:tcW w:w="1568" w:type="dxa"/>
          </w:tcPr>
          <w:p>
            <w:pPr>
              <w:pStyle w:val="yTableNAm"/>
              <w:rPr>
                <w:spacing w:val="-1"/>
              </w:rPr>
            </w:pPr>
            <w:r>
              <w:rPr>
                <w:spacing w:val="-1"/>
              </w:rPr>
              <w:br/>
              <w:t>$216.20</w:t>
            </w:r>
          </w:p>
        </w:tc>
      </w:tr>
      <w:tr>
        <w:trPr>
          <w:cantSplit/>
        </w:trPr>
        <w:tc>
          <w:tcPr>
            <w:tcW w:w="7200" w:type="dxa"/>
            <w:gridSpan w:val="3"/>
          </w:tcPr>
          <w:p>
            <w:pPr>
              <w:pStyle w:val="yHeading5"/>
              <w:tabs>
                <w:tab w:val="clear" w:pos="879"/>
              </w:tabs>
              <w:ind w:left="964" w:hanging="966"/>
            </w:pPr>
            <w:bookmarkStart w:id="791" w:name="_Toc237309625"/>
            <w:r>
              <w:rPr>
                <w:rStyle w:val="CharSClsNo"/>
              </w:rPr>
              <w:t>10</w:t>
            </w:r>
            <w:r>
              <w:t>.</w:t>
            </w:r>
            <w:r>
              <w:tab/>
              <w:t>Country</w:t>
            </w:r>
            <w:bookmarkEnd w:id="791"/>
          </w:p>
        </w:tc>
      </w:tr>
      <w:tr>
        <w:tc>
          <w:tcPr>
            <w:tcW w:w="960" w:type="dxa"/>
          </w:tcPr>
          <w:p>
            <w:pPr>
              <w:pStyle w:val="yTableNAm"/>
            </w:pPr>
          </w:p>
        </w:tc>
        <w:tc>
          <w:tcPr>
            <w:tcW w:w="4672" w:type="dxa"/>
          </w:tcPr>
          <w:p>
            <w:pPr>
              <w:pStyle w:val="yTableNAm"/>
            </w:pPr>
            <w:r>
              <w:t>In respect of land in a country sewerage area referred to in column 1 of the following Table, not being land referred to in Division 1 or 7 —</w:t>
            </w:r>
          </w:p>
        </w:tc>
        <w:tc>
          <w:tcPr>
            <w:tcW w:w="1568" w:type="dxa"/>
          </w:tcPr>
          <w:p>
            <w:pPr>
              <w:pStyle w:val="yTableNAm"/>
              <w:rPr>
                <w:spacing w:val="-1"/>
              </w:rPr>
            </w:pPr>
          </w:p>
        </w:tc>
      </w:tr>
      <w:tr>
        <w:tc>
          <w:tcPr>
            <w:tcW w:w="960" w:type="dxa"/>
          </w:tcPr>
          <w:p>
            <w:pPr>
              <w:pStyle w:val="yTableNAm"/>
            </w:pPr>
          </w:p>
        </w:tc>
        <w:tc>
          <w:tcPr>
            <w:tcW w:w="4672" w:type="dxa"/>
          </w:tcPr>
          <w:p>
            <w:pPr>
              <w:pStyle w:val="yTableNAm"/>
              <w:tabs>
                <w:tab w:val="clear" w:pos="567"/>
                <w:tab w:val="left" w:pos="416"/>
                <w:tab w:val="left" w:pos="896"/>
              </w:tabs>
              <w:ind w:left="896" w:hanging="896"/>
            </w:pPr>
            <w:r>
              <w:tab/>
              <w:t>(a)</w:t>
            </w:r>
            <w:r>
              <w:tab/>
              <w:t>where the land is classified as residential, an amount for each dollar of the GRV as set out in column 2 of the Table;</w:t>
            </w:r>
          </w:p>
        </w:tc>
        <w:tc>
          <w:tcPr>
            <w:tcW w:w="1568" w:type="dxa"/>
          </w:tcPr>
          <w:p>
            <w:pPr>
              <w:pStyle w:val="yTableNAm"/>
              <w:rPr>
                <w:spacing w:val="-1"/>
              </w:rPr>
            </w:pPr>
          </w:p>
        </w:tc>
      </w:tr>
      <w:tr>
        <w:tc>
          <w:tcPr>
            <w:tcW w:w="960" w:type="dxa"/>
          </w:tcPr>
          <w:p>
            <w:pPr>
              <w:pStyle w:val="yTableNAm"/>
            </w:pPr>
          </w:p>
        </w:tc>
        <w:tc>
          <w:tcPr>
            <w:tcW w:w="4672" w:type="dxa"/>
          </w:tcPr>
          <w:p>
            <w:pPr>
              <w:pStyle w:val="yTableNAm"/>
              <w:tabs>
                <w:tab w:val="clear" w:pos="567"/>
                <w:tab w:val="left" w:pos="416"/>
                <w:tab w:val="left" w:pos="896"/>
              </w:tabs>
              <w:ind w:left="896" w:hanging="896"/>
            </w:pPr>
            <w:r>
              <w:tab/>
              <w:t>(b)</w:t>
            </w:r>
            <w:r>
              <w:tab/>
              <w:t>where the land is not classified as residential, an amount for each dollar of the GRV as set out in column 3 of the Table,</w:t>
            </w:r>
          </w:p>
        </w:tc>
        <w:tc>
          <w:tcPr>
            <w:tcW w:w="1568" w:type="dxa"/>
          </w:tcPr>
          <w:p>
            <w:pPr>
              <w:pStyle w:val="yTableNAm"/>
              <w:rPr>
                <w:spacing w:val="-1"/>
              </w:rPr>
            </w:pPr>
          </w:p>
        </w:tc>
      </w:tr>
      <w:tr>
        <w:tc>
          <w:tcPr>
            <w:tcW w:w="960" w:type="dxa"/>
          </w:tcPr>
          <w:p>
            <w:pPr>
              <w:pStyle w:val="yTableNAm"/>
            </w:pPr>
          </w:p>
        </w:tc>
        <w:tc>
          <w:tcPr>
            <w:tcW w:w="4672" w:type="dxa"/>
          </w:tcPr>
          <w:p>
            <w:pPr>
              <w:pStyle w:val="yTableNAm"/>
            </w:pPr>
            <w:r>
              <w:t>subject to a minimum in respect of any land the subject of a separate assessment of —</w:t>
            </w:r>
          </w:p>
        </w:tc>
        <w:tc>
          <w:tcPr>
            <w:tcW w:w="1568" w:type="dxa"/>
          </w:tcPr>
          <w:p>
            <w:pPr>
              <w:pStyle w:val="yTableNAm"/>
              <w:rPr>
                <w:spacing w:val="-1"/>
              </w:rPr>
            </w:pPr>
          </w:p>
        </w:tc>
      </w:tr>
      <w:tr>
        <w:tc>
          <w:tcPr>
            <w:tcW w:w="960" w:type="dxa"/>
          </w:tcPr>
          <w:p>
            <w:pPr>
              <w:pStyle w:val="yTableNAm"/>
            </w:pPr>
          </w:p>
        </w:tc>
        <w:tc>
          <w:tcPr>
            <w:tcW w:w="4672" w:type="dxa"/>
          </w:tcPr>
          <w:p>
            <w:pPr>
              <w:pStyle w:val="yTableNAm"/>
              <w:tabs>
                <w:tab w:val="clear" w:pos="567"/>
                <w:tab w:val="left" w:pos="416"/>
                <w:tab w:val="left" w:pos="896"/>
                <w:tab w:val="left" w:leader="dot" w:pos="4452"/>
              </w:tabs>
              <w:ind w:left="896" w:hanging="896"/>
            </w:pPr>
            <w:r>
              <w:tab/>
              <w:t>(c)</w:t>
            </w:r>
            <w:r>
              <w:tab/>
              <w:t xml:space="preserve">in the case of land classified as residential </w:t>
            </w:r>
            <w:r>
              <w:tab/>
            </w:r>
          </w:p>
        </w:tc>
        <w:tc>
          <w:tcPr>
            <w:tcW w:w="1568" w:type="dxa"/>
          </w:tcPr>
          <w:p>
            <w:pPr>
              <w:pStyle w:val="yTableNAm"/>
            </w:pPr>
            <w:r>
              <w:br/>
              <w:t>$287.50</w:t>
            </w:r>
          </w:p>
        </w:tc>
      </w:tr>
      <w:tr>
        <w:tc>
          <w:tcPr>
            <w:tcW w:w="960" w:type="dxa"/>
          </w:tcPr>
          <w:p>
            <w:pPr>
              <w:pStyle w:val="yTableNAm"/>
            </w:pPr>
          </w:p>
        </w:tc>
        <w:tc>
          <w:tcPr>
            <w:tcW w:w="4672" w:type="dxa"/>
          </w:tcPr>
          <w:p>
            <w:pPr>
              <w:pStyle w:val="yTableNAm"/>
              <w:tabs>
                <w:tab w:val="clear" w:pos="567"/>
                <w:tab w:val="left" w:pos="416"/>
                <w:tab w:val="left" w:pos="896"/>
                <w:tab w:val="left" w:leader="dot" w:pos="4452"/>
              </w:tabs>
              <w:ind w:left="896" w:hanging="896"/>
            </w:pPr>
            <w:r>
              <w:tab/>
              <w:t>(d)</w:t>
            </w:r>
            <w:r>
              <w:tab/>
              <w:t xml:space="preserve">in the case of land classified as vacant land </w:t>
            </w:r>
            <w:r>
              <w:tab/>
            </w:r>
          </w:p>
        </w:tc>
        <w:tc>
          <w:tcPr>
            <w:tcW w:w="1568" w:type="dxa"/>
          </w:tcPr>
          <w:p>
            <w:pPr>
              <w:pStyle w:val="yTableNAm"/>
            </w:pPr>
            <w:r>
              <w:br/>
              <w:t>$189.20</w:t>
            </w:r>
          </w:p>
        </w:tc>
      </w:tr>
      <w:tr>
        <w:tc>
          <w:tcPr>
            <w:tcW w:w="960" w:type="dxa"/>
          </w:tcPr>
          <w:p>
            <w:pPr>
              <w:pStyle w:val="yTableNAm"/>
              <w:keepNext/>
            </w:pPr>
          </w:p>
        </w:tc>
        <w:tc>
          <w:tcPr>
            <w:tcW w:w="4672" w:type="dxa"/>
          </w:tcPr>
          <w:p>
            <w:pPr>
              <w:pStyle w:val="yTableNAm"/>
              <w:keepNext/>
              <w:tabs>
                <w:tab w:val="clear" w:pos="567"/>
                <w:tab w:val="left" w:pos="416"/>
                <w:tab w:val="left" w:pos="896"/>
                <w:tab w:val="left" w:leader="dot" w:pos="4452"/>
              </w:tabs>
              <w:ind w:left="896" w:hanging="896"/>
            </w:pPr>
            <w:r>
              <w:tab/>
              <w:t>(e)</w:t>
            </w:r>
            <w:r>
              <w:tab/>
              <w:t xml:space="preserve">in the case of land not classified as residential or vacant land </w:t>
            </w:r>
            <w:r>
              <w:tab/>
            </w:r>
          </w:p>
        </w:tc>
        <w:tc>
          <w:tcPr>
            <w:tcW w:w="1568" w:type="dxa"/>
          </w:tcPr>
          <w:p>
            <w:pPr>
              <w:pStyle w:val="yTableNAm"/>
              <w:keepNext/>
            </w:pPr>
            <w:r>
              <w:br/>
              <w:t>$633.40</w:t>
            </w:r>
          </w:p>
        </w:tc>
      </w:tr>
      <w:tr>
        <w:tc>
          <w:tcPr>
            <w:tcW w:w="960" w:type="dxa"/>
          </w:tcPr>
          <w:p>
            <w:pPr>
              <w:pStyle w:val="yTableNAm"/>
            </w:pPr>
          </w:p>
        </w:tc>
        <w:tc>
          <w:tcPr>
            <w:tcW w:w="4672" w:type="dxa"/>
          </w:tcPr>
          <w:p>
            <w:pPr>
              <w:pStyle w:val="yTableNAm"/>
              <w:tabs>
                <w:tab w:val="left" w:leader="dot" w:pos="4452"/>
              </w:tabs>
              <w:ind w:left="12" w:right="12"/>
            </w:pPr>
            <w:r>
              <w:t xml:space="preserve">and subject to a </w:t>
            </w:r>
            <w:r>
              <w:rPr>
                <w:spacing w:val="-1"/>
              </w:rPr>
              <w:t>maximum</w:t>
            </w:r>
            <w:r>
              <w:t xml:space="preserve"> in respect of any land classified as residential or classified as vacant land and held for residential purposes. </w:t>
            </w:r>
            <w:r>
              <w:tab/>
            </w:r>
          </w:p>
        </w:tc>
        <w:tc>
          <w:tcPr>
            <w:tcW w:w="1568" w:type="dxa"/>
          </w:tcPr>
          <w:p>
            <w:pPr>
              <w:pStyle w:val="yTableNAm"/>
            </w:pPr>
            <w:r>
              <w:br/>
            </w:r>
            <w:r>
              <w:br/>
              <w:t>$716.40</w:t>
            </w:r>
          </w:p>
        </w:tc>
      </w:tr>
    </w:tbl>
    <w:p>
      <w:pPr>
        <w:pStyle w:val="ySubsection"/>
        <w:spacing w:before="0"/>
      </w:pPr>
    </w:p>
    <w:tbl>
      <w:tblPr>
        <w:tblW w:w="0" w:type="auto"/>
        <w:tblInd w:w="567" w:type="dxa"/>
        <w:tblLayout w:type="fixed"/>
        <w:tblCellMar>
          <w:left w:w="141" w:type="dxa"/>
          <w:right w:w="141" w:type="dxa"/>
        </w:tblCellMar>
        <w:tblLook w:val="0000" w:firstRow="0" w:lastRow="0" w:firstColumn="0" w:lastColumn="0" w:noHBand="0" w:noVBand="0"/>
      </w:tblPr>
      <w:tblGrid>
        <w:gridCol w:w="2173"/>
        <w:gridCol w:w="2173"/>
        <w:gridCol w:w="2174"/>
      </w:tblGrid>
      <w:tr>
        <w:trPr>
          <w:cantSplit/>
          <w:trHeight w:hRule="exact" w:val="851"/>
          <w:tblHeader/>
        </w:trPr>
        <w:tc>
          <w:tcPr>
            <w:tcW w:w="2173" w:type="dxa"/>
            <w:tcBorders>
              <w:top w:val="single" w:sz="4" w:space="0" w:color="auto"/>
              <w:bottom w:val="single" w:sz="4" w:space="0" w:color="auto"/>
            </w:tcBorders>
          </w:tcPr>
          <w:p>
            <w:pPr>
              <w:pStyle w:val="yTableNAm"/>
              <w:spacing w:before="60"/>
              <w:jc w:val="center"/>
              <w:rPr>
                <w:b/>
                <w:bCs/>
              </w:rPr>
            </w:pPr>
            <w:r>
              <w:rPr>
                <w:b/>
                <w:bCs/>
              </w:rPr>
              <w:t>Column 1</w:t>
            </w:r>
            <w:r>
              <w:rPr>
                <w:b/>
                <w:bCs/>
              </w:rPr>
              <w:br/>
              <w:t>Country sewerage area</w:t>
            </w:r>
          </w:p>
        </w:tc>
        <w:tc>
          <w:tcPr>
            <w:tcW w:w="2173" w:type="dxa"/>
            <w:tcBorders>
              <w:top w:val="single" w:sz="4" w:space="0" w:color="auto"/>
              <w:bottom w:val="single" w:sz="4" w:space="0" w:color="auto"/>
            </w:tcBorders>
          </w:tcPr>
          <w:p>
            <w:pPr>
              <w:pStyle w:val="yTableNAm"/>
              <w:spacing w:before="60"/>
              <w:jc w:val="center"/>
              <w:rPr>
                <w:b/>
                <w:bCs/>
              </w:rPr>
            </w:pPr>
            <w:r>
              <w:rPr>
                <w:b/>
                <w:bCs/>
              </w:rPr>
              <w:t>Column 2</w:t>
            </w:r>
            <w:r>
              <w:rPr>
                <w:b/>
                <w:bCs/>
              </w:rPr>
              <w:br/>
              <w:t>(Residential)</w:t>
            </w:r>
            <w:r>
              <w:rPr>
                <w:b/>
                <w:bCs/>
              </w:rPr>
              <w:br/>
              <w:t>cents/$ of GRV</w:t>
            </w:r>
          </w:p>
        </w:tc>
        <w:tc>
          <w:tcPr>
            <w:tcW w:w="2174" w:type="dxa"/>
            <w:tcBorders>
              <w:top w:val="single" w:sz="4" w:space="0" w:color="auto"/>
              <w:bottom w:val="single" w:sz="4" w:space="0" w:color="auto"/>
            </w:tcBorders>
          </w:tcPr>
          <w:p>
            <w:pPr>
              <w:pStyle w:val="yTableNAm"/>
              <w:spacing w:before="60"/>
              <w:jc w:val="center"/>
              <w:rPr>
                <w:b/>
                <w:bCs/>
              </w:rPr>
            </w:pPr>
            <w:r>
              <w:rPr>
                <w:b/>
                <w:bCs/>
              </w:rPr>
              <w:t>Column 3</w:t>
            </w:r>
            <w:r>
              <w:rPr>
                <w:b/>
                <w:bCs/>
              </w:rPr>
              <w:br/>
              <w:t>(Non</w:t>
            </w:r>
            <w:r>
              <w:rPr>
                <w:b/>
                <w:bCs/>
              </w:rPr>
              <w:noBreakHyphen/>
              <w:t>residential)</w:t>
            </w:r>
            <w:r>
              <w:rPr>
                <w:b/>
                <w:bCs/>
              </w:rPr>
              <w:br/>
              <w:t>cents/$ of GRV</w:t>
            </w:r>
          </w:p>
        </w:tc>
      </w:tr>
      <w:tr>
        <w:tc>
          <w:tcPr>
            <w:tcW w:w="2173" w:type="dxa"/>
          </w:tcPr>
          <w:p>
            <w:pPr>
              <w:pStyle w:val="yTableNAm"/>
              <w:spacing w:before="60"/>
            </w:pPr>
            <w:r>
              <w:t>Albany</w:t>
            </w:r>
          </w:p>
        </w:tc>
        <w:tc>
          <w:tcPr>
            <w:tcW w:w="2173" w:type="dxa"/>
          </w:tcPr>
          <w:p>
            <w:pPr>
              <w:pStyle w:val="yTableNAm"/>
              <w:spacing w:before="60"/>
              <w:jc w:val="center"/>
            </w:pPr>
            <w:r>
              <w:t>9.357</w:t>
            </w:r>
          </w:p>
        </w:tc>
        <w:tc>
          <w:tcPr>
            <w:tcW w:w="2174" w:type="dxa"/>
          </w:tcPr>
          <w:p>
            <w:pPr>
              <w:pStyle w:val="yTableNAm"/>
              <w:spacing w:before="60"/>
              <w:jc w:val="center"/>
            </w:pPr>
            <w:r>
              <w:t>4.592</w:t>
            </w:r>
          </w:p>
        </w:tc>
      </w:tr>
      <w:tr>
        <w:tc>
          <w:tcPr>
            <w:tcW w:w="2173" w:type="dxa"/>
          </w:tcPr>
          <w:p>
            <w:pPr>
              <w:pStyle w:val="yTableNAm"/>
              <w:spacing w:before="60"/>
            </w:pPr>
            <w:r>
              <w:t>Augusta</w:t>
            </w:r>
          </w:p>
        </w:tc>
        <w:tc>
          <w:tcPr>
            <w:tcW w:w="2173" w:type="dxa"/>
          </w:tcPr>
          <w:p>
            <w:pPr>
              <w:pStyle w:val="yTableNAm"/>
              <w:spacing w:before="60"/>
              <w:jc w:val="center"/>
            </w:pPr>
            <w:r>
              <w:t>7.910</w:t>
            </w:r>
          </w:p>
        </w:tc>
        <w:tc>
          <w:tcPr>
            <w:tcW w:w="2174" w:type="dxa"/>
          </w:tcPr>
          <w:p>
            <w:pPr>
              <w:pStyle w:val="yTableNAm"/>
              <w:spacing w:before="60"/>
              <w:jc w:val="center"/>
            </w:pPr>
            <w:r>
              <w:t>3.102</w:t>
            </w:r>
          </w:p>
        </w:tc>
      </w:tr>
      <w:tr>
        <w:tc>
          <w:tcPr>
            <w:tcW w:w="2173" w:type="dxa"/>
          </w:tcPr>
          <w:p>
            <w:pPr>
              <w:pStyle w:val="yTableNAm"/>
              <w:spacing w:before="60"/>
            </w:pPr>
            <w:r>
              <w:t>Australind</w:t>
            </w:r>
          </w:p>
        </w:tc>
        <w:tc>
          <w:tcPr>
            <w:tcW w:w="2173" w:type="dxa"/>
          </w:tcPr>
          <w:p>
            <w:pPr>
              <w:pStyle w:val="yTableNAm"/>
              <w:spacing w:before="60"/>
              <w:jc w:val="center"/>
            </w:pPr>
            <w:r>
              <w:t>7.102</w:t>
            </w:r>
          </w:p>
        </w:tc>
        <w:tc>
          <w:tcPr>
            <w:tcW w:w="2174" w:type="dxa"/>
          </w:tcPr>
          <w:p>
            <w:pPr>
              <w:pStyle w:val="yTableNAm"/>
              <w:spacing w:before="60"/>
              <w:jc w:val="center"/>
            </w:pPr>
            <w:r>
              <w:t>0.357</w:t>
            </w:r>
          </w:p>
        </w:tc>
      </w:tr>
      <w:tr>
        <w:tc>
          <w:tcPr>
            <w:tcW w:w="2173" w:type="dxa"/>
          </w:tcPr>
          <w:p>
            <w:pPr>
              <w:pStyle w:val="yTableNAm"/>
              <w:spacing w:before="60"/>
            </w:pPr>
            <w:r>
              <w:t>Beverley</w:t>
            </w:r>
          </w:p>
        </w:tc>
        <w:tc>
          <w:tcPr>
            <w:tcW w:w="2173" w:type="dxa"/>
          </w:tcPr>
          <w:p>
            <w:pPr>
              <w:pStyle w:val="yTableNAm"/>
              <w:spacing w:before="60"/>
              <w:jc w:val="center"/>
            </w:pPr>
            <w:r>
              <w:t>11.032</w:t>
            </w:r>
          </w:p>
        </w:tc>
        <w:tc>
          <w:tcPr>
            <w:tcW w:w="2174" w:type="dxa"/>
          </w:tcPr>
          <w:p>
            <w:pPr>
              <w:pStyle w:val="yTableNAm"/>
              <w:spacing w:before="60"/>
              <w:jc w:val="center"/>
            </w:pPr>
            <w:r>
              <w:t>9.730</w:t>
            </w:r>
          </w:p>
        </w:tc>
      </w:tr>
      <w:tr>
        <w:tc>
          <w:tcPr>
            <w:tcW w:w="2173" w:type="dxa"/>
          </w:tcPr>
          <w:p>
            <w:pPr>
              <w:pStyle w:val="yTableNAm"/>
              <w:spacing w:before="60"/>
            </w:pPr>
            <w:r>
              <w:t>Binningup</w:t>
            </w:r>
          </w:p>
        </w:tc>
        <w:tc>
          <w:tcPr>
            <w:tcW w:w="2173" w:type="dxa"/>
          </w:tcPr>
          <w:p>
            <w:pPr>
              <w:pStyle w:val="yTableNAm"/>
              <w:spacing w:before="60"/>
              <w:jc w:val="center"/>
            </w:pPr>
            <w:r>
              <w:t>12.000</w:t>
            </w:r>
          </w:p>
        </w:tc>
        <w:tc>
          <w:tcPr>
            <w:tcW w:w="2174" w:type="dxa"/>
          </w:tcPr>
          <w:p>
            <w:pPr>
              <w:pStyle w:val="yTableNAm"/>
              <w:spacing w:before="60"/>
              <w:jc w:val="center"/>
            </w:pPr>
            <w:r>
              <w:t>6.908</w:t>
            </w:r>
          </w:p>
        </w:tc>
      </w:tr>
      <w:tr>
        <w:tc>
          <w:tcPr>
            <w:tcW w:w="2173" w:type="dxa"/>
          </w:tcPr>
          <w:p>
            <w:pPr>
              <w:pStyle w:val="yTableNAm"/>
              <w:spacing w:before="60"/>
            </w:pPr>
            <w:r>
              <w:t>Boddington</w:t>
            </w:r>
          </w:p>
        </w:tc>
        <w:tc>
          <w:tcPr>
            <w:tcW w:w="2173" w:type="dxa"/>
          </w:tcPr>
          <w:p>
            <w:pPr>
              <w:pStyle w:val="yTableNAm"/>
              <w:spacing w:before="60"/>
              <w:jc w:val="center"/>
            </w:pPr>
            <w:r>
              <w:t>12.000</w:t>
            </w:r>
          </w:p>
        </w:tc>
        <w:tc>
          <w:tcPr>
            <w:tcW w:w="2174" w:type="dxa"/>
          </w:tcPr>
          <w:p>
            <w:pPr>
              <w:pStyle w:val="yTableNAm"/>
              <w:spacing w:before="60"/>
              <w:jc w:val="center"/>
            </w:pPr>
            <w:r>
              <w:t>4.979</w:t>
            </w:r>
          </w:p>
        </w:tc>
      </w:tr>
      <w:tr>
        <w:tc>
          <w:tcPr>
            <w:tcW w:w="2173" w:type="dxa"/>
          </w:tcPr>
          <w:p>
            <w:pPr>
              <w:pStyle w:val="yTableNAm"/>
              <w:spacing w:before="60"/>
            </w:pPr>
            <w:r>
              <w:t>Boyanup</w:t>
            </w:r>
          </w:p>
        </w:tc>
        <w:tc>
          <w:tcPr>
            <w:tcW w:w="2173" w:type="dxa"/>
          </w:tcPr>
          <w:p>
            <w:pPr>
              <w:pStyle w:val="yTableNAm"/>
              <w:spacing w:before="60"/>
              <w:jc w:val="center"/>
            </w:pPr>
            <w:r>
              <w:t>12.000</w:t>
            </w:r>
          </w:p>
        </w:tc>
        <w:tc>
          <w:tcPr>
            <w:tcW w:w="2174" w:type="dxa"/>
          </w:tcPr>
          <w:p>
            <w:pPr>
              <w:pStyle w:val="yTableNAm"/>
              <w:spacing w:before="60"/>
              <w:jc w:val="center"/>
            </w:pPr>
            <w:r>
              <w:t>7.868</w:t>
            </w:r>
          </w:p>
        </w:tc>
      </w:tr>
      <w:tr>
        <w:tc>
          <w:tcPr>
            <w:tcW w:w="2173" w:type="dxa"/>
          </w:tcPr>
          <w:p>
            <w:pPr>
              <w:pStyle w:val="yTableNAm"/>
              <w:spacing w:before="60"/>
            </w:pPr>
            <w:r>
              <w:t>Bremer Bay</w:t>
            </w:r>
          </w:p>
        </w:tc>
        <w:tc>
          <w:tcPr>
            <w:tcW w:w="2173" w:type="dxa"/>
          </w:tcPr>
          <w:p>
            <w:pPr>
              <w:pStyle w:val="yTableNAm"/>
              <w:spacing w:before="60"/>
              <w:jc w:val="center"/>
            </w:pPr>
            <w:r>
              <w:t>10.436</w:t>
            </w:r>
          </w:p>
        </w:tc>
        <w:tc>
          <w:tcPr>
            <w:tcW w:w="2174" w:type="dxa"/>
          </w:tcPr>
          <w:p>
            <w:pPr>
              <w:pStyle w:val="yTableNAm"/>
              <w:spacing w:before="60"/>
              <w:jc w:val="center"/>
            </w:pPr>
            <w:r>
              <w:t>2.147</w:t>
            </w:r>
          </w:p>
        </w:tc>
      </w:tr>
      <w:tr>
        <w:tc>
          <w:tcPr>
            <w:tcW w:w="2173" w:type="dxa"/>
          </w:tcPr>
          <w:p>
            <w:pPr>
              <w:pStyle w:val="yTableNAm"/>
              <w:spacing w:before="60"/>
            </w:pPr>
            <w:r>
              <w:t>Bridgetown</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Broome</w:t>
            </w:r>
          </w:p>
        </w:tc>
        <w:tc>
          <w:tcPr>
            <w:tcW w:w="2173" w:type="dxa"/>
          </w:tcPr>
          <w:p>
            <w:pPr>
              <w:pStyle w:val="yTableNAm"/>
              <w:spacing w:before="60"/>
              <w:jc w:val="center"/>
            </w:pPr>
            <w:r>
              <w:t>3.481</w:t>
            </w:r>
          </w:p>
        </w:tc>
        <w:tc>
          <w:tcPr>
            <w:tcW w:w="2174" w:type="dxa"/>
          </w:tcPr>
          <w:p>
            <w:pPr>
              <w:pStyle w:val="yTableNAm"/>
              <w:spacing w:before="60"/>
              <w:jc w:val="center"/>
            </w:pPr>
            <w:r>
              <w:t>1.182</w:t>
            </w:r>
          </w:p>
        </w:tc>
      </w:tr>
      <w:tr>
        <w:tc>
          <w:tcPr>
            <w:tcW w:w="2173" w:type="dxa"/>
          </w:tcPr>
          <w:p>
            <w:pPr>
              <w:pStyle w:val="yTableNAm"/>
              <w:spacing w:before="60"/>
            </w:pPr>
            <w:r>
              <w:t>Brunswick</w:t>
            </w:r>
          </w:p>
        </w:tc>
        <w:tc>
          <w:tcPr>
            <w:tcW w:w="2173" w:type="dxa"/>
          </w:tcPr>
          <w:p>
            <w:pPr>
              <w:pStyle w:val="yTableNAm"/>
              <w:spacing w:before="60"/>
              <w:jc w:val="center"/>
            </w:pPr>
            <w:r>
              <w:t>6.916</w:t>
            </w:r>
          </w:p>
        </w:tc>
        <w:tc>
          <w:tcPr>
            <w:tcW w:w="2174" w:type="dxa"/>
          </w:tcPr>
          <w:p>
            <w:pPr>
              <w:pStyle w:val="yTableNAm"/>
              <w:spacing w:before="60"/>
              <w:jc w:val="center"/>
            </w:pPr>
            <w:r>
              <w:t>4.018</w:t>
            </w:r>
          </w:p>
        </w:tc>
      </w:tr>
      <w:tr>
        <w:tc>
          <w:tcPr>
            <w:tcW w:w="2173" w:type="dxa"/>
          </w:tcPr>
          <w:p>
            <w:pPr>
              <w:pStyle w:val="yTableNAm"/>
              <w:spacing w:before="60"/>
            </w:pPr>
            <w:r>
              <w:t>Bunbury</w:t>
            </w:r>
            <w:r>
              <w:br/>
              <w:t>(1/7/08 Values)</w:t>
            </w:r>
          </w:p>
        </w:tc>
        <w:tc>
          <w:tcPr>
            <w:tcW w:w="2173" w:type="dxa"/>
          </w:tcPr>
          <w:p>
            <w:pPr>
              <w:pStyle w:val="yTableNAm"/>
              <w:spacing w:before="60"/>
              <w:jc w:val="center"/>
            </w:pPr>
            <w:r>
              <w:t>5.827</w:t>
            </w:r>
          </w:p>
        </w:tc>
        <w:tc>
          <w:tcPr>
            <w:tcW w:w="2174" w:type="dxa"/>
          </w:tcPr>
          <w:p>
            <w:pPr>
              <w:pStyle w:val="yTableNAm"/>
              <w:spacing w:before="60"/>
              <w:jc w:val="center"/>
            </w:pPr>
            <w:r>
              <w:t>2.629</w:t>
            </w:r>
          </w:p>
        </w:tc>
      </w:tr>
      <w:tr>
        <w:tc>
          <w:tcPr>
            <w:tcW w:w="2173" w:type="dxa"/>
          </w:tcPr>
          <w:p>
            <w:pPr>
              <w:pStyle w:val="yTableNAm"/>
              <w:spacing w:before="60"/>
            </w:pPr>
            <w:r>
              <w:t>Bunbury</w:t>
            </w:r>
            <w:r>
              <w:br/>
              <w:t>(1/7/06 Values)</w:t>
            </w:r>
          </w:p>
        </w:tc>
        <w:tc>
          <w:tcPr>
            <w:tcW w:w="2173" w:type="dxa"/>
          </w:tcPr>
          <w:p>
            <w:pPr>
              <w:pStyle w:val="yTableNAm"/>
              <w:spacing w:before="60"/>
              <w:jc w:val="center"/>
            </w:pPr>
            <w:r>
              <w:t>4.829</w:t>
            </w:r>
          </w:p>
        </w:tc>
        <w:tc>
          <w:tcPr>
            <w:tcW w:w="2174" w:type="dxa"/>
          </w:tcPr>
          <w:p>
            <w:pPr>
              <w:pStyle w:val="yTableNAm"/>
              <w:spacing w:before="60"/>
              <w:jc w:val="center"/>
            </w:pPr>
            <w:r>
              <w:t>1.977</w:t>
            </w:r>
          </w:p>
        </w:tc>
      </w:tr>
      <w:tr>
        <w:tc>
          <w:tcPr>
            <w:tcW w:w="2173" w:type="dxa"/>
          </w:tcPr>
          <w:p>
            <w:pPr>
              <w:pStyle w:val="yTableNAm"/>
              <w:spacing w:before="60"/>
            </w:pPr>
            <w:r>
              <w:t>Burekup</w:t>
            </w:r>
          </w:p>
        </w:tc>
        <w:tc>
          <w:tcPr>
            <w:tcW w:w="2173" w:type="dxa"/>
          </w:tcPr>
          <w:p>
            <w:pPr>
              <w:pStyle w:val="yTableNAm"/>
              <w:spacing w:before="60"/>
              <w:jc w:val="center"/>
            </w:pPr>
            <w:r>
              <w:t>8.134</w:t>
            </w:r>
          </w:p>
        </w:tc>
        <w:tc>
          <w:tcPr>
            <w:tcW w:w="2174" w:type="dxa"/>
          </w:tcPr>
          <w:p>
            <w:pPr>
              <w:pStyle w:val="yTableNAm"/>
              <w:spacing w:before="60"/>
              <w:jc w:val="center"/>
            </w:pPr>
            <w:r>
              <w:t>2.052</w:t>
            </w:r>
          </w:p>
        </w:tc>
      </w:tr>
      <w:tr>
        <w:tc>
          <w:tcPr>
            <w:tcW w:w="2173" w:type="dxa"/>
          </w:tcPr>
          <w:p>
            <w:pPr>
              <w:pStyle w:val="yTableNAm"/>
              <w:spacing w:before="60"/>
            </w:pPr>
            <w:r>
              <w:t>Busselton</w:t>
            </w:r>
          </w:p>
        </w:tc>
        <w:tc>
          <w:tcPr>
            <w:tcW w:w="2173" w:type="dxa"/>
          </w:tcPr>
          <w:p>
            <w:pPr>
              <w:pStyle w:val="yTableNAm"/>
              <w:spacing w:before="60"/>
              <w:jc w:val="center"/>
            </w:pPr>
            <w:r>
              <w:t>5.081</w:t>
            </w:r>
          </w:p>
        </w:tc>
        <w:tc>
          <w:tcPr>
            <w:tcW w:w="2174" w:type="dxa"/>
          </w:tcPr>
          <w:p>
            <w:pPr>
              <w:pStyle w:val="yTableNAm"/>
              <w:spacing w:before="60"/>
              <w:jc w:val="center"/>
            </w:pPr>
            <w:r>
              <w:t>3.224</w:t>
            </w:r>
          </w:p>
        </w:tc>
      </w:tr>
      <w:tr>
        <w:tc>
          <w:tcPr>
            <w:tcW w:w="2173" w:type="dxa"/>
          </w:tcPr>
          <w:p>
            <w:pPr>
              <w:pStyle w:val="yTableNAm"/>
              <w:spacing w:before="60"/>
            </w:pPr>
            <w:r>
              <w:t>Cape Burney</w:t>
            </w:r>
          </w:p>
        </w:tc>
        <w:tc>
          <w:tcPr>
            <w:tcW w:w="2173" w:type="dxa"/>
          </w:tcPr>
          <w:p>
            <w:pPr>
              <w:pStyle w:val="yTableNAm"/>
              <w:spacing w:before="60"/>
              <w:jc w:val="center"/>
            </w:pPr>
            <w:r>
              <w:t>8.161</w:t>
            </w:r>
          </w:p>
        </w:tc>
        <w:tc>
          <w:tcPr>
            <w:tcW w:w="2174" w:type="dxa"/>
          </w:tcPr>
          <w:p>
            <w:pPr>
              <w:pStyle w:val="yTableNAm"/>
              <w:spacing w:before="60"/>
              <w:jc w:val="center"/>
            </w:pPr>
            <w:r>
              <w:t>2.749</w:t>
            </w:r>
          </w:p>
        </w:tc>
      </w:tr>
      <w:tr>
        <w:tc>
          <w:tcPr>
            <w:tcW w:w="2173" w:type="dxa"/>
          </w:tcPr>
          <w:p>
            <w:pPr>
              <w:pStyle w:val="yTableNAm"/>
              <w:spacing w:before="60"/>
            </w:pPr>
            <w:r>
              <w:t>Capel</w:t>
            </w:r>
          </w:p>
        </w:tc>
        <w:tc>
          <w:tcPr>
            <w:tcW w:w="2173" w:type="dxa"/>
          </w:tcPr>
          <w:p>
            <w:pPr>
              <w:pStyle w:val="yTableNAm"/>
              <w:spacing w:before="60"/>
              <w:jc w:val="center"/>
            </w:pPr>
            <w:r>
              <w:t>11.511</w:t>
            </w:r>
          </w:p>
        </w:tc>
        <w:tc>
          <w:tcPr>
            <w:tcW w:w="2174" w:type="dxa"/>
          </w:tcPr>
          <w:p>
            <w:pPr>
              <w:pStyle w:val="yTableNAm"/>
              <w:spacing w:before="60"/>
              <w:jc w:val="center"/>
            </w:pPr>
            <w:r>
              <w:t>3.688</w:t>
            </w:r>
          </w:p>
        </w:tc>
      </w:tr>
      <w:tr>
        <w:tc>
          <w:tcPr>
            <w:tcW w:w="2173" w:type="dxa"/>
          </w:tcPr>
          <w:p>
            <w:pPr>
              <w:pStyle w:val="yTableNAm"/>
              <w:spacing w:before="60"/>
            </w:pPr>
            <w:r>
              <w:t>Carnarvon</w:t>
            </w:r>
          </w:p>
        </w:tc>
        <w:tc>
          <w:tcPr>
            <w:tcW w:w="2173" w:type="dxa"/>
          </w:tcPr>
          <w:p>
            <w:pPr>
              <w:pStyle w:val="yTableNAm"/>
              <w:spacing w:before="60"/>
              <w:jc w:val="center"/>
            </w:pPr>
            <w:r>
              <w:t>11.912</w:t>
            </w:r>
          </w:p>
        </w:tc>
        <w:tc>
          <w:tcPr>
            <w:tcW w:w="2174" w:type="dxa"/>
          </w:tcPr>
          <w:p>
            <w:pPr>
              <w:pStyle w:val="yTableNAm"/>
              <w:spacing w:before="60"/>
              <w:jc w:val="center"/>
            </w:pPr>
            <w:r>
              <w:t>8.804</w:t>
            </w:r>
          </w:p>
        </w:tc>
      </w:tr>
      <w:tr>
        <w:tc>
          <w:tcPr>
            <w:tcW w:w="2173" w:type="dxa"/>
          </w:tcPr>
          <w:p>
            <w:pPr>
              <w:pStyle w:val="yTableNAm"/>
              <w:spacing w:before="60"/>
            </w:pPr>
            <w:r>
              <w:t>Cervantes</w:t>
            </w:r>
          </w:p>
        </w:tc>
        <w:tc>
          <w:tcPr>
            <w:tcW w:w="2173" w:type="dxa"/>
          </w:tcPr>
          <w:p>
            <w:pPr>
              <w:pStyle w:val="yTableNAm"/>
              <w:spacing w:before="60"/>
              <w:jc w:val="center"/>
            </w:pPr>
            <w:r>
              <w:t>8.798</w:t>
            </w:r>
          </w:p>
        </w:tc>
        <w:tc>
          <w:tcPr>
            <w:tcW w:w="2174" w:type="dxa"/>
          </w:tcPr>
          <w:p>
            <w:pPr>
              <w:pStyle w:val="yTableNAm"/>
              <w:spacing w:before="60"/>
              <w:jc w:val="center"/>
            </w:pPr>
            <w:r>
              <w:t>1.225</w:t>
            </w:r>
          </w:p>
        </w:tc>
      </w:tr>
      <w:tr>
        <w:tc>
          <w:tcPr>
            <w:tcW w:w="2173" w:type="dxa"/>
          </w:tcPr>
          <w:p>
            <w:pPr>
              <w:pStyle w:val="yTableNAm"/>
              <w:spacing w:before="60"/>
            </w:pPr>
            <w:r>
              <w:t>Collie</w:t>
            </w:r>
          </w:p>
        </w:tc>
        <w:tc>
          <w:tcPr>
            <w:tcW w:w="2173" w:type="dxa"/>
          </w:tcPr>
          <w:p>
            <w:pPr>
              <w:pStyle w:val="yTableNAm"/>
              <w:spacing w:before="60"/>
              <w:jc w:val="center"/>
            </w:pPr>
            <w:r>
              <w:t>12.000</w:t>
            </w:r>
          </w:p>
        </w:tc>
        <w:tc>
          <w:tcPr>
            <w:tcW w:w="2174" w:type="dxa"/>
          </w:tcPr>
          <w:p>
            <w:pPr>
              <w:pStyle w:val="yTableNAm"/>
              <w:spacing w:before="60"/>
              <w:jc w:val="center"/>
            </w:pPr>
            <w:r>
              <w:t>10.687</w:t>
            </w:r>
          </w:p>
        </w:tc>
      </w:tr>
      <w:tr>
        <w:tc>
          <w:tcPr>
            <w:tcW w:w="2173" w:type="dxa"/>
          </w:tcPr>
          <w:p>
            <w:pPr>
              <w:pStyle w:val="yTableNAm"/>
              <w:spacing w:before="60"/>
            </w:pPr>
            <w:r>
              <w:t>Coral Bay</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Corrigin</w:t>
            </w:r>
          </w:p>
        </w:tc>
        <w:tc>
          <w:tcPr>
            <w:tcW w:w="2173" w:type="dxa"/>
          </w:tcPr>
          <w:p>
            <w:pPr>
              <w:pStyle w:val="yTableNAm"/>
              <w:spacing w:before="60"/>
              <w:jc w:val="center"/>
            </w:pPr>
            <w:r>
              <w:t>7.668</w:t>
            </w:r>
          </w:p>
        </w:tc>
        <w:tc>
          <w:tcPr>
            <w:tcW w:w="2174" w:type="dxa"/>
          </w:tcPr>
          <w:p>
            <w:pPr>
              <w:pStyle w:val="yTableNAm"/>
              <w:spacing w:before="60"/>
              <w:jc w:val="center"/>
            </w:pPr>
            <w:r>
              <w:t>11.113</w:t>
            </w:r>
          </w:p>
        </w:tc>
      </w:tr>
      <w:tr>
        <w:tc>
          <w:tcPr>
            <w:tcW w:w="2173" w:type="dxa"/>
          </w:tcPr>
          <w:p>
            <w:pPr>
              <w:pStyle w:val="yTableNAm"/>
              <w:spacing w:before="60"/>
            </w:pPr>
            <w:r>
              <w:t>Cowaramup</w:t>
            </w:r>
          </w:p>
        </w:tc>
        <w:tc>
          <w:tcPr>
            <w:tcW w:w="2173" w:type="dxa"/>
          </w:tcPr>
          <w:p>
            <w:pPr>
              <w:pStyle w:val="yTableNAm"/>
              <w:spacing w:before="60"/>
              <w:jc w:val="center"/>
            </w:pPr>
            <w:r>
              <w:t>9.986</w:t>
            </w:r>
          </w:p>
        </w:tc>
        <w:tc>
          <w:tcPr>
            <w:tcW w:w="2174" w:type="dxa"/>
          </w:tcPr>
          <w:p>
            <w:pPr>
              <w:pStyle w:val="yTableNAm"/>
              <w:spacing w:before="60"/>
              <w:jc w:val="center"/>
            </w:pPr>
            <w:r>
              <w:t>3.264</w:t>
            </w:r>
          </w:p>
        </w:tc>
      </w:tr>
      <w:tr>
        <w:tc>
          <w:tcPr>
            <w:tcW w:w="2173" w:type="dxa"/>
          </w:tcPr>
          <w:p>
            <w:pPr>
              <w:pStyle w:val="yTableNAm"/>
              <w:spacing w:before="60"/>
            </w:pPr>
            <w:r>
              <w:t>Cranbrook</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Cunderdin</w:t>
            </w:r>
          </w:p>
        </w:tc>
        <w:tc>
          <w:tcPr>
            <w:tcW w:w="2173" w:type="dxa"/>
          </w:tcPr>
          <w:p>
            <w:pPr>
              <w:pStyle w:val="yTableNAm"/>
              <w:spacing w:before="60"/>
              <w:jc w:val="center"/>
            </w:pPr>
            <w:r>
              <w:t>10.086</w:t>
            </w:r>
          </w:p>
        </w:tc>
        <w:tc>
          <w:tcPr>
            <w:tcW w:w="2174" w:type="dxa"/>
          </w:tcPr>
          <w:p>
            <w:pPr>
              <w:pStyle w:val="yTableNAm"/>
              <w:spacing w:before="60"/>
              <w:jc w:val="center"/>
            </w:pPr>
            <w:r>
              <w:t>12.000</w:t>
            </w:r>
          </w:p>
        </w:tc>
      </w:tr>
      <w:tr>
        <w:tc>
          <w:tcPr>
            <w:tcW w:w="2173" w:type="dxa"/>
          </w:tcPr>
          <w:p>
            <w:pPr>
              <w:pStyle w:val="yTableNAm"/>
              <w:spacing w:before="60"/>
            </w:pPr>
            <w:r>
              <w:t>Dardanup</w:t>
            </w:r>
          </w:p>
        </w:tc>
        <w:tc>
          <w:tcPr>
            <w:tcW w:w="2173" w:type="dxa"/>
          </w:tcPr>
          <w:p>
            <w:pPr>
              <w:pStyle w:val="yTableNAm"/>
              <w:spacing w:before="60"/>
              <w:jc w:val="center"/>
            </w:pPr>
            <w:r>
              <w:t>12.000</w:t>
            </w:r>
          </w:p>
        </w:tc>
        <w:tc>
          <w:tcPr>
            <w:tcW w:w="2174" w:type="dxa"/>
          </w:tcPr>
          <w:p>
            <w:pPr>
              <w:pStyle w:val="yTableNAm"/>
              <w:spacing w:before="60"/>
              <w:jc w:val="center"/>
            </w:pPr>
            <w:r>
              <w:t>4.666</w:t>
            </w:r>
          </w:p>
        </w:tc>
      </w:tr>
      <w:tr>
        <w:tc>
          <w:tcPr>
            <w:tcW w:w="2173" w:type="dxa"/>
          </w:tcPr>
          <w:p>
            <w:pPr>
              <w:pStyle w:val="yTableNAm"/>
              <w:spacing w:before="60"/>
            </w:pPr>
            <w:r>
              <w:t>Denham</w:t>
            </w:r>
          </w:p>
        </w:tc>
        <w:tc>
          <w:tcPr>
            <w:tcW w:w="2173" w:type="dxa"/>
          </w:tcPr>
          <w:p>
            <w:pPr>
              <w:pStyle w:val="yTableNAm"/>
              <w:spacing w:before="60"/>
              <w:jc w:val="center"/>
            </w:pPr>
            <w:r>
              <w:t>11.115</w:t>
            </w:r>
          </w:p>
        </w:tc>
        <w:tc>
          <w:tcPr>
            <w:tcW w:w="2174" w:type="dxa"/>
          </w:tcPr>
          <w:p>
            <w:pPr>
              <w:pStyle w:val="yTableNAm"/>
              <w:spacing w:before="60"/>
              <w:jc w:val="center"/>
            </w:pPr>
            <w:r>
              <w:t>4.578</w:t>
            </w:r>
          </w:p>
        </w:tc>
      </w:tr>
      <w:tr>
        <w:tc>
          <w:tcPr>
            <w:tcW w:w="2173" w:type="dxa"/>
          </w:tcPr>
          <w:p>
            <w:pPr>
              <w:pStyle w:val="yTableNAm"/>
              <w:spacing w:before="60"/>
            </w:pPr>
            <w:r>
              <w:t>Denmark</w:t>
            </w:r>
          </w:p>
        </w:tc>
        <w:tc>
          <w:tcPr>
            <w:tcW w:w="2173" w:type="dxa"/>
          </w:tcPr>
          <w:p>
            <w:pPr>
              <w:pStyle w:val="yTableNAm"/>
              <w:spacing w:before="60"/>
              <w:jc w:val="center"/>
            </w:pPr>
            <w:r>
              <w:t>10.852</w:t>
            </w:r>
          </w:p>
        </w:tc>
        <w:tc>
          <w:tcPr>
            <w:tcW w:w="2174" w:type="dxa"/>
          </w:tcPr>
          <w:p>
            <w:pPr>
              <w:pStyle w:val="yTableNAm"/>
              <w:spacing w:before="60"/>
              <w:jc w:val="center"/>
            </w:pPr>
            <w:r>
              <w:t>3.740</w:t>
            </w:r>
          </w:p>
        </w:tc>
      </w:tr>
      <w:tr>
        <w:tc>
          <w:tcPr>
            <w:tcW w:w="2173" w:type="dxa"/>
          </w:tcPr>
          <w:p>
            <w:pPr>
              <w:pStyle w:val="yTableNAm"/>
              <w:spacing w:before="60"/>
            </w:pPr>
            <w:r>
              <w:t>Derby</w:t>
            </w:r>
          </w:p>
        </w:tc>
        <w:tc>
          <w:tcPr>
            <w:tcW w:w="2173" w:type="dxa"/>
          </w:tcPr>
          <w:p>
            <w:pPr>
              <w:pStyle w:val="yTableNAm"/>
              <w:spacing w:before="60"/>
              <w:jc w:val="center"/>
            </w:pPr>
            <w:r>
              <w:t>7.280</w:t>
            </w:r>
          </w:p>
        </w:tc>
        <w:tc>
          <w:tcPr>
            <w:tcW w:w="2174" w:type="dxa"/>
          </w:tcPr>
          <w:p>
            <w:pPr>
              <w:pStyle w:val="yTableNAm"/>
              <w:spacing w:before="60"/>
              <w:jc w:val="center"/>
            </w:pPr>
            <w:r>
              <w:t>10.680</w:t>
            </w:r>
          </w:p>
        </w:tc>
      </w:tr>
      <w:tr>
        <w:tc>
          <w:tcPr>
            <w:tcW w:w="2173" w:type="dxa"/>
          </w:tcPr>
          <w:p>
            <w:pPr>
              <w:pStyle w:val="yTableNAm"/>
              <w:spacing w:before="60"/>
            </w:pPr>
            <w:r>
              <w:t>Dongara</w:t>
            </w:r>
            <w:r>
              <w:noBreakHyphen/>
              <w:t>Denison</w:t>
            </w:r>
          </w:p>
        </w:tc>
        <w:tc>
          <w:tcPr>
            <w:tcW w:w="2173" w:type="dxa"/>
          </w:tcPr>
          <w:p>
            <w:pPr>
              <w:pStyle w:val="yTableNAm"/>
              <w:spacing w:before="60"/>
              <w:jc w:val="center"/>
            </w:pPr>
            <w:r>
              <w:t>10.392</w:t>
            </w:r>
          </w:p>
        </w:tc>
        <w:tc>
          <w:tcPr>
            <w:tcW w:w="2174" w:type="dxa"/>
          </w:tcPr>
          <w:p>
            <w:pPr>
              <w:pStyle w:val="yTableNAm"/>
              <w:spacing w:before="60"/>
              <w:jc w:val="center"/>
            </w:pPr>
            <w:r>
              <w:t>2.223</w:t>
            </w:r>
          </w:p>
        </w:tc>
      </w:tr>
      <w:tr>
        <w:tc>
          <w:tcPr>
            <w:tcW w:w="2173" w:type="dxa"/>
          </w:tcPr>
          <w:p>
            <w:pPr>
              <w:pStyle w:val="yTableNAm"/>
              <w:spacing w:before="60"/>
            </w:pPr>
            <w:r>
              <w:t>Donnybrook</w:t>
            </w:r>
          </w:p>
        </w:tc>
        <w:tc>
          <w:tcPr>
            <w:tcW w:w="2173" w:type="dxa"/>
          </w:tcPr>
          <w:p>
            <w:pPr>
              <w:pStyle w:val="yTableNAm"/>
              <w:spacing w:before="60"/>
              <w:jc w:val="center"/>
            </w:pPr>
            <w:r>
              <w:t>12.000</w:t>
            </w:r>
          </w:p>
        </w:tc>
        <w:tc>
          <w:tcPr>
            <w:tcW w:w="2174" w:type="dxa"/>
          </w:tcPr>
          <w:p>
            <w:pPr>
              <w:pStyle w:val="yTableNAm"/>
              <w:spacing w:before="60"/>
              <w:jc w:val="center"/>
            </w:pPr>
            <w:r>
              <w:t>5.845</w:t>
            </w:r>
          </w:p>
        </w:tc>
      </w:tr>
      <w:tr>
        <w:tc>
          <w:tcPr>
            <w:tcW w:w="2173" w:type="dxa"/>
          </w:tcPr>
          <w:p>
            <w:pPr>
              <w:pStyle w:val="yTableNAm"/>
              <w:spacing w:before="60"/>
            </w:pPr>
            <w:r>
              <w:t>Dunsborough</w:t>
            </w:r>
          </w:p>
        </w:tc>
        <w:tc>
          <w:tcPr>
            <w:tcW w:w="2173" w:type="dxa"/>
          </w:tcPr>
          <w:p>
            <w:pPr>
              <w:pStyle w:val="yTableNAm"/>
              <w:spacing w:before="60"/>
              <w:jc w:val="center"/>
            </w:pPr>
            <w:r>
              <w:t>6.275</w:t>
            </w:r>
          </w:p>
        </w:tc>
        <w:tc>
          <w:tcPr>
            <w:tcW w:w="2174" w:type="dxa"/>
          </w:tcPr>
          <w:p>
            <w:pPr>
              <w:pStyle w:val="yTableNAm"/>
              <w:spacing w:before="60"/>
              <w:jc w:val="center"/>
            </w:pPr>
            <w:r>
              <w:t>2.567</w:t>
            </w:r>
          </w:p>
        </w:tc>
      </w:tr>
      <w:tr>
        <w:tc>
          <w:tcPr>
            <w:tcW w:w="2173" w:type="dxa"/>
          </w:tcPr>
          <w:p>
            <w:pPr>
              <w:pStyle w:val="yTableNAm"/>
              <w:spacing w:before="60"/>
            </w:pPr>
            <w:r>
              <w:t>Eaton</w:t>
            </w:r>
            <w:r>
              <w:br/>
              <w:t>(1/7/08 Values)</w:t>
            </w:r>
          </w:p>
        </w:tc>
        <w:tc>
          <w:tcPr>
            <w:tcW w:w="2173" w:type="dxa"/>
          </w:tcPr>
          <w:p>
            <w:pPr>
              <w:pStyle w:val="yTableNAm"/>
              <w:spacing w:before="60"/>
              <w:jc w:val="center"/>
            </w:pPr>
            <w:r>
              <w:t>7.847</w:t>
            </w:r>
          </w:p>
        </w:tc>
        <w:tc>
          <w:tcPr>
            <w:tcW w:w="2174" w:type="dxa"/>
          </w:tcPr>
          <w:p>
            <w:pPr>
              <w:pStyle w:val="yTableNAm"/>
              <w:spacing w:before="60"/>
              <w:jc w:val="center"/>
            </w:pPr>
            <w:r>
              <w:t>1.999</w:t>
            </w:r>
          </w:p>
        </w:tc>
      </w:tr>
      <w:tr>
        <w:tc>
          <w:tcPr>
            <w:tcW w:w="2173" w:type="dxa"/>
          </w:tcPr>
          <w:p>
            <w:pPr>
              <w:pStyle w:val="yTableNAm"/>
              <w:spacing w:before="60"/>
            </w:pPr>
            <w:r>
              <w:t>Eaton</w:t>
            </w:r>
            <w:r>
              <w:br/>
              <w:t>(1/07/07 Values)</w:t>
            </w:r>
          </w:p>
        </w:tc>
        <w:tc>
          <w:tcPr>
            <w:tcW w:w="2173" w:type="dxa"/>
          </w:tcPr>
          <w:p>
            <w:pPr>
              <w:pStyle w:val="yTableNAm"/>
              <w:spacing w:before="60"/>
              <w:jc w:val="center"/>
            </w:pPr>
            <w:r>
              <w:t>8.519</w:t>
            </w:r>
          </w:p>
        </w:tc>
        <w:tc>
          <w:tcPr>
            <w:tcW w:w="2174" w:type="dxa"/>
          </w:tcPr>
          <w:p>
            <w:pPr>
              <w:pStyle w:val="yTableNAm"/>
              <w:spacing w:before="60"/>
              <w:jc w:val="center"/>
            </w:pPr>
            <w:r>
              <w:t>2.905</w:t>
            </w:r>
          </w:p>
        </w:tc>
      </w:tr>
      <w:tr>
        <w:tc>
          <w:tcPr>
            <w:tcW w:w="2173" w:type="dxa"/>
          </w:tcPr>
          <w:p>
            <w:pPr>
              <w:pStyle w:val="yTableNAm"/>
              <w:spacing w:before="60"/>
            </w:pPr>
            <w:r>
              <w:t>Eneabba</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Esperance</w:t>
            </w:r>
          </w:p>
        </w:tc>
        <w:tc>
          <w:tcPr>
            <w:tcW w:w="2173" w:type="dxa"/>
          </w:tcPr>
          <w:p>
            <w:pPr>
              <w:pStyle w:val="yTableNAm"/>
              <w:spacing w:before="60"/>
              <w:jc w:val="center"/>
            </w:pPr>
            <w:r>
              <w:t>6.141</w:t>
            </w:r>
          </w:p>
        </w:tc>
        <w:tc>
          <w:tcPr>
            <w:tcW w:w="2174" w:type="dxa"/>
          </w:tcPr>
          <w:p>
            <w:pPr>
              <w:pStyle w:val="yTableNAm"/>
              <w:spacing w:before="60"/>
              <w:jc w:val="center"/>
            </w:pPr>
            <w:r>
              <w:t>3.350</w:t>
            </w:r>
          </w:p>
        </w:tc>
      </w:tr>
      <w:tr>
        <w:tc>
          <w:tcPr>
            <w:tcW w:w="2173" w:type="dxa"/>
          </w:tcPr>
          <w:p>
            <w:pPr>
              <w:pStyle w:val="yTableNAm"/>
              <w:spacing w:before="60"/>
            </w:pPr>
            <w:r>
              <w:t>Exmouth</w:t>
            </w:r>
          </w:p>
        </w:tc>
        <w:tc>
          <w:tcPr>
            <w:tcW w:w="2173" w:type="dxa"/>
          </w:tcPr>
          <w:p>
            <w:pPr>
              <w:pStyle w:val="yTableNAm"/>
              <w:spacing w:before="60"/>
              <w:jc w:val="center"/>
            </w:pPr>
            <w:r>
              <w:t>6.408</w:t>
            </w:r>
          </w:p>
        </w:tc>
        <w:tc>
          <w:tcPr>
            <w:tcW w:w="2174" w:type="dxa"/>
          </w:tcPr>
          <w:p>
            <w:pPr>
              <w:pStyle w:val="yTableNAm"/>
              <w:spacing w:before="60"/>
              <w:jc w:val="center"/>
            </w:pPr>
            <w:r>
              <w:t>1.821</w:t>
            </w:r>
          </w:p>
        </w:tc>
      </w:tr>
      <w:tr>
        <w:tc>
          <w:tcPr>
            <w:tcW w:w="2173" w:type="dxa"/>
          </w:tcPr>
          <w:p>
            <w:pPr>
              <w:pStyle w:val="yTableNAm"/>
              <w:spacing w:before="60"/>
            </w:pPr>
            <w:r>
              <w:t>Fitzroy Crossing</w:t>
            </w:r>
          </w:p>
        </w:tc>
        <w:tc>
          <w:tcPr>
            <w:tcW w:w="2173" w:type="dxa"/>
          </w:tcPr>
          <w:p>
            <w:pPr>
              <w:pStyle w:val="yTableNAm"/>
              <w:spacing w:before="60"/>
              <w:jc w:val="center"/>
            </w:pPr>
            <w:r>
              <w:t>9.165</w:t>
            </w:r>
          </w:p>
        </w:tc>
        <w:tc>
          <w:tcPr>
            <w:tcW w:w="2174" w:type="dxa"/>
          </w:tcPr>
          <w:p>
            <w:pPr>
              <w:pStyle w:val="yTableNAm"/>
              <w:spacing w:before="60"/>
              <w:jc w:val="center"/>
            </w:pPr>
            <w:r>
              <w:t>12.000</w:t>
            </w:r>
          </w:p>
        </w:tc>
      </w:tr>
      <w:tr>
        <w:tc>
          <w:tcPr>
            <w:tcW w:w="2173" w:type="dxa"/>
          </w:tcPr>
          <w:p>
            <w:pPr>
              <w:pStyle w:val="yTableNAm"/>
              <w:spacing w:before="60"/>
            </w:pPr>
            <w:r>
              <w:t>Geraldton</w:t>
            </w:r>
          </w:p>
        </w:tc>
        <w:tc>
          <w:tcPr>
            <w:tcW w:w="2173" w:type="dxa"/>
          </w:tcPr>
          <w:p>
            <w:pPr>
              <w:pStyle w:val="yTableNAm"/>
              <w:spacing w:before="60"/>
              <w:jc w:val="center"/>
            </w:pPr>
            <w:r>
              <w:t>6.145</w:t>
            </w:r>
          </w:p>
        </w:tc>
        <w:tc>
          <w:tcPr>
            <w:tcW w:w="2174" w:type="dxa"/>
          </w:tcPr>
          <w:p>
            <w:pPr>
              <w:pStyle w:val="yTableNAm"/>
              <w:spacing w:before="60"/>
              <w:jc w:val="center"/>
            </w:pPr>
            <w:r>
              <w:t>2.766</w:t>
            </w:r>
          </w:p>
        </w:tc>
      </w:tr>
      <w:tr>
        <w:tc>
          <w:tcPr>
            <w:tcW w:w="2173" w:type="dxa"/>
          </w:tcPr>
          <w:p>
            <w:pPr>
              <w:pStyle w:val="yTableNAm"/>
              <w:spacing w:before="60"/>
            </w:pPr>
            <w:r>
              <w:t>Gnowangerup</w:t>
            </w:r>
          </w:p>
        </w:tc>
        <w:tc>
          <w:tcPr>
            <w:tcW w:w="2173" w:type="dxa"/>
          </w:tcPr>
          <w:p>
            <w:pPr>
              <w:pStyle w:val="yTableNAm"/>
              <w:spacing w:before="60"/>
              <w:jc w:val="center"/>
            </w:pPr>
            <w:r>
              <w:t>8.234</w:t>
            </w:r>
          </w:p>
        </w:tc>
        <w:tc>
          <w:tcPr>
            <w:tcW w:w="2174" w:type="dxa"/>
          </w:tcPr>
          <w:p>
            <w:pPr>
              <w:pStyle w:val="yTableNAm"/>
              <w:spacing w:before="60"/>
              <w:jc w:val="center"/>
            </w:pPr>
            <w:r>
              <w:t>11.601</w:t>
            </w:r>
          </w:p>
        </w:tc>
      </w:tr>
      <w:tr>
        <w:tc>
          <w:tcPr>
            <w:tcW w:w="2173" w:type="dxa"/>
          </w:tcPr>
          <w:p>
            <w:pPr>
              <w:pStyle w:val="yTableNAm"/>
              <w:spacing w:before="60"/>
            </w:pPr>
            <w:r>
              <w:t>Greenhead</w:t>
            </w:r>
          </w:p>
        </w:tc>
        <w:tc>
          <w:tcPr>
            <w:tcW w:w="2173" w:type="dxa"/>
          </w:tcPr>
          <w:p>
            <w:pPr>
              <w:pStyle w:val="yTableNAm"/>
              <w:spacing w:before="60"/>
              <w:jc w:val="center"/>
            </w:pPr>
            <w:r>
              <w:t>11.162</w:t>
            </w:r>
          </w:p>
        </w:tc>
        <w:tc>
          <w:tcPr>
            <w:tcW w:w="2174" w:type="dxa"/>
          </w:tcPr>
          <w:p>
            <w:pPr>
              <w:pStyle w:val="yTableNAm"/>
              <w:spacing w:before="60"/>
              <w:jc w:val="center"/>
            </w:pPr>
            <w:r>
              <w:t>2.678</w:t>
            </w:r>
          </w:p>
        </w:tc>
      </w:tr>
      <w:tr>
        <w:tc>
          <w:tcPr>
            <w:tcW w:w="2173" w:type="dxa"/>
          </w:tcPr>
          <w:p>
            <w:pPr>
              <w:pStyle w:val="yTableNAm"/>
              <w:spacing w:before="60"/>
            </w:pPr>
            <w:r>
              <w:t>Halls Creek</w:t>
            </w:r>
          </w:p>
        </w:tc>
        <w:tc>
          <w:tcPr>
            <w:tcW w:w="2173" w:type="dxa"/>
          </w:tcPr>
          <w:p>
            <w:pPr>
              <w:pStyle w:val="yTableNAm"/>
              <w:spacing w:before="60"/>
              <w:jc w:val="center"/>
            </w:pPr>
            <w:r>
              <w:t>8.683</w:t>
            </w:r>
          </w:p>
        </w:tc>
        <w:tc>
          <w:tcPr>
            <w:tcW w:w="2174" w:type="dxa"/>
          </w:tcPr>
          <w:p>
            <w:pPr>
              <w:pStyle w:val="yTableNAm"/>
              <w:spacing w:before="60"/>
              <w:jc w:val="center"/>
            </w:pPr>
            <w:r>
              <w:t>12.000</w:t>
            </w:r>
          </w:p>
        </w:tc>
      </w:tr>
      <w:tr>
        <w:tc>
          <w:tcPr>
            <w:tcW w:w="2173" w:type="dxa"/>
          </w:tcPr>
          <w:p>
            <w:pPr>
              <w:pStyle w:val="yTableNAm"/>
              <w:spacing w:before="60"/>
            </w:pPr>
            <w:r>
              <w:t>Harvey</w:t>
            </w:r>
          </w:p>
        </w:tc>
        <w:tc>
          <w:tcPr>
            <w:tcW w:w="2173" w:type="dxa"/>
          </w:tcPr>
          <w:p>
            <w:pPr>
              <w:pStyle w:val="yTableNAm"/>
              <w:spacing w:before="60"/>
              <w:jc w:val="center"/>
            </w:pPr>
            <w:r>
              <w:t>9.032</w:t>
            </w:r>
          </w:p>
        </w:tc>
        <w:tc>
          <w:tcPr>
            <w:tcW w:w="2174" w:type="dxa"/>
          </w:tcPr>
          <w:p>
            <w:pPr>
              <w:pStyle w:val="yTableNAm"/>
              <w:spacing w:before="60"/>
              <w:jc w:val="center"/>
            </w:pPr>
            <w:r>
              <w:t>8.405</w:t>
            </w:r>
          </w:p>
        </w:tc>
      </w:tr>
      <w:tr>
        <w:tc>
          <w:tcPr>
            <w:tcW w:w="2173" w:type="dxa"/>
          </w:tcPr>
          <w:p>
            <w:pPr>
              <w:pStyle w:val="yTableNAm"/>
              <w:spacing w:before="60"/>
            </w:pPr>
            <w:r>
              <w:t>Hopetoun</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Horrocks</w:t>
            </w:r>
          </w:p>
        </w:tc>
        <w:tc>
          <w:tcPr>
            <w:tcW w:w="2173" w:type="dxa"/>
          </w:tcPr>
          <w:p>
            <w:pPr>
              <w:pStyle w:val="yTableNAm"/>
              <w:spacing w:before="60"/>
              <w:jc w:val="center"/>
            </w:pPr>
            <w:r>
              <w:t>10.223</w:t>
            </w:r>
          </w:p>
        </w:tc>
        <w:tc>
          <w:tcPr>
            <w:tcW w:w="2174" w:type="dxa"/>
          </w:tcPr>
          <w:p>
            <w:pPr>
              <w:pStyle w:val="yTableNAm"/>
              <w:spacing w:before="60"/>
              <w:jc w:val="center"/>
            </w:pPr>
            <w:r>
              <w:t>4.904</w:t>
            </w:r>
          </w:p>
        </w:tc>
      </w:tr>
      <w:tr>
        <w:tc>
          <w:tcPr>
            <w:tcW w:w="2173" w:type="dxa"/>
          </w:tcPr>
          <w:p>
            <w:pPr>
              <w:pStyle w:val="yTableNAm"/>
              <w:spacing w:before="60"/>
            </w:pPr>
            <w:r>
              <w:t>Jurien Bay</w:t>
            </w:r>
          </w:p>
        </w:tc>
        <w:tc>
          <w:tcPr>
            <w:tcW w:w="2173" w:type="dxa"/>
          </w:tcPr>
          <w:p>
            <w:pPr>
              <w:pStyle w:val="yTableNAm"/>
              <w:spacing w:before="60"/>
              <w:jc w:val="center"/>
            </w:pPr>
            <w:r>
              <w:t>8.809</w:t>
            </w:r>
          </w:p>
        </w:tc>
        <w:tc>
          <w:tcPr>
            <w:tcW w:w="2174" w:type="dxa"/>
          </w:tcPr>
          <w:p>
            <w:pPr>
              <w:pStyle w:val="yTableNAm"/>
              <w:spacing w:before="60"/>
              <w:jc w:val="center"/>
            </w:pPr>
            <w:r>
              <w:t>2.407</w:t>
            </w:r>
          </w:p>
        </w:tc>
      </w:tr>
      <w:tr>
        <w:tc>
          <w:tcPr>
            <w:tcW w:w="2173" w:type="dxa"/>
          </w:tcPr>
          <w:p>
            <w:pPr>
              <w:pStyle w:val="yTableNAm"/>
              <w:spacing w:before="60"/>
            </w:pPr>
            <w:r>
              <w:t>Kalbarri</w:t>
            </w:r>
          </w:p>
        </w:tc>
        <w:tc>
          <w:tcPr>
            <w:tcW w:w="2173" w:type="dxa"/>
          </w:tcPr>
          <w:p>
            <w:pPr>
              <w:pStyle w:val="yTableNAm"/>
              <w:spacing w:before="60"/>
              <w:jc w:val="center"/>
            </w:pPr>
            <w:r>
              <w:t>5.854</w:t>
            </w:r>
          </w:p>
        </w:tc>
        <w:tc>
          <w:tcPr>
            <w:tcW w:w="2174" w:type="dxa"/>
          </w:tcPr>
          <w:p>
            <w:pPr>
              <w:pStyle w:val="yTableNAm"/>
              <w:spacing w:before="60"/>
              <w:jc w:val="center"/>
            </w:pPr>
            <w:r>
              <w:t>1.793</w:t>
            </w:r>
          </w:p>
        </w:tc>
      </w:tr>
      <w:tr>
        <w:tc>
          <w:tcPr>
            <w:tcW w:w="2173" w:type="dxa"/>
          </w:tcPr>
          <w:p>
            <w:pPr>
              <w:pStyle w:val="yTableNAm"/>
              <w:spacing w:before="60"/>
            </w:pPr>
            <w:r>
              <w:t>Kambalda</w:t>
            </w:r>
          </w:p>
        </w:tc>
        <w:tc>
          <w:tcPr>
            <w:tcW w:w="2173" w:type="dxa"/>
          </w:tcPr>
          <w:p>
            <w:pPr>
              <w:pStyle w:val="yTableNAm"/>
              <w:spacing w:before="60"/>
              <w:jc w:val="center"/>
            </w:pPr>
            <w:r>
              <w:t>5.986</w:t>
            </w:r>
          </w:p>
        </w:tc>
        <w:tc>
          <w:tcPr>
            <w:tcW w:w="2174" w:type="dxa"/>
          </w:tcPr>
          <w:p>
            <w:pPr>
              <w:pStyle w:val="yTableNAm"/>
              <w:spacing w:before="60"/>
              <w:jc w:val="center"/>
            </w:pPr>
            <w:r>
              <w:t>5.986</w:t>
            </w:r>
          </w:p>
        </w:tc>
      </w:tr>
      <w:tr>
        <w:tc>
          <w:tcPr>
            <w:tcW w:w="2173" w:type="dxa"/>
          </w:tcPr>
          <w:p>
            <w:pPr>
              <w:pStyle w:val="yTableNAm"/>
              <w:spacing w:before="60"/>
            </w:pPr>
            <w:r>
              <w:t>Karratha</w:t>
            </w:r>
          </w:p>
        </w:tc>
        <w:tc>
          <w:tcPr>
            <w:tcW w:w="2173" w:type="dxa"/>
          </w:tcPr>
          <w:p>
            <w:pPr>
              <w:pStyle w:val="yTableNAm"/>
              <w:spacing w:before="60"/>
              <w:jc w:val="center"/>
            </w:pPr>
            <w:r>
              <w:t>0.914</w:t>
            </w:r>
          </w:p>
        </w:tc>
        <w:tc>
          <w:tcPr>
            <w:tcW w:w="2174" w:type="dxa"/>
          </w:tcPr>
          <w:p>
            <w:pPr>
              <w:pStyle w:val="yTableNAm"/>
              <w:spacing w:before="60"/>
              <w:jc w:val="center"/>
            </w:pPr>
            <w:r>
              <w:t>0.512</w:t>
            </w:r>
          </w:p>
        </w:tc>
      </w:tr>
      <w:tr>
        <w:tc>
          <w:tcPr>
            <w:tcW w:w="2173" w:type="dxa"/>
          </w:tcPr>
          <w:p>
            <w:pPr>
              <w:pStyle w:val="yTableNAm"/>
              <w:spacing w:before="60"/>
            </w:pPr>
            <w:r>
              <w:t>Katanning</w:t>
            </w:r>
          </w:p>
        </w:tc>
        <w:tc>
          <w:tcPr>
            <w:tcW w:w="2173" w:type="dxa"/>
          </w:tcPr>
          <w:p>
            <w:pPr>
              <w:pStyle w:val="yTableNAm"/>
              <w:spacing w:before="60"/>
              <w:jc w:val="center"/>
            </w:pPr>
            <w:r>
              <w:t>5.263</w:t>
            </w:r>
          </w:p>
        </w:tc>
        <w:tc>
          <w:tcPr>
            <w:tcW w:w="2174" w:type="dxa"/>
          </w:tcPr>
          <w:p>
            <w:pPr>
              <w:pStyle w:val="yTableNAm"/>
              <w:spacing w:before="60"/>
              <w:jc w:val="center"/>
            </w:pPr>
            <w:r>
              <w:t>10.171</w:t>
            </w:r>
          </w:p>
        </w:tc>
      </w:tr>
      <w:tr>
        <w:tc>
          <w:tcPr>
            <w:tcW w:w="2173" w:type="dxa"/>
          </w:tcPr>
          <w:p>
            <w:pPr>
              <w:pStyle w:val="yTableNAm"/>
              <w:spacing w:before="60"/>
            </w:pPr>
            <w:r>
              <w:t>Kellerberrin</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Kojonup</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Kulin</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Kununurra</w:t>
            </w:r>
          </w:p>
        </w:tc>
        <w:tc>
          <w:tcPr>
            <w:tcW w:w="2173" w:type="dxa"/>
          </w:tcPr>
          <w:p>
            <w:pPr>
              <w:pStyle w:val="yTableNAm"/>
              <w:spacing w:before="60"/>
              <w:jc w:val="center"/>
            </w:pPr>
            <w:r>
              <w:t>5.690</w:t>
            </w:r>
          </w:p>
        </w:tc>
        <w:tc>
          <w:tcPr>
            <w:tcW w:w="2174" w:type="dxa"/>
          </w:tcPr>
          <w:p>
            <w:pPr>
              <w:pStyle w:val="yTableNAm"/>
              <w:spacing w:before="60"/>
              <w:jc w:val="center"/>
            </w:pPr>
            <w:r>
              <w:t>4.335</w:t>
            </w:r>
          </w:p>
        </w:tc>
      </w:tr>
      <w:tr>
        <w:tc>
          <w:tcPr>
            <w:tcW w:w="2173" w:type="dxa"/>
          </w:tcPr>
          <w:p>
            <w:pPr>
              <w:pStyle w:val="yTableNAm"/>
              <w:spacing w:before="60"/>
            </w:pPr>
            <w:r>
              <w:t>Lake Argyle</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Lancelin</w:t>
            </w:r>
          </w:p>
        </w:tc>
        <w:tc>
          <w:tcPr>
            <w:tcW w:w="2173" w:type="dxa"/>
          </w:tcPr>
          <w:p>
            <w:pPr>
              <w:pStyle w:val="yTableNAm"/>
              <w:spacing w:before="60"/>
              <w:jc w:val="center"/>
            </w:pPr>
            <w:r>
              <w:t>7.480</w:t>
            </w:r>
          </w:p>
        </w:tc>
        <w:tc>
          <w:tcPr>
            <w:tcW w:w="2174" w:type="dxa"/>
          </w:tcPr>
          <w:p>
            <w:pPr>
              <w:pStyle w:val="yTableNAm"/>
              <w:spacing w:before="60"/>
              <w:jc w:val="center"/>
            </w:pPr>
            <w:r>
              <w:t>1.417</w:t>
            </w:r>
          </w:p>
        </w:tc>
      </w:tr>
      <w:tr>
        <w:tc>
          <w:tcPr>
            <w:tcW w:w="2173" w:type="dxa"/>
          </w:tcPr>
          <w:p>
            <w:pPr>
              <w:pStyle w:val="yTableNAm"/>
              <w:spacing w:before="60"/>
            </w:pPr>
            <w:r>
              <w:t>Laverton</w:t>
            </w:r>
          </w:p>
        </w:tc>
        <w:tc>
          <w:tcPr>
            <w:tcW w:w="2173" w:type="dxa"/>
          </w:tcPr>
          <w:p>
            <w:pPr>
              <w:pStyle w:val="yTableNAm"/>
              <w:spacing w:before="60"/>
              <w:jc w:val="center"/>
            </w:pPr>
            <w:r>
              <w:t>8.749</w:t>
            </w:r>
          </w:p>
        </w:tc>
        <w:tc>
          <w:tcPr>
            <w:tcW w:w="2174" w:type="dxa"/>
          </w:tcPr>
          <w:p>
            <w:pPr>
              <w:pStyle w:val="yTableNAm"/>
              <w:spacing w:before="60"/>
              <w:jc w:val="center"/>
            </w:pPr>
            <w:r>
              <w:t>11.357</w:t>
            </w:r>
          </w:p>
        </w:tc>
      </w:tr>
      <w:tr>
        <w:tc>
          <w:tcPr>
            <w:tcW w:w="2173" w:type="dxa"/>
          </w:tcPr>
          <w:p>
            <w:pPr>
              <w:pStyle w:val="yTableNAm"/>
              <w:spacing w:before="60"/>
            </w:pPr>
            <w:r>
              <w:t>Ledge Point</w:t>
            </w:r>
          </w:p>
        </w:tc>
        <w:tc>
          <w:tcPr>
            <w:tcW w:w="2173" w:type="dxa"/>
          </w:tcPr>
          <w:p>
            <w:pPr>
              <w:pStyle w:val="yTableNAm"/>
              <w:spacing w:before="60"/>
              <w:jc w:val="center"/>
            </w:pPr>
            <w:r>
              <w:t>6.042</w:t>
            </w:r>
          </w:p>
        </w:tc>
        <w:tc>
          <w:tcPr>
            <w:tcW w:w="2174" w:type="dxa"/>
          </w:tcPr>
          <w:p>
            <w:pPr>
              <w:pStyle w:val="yTableNAm"/>
              <w:spacing w:before="60"/>
              <w:jc w:val="center"/>
            </w:pPr>
            <w:r>
              <w:t>1.662</w:t>
            </w:r>
          </w:p>
        </w:tc>
      </w:tr>
      <w:tr>
        <w:tc>
          <w:tcPr>
            <w:tcW w:w="2173" w:type="dxa"/>
          </w:tcPr>
          <w:p>
            <w:pPr>
              <w:pStyle w:val="yTableNAm"/>
              <w:spacing w:before="60"/>
            </w:pPr>
            <w:r>
              <w:t>Leeman</w:t>
            </w:r>
          </w:p>
        </w:tc>
        <w:tc>
          <w:tcPr>
            <w:tcW w:w="2173" w:type="dxa"/>
          </w:tcPr>
          <w:p>
            <w:pPr>
              <w:pStyle w:val="yTableNAm"/>
              <w:spacing w:before="60"/>
              <w:jc w:val="center"/>
            </w:pPr>
            <w:r>
              <w:t>10.885</w:t>
            </w:r>
          </w:p>
        </w:tc>
        <w:tc>
          <w:tcPr>
            <w:tcW w:w="2174" w:type="dxa"/>
          </w:tcPr>
          <w:p>
            <w:pPr>
              <w:pStyle w:val="yTableNAm"/>
              <w:spacing w:before="60"/>
              <w:jc w:val="center"/>
            </w:pPr>
            <w:r>
              <w:t>3.483</w:t>
            </w:r>
          </w:p>
        </w:tc>
      </w:tr>
      <w:tr>
        <w:tc>
          <w:tcPr>
            <w:tcW w:w="2173" w:type="dxa"/>
          </w:tcPr>
          <w:p>
            <w:pPr>
              <w:pStyle w:val="yTableNAm"/>
              <w:spacing w:before="60"/>
            </w:pPr>
            <w:r>
              <w:t>Leonora</w:t>
            </w:r>
          </w:p>
        </w:tc>
        <w:tc>
          <w:tcPr>
            <w:tcW w:w="2173" w:type="dxa"/>
          </w:tcPr>
          <w:p>
            <w:pPr>
              <w:pStyle w:val="yTableNAm"/>
              <w:spacing w:before="60"/>
              <w:jc w:val="center"/>
            </w:pPr>
            <w:r>
              <w:t>9.049</w:t>
            </w:r>
          </w:p>
        </w:tc>
        <w:tc>
          <w:tcPr>
            <w:tcW w:w="2174" w:type="dxa"/>
          </w:tcPr>
          <w:p>
            <w:pPr>
              <w:pStyle w:val="yTableNAm"/>
              <w:spacing w:before="60"/>
              <w:jc w:val="center"/>
            </w:pPr>
            <w:r>
              <w:t>12.000</w:t>
            </w:r>
          </w:p>
        </w:tc>
      </w:tr>
      <w:tr>
        <w:tc>
          <w:tcPr>
            <w:tcW w:w="2173" w:type="dxa"/>
          </w:tcPr>
          <w:p>
            <w:pPr>
              <w:pStyle w:val="yTableNAm"/>
              <w:spacing w:before="60"/>
            </w:pPr>
            <w:r>
              <w:t>Mandurah</w:t>
            </w:r>
          </w:p>
        </w:tc>
        <w:tc>
          <w:tcPr>
            <w:tcW w:w="2173" w:type="dxa"/>
          </w:tcPr>
          <w:p>
            <w:pPr>
              <w:pStyle w:val="yTableNAm"/>
              <w:spacing w:before="60"/>
              <w:jc w:val="center"/>
            </w:pPr>
            <w:r>
              <w:t>8.247</w:t>
            </w:r>
          </w:p>
        </w:tc>
        <w:tc>
          <w:tcPr>
            <w:tcW w:w="2174" w:type="dxa"/>
          </w:tcPr>
          <w:p>
            <w:pPr>
              <w:pStyle w:val="yTableNAm"/>
              <w:spacing w:before="60"/>
              <w:jc w:val="center"/>
            </w:pPr>
            <w:r>
              <w:t>3.300</w:t>
            </w:r>
          </w:p>
        </w:tc>
      </w:tr>
      <w:tr>
        <w:tc>
          <w:tcPr>
            <w:tcW w:w="2173" w:type="dxa"/>
          </w:tcPr>
          <w:p>
            <w:pPr>
              <w:pStyle w:val="yTableNAm"/>
              <w:spacing w:before="60"/>
            </w:pPr>
            <w:r>
              <w:t>Manjimup</w:t>
            </w:r>
          </w:p>
        </w:tc>
        <w:tc>
          <w:tcPr>
            <w:tcW w:w="2173" w:type="dxa"/>
          </w:tcPr>
          <w:p>
            <w:pPr>
              <w:pStyle w:val="yTableNAm"/>
              <w:spacing w:before="60"/>
              <w:jc w:val="center"/>
            </w:pPr>
            <w:r>
              <w:t>11.894</w:t>
            </w:r>
          </w:p>
        </w:tc>
        <w:tc>
          <w:tcPr>
            <w:tcW w:w="2174" w:type="dxa"/>
          </w:tcPr>
          <w:p>
            <w:pPr>
              <w:pStyle w:val="yTableNAm"/>
              <w:spacing w:before="60"/>
              <w:jc w:val="center"/>
            </w:pPr>
            <w:r>
              <w:t>12.000</w:t>
            </w:r>
          </w:p>
        </w:tc>
      </w:tr>
      <w:tr>
        <w:tc>
          <w:tcPr>
            <w:tcW w:w="2173" w:type="dxa"/>
          </w:tcPr>
          <w:p>
            <w:pPr>
              <w:pStyle w:val="yTableNAm"/>
              <w:spacing w:before="60"/>
            </w:pPr>
            <w:r>
              <w:t>Margaret River</w:t>
            </w:r>
          </w:p>
        </w:tc>
        <w:tc>
          <w:tcPr>
            <w:tcW w:w="2173" w:type="dxa"/>
          </w:tcPr>
          <w:p>
            <w:pPr>
              <w:pStyle w:val="yTableNAm"/>
              <w:spacing w:before="60"/>
              <w:jc w:val="center"/>
            </w:pPr>
            <w:r>
              <w:t>5.542</w:t>
            </w:r>
          </w:p>
        </w:tc>
        <w:tc>
          <w:tcPr>
            <w:tcW w:w="2174" w:type="dxa"/>
          </w:tcPr>
          <w:p>
            <w:pPr>
              <w:pStyle w:val="yTableNAm"/>
              <w:spacing w:before="60"/>
              <w:jc w:val="center"/>
            </w:pPr>
            <w:r>
              <w:t>2.580</w:t>
            </w:r>
          </w:p>
        </w:tc>
      </w:tr>
      <w:tr>
        <w:tc>
          <w:tcPr>
            <w:tcW w:w="2173" w:type="dxa"/>
          </w:tcPr>
          <w:p>
            <w:pPr>
              <w:pStyle w:val="yTableNAm"/>
              <w:spacing w:before="60"/>
            </w:pPr>
            <w:r>
              <w:t>Meckering</w:t>
            </w:r>
          </w:p>
        </w:tc>
        <w:tc>
          <w:tcPr>
            <w:tcW w:w="2173" w:type="dxa"/>
          </w:tcPr>
          <w:p>
            <w:pPr>
              <w:pStyle w:val="yTableNAm"/>
              <w:spacing w:before="60"/>
              <w:jc w:val="center"/>
            </w:pPr>
            <w:r>
              <w:t>11.720</w:t>
            </w:r>
          </w:p>
        </w:tc>
        <w:tc>
          <w:tcPr>
            <w:tcW w:w="2174" w:type="dxa"/>
          </w:tcPr>
          <w:p>
            <w:pPr>
              <w:pStyle w:val="yTableNAm"/>
              <w:spacing w:before="60"/>
              <w:jc w:val="center"/>
            </w:pPr>
            <w:r>
              <w:t>12.000</w:t>
            </w:r>
          </w:p>
        </w:tc>
      </w:tr>
      <w:tr>
        <w:tc>
          <w:tcPr>
            <w:tcW w:w="2173" w:type="dxa"/>
          </w:tcPr>
          <w:p>
            <w:pPr>
              <w:pStyle w:val="yTableNAm"/>
              <w:spacing w:before="60"/>
            </w:pPr>
            <w:r>
              <w:t>Merredin</w:t>
            </w:r>
          </w:p>
        </w:tc>
        <w:tc>
          <w:tcPr>
            <w:tcW w:w="2173" w:type="dxa"/>
          </w:tcPr>
          <w:p>
            <w:pPr>
              <w:pStyle w:val="yTableNAm"/>
              <w:spacing w:before="60"/>
              <w:jc w:val="center"/>
            </w:pPr>
            <w:r>
              <w:t>8.155</w:t>
            </w:r>
          </w:p>
        </w:tc>
        <w:tc>
          <w:tcPr>
            <w:tcW w:w="2174" w:type="dxa"/>
          </w:tcPr>
          <w:p>
            <w:pPr>
              <w:pStyle w:val="yTableNAm"/>
              <w:spacing w:before="60"/>
              <w:jc w:val="center"/>
            </w:pPr>
            <w:r>
              <w:t>5.261</w:t>
            </w:r>
          </w:p>
        </w:tc>
      </w:tr>
      <w:tr>
        <w:tc>
          <w:tcPr>
            <w:tcW w:w="2173" w:type="dxa"/>
          </w:tcPr>
          <w:p>
            <w:pPr>
              <w:pStyle w:val="yTableNAm"/>
              <w:spacing w:before="60"/>
            </w:pPr>
            <w:r>
              <w:t>Mount Barker</w:t>
            </w:r>
          </w:p>
        </w:tc>
        <w:tc>
          <w:tcPr>
            <w:tcW w:w="2173" w:type="dxa"/>
          </w:tcPr>
          <w:p>
            <w:pPr>
              <w:pStyle w:val="yTableNAm"/>
              <w:spacing w:before="60"/>
              <w:jc w:val="center"/>
            </w:pPr>
            <w:r>
              <w:t>9.287</w:t>
            </w:r>
          </w:p>
        </w:tc>
        <w:tc>
          <w:tcPr>
            <w:tcW w:w="2174" w:type="dxa"/>
          </w:tcPr>
          <w:p>
            <w:pPr>
              <w:pStyle w:val="yTableNAm"/>
              <w:spacing w:before="60"/>
              <w:jc w:val="center"/>
            </w:pPr>
            <w:r>
              <w:t>2.937</w:t>
            </w:r>
          </w:p>
        </w:tc>
      </w:tr>
      <w:tr>
        <w:tc>
          <w:tcPr>
            <w:tcW w:w="2173" w:type="dxa"/>
          </w:tcPr>
          <w:p>
            <w:pPr>
              <w:pStyle w:val="yTableNAm"/>
              <w:spacing w:before="60"/>
            </w:pPr>
            <w:r>
              <w:t>Mukinbudin</w:t>
            </w:r>
          </w:p>
        </w:tc>
        <w:tc>
          <w:tcPr>
            <w:tcW w:w="2173" w:type="dxa"/>
          </w:tcPr>
          <w:p>
            <w:pPr>
              <w:pStyle w:val="yTableNAm"/>
              <w:spacing w:before="60"/>
              <w:jc w:val="center"/>
            </w:pPr>
            <w:r>
              <w:t>9.374</w:t>
            </w:r>
          </w:p>
        </w:tc>
        <w:tc>
          <w:tcPr>
            <w:tcW w:w="2174" w:type="dxa"/>
          </w:tcPr>
          <w:p>
            <w:pPr>
              <w:pStyle w:val="yTableNAm"/>
              <w:spacing w:before="60"/>
              <w:jc w:val="center"/>
            </w:pPr>
            <w:r>
              <w:t>11.298</w:t>
            </w:r>
          </w:p>
        </w:tc>
      </w:tr>
      <w:tr>
        <w:tc>
          <w:tcPr>
            <w:tcW w:w="2173" w:type="dxa"/>
          </w:tcPr>
          <w:p>
            <w:pPr>
              <w:pStyle w:val="yTableNAm"/>
              <w:spacing w:before="60"/>
            </w:pPr>
            <w:r>
              <w:t>Nannup</w:t>
            </w:r>
          </w:p>
        </w:tc>
        <w:tc>
          <w:tcPr>
            <w:tcW w:w="2173" w:type="dxa"/>
          </w:tcPr>
          <w:p>
            <w:pPr>
              <w:pStyle w:val="yTableNAm"/>
              <w:spacing w:before="60"/>
              <w:jc w:val="center"/>
            </w:pPr>
            <w:r>
              <w:t>12.000</w:t>
            </w:r>
          </w:p>
        </w:tc>
        <w:tc>
          <w:tcPr>
            <w:tcW w:w="2174" w:type="dxa"/>
          </w:tcPr>
          <w:p>
            <w:pPr>
              <w:pStyle w:val="yTableNAm"/>
              <w:spacing w:before="60"/>
              <w:jc w:val="center"/>
            </w:pPr>
            <w:r>
              <w:t>11.039</w:t>
            </w:r>
          </w:p>
        </w:tc>
      </w:tr>
      <w:tr>
        <w:tc>
          <w:tcPr>
            <w:tcW w:w="2173" w:type="dxa"/>
          </w:tcPr>
          <w:p>
            <w:pPr>
              <w:pStyle w:val="yTableNAm"/>
              <w:spacing w:before="60"/>
            </w:pPr>
            <w:r>
              <w:t>Narembeen</w:t>
            </w:r>
          </w:p>
        </w:tc>
        <w:tc>
          <w:tcPr>
            <w:tcW w:w="2173" w:type="dxa"/>
          </w:tcPr>
          <w:p>
            <w:pPr>
              <w:pStyle w:val="yTableNAm"/>
              <w:spacing w:before="60"/>
              <w:jc w:val="center"/>
            </w:pPr>
            <w:r>
              <w:t>7.807</w:t>
            </w:r>
          </w:p>
        </w:tc>
        <w:tc>
          <w:tcPr>
            <w:tcW w:w="2174" w:type="dxa"/>
          </w:tcPr>
          <w:p>
            <w:pPr>
              <w:pStyle w:val="yTableNAm"/>
              <w:spacing w:before="60"/>
              <w:jc w:val="center"/>
            </w:pPr>
            <w:r>
              <w:t>12.000</w:t>
            </w:r>
          </w:p>
        </w:tc>
      </w:tr>
      <w:tr>
        <w:tc>
          <w:tcPr>
            <w:tcW w:w="2173" w:type="dxa"/>
          </w:tcPr>
          <w:p>
            <w:pPr>
              <w:pStyle w:val="yTableNAm"/>
              <w:spacing w:before="60"/>
            </w:pPr>
            <w:r>
              <w:t>Narrogin</w:t>
            </w:r>
          </w:p>
        </w:tc>
        <w:tc>
          <w:tcPr>
            <w:tcW w:w="2173" w:type="dxa"/>
          </w:tcPr>
          <w:p>
            <w:pPr>
              <w:pStyle w:val="yTableNAm"/>
              <w:spacing w:before="60"/>
              <w:jc w:val="center"/>
            </w:pPr>
            <w:r>
              <w:t>7.435</w:t>
            </w:r>
          </w:p>
        </w:tc>
        <w:tc>
          <w:tcPr>
            <w:tcW w:w="2174" w:type="dxa"/>
          </w:tcPr>
          <w:p>
            <w:pPr>
              <w:pStyle w:val="yTableNAm"/>
              <w:spacing w:before="60"/>
              <w:jc w:val="center"/>
            </w:pPr>
            <w:r>
              <w:t>8.764</w:t>
            </w:r>
          </w:p>
        </w:tc>
      </w:tr>
      <w:tr>
        <w:tc>
          <w:tcPr>
            <w:tcW w:w="2173" w:type="dxa"/>
          </w:tcPr>
          <w:p>
            <w:pPr>
              <w:pStyle w:val="yTableNAm"/>
              <w:spacing w:before="60"/>
            </w:pPr>
            <w:r>
              <w:t>Newdegate</w:t>
            </w:r>
          </w:p>
        </w:tc>
        <w:tc>
          <w:tcPr>
            <w:tcW w:w="2173" w:type="dxa"/>
          </w:tcPr>
          <w:p>
            <w:pPr>
              <w:pStyle w:val="yTableNAm"/>
              <w:spacing w:before="60"/>
              <w:jc w:val="center"/>
            </w:pPr>
            <w:r>
              <w:t>9.476</w:t>
            </w:r>
          </w:p>
        </w:tc>
        <w:tc>
          <w:tcPr>
            <w:tcW w:w="2174" w:type="dxa"/>
          </w:tcPr>
          <w:p>
            <w:pPr>
              <w:pStyle w:val="yTableNAm"/>
              <w:spacing w:before="60"/>
              <w:jc w:val="center"/>
            </w:pPr>
            <w:r>
              <w:t>8.311</w:t>
            </w:r>
          </w:p>
        </w:tc>
      </w:tr>
      <w:tr>
        <w:tc>
          <w:tcPr>
            <w:tcW w:w="2173" w:type="dxa"/>
          </w:tcPr>
          <w:p>
            <w:pPr>
              <w:pStyle w:val="yTableNAm"/>
              <w:spacing w:before="60"/>
            </w:pPr>
            <w:r>
              <w:t>Newman</w:t>
            </w:r>
          </w:p>
        </w:tc>
        <w:tc>
          <w:tcPr>
            <w:tcW w:w="2173" w:type="dxa"/>
          </w:tcPr>
          <w:p>
            <w:pPr>
              <w:pStyle w:val="yTableNAm"/>
              <w:spacing w:before="60"/>
              <w:jc w:val="center"/>
            </w:pPr>
            <w:r>
              <w:t>2.074</w:t>
            </w:r>
          </w:p>
        </w:tc>
        <w:tc>
          <w:tcPr>
            <w:tcW w:w="2174" w:type="dxa"/>
          </w:tcPr>
          <w:p>
            <w:pPr>
              <w:pStyle w:val="yTableNAm"/>
              <w:spacing w:before="60"/>
              <w:jc w:val="center"/>
            </w:pPr>
            <w:r>
              <w:t>0.853</w:t>
            </w:r>
          </w:p>
        </w:tc>
      </w:tr>
      <w:tr>
        <w:tc>
          <w:tcPr>
            <w:tcW w:w="2173" w:type="dxa"/>
          </w:tcPr>
          <w:p>
            <w:pPr>
              <w:pStyle w:val="yTableNAm"/>
              <w:spacing w:before="60"/>
            </w:pPr>
            <w:r>
              <w:t>Northam</w:t>
            </w:r>
          </w:p>
        </w:tc>
        <w:tc>
          <w:tcPr>
            <w:tcW w:w="2173" w:type="dxa"/>
          </w:tcPr>
          <w:p>
            <w:pPr>
              <w:pStyle w:val="yTableNAm"/>
              <w:spacing w:before="60"/>
              <w:jc w:val="center"/>
            </w:pPr>
            <w:r>
              <w:t>8.632</w:t>
            </w:r>
          </w:p>
        </w:tc>
        <w:tc>
          <w:tcPr>
            <w:tcW w:w="2174" w:type="dxa"/>
          </w:tcPr>
          <w:p>
            <w:pPr>
              <w:pStyle w:val="yTableNAm"/>
              <w:spacing w:before="60"/>
              <w:jc w:val="center"/>
            </w:pPr>
            <w:r>
              <w:t>4.184</w:t>
            </w:r>
          </w:p>
        </w:tc>
      </w:tr>
      <w:tr>
        <w:tc>
          <w:tcPr>
            <w:tcW w:w="2173" w:type="dxa"/>
          </w:tcPr>
          <w:p>
            <w:pPr>
              <w:pStyle w:val="yTableNAm"/>
              <w:spacing w:before="60"/>
            </w:pPr>
            <w:r>
              <w:t>Onslow</w:t>
            </w:r>
          </w:p>
        </w:tc>
        <w:tc>
          <w:tcPr>
            <w:tcW w:w="2173" w:type="dxa"/>
          </w:tcPr>
          <w:p>
            <w:pPr>
              <w:pStyle w:val="yTableNAm"/>
              <w:spacing w:before="60"/>
              <w:jc w:val="center"/>
            </w:pPr>
            <w:r>
              <w:t>9.798</w:t>
            </w:r>
          </w:p>
        </w:tc>
        <w:tc>
          <w:tcPr>
            <w:tcW w:w="2174" w:type="dxa"/>
          </w:tcPr>
          <w:p>
            <w:pPr>
              <w:pStyle w:val="yTableNAm"/>
              <w:spacing w:before="60"/>
              <w:jc w:val="center"/>
            </w:pPr>
            <w:r>
              <w:t>4.185</w:t>
            </w:r>
          </w:p>
        </w:tc>
      </w:tr>
      <w:tr>
        <w:tc>
          <w:tcPr>
            <w:tcW w:w="2173" w:type="dxa"/>
          </w:tcPr>
          <w:p>
            <w:pPr>
              <w:pStyle w:val="yTableNAm"/>
              <w:spacing w:before="60"/>
            </w:pPr>
            <w:r>
              <w:t>Pemberton</w:t>
            </w:r>
          </w:p>
        </w:tc>
        <w:tc>
          <w:tcPr>
            <w:tcW w:w="2173" w:type="dxa"/>
          </w:tcPr>
          <w:p>
            <w:pPr>
              <w:pStyle w:val="yTableNAm"/>
              <w:spacing w:before="60"/>
              <w:jc w:val="center"/>
            </w:pPr>
            <w:r>
              <w:t>12.000</w:t>
            </w:r>
          </w:p>
        </w:tc>
        <w:tc>
          <w:tcPr>
            <w:tcW w:w="2174" w:type="dxa"/>
          </w:tcPr>
          <w:p>
            <w:pPr>
              <w:pStyle w:val="yTableNAm"/>
              <w:spacing w:before="60"/>
              <w:jc w:val="center"/>
            </w:pPr>
            <w:r>
              <w:t>11.164</w:t>
            </w:r>
          </w:p>
        </w:tc>
      </w:tr>
      <w:tr>
        <w:tc>
          <w:tcPr>
            <w:tcW w:w="2173" w:type="dxa"/>
          </w:tcPr>
          <w:p>
            <w:pPr>
              <w:pStyle w:val="yTableNAm"/>
              <w:spacing w:before="60"/>
            </w:pPr>
            <w:r>
              <w:t>Pingelly</w:t>
            </w:r>
          </w:p>
        </w:tc>
        <w:tc>
          <w:tcPr>
            <w:tcW w:w="2173" w:type="dxa"/>
          </w:tcPr>
          <w:p>
            <w:pPr>
              <w:pStyle w:val="yTableNAm"/>
              <w:spacing w:before="60"/>
              <w:jc w:val="center"/>
            </w:pPr>
            <w:r>
              <w:t>6.845</w:t>
            </w:r>
          </w:p>
        </w:tc>
        <w:tc>
          <w:tcPr>
            <w:tcW w:w="2174" w:type="dxa"/>
          </w:tcPr>
          <w:p>
            <w:pPr>
              <w:pStyle w:val="yTableNAm"/>
              <w:spacing w:before="60"/>
              <w:jc w:val="center"/>
            </w:pPr>
            <w:r>
              <w:t>3.639</w:t>
            </w:r>
          </w:p>
        </w:tc>
      </w:tr>
      <w:tr>
        <w:tc>
          <w:tcPr>
            <w:tcW w:w="2173" w:type="dxa"/>
          </w:tcPr>
          <w:p>
            <w:pPr>
              <w:pStyle w:val="yTableNAm"/>
              <w:spacing w:before="60"/>
            </w:pPr>
            <w:r>
              <w:t>Pinjarra</w:t>
            </w:r>
          </w:p>
        </w:tc>
        <w:tc>
          <w:tcPr>
            <w:tcW w:w="2173" w:type="dxa"/>
          </w:tcPr>
          <w:p>
            <w:pPr>
              <w:pStyle w:val="yTableNAm"/>
              <w:spacing w:before="60"/>
              <w:jc w:val="center"/>
            </w:pPr>
            <w:r>
              <w:t>8.800</w:t>
            </w:r>
          </w:p>
        </w:tc>
        <w:tc>
          <w:tcPr>
            <w:tcW w:w="2174" w:type="dxa"/>
          </w:tcPr>
          <w:p>
            <w:pPr>
              <w:pStyle w:val="yTableNAm"/>
              <w:spacing w:before="60"/>
              <w:jc w:val="center"/>
            </w:pPr>
            <w:r>
              <w:t>5.237</w:t>
            </w:r>
          </w:p>
        </w:tc>
      </w:tr>
      <w:tr>
        <w:tc>
          <w:tcPr>
            <w:tcW w:w="2173" w:type="dxa"/>
          </w:tcPr>
          <w:p>
            <w:pPr>
              <w:pStyle w:val="yTableNAm"/>
              <w:spacing w:before="60"/>
            </w:pPr>
            <w:r>
              <w:t>Port Hedland</w:t>
            </w:r>
          </w:p>
        </w:tc>
        <w:tc>
          <w:tcPr>
            <w:tcW w:w="2173" w:type="dxa"/>
          </w:tcPr>
          <w:p>
            <w:pPr>
              <w:pStyle w:val="yTableNAm"/>
              <w:spacing w:before="60"/>
              <w:jc w:val="center"/>
            </w:pPr>
            <w:r>
              <w:t>3.377</w:t>
            </w:r>
          </w:p>
        </w:tc>
        <w:tc>
          <w:tcPr>
            <w:tcW w:w="2174" w:type="dxa"/>
          </w:tcPr>
          <w:p>
            <w:pPr>
              <w:pStyle w:val="yTableNAm"/>
              <w:spacing w:before="60"/>
              <w:jc w:val="center"/>
            </w:pPr>
            <w:r>
              <w:t>0.973</w:t>
            </w:r>
          </w:p>
        </w:tc>
      </w:tr>
      <w:tr>
        <w:tc>
          <w:tcPr>
            <w:tcW w:w="2173" w:type="dxa"/>
          </w:tcPr>
          <w:p>
            <w:pPr>
              <w:pStyle w:val="yTableNAm"/>
              <w:spacing w:before="60"/>
            </w:pPr>
            <w:r>
              <w:t>Quairading</w:t>
            </w:r>
          </w:p>
        </w:tc>
        <w:tc>
          <w:tcPr>
            <w:tcW w:w="2173" w:type="dxa"/>
          </w:tcPr>
          <w:p>
            <w:pPr>
              <w:pStyle w:val="yTableNAm"/>
              <w:spacing w:before="60"/>
              <w:jc w:val="center"/>
            </w:pPr>
            <w:r>
              <w:t>9.977</w:t>
            </w:r>
          </w:p>
        </w:tc>
        <w:tc>
          <w:tcPr>
            <w:tcW w:w="2174" w:type="dxa"/>
          </w:tcPr>
          <w:p>
            <w:pPr>
              <w:pStyle w:val="yTableNAm"/>
              <w:spacing w:before="60"/>
              <w:jc w:val="center"/>
            </w:pPr>
            <w:r>
              <w:t>10.611</w:t>
            </w:r>
          </w:p>
        </w:tc>
      </w:tr>
      <w:tr>
        <w:tc>
          <w:tcPr>
            <w:tcW w:w="2173" w:type="dxa"/>
          </w:tcPr>
          <w:p>
            <w:pPr>
              <w:pStyle w:val="yTableNAm"/>
              <w:spacing w:before="60"/>
            </w:pPr>
            <w:r>
              <w:t>Roebourne</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Seabird</w:t>
            </w:r>
          </w:p>
        </w:tc>
        <w:tc>
          <w:tcPr>
            <w:tcW w:w="2173" w:type="dxa"/>
          </w:tcPr>
          <w:p>
            <w:pPr>
              <w:pStyle w:val="yTableNAm"/>
              <w:spacing w:before="60"/>
              <w:jc w:val="center"/>
            </w:pPr>
            <w:r>
              <w:t>12.000</w:t>
            </w:r>
          </w:p>
        </w:tc>
        <w:tc>
          <w:tcPr>
            <w:tcW w:w="2174" w:type="dxa"/>
          </w:tcPr>
          <w:p>
            <w:pPr>
              <w:pStyle w:val="yTableNAm"/>
              <w:spacing w:before="60"/>
              <w:jc w:val="center"/>
            </w:pPr>
            <w:r>
              <w:t>3.807</w:t>
            </w:r>
          </w:p>
        </w:tc>
      </w:tr>
      <w:tr>
        <w:tblPrEx>
          <w:tblCellMar>
            <w:left w:w="108" w:type="dxa"/>
            <w:right w:w="108" w:type="dxa"/>
          </w:tblCellMar>
        </w:tblPrEx>
        <w:tc>
          <w:tcPr>
            <w:tcW w:w="2173" w:type="dxa"/>
          </w:tcPr>
          <w:p>
            <w:pPr>
              <w:pStyle w:val="yTableNAm"/>
              <w:spacing w:before="60"/>
            </w:pPr>
            <w:r>
              <w:t>Tambellup</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Three Springs</w:t>
            </w:r>
          </w:p>
        </w:tc>
        <w:tc>
          <w:tcPr>
            <w:tcW w:w="2173" w:type="dxa"/>
          </w:tcPr>
          <w:p>
            <w:pPr>
              <w:pStyle w:val="yTableNAm"/>
              <w:spacing w:before="60"/>
              <w:jc w:val="center"/>
            </w:pPr>
            <w:r>
              <w:t>9.120</w:t>
            </w:r>
          </w:p>
        </w:tc>
        <w:tc>
          <w:tcPr>
            <w:tcW w:w="2174" w:type="dxa"/>
          </w:tcPr>
          <w:p>
            <w:pPr>
              <w:pStyle w:val="yTableNAm"/>
              <w:spacing w:before="60"/>
              <w:jc w:val="center"/>
            </w:pPr>
            <w:r>
              <w:t>8.448</w:t>
            </w:r>
          </w:p>
        </w:tc>
      </w:tr>
      <w:tr>
        <w:tc>
          <w:tcPr>
            <w:tcW w:w="2173" w:type="dxa"/>
          </w:tcPr>
          <w:p>
            <w:pPr>
              <w:pStyle w:val="yTableNAm"/>
              <w:spacing w:before="60"/>
            </w:pPr>
            <w:r>
              <w:t>Toodyay</w:t>
            </w:r>
          </w:p>
        </w:tc>
        <w:tc>
          <w:tcPr>
            <w:tcW w:w="2173" w:type="dxa"/>
          </w:tcPr>
          <w:p>
            <w:pPr>
              <w:pStyle w:val="yTableNAm"/>
              <w:spacing w:before="60"/>
              <w:jc w:val="center"/>
            </w:pPr>
            <w:r>
              <w:t>12.000</w:t>
            </w:r>
          </w:p>
        </w:tc>
        <w:tc>
          <w:tcPr>
            <w:tcW w:w="2174" w:type="dxa"/>
          </w:tcPr>
          <w:p>
            <w:pPr>
              <w:pStyle w:val="yTableNAm"/>
              <w:spacing w:before="60"/>
              <w:jc w:val="center"/>
            </w:pPr>
            <w:r>
              <w:t>9.474</w:t>
            </w:r>
          </w:p>
        </w:tc>
      </w:tr>
      <w:tr>
        <w:tc>
          <w:tcPr>
            <w:tcW w:w="2173" w:type="dxa"/>
          </w:tcPr>
          <w:p>
            <w:pPr>
              <w:pStyle w:val="yTableNAm"/>
              <w:spacing w:before="60"/>
            </w:pPr>
            <w:r>
              <w:t>Wagin</w:t>
            </w:r>
          </w:p>
        </w:tc>
        <w:tc>
          <w:tcPr>
            <w:tcW w:w="2173" w:type="dxa"/>
          </w:tcPr>
          <w:p>
            <w:pPr>
              <w:pStyle w:val="yTableNAm"/>
              <w:spacing w:before="60"/>
              <w:jc w:val="center"/>
            </w:pPr>
            <w:r>
              <w:t>10.959</w:t>
            </w:r>
          </w:p>
        </w:tc>
        <w:tc>
          <w:tcPr>
            <w:tcW w:w="2174" w:type="dxa"/>
          </w:tcPr>
          <w:p>
            <w:pPr>
              <w:pStyle w:val="yTableNAm"/>
              <w:spacing w:before="60"/>
              <w:jc w:val="center"/>
            </w:pPr>
            <w:r>
              <w:t>12.000</w:t>
            </w:r>
          </w:p>
        </w:tc>
      </w:tr>
      <w:tr>
        <w:tc>
          <w:tcPr>
            <w:tcW w:w="2173" w:type="dxa"/>
          </w:tcPr>
          <w:p>
            <w:pPr>
              <w:pStyle w:val="yTableNAm"/>
              <w:spacing w:before="60"/>
            </w:pPr>
            <w:r>
              <w:t>Walpole</w:t>
            </w:r>
          </w:p>
        </w:tc>
        <w:tc>
          <w:tcPr>
            <w:tcW w:w="2173" w:type="dxa"/>
          </w:tcPr>
          <w:p>
            <w:pPr>
              <w:pStyle w:val="yTableNAm"/>
              <w:spacing w:before="60"/>
              <w:jc w:val="center"/>
            </w:pPr>
            <w:r>
              <w:t>12.000</w:t>
            </w:r>
          </w:p>
        </w:tc>
        <w:tc>
          <w:tcPr>
            <w:tcW w:w="2174" w:type="dxa"/>
          </w:tcPr>
          <w:p>
            <w:pPr>
              <w:pStyle w:val="yTableNAm"/>
              <w:spacing w:before="60"/>
              <w:jc w:val="center"/>
            </w:pPr>
            <w:r>
              <w:t>5.978</w:t>
            </w:r>
          </w:p>
        </w:tc>
      </w:tr>
      <w:tr>
        <w:tc>
          <w:tcPr>
            <w:tcW w:w="2173" w:type="dxa"/>
          </w:tcPr>
          <w:p>
            <w:pPr>
              <w:pStyle w:val="yTableNAm"/>
              <w:spacing w:before="60"/>
            </w:pPr>
            <w:r>
              <w:t>Waroona</w:t>
            </w:r>
          </w:p>
        </w:tc>
        <w:tc>
          <w:tcPr>
            <w:tcW w:w="2173" w:type="dxa"/>
          </w:tcPr>
          <w:p>
            <w:pPr>
              <w:pStyle w:val="yTableNAm"/>
              <w:spacing w:before="60"/>
              <w:jc w:val="center"/>
            </w:pPr>
            <w:r>
              <w:t>4.627</w:t>
            </w:r>
          </w:p>
        </w:tc>
        <w:tc>
          <w:tcPr>
            <w:tcW w:w="2174" w:type="dxa"/>
          </w:tcPr>
          <w:p>
            <w:pPr>
              <w:pStyle w:val="yTableNAm"/>
              <w:spacing w:before="60"/>
              <w:jc w:val="center"/>
            </w:pPr>
            <w:r>
              <w:t>2.822</w:t>
            </w:r>
          </w:p>
        </w:tc>
      </w:tr>
      <w:tr>
        <w:tc>
          <w:tcPr>
            <w:tcW w:w="2173" w:type="dxa"/>
          </w:tcPr>
          <w:p>
            <w:pPr>
              <w:pStyle w:val="yTableNAm"/>
              <w:spacing w:before="60"/>
            </w:pPr>
            <w:r>
              <w:t>Wickham</w:t>
            </w:r>
          </w:p>
        </w:tc>
        <w:tc>
          <w:tcPr>
            <w:tcW w:w="2173" w:type="dxa"/>
          </w:tcPr>
          <w:p>
            <w:pPr>
              <w:pStyle w:val="yTableNAm"/>
              <w:spacing w:before="60"/>
              <w:jc w:val="center"/>
            </w:pPr>
            <w:r>
              <w:t>6.951</w:t>
            </w:r>
          </w:p>
        </w:tc>
        <w:tc>
          <w:tcPr>
            <w:tcW w:w="2174" w:type="dxa"/>
          </w:tcPr>
          <w:p>
            <w:pPr>
              <w:pStyle w:val="yTableNAm"/>
              <w:spacing w:before="60"/>
              <w:jc w:val="center"/>
            </w:pPr>
            <w:r>
              <w:t>11.568</w:t>
            </w:r>
          </w:p>
        </w:tc>
      </w:tr>
      <w:tr>
        <w:tc>
          <w:tcPr>
            <w:tcW w:w="2173" w:type="dxa"/>
          </w:tcPr>
          <w:p>
            <w:pPr>
              <w:pStyle w:val="yTableNAm"/>
              <w:spacing w:before="60"/>
            </w:pPr>
            <w:r>
              <w:t>Williams</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blPrEx>
          <w:tblCellMar>
            <w:left w:w="108" w:type="dxa"/>
            <w:right w:w="108" w:type="dxa"/>
          </w:tblCellMar>
        </w:tblPrEx>
        <w:tc>
          <w:tcPr>
            <w:tcW w:w="2173" w:type="dxa"/>
          </w:tcPr>
          <w:p>
            <w:pPr>
              <w:pStyle w:val="yTableNAm"/>
              <w:spacing w:before="60"/>
            </w:pPr>
            <w:r>
              <w:t>Wiluna</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Pr>
          <w:p>
            <w:pPr>
              <w:pStyle w:val="yTableNAm"/>
              <w:spacing w:before="60"/>
            </w:pPr>
            <w:r>
              <w:t>Wongan Hills</w:t>
            </w:r>
          </w:p>
        </w:tc>
        <w:tc>
          <w:tcPr>
            <w:tcW w:w="2173" w:type="dxa"/>
          </w:tcPr>
          <w:p>
            <w:pPr>
              <w:pStyle w:val="yTableNAm"/>
              <w:spacing w:before="60"/>
              <w:jc w:val="center"/>
            </w:pPr>
            <w:r>
              <w:t>8.555</w:t>
            </w:r>
          </w:p>
        </w:tc>
        <w:tc>
          <w:tcPr>
            <w:tcW w:w="2174" w:type="dxa"/>
          </w:tcPr>
          <w:p>
            <w:pPr>
              <w:pStyle w:val="yTableNAm"/>
              <w:spacing w:before="60"/>
              <w:jc w:val="center"/>
            </w:pPr>
            <w:r>
              <w:t>7.854</w:t>
            </w:r>
          </w:p>
        </w:tc>
      </w:tr>
      <w:tr>
        <w:tc>
          <w:tcPr>
            <w:tcW w:w="2173" w:type="dxa"/>
          </w:tcPr>
          <w:p>
            <w:pPr>
              <w:pStyle w:val="yTableNAm"/>
              <w:spacing w:before="60"/>
            </w:pPr>
            <w:r>
              <w:t>Wundowie</w:t>
            </w:r>
          </w:p>
        </w:tc>
        <w:tc>
          <w:tcPr>
            <w:tcW w:w="2173" w:type="dxa"/>
          </w:tcPr>
          <w:p>
            <w:pPr>
              <w:pStyle w:val="yTableNAm"/>
              <w:spacing w:before="60"/>
              <w:jc w:val="center"/>
            </w:pPr>
            <w:r>
              <w:t>9.233</w:t>
            </w:r>
          </w:p>
        </w:tc>
        <w:tc>
          <w:tcPr>
            <w:tcW w:w="2174" w:type="dxa"/>
          </w:tcPr>
          <w:p>
            <w:pPr>
              <w:pStyle w:val="yTableNAm"/>
              <w:spacing w:before="60"/>
              <w:jc w:val="center"/>
            </w:pPr>
            <w:r>
              <w:t>4.463</w:t>
            </w:r>
          </w:p>
        </w:tc>
      </w:tr>
      <w:tr>
        <w:tc>
          <w:tcPr>
            <w:tcW w:w="2173" w:type="dxa"/>
          </w:tcPr>
          <w:p>
            <w:pPr>
              <w:pStyle w:val="yTableNAm"/>
              <w:spacing w:before="60"/>
            </w:pPr>
            <w:r>
              <w:t>Wyalkatchem</w:t>
            </w:r>
          </w:p>
        </w:tc>
        <w:tc>
          <w:tcPr>
            <w:tcW w:w="2173" w:type="dxa"/>
          </w:tcPr>
          <w:p>
            <w:pPr>
              <w:pStyle w:val="yTableNAm"/>
              <w:spacing w:before="60"/>
              <w:jc w:val="center"/>
            </w:pPr>
            <w:r>
              <w:t>7.952</w:t>
            </w:r>
          </w:p>
        </w:tc>
        <w:tc>
          <w:tcPr>
            <w:tcW w:w="2174" w:type="dxa"/>
          </w:tcPr>
          <w:p>
            <w:pPr>
              <w:pStyle w:val="yTableNAm"/>
              <w:spacing w:before="60"/>
              <w:jc w:val="center"/>
            </w:pPr>
            <w:r>
              <w:t>12.000</w:t>
            </w:r>
          </w:p>
        </w:tc>
      </w:tr>
      <w:tr>
        <w:tc>
          <w:tcPr>
            <w:tcW w:w="2173" w:type="dxa"/>
          </w:tcPr>
          <w:p>
            <w:pPr>
              <w:pStyle w:val="yTableNAm"/>
              <w:spacing w:before="60"/>
            </w:pPr>
            <w:r>
              <w:t>Wyndham</w:t>
            </w:r>
          </w:p>
        </w:tc>
        <w:tc>
          <w:tcPr>
            <w:tcW w:w="2173" w:type="dxa"/>
          </w:tcPr>
          <w:p>
            <w:pPr>
              <w:pStyle w:val="yTableNAm"/>
              <w:spacing w:before="60"/>
              <w:jc w:val="center"/>
            </w:pPr>
            <w:r>
              <w:t>12.000</w:t>
            </w:r>
          </w:p>
        </w:tc>
        <w:tc>
          <w:tcPr>
            <w:tcW w:w="2174" w:type="dxa"/>
          </w:tcPr>
          <w:p>
            <w:pPr>
              <w:pStyle w:val="yTableNAm"/>
              <w:spacing w:before="60"/>
              <w:jc w:val="center"/>
            </w:pPr>
            <w:r>
              <w:t>12.000</w:t>
            </w:r>
          </w:p>
        </w:tc>
      </w:tr>
      <w:tr>
        <w:tc>
          <w:tcPr>
            <w:tcW w:w="2173" w:type="dxa"/>
            <w:tcBorders>
              <w:bottom w:val="single" w:sz="4" w:space="0" w:color="auto"/>
            </w:tcBorders>
          </w:tcPr>
          <w:p>
            <w:pPr>
              <w:pStyle w:val="yTableNAm"/>
              <w:spacing w:before="60"/>
            </w:pPr>
            <w:r>
              <w:t>York</w:t>
            </w:r>
          </w:p>
        </w:tc>
        <w:tc>
          <w:tcPr>
            <w:tcW w:w="2173" w:type="dxa"/>
            <w:tcBorders>
              <w:bottom w:val="single" w:sz="4" w:space="0" w:color="auto"/>
            </w:tcBorders>
          </w:tcPr>
          <w:p>
            <w:pPr>
              <w:pStyle w:val="yTableNAm"/>
              <w:spacing w:before="60"/>
              <w:jc w:val="center"/>
            </w:pPr>
            <w:r>
              <w:t>11.954</w:t>
            </w:r>
          </w:p>
        </w:tc>
        <w:tc>
          <w:tcPr>
            <w:tcW w:w="2174" w:type="dxa"/>
            <w:tcBorders>
              <w:bottom w:val="single" w:sz="4" w:space="0" w:color="auto"/>
            </w:tcBorders>
          </w:tcPr>
          <w:p>
            <w:pPr>
              <w:pStyle w:val="yTableNAm"/>
              <w:spacing w:before="60"/>
              <w:jc w:val="center"/>
            </w:pPr>
            <w:r>
              <w:t>8.011</w:t>
            </w:r>
          </w:p>
        </w:tc>
      </w:tr>
    </w:tbl>
    <w:p>
      <w:pPr>
        <w:pStyle w:val="yFootnotesection"/>
      </w:pPr>
      <w:r>
        <w:tab/>
        <w:t>[Division 2 inserted in Gazette 19 Jun 2009 p. 2347-52.]</w:t>
      </w:r>
    </w:p>
    <w:p>
      <w:pPr>
        <w:pStyle w:val="yHeading3"/>
      </w:pPr>
      <w:bookmarkStart w:id="792" w:name="_Toc233448423"/>
      <w:bookmarkStart w:id="793" w:name="_Toc233611702"/>
      <w:bookmarkStart w:id="794" w:name="_Toc234730709"/>
      <w:bookmarkStart w:id="795" w:name="_Toc234733235"/>
      <w:bookmarkStart w:id="796" w:name="_Toc235863972"/>
      <w:bookmarkStart w:id="797" w:name="_Toc235933447"/>
      <w:bookmarkStart w:id="798" w:name="_Toc237164435"/>
      <w:bookmarkStart w:id="799" w:name="_Toc237244319"/>
      <w:bookmarkStart w:id="800" w:name="_Toc237245631"/>
      <w:bookmarkStart w:id="801" w:name="_Toc237245762"/>
      <w:bookmarkStart w:id="802" w:name="_Toc237247904"/>
      <w:bookmarkStart w:id="803" w:name="_Toc237254207"/>
      <w:bookmarkStart w:id="804" w:name="_Toc237309626"/>
      <w:r>
        <w:rPr>
          <w:rStyle w:val="CharSDivNo"/>
        </w:rPr>
        <w:t>Division 3</w:t>
      </w:r>
      <w:r>
        <w:rPr>
          <w:b w:val="0"/>
        </w:rPr>
        <w:t> — </w:t>
      </w:r>
      <w:r>
        <w:rPr>
          <w:rStyle w:val="CharSDivText"/>
        </w:rPr>
        <w:t>Variable charges</w:t>
      </w:r>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yFootnoteheading"/>
      </w:pPr>
      <w:r>
        <w:tab/>
        <w:t>[Heading inserted in Gazette 19 Jun 2009 p. 2352.]</w:t>
      </w:r>
    </w:p>
    <w:tbl>
      <w:tblPr>
        <w:tblW w:w="0" w:type="auto"/>
        <w:tblInd w:w="-12" w:type="dxa"/>
        <w:tblLook w:val="0000" w:firstRow="0" w:lastRow="0" w:firstColumn="0" w:lastColumn="0" w:noHBand="0" w:noVBand="0"/>
      </w:tblPr>
      <w:tblGrid>
        <w:gridCol w:w="960"/>
        <w:gridCol w:w="4672"/>
        <w:gridCol w:w="1576"/>
      </w:tblGrid>
      <w:tr>
        <w:trPr>
          <w:cantSplit/>
        </w:trPr>
        <w:tc>
          <w:tcPr>
            <w:tcW w:w="7208" w:type="dxa"/>
            <w:gridSpan w:val="3"/>
          </w:tcPr>
          <w:p>
            <w:pPr>
              <w:pStyle w:val="yHeading5"/>
              <w:tabs>
                <w:tab w:val="clear" w:pos="879"/>
              </w:tabs>
              <w:ind w:left="964" w:hanging="966"/>
            </w:pPr>
            <w:bookmarkStart w:id="805" w:name="_Toc237309627"/>
            <w:r>
              <w:rPr>
                <w:rStyle w:val="CharSClsNo"/>
              </w:rPr>
              <w:t>11</w:t>
            </w:r>
            <w:r>
              <w:t>.</w:t>
            </w:r>
            <w:r>
              <w:tab/>
              <w:t>Industrial waste discharged into a sewer of the Corporation pursuant to a permit</w:t>
            </w:r>
            <w:bookmarkEnd w:id="805"/>
          </w:p>
        </w:tc>
      </w:tr>
      <w:tr>
        <w:tc>
          <w:tcPr>
            <w:tcW w:w="960" w:type="dxa"/>
          </w:tcPr>
          <w:p>
            <w:pPr>
              <w:pStyle w:val="yTableNAm"/>
            </w:pPr>
          </w:p>
        </w:tc>
        <w:tc>
          <w:tcPr>
            <w:tcW w:w="4672" w:type="dxa"/>
          </w:tcPr>
          <w:p>
            <w:pPr>
              <w:pStyle w:val="yTableNAm"/>
              <w:rPr>
                <w:spacing w:val="-1"/>
              </w:rPr>
            </w:pPr>
            <w:r>
              <w:t>For industrial waste discharged into a sewer of the Corporation pursuant to a permit —</w:t>
            </w:r>
          </w:p>
        </w:tc>
        <w:tc>
          <w:tcPr>
            <w:tcW w:w="1576" w:type="dxa"/>
          </w:tcPr>
          <w:p>
            <w:pPr>
              <w:pStyle w:val="yTableNAm"/>
              <w:rPr>
                <w:spacing w:val="-1"/>
              </w:rPr>
            </w:pPr>
          </w:p>
        </w:tc>
      </w:tr>
      <w:tr>
        <w:tc>
          <w:tcPr>
            <w:tcW w:w="960" w:type="dxa"/>
          </w:tcPr>
          <w:p>
            <w:pPr>
              <w:pStyle w:val="yTableNAm"/>
            </w:pPr>
          </w:p>
        </w:tc>
        <w:tc>
          <w:tcPr>
            <w:tcW w:w="4672" w:type="dxa"/>
          </w:tcPr>
          <w:p>
            <w:pPr>
              <w:pStyle w:val="yTableNAm"/>
              <w:tabs>
                <w:tab w:val="clear" w:pos="567"/>
                <w:tab w:val="left" w:pos="416"/>
                <w:tab w:val="left" w:pos="896"/>
                <w:tab w:val="left" w:leader="dot" w:pos="4452"/>
              </w:tabs>
              <w:ind w:left="896" w:hanging="896"/>
            </w:pPr>
            <w:r>
              <w:tab/>
              <w:t>(a)</w:t>
            </w:r>
            <w:r>
              <w:tab/>
              <w:t xml:space="preserve">for volume </w:t>
            </w:r>
            <w:r>
              <w:tab/>
            </w:r>
          </w:p>
        </w:tc>
        <w:tc>
          <w:tcPr>
            <w:tcW w:w="1576" w:type="dxa"/>
          </w:tcPr>
          <w:p>
            <w:pPr>
              <w:pStyle w:val="yTableNAm"/>
            </w:pPr>
            <w:r>
              <w:t>120.0 c/kL</w:t>
            </w:r>
          </w:p>
        </w:tc>
      </w:tr>
      <w:tr>
        <w:tc>
          <w:tcPr>
            <w:tcW w:w="960" w:type="dxa"/>
          </w:tcPr>
          <w:p>
            <w:pPr>
              <w:pStyle w:val="yTableNAm"/>
            </w:pPr>
          </w:p>
        </w:tc>
        <w:tc>
          <w:tcPr>
            <w:tcW w:w="4672" w:type="dxa"/>
          </w:tcPr>
          <w:p>
            <w:pPr>
              <w:pStyle w:val="yTableNAm"/>
              <w:tabs>
                <w:tab w:val="clear" w:pos="567"/>
                <w:tab w:val="left" w:pos="416"/>
                <w:tab w:val="left" w:pos="896"/>
              </w:tabs>
              <w:ind w:left="896" w:hanging="896"/>
            </w:pPr>
            <w:r>
              <w:tab/>
              <w:t>(b)</w:t>
            </w:r>
            <w:r>
              <w:tab/>
              <w:t xml:space="preserve">for B.O.D. — </w:t>
            </w:r>
          </w:p>
        </w:tc>
        <w:tc>
          <w:tcPr>
            <w:tcW w:w="1576" w:type="dxa"/>
          </w:tcPr>
          <w:p>
            <w:pPr>
              <w:pStyle w:val="yTableNAm"/>
            </w:pP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5 kg per kL </w:t>
            </w:r>
            <w:r>
              <w:tab/>
            </w:r>
          </w:p>
        </w:tc>
        <w:tc>
          <w:tcPr>
            <w:tcW w:w="1576" w:type="dxa"/>
          </w:tcPr>
          <w:p>
            <w:pPr>
              <w:pStyle w:val="yTableNAm"/>
            </w:pPr>
            <w:r>
              <w:br/>
              <w:t>103.0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of over 5 kg per kL </w:t>
            </w:r>
            <w:r>
              <w:tab/>
            </w:r>
          </w:p>
        </w:tc>
        <w:tc>
          <w:tcPr>
            <w:tcW w:w="1576" w:type="dxa"/>
          </w:tcPr>
          <w:p>
            <w:pPr>
              <w:pStyle w:val="yTableNAm"/>
            </w:pPr>
            <w:r>
              <w:br/>
              <w:t>208.0 c/kg</w:t>
            </w:r>
          </w:p>
        </w:tc>
      </w:tr>
      <w:tr>
        <w:tc>
          <w:tcPr>
            <w:tcW w:w="960" w:type="dxa"/>
          </w:tcPr>
          <w:p>
            <w:pPr>
              <w:pStyle w:val="yTableNAm"/>
              <w:keepNext/>
            </w:pPr>
          </w:p>
        </w:tc>
        <w:tc>
          <w:tcPr>
            <w:tcW w:w="4672" w:type="dxa"/>
          </w:tcPr>
          <w:p>
            <w:pPr>
              <w:pStyle w:val="yTableNAm"/>
              <w:keepNext/>
              <w:tabs>
                <w:tab w:val="clear" w:pos="567"/>
                <w:tab w:val="left" w:pos="416"/>
                <w:tab w:val="left" w:pos="896"/>
              </w:tabs>
              <w:ind w:left="896" w:hanging="896"/>
            </w:pPr>
            <w:r>
              <w:tab/>
              <w:t>(c)</w:t>
            </w:r>
            <w:r>
              <w:tab/>
              <w:t xml:space="preserve">for suspended solids — </w:t>
            </w:r>
          </w:p>
        </w:tc>
        <w:tc>
          <w:tcPr>
            <w:tcW w:w="1576" w:type="dxa"/>
          </w:tcPr>
          <w:p>
            <w:pPr>
              <w:pStyle w:val="yTableNAm"/>
              <w:keepNext/>
            </w:pP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2 kg per kL </w:t>
            </w:r>
            <w:r>
              <w:tab/>
            </w:r>
          </w:p>
        </w:tc>
        <w:tc>
          <w:tcPr>
            <w:tcW w:w="1576" w:type="dxa"/>
          </w:tcPr>
          <w:p>
            <w:pPr>
              <w:pStyle w:val="yTableNAm"/>
            </w:pPr>
            <w:r>
              <w:br/>
              <w:t>126.0</w:t>
            </w:r>
            <w:r>
              <w:rPr>
                <w:rStyle w:val="DraftersNotes"/>
              </w:rPr>
              <w:t xml:space="preserve"> </w:t>
            </w:r>
            <w:r>
              <w:t>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of over 2 kg per kL </w:t>
            </w:r>
            <w:r>
              <w:tab/>
            </w:r>
          </w:p>
        </w:tc>
        <w:tc>
          <w:tcPr>
            <w:tcW w:w="1576" w:type="dxa"/>
          </w:tcPr>
          <w:p>
            <w:pPr>
              <w:pStyle w:val="yTableNAm"/>
              <w:rPr>
                <w:spacing w:val="-1"/>
              </w:rPr>
            </w:pPr>
            <w:r>
              <w:rPr>
                <w:spacing w:val="-1"/>
              </w:rPr>
              <w:br/>
              <w:t>252.0 c/kg</w:t>
            </w:r>
          </w:p>
        </w:tc>
      </w:tr>
      <w:tr>
        <w:tc>
          <w:tcPr>
            <w:tcW w:w="960" w:type="dxa"/>
          </w:tcPr>
          <w:p>
            <w:pPr>
              <w:pStyle w:val="yTableNAm"/>
            </w:pPr>
          </w:p>
        </w:tc>
        <w:tc>
          <w:tcPr>
            <w:tcW w:w="4672" w:type="dxa"/>
          </w:tcPr>
          <w:p>
            <w:pPr>
              <w:pStyle w:val="yTableNAm"/>
              <w:tabs>
                <w:tab w:val="clear" w:pos="567"/>
                <w:tab w:val="left" w:pos="416"/>
                <w:tab w:val="left" w:pos="896"/>
              </w:tabs>
              <w:ind w:left="896" w:hanging="896"/>
            </w:pPr>
            <w:r>
              <w:tab/>
              <w:t>(d)</w:t>
            </w:r>
            <w:r>
              <w:tab/>
              <w:t xml:space="preserve">for chemical oxygen demand — </w:t>
            </w:r>
          </w:p>
        </w:tc>
        <w:tc>
          <w:tcPr>
            <w:tcW w:w="1576" w:type="dxa"/>
          </w:tcPr>
          <w:p>
            <w:pPr>
              <w:pStyle w:val="yTableNAm"/>
              <w:rPr>
                <w:spacing w:val="-1"/>
              </w:rPr>
            </w:pP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10 kg per kL </w:t>
            </w:r>
            <w:r>
              <w:tab/>
            </w:r>
          </w:p>
        </w:tc>
        <w:tc>
          <w:tcPr>
            <w:tcW w:w="1576" w:type="dxa"/>
          </w:tcPr>
          <w:p>
            <w:pPr>
              <w:pStyle w:val="yTableNAm"/>
              <w:rPr>
                <w:spacing w:val="-1"/>
              </w:rPr>
            </w:pPr>
            <w:r>
              <w:rPr>
                <w:spacing w:val="-1"/>
              </w:rPr>
              <w:br/>
              <w:t>42.0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of over 10 kg per kL </w:t>
            </w:r>
            <w:r>
              <w:tab/>
            </w:r>
          </w:p>
        </w:tc>
        <w:tc>
          <w:tcPr>
            <w:tcW w:w="1576" w:type="dxa"/>
          </w:tcPr>
          <w:p>
            <w:pPr>
              <w:pStyle w:val="yTableNAm"/>
              <w:rPr>
                <w:spacing w:val="-1"/>
              </w:rPr>
            </w:pPr>
            <w:r>
              <w:rPr>
                <w:spacing w:val="-1"/>
              </w:rPr>
              <w:br/>
              <w:t>85.0 c/kg</w:t>
            </w:r>
          </w:p>
        </w:tc>
      </w:tr>
      <w:tr>
        <w:tc>
          <w:tcPr>
            <w:tcW w:w="960" w:type="dxa"/>
          </w:tcPr>
          <w:p>
            <w:pPr>
              <w:pStyle w:val="yTableNAm"/>
            </w:pPr>
          </w:p>
        </w:tc>
        <w:tc>
          <w:tcPr>
            <w:tcW w:w="4672" w:type="dxa"/>
          </w:tcPr>
          <w:p>
            <w:pPr>
              <w:pStyle w:val="yTableNAm"/>
              <w:tabs>
                <w:tab w:val="clear" w:pos="567"/>
                <w:tab w:val="left" w:pos="416"/>
                <w:tab w:val="left" w:pos="896"/>
              </w:tabs>
              <w:ind w:left="896" w:hanging="896"/>
            </w:pPr>
            <w:r>
              <w:tab/>
              <w:t>(e)</w:t>
            </w:r>
            <w:r>
              <w:tab/>
              <w:t xml:space="preserve">for oil and grease — </w:t>
            </w:r>
          </w:p>
        </w:tc>
        <w:tc>
          <w:tcPr>
            <w:tcW w:w="1576" w:type="dxa"/>
          </w:tcPr>
          <w:p>
            <w:pPr>
              <w:pStyle w:val="yTableNAm"/>
              <w:rPr>
                <w:spacing w:val="-1"/>
              </w:rPr>
            </w:pP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0.3 kg per kL </w:t>
            </w:r>
            <w:r>
              <w:tab/>
            </w:r>
          </w:p>
        </w:tc>
        <w:tc>
          <w:tcPr>
            <w:tcW w:w="1576" w:type="dxa"/>
          </w:tcPr>
          <w:p>
            <w:pPr>
              <w:pStyle w:val="yTableNAm"/>
              <w:rPr>
                <w:spacing w:val="-1"/>
              </w:rPr>
            </w:pPr>
            <w:r>
              <w:rPr>
                <w:spacing w:val="-1"/>
              </w:rPr>
              <w:br/>
              <w:t>99.0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0.3 kg per kL but not over 0.6 kg per kL </w:t>
            </w:r>
          </w:p>
        </w:tc>
        <w:tc>
          <w:tcPr>
            <w:tcW w:w="1576" w:type="dxa"/>
          </w:tcPr>
          <w:p>
            <w:pPr>
              <w:pStyle w:val="yTableNAm"/>
              <w:rPr>
                <w:spacing w:val="-1"/>
              </w:rPr>
            </w:pPr>
            <w:r>
              <w:rPr>
                <w:spacing w:val="-1"/>
              </w:rPr>
              <w:br/>
              <w:t>198.0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0.6 kg per kL </w:t>
            </w:r>
            <w:r>
              <w:tab/>
            </w:r>
          </w:p>
        </w:tc>
        <w:tc>
          <w:tcPr>
            <w:tcW w:w="1576" w:type="dxa"/>
          </w:tcPr>
          <w:p>
            <w:pPr>
              <w:pStyle w:val="yTableNAm"/>
              <w:rPr>
                <w:spacing w:val="-1"/>
              </w:rPr>
            </w:pPr>
            <w:r>
              <w:rPr>
                <w:spacing w:val="-1"/>
              </w:rPr>
              <w:br/>
              <w:t>396.0 c/kg</w:t>
            </w:r>
          </w:p>
        </w:tc>
      </w:tr>
      <w:tr>
        <w:tc>
          <w:tcPr>
            <w:tcW w:w="960" w:type="dxa"/>
          </w:tcPr>
          <w:p>
            <w:pPr>
              <w:pStyle w:val="yTableNAm"/>
            </w:pPr>
          </w:p>
        </w:tc>
        <w:tc>
          <w:tcPr>
            <w:tcW w:w="4672" w:type="dxa"/>
          </w:tcPr>
          <w:p>
            <w:pPr>
              <w:pStyle w:val="yTableNAm"/>
              <w:tabs>
                <w:tab w:val="clear" w:pos="567"/>
                <w:tab w:val="left" w:pos="416"/>
                <w:tab w:val="left" w:pos="896"/>
              </w:tabs>
              <w:ind w:left="896" w:hanging="896"/>
            </w:pPr>
            <w:r>
              <w:tab/>
              <w:t>(f)</w:t>
            </w:r>
            <w:r>
              <w:tab/>
              <w:t xml:space="preserve">for acidity (pH &lt; 6) — </w:t>
            </w:r>
          </w:p>
        </w:tc>
        <w:tc>
          <w:tcPr>
            <w:tcW w:w="1576" w:type="dxa"/>
          </w:tcPr>
          <w:p>
            <w:pPr>
              <w:pStyle w:val="yTableNAm"/>
              <w:rPr>
                <w:spacing w:val="-1"/>
              </w:rPr>
            </w:pP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0.1 kg per kL </w:t>
            </w:r>
            <w:r>
              <w:tab/>
            </w:r>
          </w:p>
        </w:tc>
        <w:tc>
          <w:tcPr>
            <w:tcW w:w="1576" w:type="dxa"/>
          </w:tcPr>
          <w:p>
            <w:pPr>
              <w:pStyle w:val="yTableNAm"/>
              <w:rPr>
                <w:spacing w:val="-1"/>
              </w:rPr>
            </w:pPr>
            <w:r>
              <w:rPr>
                <w:spacing w:val="-1"/>
              </w:rPr>
              <w:br/>
              <w:t>36.0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0.1 kg per kL but not over 0.3 kg per kL </w:t>
            </w:r>
          </w:p>
        </w:tc>
        <w:tc>
          <w:tcPr>
            <w:tcW w:w="1576" w:type="dxa"/>
          </w:tcPr>
          <w:p>
            <w:pPr>
              <w:pStyle w:val="yTableNAm"/>
              <w:rPr>
                <w:spacing w:val="-1"/>
              </w:rPr>
            </w:pPr>
            <w:r>
              <w:rPr>
                <w:spacing w:val="-1"/>
              </w:rPr>
              <w:br/>
              <w:t>72.0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0.3 kg per kL </w:t>
            </w:r>
            <w:r>
              <w:tab/>
            </w:r>
          </w:p>
        </w:tc>
        <w:tc>
          <w:tcPr>
            <w:tcW w:w="1576" w:type="dxa"/>
          </w:tcPr>
          <w:p>
            <w:pPr>
              <w:pStyle w:val="yTableNAm"/>
              <w:rPr>
                <w:spacing w:val="-1"/>
              </w:rPr>
            </w:pPr>
            <w:r>
              <w:rPr>
                <w:spacing w:val="-1"/>
              </w:rPr>
              <w:br/>
              <w:t>145.0 c/kg</w:t>
            </w:r>
          </w:p>
        </w:tc>
      </w:tr>
      <w:tr>
        <w:tc>
          <w:tcPr>
            <w:tcW w:w="960" w:type="dxa"/>
          </w:tcPr>
          <w:p>
            <w:pPr>
              <w:pStyle w:val="yTableNAm"/>
            </w:pPr>
          </w:p>
        </w:tc>
        <w:tc>
          <w:tcPr>
            <w:tcW w:w="4672" w:type="dxa"/>
          </w:tcPr>
          <w:p>
            <w:pPr>
              <w:pStyle w:val="yTableNAm"/>
              <w:tabs>
                <w:tab w:val="clear" w:pos="567"/>
                <w:tab w:val="left" w:pos="416"/>
                <w:tab w:val="left" w:pos="896"/>
              </w:tabs>
              <w:ind w:left="896" w:hanging="896"/>
            </w:pPr>
            <w:r>
              <w:tab/>
              <w:t>(g)</w:t>
            </w:r>
            <w:r>
              <w:tab/>
              <w:t xml:space="preserve">for alkalinity (pH &gt; 10) — </w:t>
            </w:r>
          </w:p>
        </w:tc>
        <w:tc>
          <w:tcPr>
            <w:tcW w:w="1576" w:type="dxa"/>
          </w:tcPr>
          <w:p>
            <w:pPr>
              <w:pStyle w:val="yTableNAm"/>
              <w:rPr>
                <w:spacing w:val="-1"/>
              </w:rPr>
            </w:pP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0.1 kg per kL </w:t>
            </w:r>
            <w:r>
              <w:tab/>
            </w:r>
          </w:p>
        </w:tc>
        <w:tc>
          <w:tcPr>
            <w:tcW w:w="1576" w:type="dxa"/>
          </w:tcPr>
          <w:p>
            <w:pPr>
              <w:pStyle w:val="yTableNAm"/>
              <w:rPr>
                <w:spacing w:val="-1"/>
              </w:rPr>
            </w:pPr>
            <w:r>
              <w:rPr>
                <w:spacing w:val="-1"/>
              </w:rPr>
              <w:br/>
              <w:t>13.0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0.1 kg per kL but not over 0.2 kg per kL </w:t>
            </w:r>
          </w:p>
        </w:tc>
        <w:tc>
          <w:tcPr>
            <w:tcW w:w="1576" w:type="dxa"/>
          </w:tcPr>
          <w:p>
            <w:pPr>
              <w:pStyle w:val="yTableNAm"/>
              <w:rPr>
                <w:spacing w:val="-1"/>
              </w:rPr>
            </w:pPr>
            <w:r>
              <w:rPr>
                <w:spacing w:val="-1"/>
              </w:rPr>
              <w:br/>
              <w:t>26.0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0.2 kg per kL </w:t>
            </w:r>
            <w:r>
              <w:tab/>
            </w:r>
          </w:p>
        </w:tc>
        <w:tc>
          <w:tcPr>
            <w:tcW w:w="1576" w:type="dxa"/>
          </w:tcPr>
          <w:p>
            <w:pPr>
              <w:pStyle w:val="yTableNAm"/>
              <w:rPr>
                <w:spacing w:val="-1"/>
              </w:rPr>
            </w:pPr>
            <w:r>
              <w:rPr>
                <w:spacing w:val="-1"/>
              </w:rPr>
              <w:br/>
              <w:t>52.0 c/kg</w:t>
            </w:r>
          </w:p>
        </w:tc>
      </w:tr>
      <w:tr>
        <w:tc>
          <w:tcPr>
            <w:tcW w:w="960" w:type="dxa"/>
          </w:tcPr>
          <w:p>
            <w:pPr>
              <w:pStyle w:val="yTableNAm"/>
            </w:pPr>
          </w:p>
        </w:tc>
        <w:tc>
          <w:tcPr>
            <w:tcW w:w="4672" w:type="dxa"/>
          </w:tcPr>
          <w:p>
            <w:pPr>
              <w:pStyle w:val="yTableNAm"/>
              <w:tabs>
                <w:tab w:val="clear" w:pos="567"/>
                <w:tab w:val="left" w:pos="416"/>
                <w:tab w:val="left" w:pos="896"/>
                <w:tab w:val="left" w:leader="dot" w:pos="4452"/>
              </w:tabs>
              <w:ind w:left="896" w:hanging="896"/>
            </w:pPr>
            <w:r>
              <w:tab/>
              <w:t>(h)</w:t>
            </w:r>
            <w:r>
              <w:tab/>
              <w:t xml:space="preserve">for nitrogen </w:t>
            </w:r>
            <w:r>
              <w:tab/>
            </w:r>
          </w:p>
        </w:tc>
        <w:tc>
          <w:tcPr>
            <w:tcW w:w="1576" w:type="dxa"/>
          </w:tcPr>
          <w:p>
            <w:pPr>
              <w:pStyle w:val="yTableNAm"/>
              <w:rPr>
                <w:spacing w:val="-1"/>
              </w:rPr>
            </w:pPr>
            <w:r>
              <w:rPr>
                <w:spacing w:val="-1"/>
              </w:rPr>
              <w:t>85.0 c/kg</w:t>
            </w:r>
          </w:p>
        </w:tc>
      </w:tr>
      <w:tr>
        <w:tc>
          <w:tcPr>
            <w:tcW w:w="960" w:type="dxa"/>
          </w:tcPr>
          <w:p>
            <w:pPr>
              <w:pStyle w:val="yTableNAm"/>
            </w:pPr>
          </w:p>
        </w:tc>
        <w:tc>
          <w:tcPr>
            <w:tcW w:w="4672" w:type="dxa"/>
          </w:tcPr>
          <w:p>
            <w:pPr>
              <w:pStyle w:val="yTableNAm"/>
              <w:tabs>
                <w:tab w:val="clear" w:pos="567"/>
                <w:tab w:val="left" w:pos="416"/>
                <w:tab w:val="left" w:pos="896"/>
                <w:tab w:val="left" w:leader="dot" w:pos="4452"/>
              </w:tabs>
              <w:ind w:left="896" w:hanging="896"/>
            </w:pPr>
            <w:r>
              <w:tab/>
              <w:t>(i)</w:t>
            </w:r>
            <w:r>
              <w:tab/>
              <w:t xml:space="preserve">for phosphorus </w:t>
            </w:r>
            <w:r>
              <w:tab/>
            </w:r>
          </w:p>
        </w:tc>
        <w:tc>
          <w:tcPr>
            <w:tcW w:w="1576" w:type="dxa"/>
          </w:tcPr>
          <w:p>
            <w:pPr>
              <w:pStyle w:val="yTableNAm"/>
              <w:rPr>
                <w:spacing w:val="-1"/>
              </w:rPr>
            </w:pPr>
            <w:r>
              <w:rPr>
                <w:spacing w:val="-1"/>
              </w:rPr>
              <w:t>32.0 c/kg</w:t>
            </w:r>
          </w:p>
        </w:tc>
      </w:tr>
      <w:tr>
        <w:tc>
          <w:tcPr>
            <w:tcW w:w="960" w:type="dxa"/>
          </w:tcPr>
          <w:p>
            <w:pPr>
              <w:pStyle w:val="yTableNAm"/>
              <w:keepNext/>
            </w:pPr>
          </w:p>
        </w:tc>
        <w:tc>
          <w:tcPr>
            <w:tcW w:w="4672" w:type="dxa"/>
          </w:tcPr>
          <w:p>
            <w:pPr>
              <w:pStyle w:val="yTableNAm"/>
              <w:keepNext/>
              <w:tabs>
                <w:tab w:val="clear" w:pos="567"/>
                <w:tab w:val="left" w:pos="416"/>
                <w:tab w:val="left" w:pos="896"/>
              </w:tabs>
              <w:ind w:left="896" w:hanging="896"/>
            </w:pPr>
            <w:r>
              <w:tab/>
              <w:t>(j)</w:t>
            </w:r>
            <w:r>
              <w:tab/>
              <w:t xml:space="preserve">for sulphate — </w:t>
            </w:r>
          </w:p>
        </w:tc>
        <w:tc>
          <w:tcPr>
            <w:tcW w:w="1576" w:type="dxa"/>
          </w:tcPr>
          <w:p>
            <w:pPr>
              <w:pStyle w:val="yTableNAm"/>
              <w:keepNext/>
              <w:rPr>
                <w:spacing w:val="-1"/>
              </w:rPr>
            </w:pP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0.05 kg per kL </w:t>
            </w:r>
            <w:r>
              <w:tab/>
            </w:r>
          </w:p>
        </w:tc>
        <w:tc>
          <w:tcPr>
            <w:tcW w:w="1576" w:type="dxa"/>
          </w:tcPr>
          <w:p>
            <w:pPr>
              <w:pStyle w:val="yTableNAm"/>
              <w:rPr>
                <w:spacing w:val="-1"/>
              </w:rPr>
            </w:pPr>
            <w:r>
              <w:rPr>
                <w:spacing w:val="-1"/>
              </w:rPr>
              <w:br/>
              <w:t>no charge</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of over 0.05 kg per kL </w:t>
            </w:r>
            <w:r>
              <w:tab/>
            </w:r>
          </w:p>
        </w:tc>
        <w:tc>
          <w:tcPr>
            <w:tcW w:w="1576" w:type="dxa"/>
          </w:tcPr>
          <w:p>
            <w:pPr>
              <w:pStyle w:val="yTableNAm"/>
              <w:rPr>
                <w:spacing w:val="-1"/>
              </w:rPr>
            </w:pPr>
            <w:r>
              <w:rPr>
                <w:spacing w:val="-1"/>
              </w:rPr>
              <w:br/>
              <w:t>59.0 c/kg</w:t>
            </w:r>
          </w:p>
        </w:tc>
      </w:tr>
      <w:tr>
        <w:tc>
          <w:tcPr>
            <w:tcW w:w="960" w:type="dxa"/>
          </w:tcPr>
          <w:p>
            <w:pPr>
              <w:pStyle w:val="yTableNAm"/>
            </w:pPr>
          </w:p>
        </w:tc>
        <w:tc>
          <w:tcPr>
            <w:tcW w:w="4672" w:type="dxa"/>
          </w:tcPr>
          <w:p>
            <w:pPr>
              <w:pStyle w:val="yTableNAm"/>
              <w:tabs>
                <w:tab w:val="clear" w:pos="567"/>
                <w:tab w:val="left" w:pos="416"/>
                <w:tab w:val="left" w:pos="896"/>
              </w:tabs>
              <w:ind w:left="896" w:hanging="896"/>
            </w:pPr>
            <w:r>
              <w:tab/>
              <w:t>(k)</w:t>
            </w:r>
            <w:r>
              <w:tab/>
              <w:t xml:space="preserve">for total dissolved salts — </w:t>
            </w:r>
          </w:p>
        </w:tc>
        <w:tc>
          <w:tcPr>
            <w:tcW w:w="1576" w:type="dxa"/>
          </w:tcPr>
          <w:p>
            <w:pPr>
              <w:pStyle w:val="yTableNAm"/>
            </w:pP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1 kg per kL </w:t>
            </w:r>
            <w:r>
              <w:tab/>
            </w:r>
          </w:p>
        </w:tc>
        <w:tc>
          <w:tcPr>
            <w:tcW w:w="1576" w:type="dxa"/>
          </w:tcPr>
          <w:p>
            <w:pPr>
              <w:pStyle w:val="yTableNAm"/>
              <w:rPr>
                <w:spacing w:val="-1"/>
              </w:rPr>
            </w:pPr>
            <w:r>
              <w:rPr>
                <w:spacing w:val="-1"/>
              </w:rPr>
              <w:br/>
              <w:t>no charge</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r>
            <w:r>
              <w:rPr>
                <w:spacing w:val="-1"/>
              </w:rPr>
              <w:t>with</w:t>
            </w:r>
            <w:r>
              <w:t xml:space="preserve"> a concentration over 1 kg per kL but not over 3 kg per kL </w:t>
            </w:r>
            <w:r>
              <w:tab/>
            </w:r>
          </w:p>
        </w:tc>
        <w:tc>
          <w:tcPr>
            <w:tcW w:w="1576" w:type="dxa"/>
          </w:tcPr>
          <w:p>
            <w:pPr>
              <w:pStyle w:val="yTableNAm"/>
              <w:rPr>
                <w:spacing w:val="-1"/>
              </w:rPr>
            </w:pPr>
            <w:r>
              <w:rPr>
                <w:spacing w:val="-1"/>
              </w:rPr>
              <w:br/>
            </w:r>
            <w:r>
              <w:rPr>
                <w:spacing w:val="-1"/>
              </w:rPr>
              <w:br/>
              <w:t>0.1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over 3 kg per kL but not </w:t>
            </w:r>
            <w:r>
              <w:rPr>
                <w:spacing w:val="-1"/>
              </w:rPr>
              <w:t>over</w:t>
            </w:r>
            <w:r>
              <w:t xml:space="preserve"> 6 kg per kL </w:t>
            </w:r>
            <w:r>
              <w:tab/>
            </w:r>
          </w:p>
        </w:tc>
        <w:tc>
          <w:tcPr>
            <w:tcW w:w="1576" w:type="dxa"/>
          </w:tcPr>
          <w:p>
            <w:pPr>
              <w:pStyle w:val="yTableNAm"/>
              <w:rPr>
                <w:spacing w:val="-1"/>
              </w:rPr>
            </w:pPr>
            <w:r>
              <w:rPr>
                <w:spacing w:val="-1"/>
              </w:rPr>
              <w:br/>
            </w:r>
            <w:r>
              <w:rPr>
                <w:spacing w:val="-1"/>
              </w:rPr>
              <w:br/>
              <w:t>3.4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(iv)</w:t>
            </w:r>
            <w:r>
              <w:tab/>
              <w:t xml:space="preserve">with a concentration of over 6 kg per kL </w:t>
            </w:r>
            <w:r>
              <w:tab/>
            </w:r>
          </w:p>
        </w:tc>
        <w:tc>
          <w:tcPr>
            <w:tcW w:w="1576" w:type="dxa"/>
          </w:tcPr>
          <w:p>
            <w:pPr>
              <w:pStyle w:val="yTableNAm"/>
              <w:rPr>
                <w:spacing w:val="-1"/>
              </w:rPr>
            </w:pPr>
            <w:r>
              <w:rPr>
                <w:spacing w:val="-1"/>
              </w:rPr>
              <w:br/>
              <w:t>11.8 c/kg</w:t>
            </w:r>
          </w:p>
        </w:tc>
      </w:tr>
      <w:tr>
        <w:tc>
          <w:tcPr>
            <w:tcW w:w="960" w:type="dxa"/>
          </w:tcPr>
          <w:p>
            <w:pPr>
              <w:pStyle w:val="yTableNAm"/>
            </w:pPr>
          </w:p>
        </w:tc>
        <w:tc>
          <w:tcPr>
            <w:tcW w:w="4672" w:type="dxa"/>
          </w:tcPr>
          <w:p>
            <w:pPr>
              <w:pStyle w:val="yTableNAm"/>
              <w:tabs>
                <w:tab w:val="clear" w:pos="567"/>
                <w:tab w:val="left" w:pos="416"/>
                <w:tab w:val="left" w:pos="896"/>
              </w:tabs>
              <w:ind w:left="896" w:hanging="896"/>
            </w:pPr>
            <w:r>
              <w:tab/>
              <w:t>(l)</w:t>
            </w:r>
            <w:r>
              <w:tab/>
              <w:t xml:space="preserve">for chromium — </w:t>
            </w:r>
          </w:p>
        </w:tc>
        <w:tc>
          <w:tcPr>
            <w:tcW w:w="1576" w:type="dxa"/>
          </w:tcPr>
          <w:p>
            <w:pPr>
              <w:pStyle w:val="yTableNAm"/>
              <w:rPr>
                <w:spacing w:val="-1"/>
              </w:rPr>
            </w:pP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0.03 kg per day </w:t>
            </w:r>
            <w:r>
              <w:tab/>
            </w:r>
          </w:p>
        </w:tc>
        <w:tc>
          <w:tcPr>
            <w:tcW w:w="1576" w:type="dxa"/>
          </w:tcPr>
          <w:p>
            <w:pPr>
              <w:pStyle w:val="yTableNAm"/>
              <w:rPr>
                <w:spacing w:val="-1"/>
              </w:rPr>
            </w:pPr>
            <w:r>
              <w:rPr>
                <w:spacing w:val="-1"/>
              </w:rPr>
              <w:br/>
              <w:t>921.0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0.03 kg per day but not over 1 kg per day </w:t>
            </w:r>
          </w:p>
        </w:tc>
        <w:tc>
          <w:tcPr>
            <w:tcW w:w="1576" w:type="dxa"/>
          </w:tcPr>
          <w:p>
            <w:pPr>
              <w:pStyle w:val="yTableNAm"/>
              <w:rPr>
                <w:spacing w:val="-1"/>
              </w:rPr>
            </w:pPr>
            <w:r>
              <w:rPr>
                <w:spacing w:val="-1"/>
              </w:rPr>
              <w:br/>
              <w:t>1842.0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r>
            <w:r>
              <w:rPr>
                <w:spacing w:val="-1"/>
              </w:rPr>
              <w:t>with</w:t>
            </w:r>
            <w:r>
              <w:t xml:space="preserve"> a concentration of over 1 kg per day </w:t>
            </w:r>
            <w:r>
              <w:tab/>
            </w:r>
          </w:p>
        </w:tc>
        <w:tc>
          <w:tcPr>
            <w:tcW w:w="1576" w:type="dxa"/>
          </w:tcPr>
          <w:p>
            <w:pPr>
              <w:pStyle w:val="yTableNAm"/>
              <w:rPr>
                <w:spacing w:val="-1"/>
              </w:rPr>
            </w:pPr>
            <w:r>
              <w:rPr>
                <w:spacing w:val="-1"/>
              </w:rPr>
              <w:br/>
              <w:t>7368.0 c/kg</w:t>
            </w:r>
          </w:p>
        </w:tc>
      </w:tr>
      <w:tr>
        <w:tc>
          <w:tcPr>
            <w:tcW w:w="960" w:type="dxa"/>
          </w:tcPr>
          <w:p>
            <w:pPr>
              <w:pStyle w:val="yTableNAm"/>
            </w:pPr>
          </w:p>
        </w:tc>
        <w:tc>
          <w:tcPr>
            <w:tcW w:w="4672" w:type="dxa"/>
          </w:tcPr>
          <w:p>
            <w:pPr>
              <w:pStyle w:val="yTableNAm"/>
              <w:tabs>
                <w:tab w:val="clear" w:pos="567"/>
                <w:tab w:val="left" w:pos="416"/>
                <w:tab w:val="left" w:pos="896"/>
              </w:tabs>
              <w:ind w:left="896" w:hanging="896"/>
            </w:pPr>
            <w:r>
              <w:tab/>
              <w:t>(m)</w:t>
            </w:r>
            <w:r>
              <w:tab/>
              <w:t xml:space="preserve">for copper — </w:t>
            </w:r>
          </w:p>
        </w:tc>
        <w:tc>
          <w:tcPr>
            <w:tcW w:w="1576" w:type="dxa"/>
          </w:tcPr>
          <w:p>
            <w:pPr>
              <w:pStyle w:val="yTableNAm"/>
              <w:rPr>
                <w:spacing w:val="-1"/>
              </w:rPr>
            </w:pP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0.03 kg per day </w:t>
            </w:r>
            <w:r>
              <w:tab/>
            </w:r>
          </w:p>
        </w:tc>
        <w:tc>
          <w:tcPr>
            <w:tcW w:w="1576" w:type="dxa"/>
          </w:tcPr>
          <w:p>
            <w:pPr>
              <w:pStyle w:val="yTableNAm"/>
              <w:rPr>
                <w:spacing w:val="-1"/>
              </w:rPr>
            </w:pPr>
            <w:r>
              <w:rPr>
                <w:spacing w:val="-1"/>
              </w:rPr>
              <w:br/>
              <w:t>921.0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0.03 kg per day but not over 0.12 kg per day </w:t>
            </w:r>
            <w:r>
              <w:tab/>
            </w:r>
          </w:p>
        </w:tc>
        <w:tc>
          <w:tcPr>
            <w:tcW w:w="1576" w:type="dxa"/>
          </w:tcPr>
          <w:p>
            <w:pPr>
              <w:pStyle w:val="yTableNAm"/>
              <w:rPr>
                <w:spacing w:val="-1"/>
              </w:rPr>
            </w:pPr>
            <w:r>
              <w:rPr>
                <w:spacing w:val="-1"/>
              </w:rPr>
              <w:br/>
            </w:r>
            <w:r>
              <w:rPr>
                <w:spacing w:val="-1"/>
              </w:rPr>
              <w:br/>
              <w:t>1842.0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0.12 kg per day </w:t>
            </w:r>
            <w:r>
              <w:tab/>
            </w:r>
          </w:p>
        </w:tc>
        <w:tc>
          <w:tcPr>
            <w:tcW w:w="1576" w:type="dxa"/>
          </w:tcPr>
          <w:p>
            <w:pPr>
              <w:pStyle w:val="yTableNAm"/>
              <w:rPr>
                <w:spacing w:val="-1"/>
              </w:rPr>
            </w:pPr>
            <w:r>
              <w:rPr>
                <w:spacing w:val="-1"/>
              </w:rPr>
              <w:br/>
              <w:t>7368.0 c/kg</w:t>
            </w:r>
          </w:p>
        </w:tc>
      </w:tr>
      <w:tr>
        <w:tc>
          <w:tcPr>
            <w:tcW w:w="960" w:type="dxa"/>
          </w:tcPr>
          <w:p>
            <w:pPr>
              <w:pStyle w:val="yTableNAm"/>
              <w:keepNext/>
            </w:pPr>
          </w:p>
        </w:tc>
        <w:tc>
          <w:tcPr>
            <w:tcW w:w="4672" w:type="dxa"/>
          </w:tcPr>
          <w:p>
            <w:pPr>
              <w:pStyle w:val="yTableNAm"/>
              <w:keepNext/>
              <w:tabs>
                <w:tab w:val="clear" w:pos="567"/>
                <w:tab w:val="left" w:pos="416"/>
                <w:tab w:val="left" w:pos="896"/>
              </w:tabs>
              <w:ind w:left="896" w:hanging="896"/>
            </w:pPr>
            <w:r>
              <w:tab/>
              <w:t>(n)</w:t>
            </w:r>
            <w:r>
              <w:tab/>
              <w:t xml:space="preserve">for lead — </w:t>
            </w:r>
          </w:p>
        </w:tc>
        <w:tc>
          <w:tcPr>
            <w:tcW w:w="1576" w:type="dxa"/>
          </w:tcPr>
          <w:p>
            <w:pPr>
              <w:pStyle w:val="yTableNAm"/>
              <w:keepNext/>
              <w:rPr>
                <w:spacing w:val="-1"/>
              </w:rPr>
            </w:pP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0.03 kg per day </w:t>
            </w:r>
            <w:r>
              <w:tab/>
            </w:r>
          </w:p>
        </w:tc>
        <w:tc>
          <w:tcPr>
            <w:tcW w:w="1576" w:type="dxa"/>
          </w:tcPr>
          <w:p>
            <w:pPr>
              <w:pStyle w:val="yTableNAm"/>
              <w:rPr>
                <w:spacing w:val="-1"/>
              </w:rPr>
            </w:pPr>
            <w:r>
              <w:rPr>
                <w:spacing w:val="-1"/>
              </w:rPr>
              <w:br/>
              <w:t>921.0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0.03 kg per day but not over 0.3 kg per day </w:t>
            </w:r>
            <w:r>
              <w:tab/>
            </w:r>
          </w:p>
        </w:tc>
        <w:tc>
          <w:tcPr>
            <w:tcW w:w="1576" w:type="dxa"/>
          </w:tcPr>
          <w:p>
            <w:pPr>
              <w:pStyle w:val="yTableNAm"/>
              <w:rPr>
                <w:spacing w:val="-1"/>
              </w:rPr>
            </w:pPr>
            <w:r>
              <w:rPr>
                <w:spacing w:val="-1"/>
              </w:rPr>
              <w:br/>
            </w:r>
            <w:r>
              <w:rPr>
                <w:spacing w:val="-1"/>
              </w:rPr>
              <w:br/>
              <w:t>1842.0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0.3 kg per day </w:t>
            </w:r>
            <w:r>
              <w:tab/>
            </w:r>
          </w:p>
        </w:tc>
        <w:tc>
          <w:tcPr>
            <w:tcW w:w="1576" w:type="dxa"/>
          </w:tcPr>
          <w:p>
            <w:pPr>
              <w:pStyle w:val="yTableNAm"/>
              <w:rPr>
                <w:spacing w:val="-1"/>
              </w:rPr>
            </w:pPr>
            <w:r>
              <w:rPr>
                <w:spacing w:val="-1"/>
              </w:rPr>
              <w:br/>
              <w:t>7368.0 c/kg</w:t>
            </w:r>
          </w:p>
        </w:tc>
      </w:tr>
      <w:tr>
        <w:tc>
          <w:tcPr>
            <w:tcW w:w="960" w:type="dxa"/>
          </w:tcPr>
          <w:p>
            <w:pPr>
              <w:pStyle w:val="yTableNAm"/>
            </w:pPr>
          </w:p>
        </w:tc>
        <w:tc>
          <w:tcPr>
            <w:tcW w:w="4672" w:type="dxa"/>
          </w:tcPr>
          <w:p>
            <w:pPr>
              <w:pStyle w:val="yTableNAm"/>
              <w:tabs>
                <w:tab w:val="clear" w:pos="567"/>
                <w:tab w:val="left" w:pos="416"/>
                <w:tab w:val="left" w:pos="896"/>
              </w:tabs>
              <w:ind w:left="896" w:hanging="896"/>
            </w:pPr>
            <w:r>
              <w:tab/>
              <w:t>(o)</w:t>
            </w:r>
            <w:r>
              <w:tab/>
              <w:t xml:space="preserve">for nickel — </w:t>
            </w:r>
          </w:p>
        </w:tc>
        <w:tc>
          <w:tcPr>
            <w:tcW w:w="1576" w:type="dxa"/>
          </w:tcPr>
          <w:p>
            <w:pPr>
              <w:pStyle w:val="yTableNAm"/>
              <w:rPr>
                <w:spacing w:val="-1"/>
              </w:rPr>
            </w:pP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0.006 kg per day </w:t>
            </w:r>
            <w:r>
              <w:tab/>
            </w:r>
          </w:p>
        </w:tc>
        <w:tc>
          <w:tcPr>
            <w:tcW w:w="1576" w:type="dxa"/>
          </w:tcPr>
          <w:p>
            <w:pPr>
              <w:pStyle w:val="yTableNAm"/>
              <w:rPr>
                <w:spacing w:val="-1"/>
              </w:rPr>
            </w:pPr>
            <w:r>
              <w:rPr>
                <w:spacing w:val="-1"/>
              </w:rPr>
              <w:br/>
              <w:t>921.0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0.006 kg per day but not over 0.15 kg per day </w:t>
            </w:r>
            <w:r>
              <w:tab/>
            </w:r>
          </w:p>
        </w:tc>
        <w:tc>
          <w:tcPr>
            <w:tcW w:w="1576" w:type="dxa"/>
          </w:tcPr>
          <w:p>
            <w:pPr>
              <w:pStyle w:val="yTableNAm"/>
              <w:rPr>
                <w:spacing w:val="-1"/>
              </w:rPr>
            </w:pPr>
            <w:r>
              <w:rPr>
                <w:spacing w:val="-1"/>
              </w:rPr>
              <w:br/>
            </w:r>
            <w:r>
              <w:rPr>
                <w:spacing w:val="-1"/>
              </w:rPr>
              <w:br/>
              <w:t>1842.0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r>
            <w:r>
              <w:rPr>
                <w:spacing w:val="-1"/>
              </w:rPr>
              <w:t>with</w:t>
            </w:r>
            <w:r>
              <w:t xml:space="preserve"> a concentration of over 0.15 kg per day </w:t>
            </w:r>
            <w:r>
              <w:tab/>
            </w:r>
          </w:p>
        </w:tc>
        <w:tc>
          <w:tcPr>
            <w:tcW w:w="1576" w:type="dxa"/>
          </w:tcPr>
          <w:p>
            <w:pPr>
              <w:pStyle w:val="yTableNAm"/>
              <w:rPr>
                <w:spacing w:val="-1"/>
              </w:rPr>
            </w:pPr>
            <w:r>
              <w:rPr>
                <w:spacing w:val="-1"/>
              </w:rPr>
              <w:br/>
              <w:t>7368.0 c/kg</w:t>
            </w:r>
          </w:p>
        </w:tc>
      </w:tr>
      <w:tr>
        <w:tc>
          <w:tcPr>
            <w:tcW w:w="960" w:type="dxa"/>
          </w:tcPr>
          <w:p>
            <w:pPr>
              <w:pStyle w:val="yTableNAm"/>
            </w:pPr>
          </w:p>
        </w:tc>
        <w:tc>
          <w:tcPr>
            <w:tcW w:w="4672" w:type="dxa"/>
          </w:tcPr>
          <w:p>
            <w:pPr>
              <w:pStyle w:val="yTableNAm"/>
              <w:tabs>
                <w:tab w:val="clear" w:pos="567"/>
                <w:tab w:val="left" w:pos="416"/>
                <w:tab w:val="left" w:pos="896"/>
              </w:tabs>
              <w:ind w:left="896" w:hanging="896"/>
            </w:pPr>
            <w:r>
              <w:tab/>
              <w:t>(p)</w:t>
            </w:r>
            <w:r>
              <w:tab/>
              <w:t xml:space="preserve">for zinc — </w:t>
            </w:r>
          </w:p>
        </w:tc>
        <w:tc>
          <w:tcPr>
            <w:tcW w:w="1576" w:type="dxa"/>
          </w:tcPr>
          <w:p>
            <w:pPr>
              <w:pStyle w:val="yTableNAm"/>
              <w:rPr>
                <w:spacing w:val="-1"/>
              </w:rPr>
            </w:pP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0.05 kg per day </w:t>
            </w:r>
            <w:r>
              <w:tab/>
            </w:r>
          </w:p>
        </w:tc>
        <w:tc>
          <w:tcPr>
            <w:tcW w:w="1576" w:type="dxa"/>
          </w:tcPr>
          <w:p>
            <w:pPr>
              <w:pStyle w:val="yTableNAm"/>
              <w:rPr>
                <w:spacing w:val="-1"/>
              </w:rPr>
            </w:pPr>
            <w:r>
              <w:rPr>
                <w:spacing w:val="-1"/>
              </w:rPr>
              <w:br/>
              <w:t>921.0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0.05 kg per day but not over 0.5 kg per day </w:t>
            </w:r>
            <w:r>
              <w:tab/>
            </w:r>
          </w:p>
        </w:tc>
        <w:tc>
          <w:tcPr>
            <w:tcW w:w="1576" w:type="dxa"/>
          </w:tcPr>
          <w:p>
            <w:pPr>
              <w:pStyle w:val="yTableNAm"/>
              <w:rPr>
                <w:spacing w:val="-1"/>
              </w:rPr>
            </w:pPr>
            <w:r>
              <w:rPr>
                <w:spacing w:val="-1"/>
              </w:rPr>
              <w:br/>
            </w:r>
            <w:r>
              <w:rPr>
                <w:spacing w:val="-1"/>
              </w:rPr>
              <w:br/>
              <w:t>1842.0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0.5 kg per day </w:t>
            </w:r>
            <w:r>
              <w:tab/>
            </w:r>
          </w:p>
        </w:tc>
        <w:tc>
          <w:tcPr>
            <w:tcW w:w="1576" w:type="dxa"/>
          </w:tcPr>
          <w:p>
            <w:pPr>
              <w:pStyle w:val="yTableNAm"/>
              <w:rPr>
                <w:spacing w:val="-1"/>
              </w:rPr>
            </w:pPr>
            <w:r>
              <w:rPr>
                <w:spacing w:val="-1"/>
              </w:rPr>
              <w:br/>
              <w:t>7368.0 c/kg</w:t>
            </w:r>
          </w:p>
        </w:tc>
      </w:tr>
      <w:tr>
        <w:tc>
          <w:tcPr>
            <w:tcW w:w="960" w:type="dxa"/>
          </w:tcPr>
          <w:p>
            <w:pPr>
              <w:pStyle w:val="yTableNAm"/>
            </w:pPr>
          </w:p>
        </w:tc>
        <w:tc>
          <w:tcPr>
            <w:tcW w:w="4672" w:type="dxa"/>
          </w:tcPr>
          <w:p>
            <w:pPr>
              <w:pStyle w:val="yTableNAm"/>
              <w:tabs>
                <w:tab w:val="clear" w:pos="567"/>
                <w:tab w:val="left" w:pos="416"/>
                <w:tab w:val="left" w:pos="896"/>
              </w:tabs>
              <w:ind w:left="896" w:hanging="896"/>
            </w:pPr>
            <w:r>
              <w:tab/>
              <w:t>(q)</w:t>
            </w:r>
            <w:r>
              <w:tab/>
              <w:t xml:space="preserve">for arsenic — </w:t>
            </w:r>
          </w:p>
        </w:tc>
        <w:tc>
          <w:tcPr>
            <w:tcW w:w="1576" w:type="dxa"/>
          </w:tcPr>
          <w:p>
            <w:pPr>
              <w:pStyle w:val="yTableNAm"/>
              <w:rPr>
                <w:spacing w:val="-1"/>
              </w:rPr>
            </w:pP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0.001 kg per day </w:t>
            </w:r>
            <w:r>
              <w:tab/>
            </w:r>
          </w:p>
        </w:tc>
        <w:tc>
          <w:tcPr>
            <w:tcW w:w="1576" w:type="dxa"/>
          </w:tcPr>
          <w:p>
            <w:pPr>
              <w:pStyle w:val="yTableNAm"/>
              <w:rPr>
                <w:spacing w:val="-1"/>
              </w:rPr>
            </w:pPr>
            <w:r>
              <w:rPr>
                <w:spacing w:val="-1"/>
              </w:rPr>
              <w:br/>
              <w:t>921.0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0.001 kg per day but not over 0.04 kg per day </w:t>
            </w:r>
            <w:r>
              <w:tab/>
            </w:r>
          </w:p>
        </w:tc>
        <w:tc>
          <w:tcPr>
            <w:tcW w:w="1576" w:type="dxa"/>
          </w:tcPr>
          <w:p>
            <w:pPr>
              <w:pStyle w:val="yTableNAm"/>
              <w:rPr>
                <w:spacing w:val="-1"/>
              </w:rPr>
            </w:pPr>
            <w:r>
              <w:rPr>
                <w:spacing w:val="-1"/>
              </w:rPr>
              <w:br/>
            </w:r>
            <w:r>
              <w:rPr>
                <w:spacing w:val="-1"/>
              </w:rPr>
              <w:br/>
              <w:t>9210.0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0.04 kg per day </w:t>
            </w:r>
            <w:r>
              <w:tab/>
            </w:r>
          </w:p>
        </w:tc>
        <w:tc>
          <w:tcPr>
            <w:tcW w:w="1576" w:type="dxa"/>
          </w:tcPr>
          <w:p>
            <w:pPr>
              <w:pStyle w:val="yTableNAm"/>
              <w:rPr>
                <w:spacing w:val="-1"/>
              </w:rPr>
            </w:pPr>
            <w:r>
              <w:rPr>
                <w:spacing w:val="-1"/>
              </w:rPr>
              <w:br/>
              <w:t>92100.0 c/kg</w:t>
            </w:r>
          </w:p>
        </w:tc>
      </w:tr>
      <w:tr>
        <w:tc>
          <w:tcPr>
            <w:tcW w:w="960" w:type="dxa"/>
          </w:tcPr>
          <w:p>
            <w:pPr>
              <w:pStyle w:val="yTableNAm"/>
            </w:pPr>
          </w:p>
        </w:tc>
        <w:tc>
          <w:tcPr>
            <w:tcW w:w="4672" w:type="dxa"/>
          </w:tcPr>
          <w:p>
            <w:pPr>
              <w:pStyle w:val="yTableNAm"/>
              <w:tabs>
                <w:tab w:val="clear" w:pos="567"/>
                <w:tab w:val="left" w:pos="416"/>
                <w:tab w:val="left" w:pos="896"/>
              </w:tabs>
              <w:ind w:left="896" w:hanging="896"/>
            </w:pPr>
            <w:r>
              <w:tab/>
              <w:t>(r)</w:t>
            </w:r>
            <w:r>
              <w:tab/>
              <w:t xml:space="preserve">for cadmium — </w:t>
            </w:r>
          </w:p>
        </w:tc>
        <w:tc>
          <w:tcPr>
            <w:tcW w:w="1576" w:type="dxa"/>
          </w:tcPr>
          <w:p>
            <w:pPr>
              <w:pStyle w:val="yTableNAm"/>
            </w:pP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0.001 kg per day </w:t>
            </w:r>
            <w:r>
              <w:tab/>
            </w:r>
          </w:p>
        </w:tc>
        <w:tc>
          <w:tcPr>
            <w:tcW w:w="1576" w:type="dxa"/>
          </w:tcPr>
          <w:p>
            <w:pPr>
              <w:pStyle w:val="yTableNAm"/>
              <w:rPr>
                <w:spacing w:val="-1"/>
              </w:rPr>
            </w:pPr>
            <w:r>
              <w:rPr>
                <w:spacing w:val="-1"/>
              </w:rPr>
              <w:br/>
              <w:t>921.0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0.001 kg per day but not over 0.015 kg per day </w:t>
            </w:r>
            <w:r>
              <w:tab/>
            </w:r>
          </w:p>
        </w:tc>
        <w:tc>
          <w:tcPr>
            <w:tcW w:w="1576" w:type="dxa"/>
          </w:tcPr>
          <w:p>
            <w:pPr>
              <w:pStyle w:val="yTableNAm"/>
              <w:rPr>
                <w:spacing w:val="-1"/>
              </w:rPr>
            </w:pPr>
            <w:r>
              <w:rPr>
                <w:spacing w:val="-1"/>
              </w:rPr>
              <w:br/>
            </w:r>
            <w:r>
              <w:rPr>
                <w:spacing w:val="-1"/>
              </w:rPr>
              <w:br/>
              <w:t>9210.0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0.015 kg per day </w:t>
            </w:r>
            <w:r>
              <w:tab/>
            </w:r>
          </w:p>
        </w:tc>
        <w:tc>
          <w:tcPr>
            <w:tcW w:w="1576" w:type="dxa"/>
          </w:tcPr>
          <w:p>
            <w:pPr>
              <w:pStyle w:val="yTableNAm"/>
              <w:rPr>
                <w:spacing w:val="-1"/>
              </w:rPr>
            </w:pPr>
            <w:r>
              <w:rPr>
                <w:spacing w:val="-1"/>
              </w:rPr>
              <w:br/>
              <w:t>92100.0 c/kg</w:t>
            </w:r>
          </w:p>
        </w:tc>
      </w:tr>
      <w:tr>
        <w:tc>
          <w:tcPr>
            <w:tcW w:w="960" w:type="dxa"/>
          </w:tcPr>
          <w:p>
            <w:pPr>
              <w:pStyle w:val="yTableNAm"/>
            </w:pPr>
          </w:p>
        </w:tc>
        <w:tc>
          <w:tcPr>
            <w:tcW w:w="4672" w:type="dxa"/>
          </w:tcPr>
          <w:p>
            <w:pPr>
              <w:pStyle w:val="yTableNAm"/>
              <w:tabs>
                <w:tab w:val="clear" w:pos="567"/>
                <w:tab w:val="left" w:pos="416"/>
                <w:tab w:val="left" w:pos="896"/>
              </w:tabs>
              <w:ind w:left="896" w:hanging="896"/>
            </w:pPr>
            <w:r>
              <w:tab/>
              <w:t>(s)</w:t>
            </w:r>
            <w:r>
              <w:tab/>
              <w:t xml:space="preserve">for molybdenum or selenium — </w:t>
            </w:r>
          </w:p>
        </w:tc>
        <w:tc>
          <w:tcPr>
            <w:tcW w:w="1576" w:type="dxa"/>
          </w:tcPr>
          <w:p>
            <w:pPr>
              <w:pStyle w:val="yTableNAm"/>
              <w:rPr>
                <w:spacing w:val="-1"/>
              </w:rPr>
            </w:pP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0.001 kg per </w:t>
            </w:r>
            <w:r>
              <w:rPr>
                <w:spacing w:val="-1"/>
              </w:rPr>
              <w:t>day</w:t>
            </w:r>
            <w:r>
              <w:t xml:space="preserve"> </w:t>
            </w:r>
            <w:r>
              <w:tab/>
            </w:r>
          </w:p>
        </w:tc>
        <w:tc>
          <w:tcPr>
            <w:tcW w:w="1576" w:type="dxa"/>
          </w:tcPr>
          <w:p>
            <w:pPr>
              <w:pStyle w:val="yTableNAm"/>
              <w:rPr>
                <w:spacing w:val="-1"/>
              </w:rPr>
            </w:pPr>
            <w:r>
              <w:rPr>
                <w:spacing w:val="-1"/>
              </w:rPr>
              <w:br/>
              <w:t>921.0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0.001 kg per day but not over 0.02 kg per day </w:t>
            </w:r>
            <w:r>
              <w:tab/>
            </w:r>
          </w:p>
        </w:tc>
        <w:tc>
          <w:tcPr>
            <w:tcW w:w="1576" w:type="dxa"/>
          </w:tcPr>
          <w:p>
            <w:pPr>
              <w:pStyle w:val="yTableNAm"/>
              <w:rPr>
                <w:spacing w:val="-1"/>
              </w:rPr>
            </w:pPr>
            <w:r>
              <w:rPr>
                <w:spacing w:val="-1"/>
              </w:rPr>
              <w:br/>
            </w:r>
            <w:r>
              <w:rPr>
                <w:spacing w:val="-1"/>
              </w:rPr>
              <w:br/>
              <w:t>9210.0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0.02 kg per day </w:t>
            </w:r>
            <w:r>
              <w:tab/>
            </w:r>
          </w:p>
        </w:tc>
        <w:tc>
          <w:tcPr>
            <w:tcW w:w="1576" w:type="dxa"/>
          </w:tcPr>
          <w:p>
            <w:pPr>
              <w:pStyle w:val="yTableNAm"/>
              <w:rPr>
                <w:spacing w:val="-1"/>
              </w:rPr>
            </w:pPr>
            <w:r>
              <w:rPr>
                <w:spacing w:val="-1"/>
              </w:rPr>
              <w:br/>
              <w:t>92100.0 c/kg</w:t>
            </w:r>
          </w:p>
        </w:tc>
      </w:tr>
      <w:tr>
        <w:tc>
          <w:tcPr>
            <w:tcW w:w="960" w:type="dxa"/>
          </w:tcPr>
          <w:p>
            <w:pPr>
              <w:pStyle w:val="yTableNAm"/>
            </w:pPr>
          </w:p>
        </w:tc>
        <w:tc>
          <w:tcPr>
            <w:tcW w:w="4672" w:type="dxa"/>
          </w:tcPr>
          <w:p>
            <w:pPr>
              <w:pStyle w:val="yTableNAm"/>
              <w:tabs>
                <w:tab w:val="clear" w:pos="567"/>
                <w:tab w:val="left" w:pos="416"/>
                <w:tab w:val="left" w:pos="896"/>
              </w:tabs>
              <w:ind w:left="896" w:hanging="896"/>
            </w:pPr>
            <w:r>
              <w:tab/>
              <w:t>(t)</w:t>
            </w:r>
            <w:r>
              <w:tab/>
              <w:t xml:space="preserve">for silver — </w:t>
            </w:r>
          </w:p>
        </w:tc>
        <w:tc>
          <w:tcPr>
            <w:tcW w:w="1576" w:type="dxa"/>
          </w:tcPr>
          <w:p>
            <w:pPr>
              <w:pStyle w:val="yTableNAm"/>
              <w:rPr>
                <w:spacing w:val="-1"/>
              </w:rPr>
            </w:pP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r>
            <w:r>
              <w:rPr>
                <w:spacing w:val="-1"/>
              </w:rPr>
              <w:t>with</w:t>
            </w:r>
            <w:r>
              <w:t xml:space="preserve"> a concentration of up to 0.002 kg per day </w:t>
            </w:r>
            <w:r>
              <w:tab/>
            </w:r>
          </w:p>
        </w:tc>
        <w:tc>
          <w:tcPr>
            <w:tcW w:w="1576" w:type="dxa"/>
          </w:tcPr>
          <w:p>
            <w:pPr>
              <w:pStyle w:val="yTableNAm"/>
              <w:rPr>
                <w:spacing w:val="-1"/>
              </w:rPr>
            </w:pPr>
            <w:r>
              <w:rPr>
                <w:spacing w:val="-1"/>
              </w:rPr>
              <w:br/>
              <w:t>921.0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r>
            <w:r>
              <w:rPr>
                <w:spacing w:val="-1"/>
              </w:rPr>
              <w:t>with</w:t>
            </w:r>
            <w:r>
              <w:t xml:space="preserve"> a concentration over 0.002 kg per day but not over 0.01 kg per day </w:t>
            </w:r>
            <w:r>
              <w:tab/>
            </w:r>
          </w:p>
        </w:tc>
        <w:tc>
          <w:tcPr>
            <w:tcW w:w="1576" w:type="dxa"/>
          </w:tcPr>
          <w:p>
            <w:pPr>
              <w:pStyle w:val="yTableNAm"/>
              <w:rPr>
                <w:spacing w:val="-1"/>
              </w:rPr>
            </w:pPr>
            <w:r>
              <w:rPr>
                <w:spacing w:val="-1"/>
              </w:rPr>
              <w:br/>
            </w:r>
            <w:r>
              <w:rPr>
                <w:spacing w:val="-1"/>
              </w:rPr>
              <w:br/>
              <w:t>9210.0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0.01 kg per day </w:t>
            </w:r>
            <w:r>
              <w:tab/>
            </w:r>
          </w:p>
        </w:tc>
        <w:tc>
          <w:tcPr>
            <w:tcW w:w="1576" w:type="dxa"/>
          </w:tcPr>
          <w:p>
            <w:pPr>
              <w:pStyle w:val="yTableNAm"/>
              <w:rPr>
                <w:spacing w:val="-1"/>
              </w:rPr>
            </w:pPr>
            <w:r>
              <w:rPr>
                <w:spacing w:val="-1"/>
              </w:rPr>
              <w:br/>
              <w:t>92100.0 c/kg</w:t>
            </w:r>
          </w:p>
        </w:tc>
      </w:tr>
      <w:tr>
        <w:tc>
          <w:tcPr>
            <w:tcW w:w="960" w:type="dxa"/>
          </w:tcPr>
          <w:p>
            <w:pPr>
              <w:pStyle w:val="yTableNAm"/>
            </w:pPr>
          </w:p>
        </w:tc>
        <w:tc>
          <w:tcPr>
            <w:tcW w:w="4672" w:type="dxa"/>
          </w:tcPr>
          <w:p>
            <w:pPr>
              <w:pStyle w:val="yTableNAm"/>
              <w:tabs>
                <w:tab w:val="clear" w:pos="567"/>
                <w:tab w:val="left" w:pos="416"/>
                <w:tab w:val="left" w:pos="896"/>
              </w:tabs>
              <w:ind w:left="896" w:hanging="896"/>
            </w:pPr>
            <w:r>
              <w:tab/>
              <w:t>(u)</w:t>
            </w:r>
            <w:r>
              <w:tab/>
              <w:t xml:space="preserve">for mercury — </w:t>
            </w:r>
          </w:p>
        </w:tc>
        <w:tc>
          <w:tcPr>
            <w:tcW w:w="1576" w:type="dxa"/>
          </w:tcPr>
          <w:p>
            <w:pPr>
              <w:pStyle w:val="yTableNAm"/>
              <w:rPr>
                <w:spacing w:val="-1"/>
              </w:rPr>
            </w:pP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w:t>
            </w:r>
            <w:r>
              <w:tab/>
              <w:t xml:space="preserve">with a concentration of up to 0.0001 kg per day </w:t>
            </w:r>
            <w:r>
              <w:tab/>
            </w:r>
          </w:p>
        </w:tc>
        <w:tc>
          <w:tcPr>
            <w:tcW w:w="1576" w:type="dxa"/>
          </w:tcPr>
          <w:p>
            <w:pPr>
              <w:pStyle w:val="yTableNAm"/>
              <w:rPr>
                <w:spacing w:val="-1"/>
              </w:rPr>
            </w:pPr>
            <w:r>
              <w:rPr>
                <w:spacing w:val="-1"/>
              </w:rPr>
              <w:br/>
              <w:t>921.0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w:t>
            </w:r>
            <w:r>
              <w:tab/>
              <w:t xml:space="preserve">with a concentration over 0.0001 kg per day but not over 0.001 kg per day </w:t>
            </w:r>
            <w:r>
              <w:tab/>
            </w:r>
          </w:p>
        </w:tc>
        <w:tc>
          <w:tcPr>
            <w:tcW w:w="1576" w:type="dxa"/>
          </w:tcPr>
          <w:p>
            <w:pPr>
              <w:pStyle w:val="yTableNAm"/>
              <w:rPr>
                <w:spacing w:val="-1"/>
              </w:rPr>
            </w:pPr>
            <w:r>
              <w:rPr>
                <w:spacing w:val="-1"/>
              </w:rPr>
              <w:br/>
            </w:r>
            <w:r>
              <w:rPr>
                <w:spacing w:val="-1"/>
              </w:rPr>
              <w:br/>
              <w:t>92100.0 c/kg</w:t>
            </w:r>
          </w:p>
        </w:tc>
      </w:tr>
      <w:tr>
        <w:tc>
          <w:tcPr>
            <w:tcW w:w="960" w:type="dxa"/>
          </w:tcPr>
          <w:p>
            <w:pPr>
              <w:pStyle w:val="yTableNAm"/>
            </w:pPr>
          </w:p>
        </w:tc>
        <w:tc>
          <w:tcPr>
            <w:tcW w:w="4672" w:type="dxa"/>
          </w:tcPr>
          <w:p>
            <w:pPr>
              <w:pStyle w:val="yTableNAm"/>
              <w:tabs>
                <w:tab w:val="clear" w:pos="567"/>
                <w:tab w:val="left" w:pos="896"/>
                <w:tab w:val="left" w:pos="1496"/>
                <w:tab w:val="left" w:leader="dot" w:pos="4452"/>
              </w:tabs>
              <w:ind w:left="1496" w:hanging="1496"/>
            </w:pPr>
            <w:r>
              <w:tab/>
              <w:t>(iii)</w:t>
            </w:r>
            <w:r>
              <w:tab/>
              <w:t xml:space="preserve">with a concentration of over 0.001 kg per day </w:t>
            </w:r>
            <w:r>
              <w:tab/>
            </w:r>
          </w:p>
        </w:tc>
        <w:tc>
          <w:tcPr>
            <w:tcW w:w="1576" w:type="dxa"/>
          </w:tcPr>
          <w:p>
            <w:pPr>
              <w:pStyle w:val="yTableNAm"/>
              <w:rPr>
                <w:spacing w:val="-1"/>
              </w:rPr>
            </w:pPr>
            <w:r>
              <w:rPr>
                <w:spacing w:val="-1"/>
              </w:rPr>
              <w:br/>
              <w:t>690750.0 c/kg</w:t>
            </w:r>
          </w:p>
        </w:tc>
      </w:tr>
    </w:tbl>
    <w:p>
      <w:pPr>
        <w:pStyle w:val="yHeading5"/>
        <w:tabs>
          <w:tab w:val="clear" w:pos="879"/>
        </w:tabs>
        <w:ind w:left="964" w:hanging="966"/>
      </w:pPr>
      <w:bookmarkStart w:id="806" w:name="_Toc237309628"/>
      <w:r>
        <w:rPr>
          <w:rStyle w:val="CharSClsNo"/>
        </w:rPr>
        <w:t>12</w:t>
      </w:r>
      <w:r>
        <w:t>.</w:t>
      </w:r>
      <w:r>
        <w:tab/>
        <w:t>Effluent discharged from a septic tank effluent pumping system into a sewer of the Corporation</w:t>
      </w:r>
      <w:bookmarkEnd w:id="806"/>
    </w:p>
    <w:tbl>
      <w:tblPr>
        <w:tblW w:w="0" w:type="auto"/>
        <w:tblInd w:w="-12" w:type="dxa"/>
        <w:tblLook w:val="0000" w:firstRow="0" w:lastRow="0" w:firstColumn="0" w:lastColumn="0" w:noHBand="0" w:noVBand="0"/>
      </w:tblPr>
      <w:tblGrid>
        <w:gridCol w:w="960"/>
        <w:gridCol w:w="4672"/>
        <w:gridCol w:w="1576"/>
      </w:tblGrid>
      <w:tr>
        <w:tc>
          <w:tcPr>
            <w:tcW w:w="960" w:type="dxa"/>
          </w:tcPr>
          <w:p>
            <w:pPr>
              <w:pStyle w:val="yTableNAm"/>
              <w:keepNext/>
            </w:pPr>
          </w:p>
        </w:tc>
        <w:tc>
          <w:tcPr>
            <w:tcW w:w="4672" w:type="dxa"/>
          </w:tcPr>
          <w:p>
            <w:pPr>
              <w:pStyle w:val="yTableNAm"/>
              <w:keepNext/>
              <w:tabs>
                <w:tab w:val="left" w:leader="dot" w:pos="4452"/>
              </w:tabs>
              <w:ind w:left="12" w:right="12"/>
            </w:pPr>
            <w:r>
              <w:t xml:space="preserve">For effluent discharged from a septic tank effluent pumping system into a sewer of the Corporation </w:t>
            </w:r>
            <w:r>
              <w:tab/>
            </w:r>
          </w:p>
        </w:tc>
        <w:tc>
          <w:tcPr>
            <w:tcW w:w="1576" w:type="dxa"/>
          </w:tcPr>
          <w:p>
            <w:pPr>
              <w:pStyle w:val="yTableNAm"/>
              <w:keepNext/>
              <w:rPr>
                <w:spacing w:val="-1"/>
              </w:rPr>
            </w:pPr>
            <w:r>
              <w:rPr>
                <w:spacing w:val="-1"/>
              </w:rPr>
              <w:br/>
              <w:t>137.4 c/kL</w:t>
            </w:r>
          </w:p>
        </w:tc>
      </w:tr>
    </w:tbl>
    <w:p>
      <w:pPr>
        <w:pStyle w:val="yFootnotesection"/>
      </w:pPr>
      <w:r>
        <w:tab/>
        <w:t>[Division 3 inserted in Gazette 19 Jun 2009 p. 2352-6.]</w:t>
      </w:r>
    </w:p>
    <w:p>
      <w:pPr>
        <w:pStyle w:val="yHeading3"/>
      </w:pPr>
      <w:bookmarkStart w:id="807" w:name="_Toc233448424"/>
      <w:bookmarkStart w:id="808" w:name="_Toc233611703"/>
      <w:bookmarkStart w:id="809" w:name="_Toc234730710"/>
      <w:bookmarkStart w:id="810" w:name="_Toc234733236"/>
      <w:bookmarkStart w:id="811" w:name="_Toc235863973"/>
      <w:bookmarkStart w:id="812" w:name="_Toc235933448"/>
      <w:bookmarkStart w:id="813" w:name="_Toc237164436"/>
      <w:bookmarkStart w:id="814" w:name="_Toc237244320"/>
      <w:bookmarkStart w:id="815" w:name="_Toc237245634"/>
      <w:bookmarkStart w:id="816" w:name="_Toc237245765"/>
      <w:bookmarkStart w:id="817" w:name="_Toc237247907"/>
      <w:bookmarkStart w:id="818" w:name="_Toc237254210"/>
      <w:bookmarkStart w:id="819" w:name="_Toc237309629"/>
      <w:r>
        <w:rPr>
          <w:rStyle w:val="CharSDivNo"/>
        </w:rPr>
        <w:t>Division 4</w:t>
      </w:r>
      <w:r>
        <w:rPr>
          <w:b w:val="0"/>
        </w:rPr>
        <w:t> — </w:t>
      </w:r>
      <w:r>
        <w:rPr>
          <w:rStyle w:val="CharSDivText"/>
        </w:rPr>
        <w:t>Metropolitan combined charges</w:t>
      </w:r>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yFootnoteheading"/>
      </w:pPr>
      <w:r>
        <w:tab/>
        <w:t>[Heading inserted in Gazette 19 Jun 2009 p. 2356.]</w:t>
      </w:r>
    </w:p>
    <w:p>
      <w:pPr>
        <w:pStyle w:val="yHeading5"/>
      </w:pPr>
      <w:bookmarkStart w:id="820" w:name="_Toc237309630"/>
      <w:r>
        <w:rPr>
          <w:rStyle w:val="CharSClsNo"/>
        </w:rPr>
        <w:t>13</w:t>
      </w:r>
      <w:r>
        <w:t>.</w:t>
      </w:r>
      <w:r>
        <w:tab/>
        <w:t>Metropolitan non-residential (other than vacant land)</w:t>
      </w:r>
      <w:bookmarkEnd w:id="820"/>
    </w:p>
    <w:p>
      <w:pPr>
        <w:pStyle w:val="ySubsection"/>
      </w:pPr>
      <w:r>
        <w:tab/>
      </w:r>
      <w:r>
        <w:tab/>
        <w:t xml:space="preserve">In respect of </w:t>
      </w:r>
      <w:r>
        <w:rPr>
          <w:snapToGrid w:val="0"/>
        </w:rPr>
        <w:t>land</w:t>
      </w:r>
      <w:r>
        <w:t xml:space="preserve"> in the metropolitan area that is not — </w:t>
      </w:r>
    </w:p>
    <w:p>
      <w:pPr>
        <w:pStyle w:val="yIndenta"/>
      </w:pPr>
      <w:r>
        <w:tab/>
        <w:t>(a)</w:t>
      </w:r>
      <w:r>
        <w:tab/>
        <w:t>comprised in a residential property; and</w:t>
      </w:r>
    </w:p>
    <w:p>
      <w:pPr>
        <w:pStyle w:val="yIndenta"/>
      </w:pPr>
      <w:r>
        <w:tab/>
        <w:t>(b)</w:t>
      </w:r>
      <w:r>
        <w:tab/>
        <w:t>referred to in item 1, 3, 4, 14, 15 or 16,</w:t>
      </w:r>
    </w:p>
    <w:p>
      <w:pPr>
        <w:pStyle w:val="ySubsection"/>
      </w:pPr>
      <w:r>
        <w:tab/>
      </w:r>
      <w:r>
        <w:tab/>
        <w:t xml:space="preserve">the charge is calculated in accordance with the following formula — </w:t>
      </w:r>
    </w:p>
    <w:p>
      <w:pPr>
        <w:pStyle w:val="yIndenta"/>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Indenta"/>
      </w:pPr>
      <w:r>
        <w:tab/>
      </w:r>
      <w:r>
        <w:tab/>
      </w:r>
      <w:r>
        <w:tab/>
      </w:r>
      <w:r>
        <w:rPr>
          <w:b/>
          <w:bCs/>
        </w:rPr>
        <w:t>P</w:t>
      </w:r>
      <w:r>
        <w:t xml:space="preserve"> + </w:t>
      </w:r>
      <w:r>
        <w:rPr>
          <w:b/>
          <w:bCs/>
        </w:rPr>
        <w:t>Q</w:t>
      </w:r>
    </w:p>
    <w:p>
      <w:pPr>
        <w:pStyle w:val="yIndenta"/>
      </w:pPr>
      <w:r>
        <w:tab/>
      </w:r>
      <w:r>
        <w:tab/>
        <w:t xml:space="preserve">or if —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r>
      <w:r>
        <w:rPr>
          <w:b/>
        </w:rPr>
        <w:tab/>
        <w:t>R</w:t>
      </w:r>
    </w:p>
    <w:p>
      <w:pPr>
        <w:pStyle w:val="yIndenta"/>
      </w:pPr>
      <w:r>
        <w:tab/>
      </w:r>
      <w:r>
        <w:tab/>
        <w:t xml:space="preserve">or if —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 xml:space="preserve">then —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P</w:t>
      </w:r>
      <w:r>
        <w:t xml:space="preserve"> =</w:t>
      </w:r>
      <w:r>
        <w:tab/>
        <w:t>the annual charge calculated in accordance with the formula in item 18;</w:t>
      </w:r>
    </w:p>
    <w:p>
      <w:pPr>
        <w:pStyle w:val="yIndenti0"/>
      </w:pPr>
      <w:r>
        <w:rPr>
          <w:b/>
        </w:rPr>
        <w:tab/>
        <w:t>Q</w:t>
      </w:r>
      <w:r>
        <w:t xml:space="preserve"> =</w:t>
      </w:r>
      <w:r>
        <w:tab/>
        <w:t>the quantity charge calculated in accordance with the formula in item 19;</w:t>
      </w:r>
    </w:p>
    <w:p>
      <w:pPr>
        <w:pStyle w:val="yIndenti0"/>
      </w:pPr>
      <w:r>
        <w:rPr>
          <w:b/>
        </w:rPr>
        <w:tab/>
        <w:t>R</w:t>
      </w:r>
      <w:r>
        <w:t xml:space="preserve"> =</w:t>
      </w:r>
      <w:r>
        <w:tab/>
        <w:t>the charge calculated in accordance with the following formula — </w:t>
      </w:r>
    </w:p>
    <w:p>
      <w:pPr>
        <w:pStyle w:val="yIndenti0"/>
      </w:pPr>
      <w:r>
        <w:rPr>
          <w:b/>
        </w:rPr>
        <w:tab/>
      </w:r>
      <w:r>
        <w:rPr>
          <w:b/>
        </w:rPr>
        <w:tab/>
        <w:t>A</w:t>
      </w:r>
      <w:r>
        <w:t xml:space="preserve"> </w:t>
      </w:r>
      <w:r>
        <w:sym w:font="Symbol" w:char="F0B4"/>
      </w:r>
      <w:r>
        <w:t xml:space="preserve"> </w:t>
      </w:r>
      <w:r>
        <w:rPr>
          <w:b/>
        </w:rPr>
        <w:t>S</w:t>
      </w:r>
    </w:p>
    <w:p>
      <w:pPr>
        <w:pStyle w:val="yIndenti0"/>
      </w:pPr>
      <w:r>
        <w:tab/>
      </w:r>
      <w:r>
        <w:tab/>
        <w:t xml:space="preserve">where — </w:t>
      </w:r>
    </w:p>
    <w:p>
      <w:pPr>
        <w:pStyle w:val="yIndentI"/>
      </w:pPr>
      <w:r>
        <w:rPr>
          <w:b/>
        </w:rPr>
        <w:tab/>
        <w:t>A</w:t>
      </w:r>
      <w:r>
        <w:t xml:space="preserve"> =</w:t>
      </w:r>
      <w:r>
        <w:tab/>
        <w:t>the charge payable in the 2008/2009 year;</w:t>
      </w:r>
    </w:p>
    <w:p>
      <w:pPr>
        <w:pStyle w:val="yIndentI"/>
      </w:pPr>
      <w:r>
        <w:rPr>
          <w:b/>
        </w:rPr>
        <w:tab/>
        <w:t>S</w:t>
      </w:r>
      <w:r>
        <w:t xml:space="preserve"> =</w:t>
      </w:r>
      <w:r>
        <w:tab/>
        <w:t>1.142;</w:t>
      </w:r>
    </w:p>
    <w:p>
      <w:pPr>
        <w:pStyle w:val="yIndentI"/>
      </w:pPr>
      <w:r>
        <w:rPr>
          <w:b/>
        </w:rPr>
        <w:tab/>
        <w:t>N</w:t>
      </w:r>
      <w:r>
        <w:t xml:space="preserve"> =</w:t>
      </w:r>
      <w:r>
        <w:tab/>
        <w:t>the discharge volume for the 2009/2010 year;</w:t>
      </w:r>
    </w:p>
    <w:p>
      <w:pPr>
        <w:pStyle w:val="yIndentI"/>
      </w:pPr>
      <w:r>
        <w:rPr>
          <w:b/>
        </w:rPr>
        <w:tab/>
        <w:t>W</w:t>
      </w:r>
      <w:r>
        <w:t xml:space="preserve"> =</w:t>
      </w:r>
      <w:r>
        <w:tab/>
        <w:t xml:space="preserve">the </w:t>
      </w:r>
      <w:r>
        <w:rPr>
          <w:bCs/>
        </w:rPr>
        <w:t>discharge</w:t>
      </w:r>
      <w:r>
        <w:t xml:space="preserve"> volume for the 2008/2009 year;</w:t>
      </w:r>
    </w:p>
    <w:p>
      <w:pPr>
        <w:pStyle w:val="yIndentI"/>
      </w:pPr>
      <w:r>
        <w:rPr>
          <w:b/>
        </w:rPr>
        <w:tab/>
        <w:t>I</w:t>
      </w:r>
      <w:r>
        <w:t xml:space="preserve"> =</w:t>
      </w:r>
      <w:r>
        <w:tab/>
        <w:t>2.328.</w:t>
      </w:r>
    </w:p>
    <w:p>
      <w:pPr>
        <w:pStyle w:val="yHeading5"/>
      </w:pPr>
      <w:bookmarkStart w:id="821" w:name="_Toc237309631"/>
      <w:r>
        <w:rPr>
          <w:rStyle w:val="CharSClsNo"/>
          <w:bCs/>
        </w:rPr>
        <w:t>14</w:t>
      </w:r>
      <w:r>
        <w:rPr>
          <w:bCs/>
        </w:rPr>
        <w:t>.</w:t>
      </w:r>
      <w:r>
        <w:tab/>
        <w:t>Metropolitan Government trading organisation and non</w:t>
      </w:r>
      <w:r>
        <w:noBreakHyphen/>
        <w:t>commercial Government property</w:t>
      </w:r>
      <w:bookmarkEnd w:id="821"/>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Subsection"/>
      </w:pPr>
      <w:r>
        <w:rPr>
          <w:b/>
        </w:rPr>
        <w:tab/>
      </w:r>
      <w:r>
        <w:rPr>
          <w:b/>
        </w:rPr>
        <w:tab/>
        <w:t>Y</w:t>
      </w:r>
      <w:r>
        <w:t xml:space="preserve"> + </w:t>
      </w:r>
      <w:r>
        <w:rPr>
          <w:b/>
        </w:rPr>
        <w:t>Q</w:t>
      </w:r>
    </w:p>
    <w:p>
      <w:pPr>
        <w:pStyle w:val="ySubsection"/>
      </w:pPr>
      <w:r>
        <w:tab/>
      </w:r>
      <w:r>
        <w:tab/>
        <w:t xml:space="preserve">where — </w:t>
      </w:r>
    </w:p>
    <w:p>
      <w:pPr>
        <w:pStyle w:val="yIndenta"/>
      </w:pPr>
      <w:r>
        <w:rPr>
          <w:b/>
        </w:rPr>
        <w:tab/>
        <w:t>Y</w:t>
      </w:r>
      <w:r>
        <w:t xml:space="preserve"> =</w:t>
      </w:r>
      <w:r>
        <w:tab/>
        <w:t>the charge payable for the relevant number of major fixtures in the 2009/2010 year as set out in the Table to item 18;</w:t>
      </w:r>
    </w:p>
    <w:p>
      <w:pPr>
        <w:pStyle w:val="yIndenta"/>
      </w:pPr>
      <w:r>
        <w:rPr>
          <w:b/>
        </w:rPr>
        <w:tab/>
        <w:t>Q</w:t>
      </w:r>
      <w:r>
        <w:t xml:space="preserve"> =</w:t>
      </w:r>
      <w:r>
        <w:tab/>
        <w:t>the quantity charge calculated in accordance with the formula in item 19.</w:t>
      </w:r>
    </w:p>
    <w:p>
      <w:pPr>
        <w:pStyle w:val="yHeading5"/>
      </w:pPr>
      <w:bookmarkStart w:id="822" w:name="_Toc237309632"/>
      <w:r>
        <w:rPr>
          <w:rStyle w:val="CharSClsNo"/>
          <w:bCs/>
        </w:rPr>
        <w:t>15</w:t>
      </w:r>
      <w:r>
        <w:rPr>
          <w:bCs/>
        </w:rPr>
        <w:t>.</w:t>
      </w:r>
      <w:r>
        <w:tab/>
        <w:t>Metropolitan non strata-titled caravan park with long</w:t>
      </w:r>
      <w:r>
        <w:noBreakHyphen/>
        <w:t>term residential caravan bays</w:t>
      </w:r>
      <w:bookmarkEnd w:id="822"/>
    </w:p>
    <w:p>
      <w:pPr>
        <w:pStyle w:val="ySubsection"/>
      </w:pPr>
      <w:r>
        <w:tab/>
      </w:r>
      <w:r>
        <w:tab/>
        <w:t xml:space="preserve">In respect of a caravan park in the metropolitan area — </w:t>
      </w:r>
    </w:p>
    <w:p>
      <w:pPr>
        <w:pStyle w:val="yIndenta"/>
      </w:pPr>
      <w:r>
        <w:tab/>
        <w:t>(a)</w:t>
      </w:r>
      <w:r>
        <w:tab/>
        <w:t>not consisting of strata-titled caravan bays referred to in item 3; and</w:t>
      </w:r>
    </w:p>
    <w:p>
      <w:pPr>
        <w:pStyle w:val="yIndenta"/>
      </w:pPr>
      <w:r>
        <w:tab/>
        <w:t>(b)</w:t>
      </w:r>
      <w:r>
        <w:tab/>
        <w:t xml:space="preserve">having long-term residential caravan bays, the charge payable in accordance with the following formula — </w:t>
      </w:r>
    </w:p>
    <w:p>
      <w:pPr>
        <w:pStyle w:val="yIndenta"/>
      </w:pPr>
      <w:r>
        <w:rPr>
          <w:b/>
        </w:rPr>
        <w:tab/>
      </w:r>
      <w:r>
        <w:rPr>
          <w:b/>
        </w:rPr>
        <w:tab/>
        <w:t>AA</w:t>
      </w:r>
      <w:r>
        <w:t xml:space="preserve"> + </w:t>
      </w:r>
      <w:r>
        <w:rPr>
          <w:b/>
        </w:rPr>
        <w:t>AB</w:t>
      </w:r>
    </w:p>
    <w:p>
      <w:pPr>
        <w:pStyle w:val="yIndenta"/>
        <w:keepNext/>
      </w:pPr>
      <w:r>
        <w:tab/>
      </w:r>
      <w:r>
        <w:tab/>
        <w:t xml:space="preserve">where — </w:t>
      </w:r>
    </w:p>
    <w:p>
      <w:pPr>
        <w:pStyle w:val="yIndenti0"/>
      </w:pPr>
      <w:r>
        <w:tab/>
      </w:r>
      <w:r>
        <w:rPr>
          <w:b/>
          <w:bCs/>
        </w:rPr>
        <w:t>AA</w:t>
      </w:r>
      <w:r>
        <w:t xml:space="preserve"> =</w:t>
      </w:r>
      <w:r>
        <w:tab/>
        <w:t>charge of $209.10 for each long-term residential caravan bay;</w:t>
      </w:r>
    </w:p>
    <w:p>
      <w:pPr>
        <w:pStyle w:val="yIndenti0"/>
      </w:pPr>
      <w:r>
        <w:rPr>
          <w:b/>
          <w:bCs/>
        </w:rPr>
        <w:tab/>
        <w:t>AB</w:t>
      </w:r>
      <w:r>
        <w:t xml:space="preserve"> =</w:t>
      </w:r>
      <w:r>
        <w:tab/>
        <w:t xml:space="preserve">the charge for any part of the caravan park not comprised in long-term residential caravan bays, calculated in accordance with the following formula — </w:t>
      </w:r>
    </w:p>
    <w:p>
      <w:pPr>
        <w:pStyle w:val="yIndenti0"/>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i0"/>
      </w:pPr>
      <w:r>
        <w:rPr>
          <w:b/>
        </w:rPr>
        <w:tab/>
      </w:r>
      <w:r>
        <w:rPr>
          <w:b/>
        </w:rPr>
        <w:tab/>
        <w:t>Y</w:t>
      </w:r>
      <w:r>
        <w:t xml:space="preserve"> + </w:t>
      </w:r>
      <w:r>
        <w:rPr>
          <w:b/>
        </w:rPr>
        <w:t>Q</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rPr>
          <w:b/>
        </w:rPr>
        <w:tab/>
      </w:r>
      <w:r>
        <w:rPr>
          <w:b/>
        </w:rPr>
        <w:tab/>
        <w:t>N</w:t>
      </w:r>
      <w:r>
        <w:t xml:space="preserve"> </w:t>
      </w:r>
      <w:r>
        <w:sym w:font="Symbol" w:char="F0A3"/>
      </w:r>
      <w:r>
        <w:t xml:space="preserve"> </w:t>
      </w:r>
      <w:r>
        <w:rPr>
          <w:b/>
        </w:rPr>
        <w:t>W</w:t>
      </w:r>
      <w:r>
        <w:t>,</w:t>
      </w:r>
    </w:p>
    <w:p>
      <w:pPr>
        <w:pStyle w:val="yIndenti0"/>
      </w:pPr>
      <w:r>
        <w:tab/>
      </w:r>
      <w:r>
        <w:tab/>
        <w:t xml:space="preserve">then — </w:t>
      </w:r>
    </w:p>
    <w:p>
      <w:pPr>
        <w:pStyle w:val="yIndenti0"/>
        <w:rPr>
          <w:b/>
        </w:rPr>
      </w:pPr>
      <w:r>
        <w:rPr>
          <w:b/>
        </w:rPr>
        <w:tab/>
      </w:r>
      <w:r>
        <w:rPr>
          <w:b/>
        </w:rPr>
        <w:tab/>
        <w:t>R</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tab/>
      </w:r>
      <w:r>
        <w:tab/>
      </w:r>
      <w:r>
        <w:rPr>
          <w:b/>
        </w:rPr>
        <w:t>N</w:t>
      </w:r>
      <w:r>
        <w:t xml:space="preserve"> &gt; </w:t>
      </w:r>
      <w:r>
        <w:rPr>
          <w:b/>
        </w:rPr>
        <w:t>W</w:t>
      </w:r>
      <w:r>
        <w:t>,</w:t>
      </w:r>
    </w:p>
    <w:p>
      <w:pPr>
        <w:pStyle w:val="yIndenti0"/>
      </w:pPr>
      <w:r>
        <w:tab/>
      </w:r>
      <w:r>
        <w:tab/>
        <w:t xml:space="preserve">then — </w:t>
      </w:r>
    </w:p>
    <w:p>
      <w:pPr>
        <w:pStyle w:val="yIndenti0"/>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i0"/>
      </w:pPr>
      <w:r>
        <w:tab/>
      </w:r>
      <w:r>
        <w:tab/>
        <w:t xml:space="preserve">where — </w:t>
      </w:r>
    </w:p>
    <w:p>
      <w:pPr>
        <w:pStyle w:val="yIndentI"/>
      </w:pPr>
      <w:r>
        <w:tab/>
      </w:r>
      <w:r>
        <w:rPr>
          <w:b/>
        </w:rPr>
        <w:t>Y</w:t>
      </w:r>
      <w:r>
        <w:t xml:space="preserve"> =</w:t>
      </w:r>
      <w:r>
        <w:tab/>
        <w:t>the charge payable for the number of major fixtures in the relevant part of the caravan park in the 2009/2010 year as set out in the Table to item 18;</w:t>
      </w:r>
    </w:p>
    <w:p>
      <w:pPr>
        <w:pStyle w:val="yIndentI"/>
        <w:rPr>
          <w:spacing w:val="-4"/>
        </w:rPr>
      </w:pPr>
      <w:r>
        <w:rPr>
          <w:b/>
          <w:spacing w:val="-4"/>
        </w:rPr>
        <w:tab/>
        <w:t>Q</w:t>
      </w:r>
      <w:r>
        <w:rPr>
          <w:spacing w:val="-4"/>
        </w:rPr>
        <w:t xml:space="preserve"> =</w:t>
      </w:r>
      <w:r>
        <w:rPr>
          <w:spacing w:val="-4"/>
        </w:rPr>
        <w:tab/>
        <w:t xml:space="preserve">the </w:t>
      </w:r>
      <w:r>
        <w:t>quantity</w:t>
      </w:r>
      <w:r>
        <w:rPr>
          <w:spacing w:val="-4"/>
        </w:rPr>
        <w:t xml:space="preserve"> charge calculated in accordance with the formula in item 19;</w:t>
      </w:r>
    </w:p>
    <w:p>
      <w:pPr>
        <w:pStyle w:val="yIndentI"/>
      </w:pPr>
      <w:r>
        <w:rPr>
          <w:b/>
        </w:rPr>
        <w:tab/>
        <w:t>R</w:t>
      </w:r>
      <w:r>
        <w:t xml:space="preserve"> =</w:t>
      </w:r>
      <w:r>
        <w:tab/>
        <w:t>the charge calculated in accordance with the following formula — </w:t>
      </w:r>
    </w:p>
    <w:p>
      <w:pPr>
        <w:pStyle w:val="yIndentI"/>
      </w:pPr>
      <w:r>
        <w:rPr>
          <w:b/>
        </w:rPr>
        <w:tab/>
      </w:r>
      <w:r>
        <w:rPr>
          <w:b/>
        </w:rPr>
        <w:tab/>
        <w:t>A</w:t>
      </w:r>
      <w:r>
        <w:t xml:space="preserve"> </w:t>
      </w:r>
      <w:r>
        <w:sym w:font="Symbol" w:char="F0B4"/>
      </w:r>
      <w:r>
        <w:t xml:space="preserve"> </w:t>
      </w:r>
      <w:r>
        <w:rPr>
          <w:b/>
        </w:rPr>
        <w:t>S</w:t>
      </w:r>
    </w:p>
    <w:p>
      <w:pPr>
        <w:pStyle w:val="yIndentI"/>
      </w:pPr>
      <w:r>
        <w:tab/>
      </w:r>
      <w:r>
        <w:tab/>
        <w:t xml:space="preserve">where — </w:t>
      </w:r>
    </w:p>
    <w:p>
      <w:pPr>
        <w:pStyle w:val="yIndentA0"/>
      </w:pPr>
      <w:r>
        <w:rPr>
          <w:b/>
        </w:rPr>
        <w:tab/>
        <w:t>A</w:t>
      </w:r>
      <w:r>
        <w:t xml:space="preserve"> =</w:t>
      </w:r>
      <w:r>
        <w:tab/>
        <w:t>the amount payable in the 2008/2009 year;</w:t>
      </w:r>
    </w:p>
    <w:p>
      <w:pPr>
        <w:pStyle w:val="yIndentA0"/>
        <w:rPr>
          <w:b/>
        </w:rPr>
      </w:pPr>
      <w:r>
        <w:rPr>
          <w:b/>
        </w:rPr>
        <w:tab/>
        <w:t>S =</w:t>
      </w:r>
      <w:r>
        <w:rPr>
          <w:b/>
        </w:rPr>
        <w:tab/>
      </w:r>
      <w:r>
        <w:t>1.142;</w:t>
      </w:r>
    </w:p>
    <w:p>
      <w:pPr>
        <w:pStyle w:val="yIndentI"/>
      </w:pPr>
      <w:r>
        <w:rPr>
          <w:b/>
        </w:rPr>
        <w:tab/>
        <w:t>N</w:t>
      </w:r>
      <w:r>
        <w:rPr>
          <w:bCs/>
        </w:rPr>
        <w:t xml:space="preserve"> </w:t>
      </w:r>
      <w:r>
        <w:t>=</w:t>
      </w:r>
      <w:r>
        <w:tab/>
        <w:t>the discharge volume for the 2009/2010 year;</w:t>
      </w:r>
    </w:p>
    <w:p>
      <w:pPr>
        <w:pStyle w:val="yIndentI"/>
      </w:pPr>
      <w:r>
        <w:tab/>
      </w:r>
      <w:r>
        <w:rPr>
          <w:b/>
          <w:bCs/>
        </w:rPr>
        <w:t>W</w:t>
      </w:r>
      <w:r>
        <w:t xml:space="preserve"> =</w:t>
      </w:r>
      <w:r>
        <w:tab/>
        <w:t>the discharge volume for the 2008/2009 year;</w:t>
      </w:r>
    </w:p>
    <w:p>
      <w:pPr>
        <w:pStyle w:val="yIndentI"/>
      </w:pPr>
      <w:r>
        <w:tab/>
      </w:r>
      <w:r>
        <w:rPr>
          <w:b/>
          <w:bCs/>
        </w:rPr>
        <w:t>I</w:t>
      </w:r>
      <w:r>
        <w:t xml:space="preserve"> =</w:t>
      </w:r>
      <w:r>
        <w:tab/>
        <w:t>2.328.</w:t>
      </w:r>
    </w:p>
    <w:p>
      <w:pPr>
        <w:pStyle w:val="yHeading5"/>
      </w:pPr>
      <w:bookmarkStart w:id="823" w:name="_Toc237309633"/>
      <w:r>
        <w:rPr>
          <w:rStyle w:val="CharSClsNo"/>
          <w:bCs/>
        </w:rPr>
        <w:t>16</w:t>
      </w:r>
      <w:r>
        <w:t>.</w:t>
      </w:r>
      <w:r>
        <w:tab/>
        <w:t>Metropolitan nursing home</w:t>
      </w:r>
      <w:bookmarkEnd w:id="823"/>
    </w:p>
    <w:p>
      <w:pPr>
        <w:pStyle w:val="ySubsection"/>
      </w:pPr>
      <w:r>
        <w:tab/>
      </w:r>
      <w:r>
        <w:tab/>
        <w:t>In respect of a nursing home in the metropolitan area, not being a nursing home which is, or is part of, a home for the aged the charge is calculated in accordance with the following formula —</w:t>
      </w:r>
    </w:p>
    <w:p>
      <w:pPr>
        <w:pStyle w:val="ySubsection"/>
      </w:pPr>
      <w:r>
        <w:tab/>
      </w:r>
      <w:r>
        <w:tab/>
        <w:t>If (</w:t>
      </w:r>
      <w:r>
        <w:rPr>
          <w:b/>
        </w:rPr>
        <w:t>T + Q</w:t>
      </w:r>
      <w:r>
        <w:t xml:space="preserve">) </w:t>
      </w:r>
      <w:r>
        <w:rPr>
          <w:bCs/>
        </w:rP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Cs/>
        </w:rPr>
        <w:t>&gt;</w:t>
      </w:r>
      <w:r>
        <w:t xml:space="preserve"> </w:t>
      </w:r>
      <w:r>
        <w:rPr>
          <w:b/>
        </w:rPr>
        <w:t>R</w:t>
      </w:r>
      <w:r>
        <w:t xml:space="preserve">, then — </w:t>
      </w:r>
    </w:p>
    <w:p>
      <w:pPr>
        <w:pStyle w:val="ySubsection"/>
        <w:rPr>
          <w:b/>
        </w:rPr>
      </w:pPr>
      <w:r>
        <w:rPr>
          <w:b/>
        </w:rPr>
        <w:tab/>
      </w:r>
      <w:r>
        <w:rPr>
          <w:b/>
        </w:rPr>
        <w:tab/>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the number of beds in the nursing home;</w:t>
      </w:r>
    </w:p>
    <w:p>
      <w:pPr>
        <w:pStyle w:val="yIndenti0"/>
      </w:pPr>
      <w:r>
        <w:rPr>
          <w:b/>
        </w:rPr>
        <w:tab/>
        <w:t>V</w:t>
      </w:r>
      <w:r>
        <w:t xml:space="preserve"> =</w:t>
      </w:r>
      <w:r>
        <w:tab/>
        <w:t>$114.60;</w:t>
      </w:r>
    </w:p>
    <w:p>
      <w:pPr>
        <w:pStyle w:val="yIndenta"/>
      </w:pPr>
      <w:r>
        <w:rPr>
          <w:b/>
        </w:rPr>
        <w:tab/>
        <w:t>Q</w:t>
      </w:r>
      <w:r>
        <w:t xml:space="preserve"> =</w:t>
      </w:r>
      <w:r>
        <w:tab/>
        <w:t>the quantity charge calculated in accordance with the formula in item 19;</w:t>
      </w:r>
    </w:p>
    <w:p>
      <w:pPr>
        <w:pStyle w:val="yIndenta"/>
      </w:pPr>
      <w:r>
        <w:rPr>
          <w:b/>
        </w:rPr>
        <w:tab/>
        <w:t>R</w:t>
      </w:r>
      <w:r>
        <w:t xml:space="preserve"> =</w:t>
      </w:r>
      <w:r>
        <w:tab/>
        <w:t xml:space="preserve">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 xml:space="preserve">where — </w:t>
      </w:r>
    </w:p>
    <w:p>
      <w:pPr>
        <w:pStyle w:val="yIndenti0"/>
      </w:pPr>
      <w:r>
        <w:rPr>
          <w:b/>
        </w:rPr>
        <w:tab/>
        <w:t>A</w:t>
      </w:r>
      <w:r>
        <w:t xml:space="preserve"> =</w:t>
      </w:r>
      <w:r>
        <w:tab/>
        <w:t xml:space="preserve">the amount payable in the 2008/2009 year; </w:t>
      </w:r>
    </w:p>
    <w:p>
      <w:pPr>
        <w:pStyle w:val="yIndenti0"/>
      </w:pPr>
      <w:r>
        <w:rPr>
          <w:b/>
        </w:rPr>
        <w:tab/>
        <w:t>S</w:t>
      </w:r>
      <w:r>
        <w:t xml:space="preserve"> =</w:t>
      </w:r>
      <w:r>
        <w:tab/>
        <w:t>1.142.</w:t>
      </w:r>
    </w:p>
    <w:p>
      <w:pPr>
        <w:pStyle w:val="yHeading5"/>
      </w:pPr>
      <w:bookmarkStart w:id="824" w:name="_Toc237309634"/>
      <w:r>
        <w:rPr>
          <w:rStyle w:val="CharSClsNo"/>
          <w:bCs/>
        </w:rPr>
        <w:t>17</w:t>
      </w:r>
      <w:r>
        <w:t>.</w:t>
      </w:r>
      <w:r>
        <w:tab/>
        <w:t>Certain metropolitan strata-titled units</w:t>
      </w:r>
      <w:bookmarkEnd w:id="824"/>
    </w:p>
    <w:p>
      <w:pPr>
        <w:pStyle w:val="ySubsection"/>
        <w:keepNext/>
      </w:pPr>
      <w:r>
        <w:tab/>
      </w:r>
      <w:r>
        <w:tab/>
        <w:t>In respect of land in the metropolitan area that —</w:t>
      </w:r>
    </w:p>
    <w:p>
      <w:pPr>
        <w:pStyle w:val="yIndenta"/>
      </w:pPr>
      <w:r>
        <w:tab/>
        <w:t>(a)</w:t>
      </w:r>
      <w:r>
        <w:tab/>
        <w:t>is not classified residential or vacant land;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$393.70;</w:t>
      </w:r>
    </w:p>
    <w:p>
      <w:pPr>
        <w:pStyle w:val="yIndenta"/>
      </w:pPr>
      <w:r>
        <w:rPr>
          <w:b/>
        </w:rPr>
        <w:tab/>
        <w:t>Q</w:t>
      </w:r>
      <w:r>
        <w:t xml:space="preserve"> =</w:t>
      </w:r>
      <w:r>
        <w:tab/>
        <w:t>the quantity charge calculated in accordance with the formula in item 19.</w:t>
      </w:r>
    </w:p>
    <w:p>
      <w:pPr>
        <w:pStyle w:val="yFootnotesection"/>
      </w:pPr>
      <w:r>
        <w:tab/>
        <w:t>[Division 4 inserted in Gazette 19 Jun 2009 p. 2356-61.]</w:t>
      </w:r>
    </w:p>
    <w:p>
      <w:pPr>
        <w:pStyle w:val="yHeading3"/>
      </w:pPr>
      <w:bookmarkStart w:id="825" w:name="_Toc233448430"/>
      <w:bookmarkStart w:id="826" w:name="_Toc233611709"/>
      <w:bookmarkStart w:id="827" w:name="_Toc234730716"/>
      <w:bookmarkStart w:id="828" w:name="_Toc234733242"/>
      <w:bookmarkStart w:id="829" w:name="_Toc235863979"/>
      <w:bookmarkStart w:id="830" w:name="_Toc235933454"/>
      <w:bookmarkStart w:id="831" w:name="_Toc237164442"/>
      <w:bookmarkStart w:id="832" w:name="_Toc237244326"/>
      <w:bookmarkStart w:id="833" w:name="_Toc237245640"/>
      <w:bookmarkStart w:id="834" w:name="_Toc237245771"/>
      <w:bookmarkStart w:id="835" w:name="_Toc237247913"/>
      <w:bookmarkStart w:id="836" w:name="_Toc237254216"/>
      <w:bookmarkStart w:id="837" w:name="_Toc237309635"/>
      <w:r>
        <w:rPr>
          <w:rStyle w:val="CharSDivNo"/>
        </w:rPr>
        <w:t>Division 5</w:t>
      </w:r>
      <w:r>
        <w:rPr>
          <w:b w:val="0"/>
        </w:rPr>
        <w:t> — </w:t>
      </w:r>
      <w:r>
        <w:rPr>
          <w:rStyle w:val="CharSDivText"/>
        </w:rPr>
        <w:t>Computation of combined metropolitan charges</w:t>
      </w:r>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yFootnoteheading"/>
        <w:spacing w:after="120"/>
      </w:pPr>
      <w:r>
        <w:tab/>
        <w:t>[Heading inserted in Gazette 19 Jun 2009 p. 2361.]</w:t>
      </w:r>
    </w:p>
    <w:p>
      <w:pPr>
        <w:pStyle w:val="yHeading5"/>
        <w:spacing w:before="180"/>
      </w:pPr>
      <w:bookmarkStart w:id="838" w:name="_Toc237309636"/>
      <w:r>
        <w:rPr>
          <w:rStyle w:val="CharSClsNo"/>
          <w:bCs/>
        </w:rPr>
        <w:t>18</w:t>
      </w:r>
      <w:r>
        <w:t>.</w:t>
      </w:r>
      <w:r>
        <w:tab/>
        <w:t>Formula for annual charge</w:t>
      </w:r>
      <w:bookmarkEnd w:id="838"/>
    </w:p>
    <w:p>
      <w:pPr>
        <w:pStyle w:val="ySubsection"/>
      </w:pPr>
      <w:r>
        <w:tab/>
      </w:r>
      <w:r>
        <w:tab/>
        <w:t>For the purposes of Division 4, the annual charge (</w:t>
      </w:r>
      <w:r>
        <w:rPr>
          <w:rStyle w:val="CharDefText"/>
        </w:rPr>
        <w:t>P</w:t>
      </w:r>
      <w:r>
        <w:t xml:space="preserve">) is calculated according to the following formula —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 xml:space="preserve">where — </w:t>
      </w:r>
    </w:p>
    <w:p>
      <w:pPr>
        <w:pStyle w:val="yIndenta"/>
      </w:pPr>
      <w:r>
        <w:tab/>
      </w:r>
      <w:r>
        <w:rPr>
          <w:b/>
        </w:rPr>
        <w:t>A</w:t>
      </w:r>
      <w:r>
        <w:t xml:space="preserve"> =</w:t>
      </w:r>
      <w:r>
        <w:tab/>
        <w:t>the amount payable in the 2008/2009 year;</w:t>
      </w:r>
    </w:p>
    <w:p>
      <w:pPr>
        <w:pStyle w:val="yIndenta"/>
      </w:pPr>
      <w:r>
        <w:tab/>
      </w:r>
      <w:r>
        <w:rPr>
          <w:b/>
        </w:rPr>
        <w:t>B</w:t>
      </w:r>
      <w:r>
        <w:t xml:space="preserve"> =</w:t>
      </w:r>
      <w:r>
        <w:tab/>
        <w:t>1.142;</w:t>
      </w:r>
    </w:p>
    <w:p>
      <w:pPr>
        <w:pStyle w:val="yIndenta"/>
      </w:pPr>
      <w:r>
        <w:tab/>
      </w:r>
      <w:r>
        <w:rPr>
          <w:b/>
        </w:rPr>
        <w:t>C</w:t>
      </w:r>
      <w:r>
        <w:t xml:space="preserve"> =</w:t>
      </w:r>
      <w:r>
        <w:tab/>
        <w:t>the charge payable for the relevant number of major fixtures for the 2009/2010 year as set out in the Table to this item;</w:t>
      </w:r>
    </w:p>
    <w:p>
      <w:pPr>
        <w:pStyle w:val="yIndenta"/>
      </w:pPr>
      <w:r>
        <w:tab/>
      </w:r>
      <w:r>
        <w:rPr>
          <w:b/>
        </w:rPr>
        <w:t>D</w:t>
      </w:r>
      <w:r>
        <w:t xml:space="preserve"> =</w:t>
      </w:r>
      <w:r>
        <w:tab/>
        <w:t>discharge charge;</w:t>
      </w:r>
    </w:p>
    <w:p>
      <w:pPr>
        <w:pStyle w:val="yIndenta"/>
      </w:pPr>
      <w:r>
        <w:tab/>
      </w:r>
      <w:r>
        <w:rPr>
          <w:b/>
        </w:rPr>
        <w:t>E</w:t>
      </w:r>
      <w:r>
        <w:t xml:space="preserve"> =</w:t>
      </w:r>
      <w:r>
        <w:tab/>
        <w:t>1.000;</w:t>
      </w:r>
    </w:p>
    <w:p>
      <w:pPr>
        <w:pStyle w:val="yIndenta"/>
      </w:pPr>
      <w:r>
        <w:rPr>
          <w:b/>
        </w:rPr>
        <w:tab/>
        <w:t>X</w:t>
      </w:r>
      <w:r>
        <w:t xml:space="preserve"> =</w:t>
      </w:r>
      <w:r>
        <w:tab/>
        <w:t>the amount specified in relation to the 2009/2010 year for the relevant number of major fixtures as set out in the Table to this item.</w:t>
      </w:r>
    </w:p>
    <w:p>
      <w:pPr>
        <w:pStyle w:val="yTHeadingNAm"/>
      </w:pPr>
      <w:r>
        <w:t>Table of major fixture-based minimum charges</w:t>
      </w:r>
      <w: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jc w:val="center"/>
              <w:rPr>
                <w:b/>
                <w:bCs/>
              </w:rPr>
            </w:pPr>
            <w:r>
              <w:rPr>
                <w:b/>
                <w:bCs/>
              </w:rPr>
              <w:t>No. of fixtures</w:t>
            </w:r>
          </w:p>
        </w:tc>
        <w:tc>
          <w:tcPr>
            <w:tcW w:w="2268"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268" w:type="dxa"/>
          </w:tcPr>
          <w:p>
            <w:pPr>
              <w:pStyle w:val="yTableNAm"/>
              <w:jc w:val="center"/>
            </w:pPr>
            <w:r>
              <w:t>1</w:t>
            </w:r>
          </w:p>
        </w:tc>
        <w:tc>
          <w:tcPr>
            <w:tcW w:w="2268" w:type="dxa"/>
          </w:tcPr>
          <w:p>
            <w:pPr>
              <w:pStyle w:val="yTableNAm"/>
              <w:jc w:val="center"/>
            </w:pPr>
            <w:r>
              <w:t>633.40</w:t>
            </w:r>
          </w:p>
        </w:tc>
      </w:tr>
      <w:tr>
        <w:tc>
          <w:tcPr>
            <w:tcW w:w="2268" w:type="dxa"/>
          </w:tcPr>
          <w:p>
            <w:pPr>
              <w:pStyle w:val="yTableNAm"/>
              <w:jc w:val="center"/>
            </w:pPr>
            <w:r>
              <w:t>2</w:t>
            </w:r>
          </w:p>
        </w:tc>
        <w:tc>
          <w:tcPr>
            <w:tcW w:w="2268" w:type="dxa"/>
          </w:tcPr>
          <w:p>
            <w:pPr>
              <w:pStyle w:val="yTableNAm"/>
              <w:jc w:val="center"/>
            </w:pPr>
            <w:r>
              <w:t>271.10</w:t>
            </w:r>
          </w:p>
        </w:tc>
      </w:tr>
      <w:tr>
        <w:tc>
          <w:tcPr>
            <w:tcW w:w="2268" w:type="dxa"/>
          </w:tcPr>
          <w:p>
            <w:pPr>
              <w:pStyle w:val="yTableNAm"/>
              <w:jc w:val="center"/>
            </w:pPr>
            <w:r>
              <w:t>3</w:t>
            </w:r>
          </w:p>
        </w:tc>
        <w:tc>
          <w:tcPr>
            <w:tcW w:w="2268" w:type="dxa"/>
          </w:tcPr>
          <w:p>
            <w:pPr>
              <w:pStyle w:val="yTableNAm"/>
              <w:jc w:val="center"/>
            </w:pPr>
            <w:r>
              <w:t>362.10</w:t>
            </w:r>
          </w:p>
        </w:tc>
      </w:tr>
      <w:tr>
        <w:tc>
          <w:tcPr>
            <w:tcW w:w="2268" w:type="dxa"/>
            <w:tcBorders>
              <w:bottom w:val="single" w:sz="4" w:space="0" w:color="auto"/>
            </w:tcBorders>
          </w:tcPr>
          <w:p>
            <w:pPr>
              <w:pStyle w:val="yTableNAm"/>
              <w:jc w:val="center"/>
            </w:pPr>
            <w:r>
              <w:t>4+</w:t>
            </w:r>
          </w:p>
        </w:tc>
        <w:tc>
          <w:tcPr>
            <w:tcW w:w="2268" w:type="dxa"/>
            <w:tcBorders>
              <w:bottom w:val="single" w:sz="4" w:space="0" w:color="auto"/>
            </w:tcBorders>
          </w:tcPr>
          <w:p>
            <w:pPr>
              <w:pStyle w:val="yTableNAm"/>
              <w:jc w:val="center"/>
            </w:pPr>
            <w:r>
              <w:t>393.70</w:t>
            </w:r>
          </w:p>
        </w:tc>
      </w:tr>
    </w:tbl>
    <w:p>
      <w:pPr>
        <w:pStyle w:val="yHeading5"/>
      </w:pPr>
      <w:bookmarkStart w:id="839" w:name="_Toc237309637"/>
      <w:r>
        <w:rPr>
          <w:rStyle w:val="CharSClsNo"/>
          <w:bCs/>
        </w:rPr>
        <w:t>19</w:t>
      </w:r>
      <w:r>
        <w:t>.</w:t>
      </w:r>
      <w:r>
        <w:tab/>
        <w:t>Formula for quantity charge</w:t>
      </w:r>
      <w:bookmarkEnd w:id="839"/>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2009/2010 year;</w:t>
      </w:r>
    </w:p>
    <w:p>
      <w:pPr>
        <w:pStyle w:val="yIndenta"/>
      </w:pPr>
      <w:r>
        <w:rPr>
          <w:b/>
        </w:rPr>
        <w:tab/>
        <w:t>G</w:t>
      </w:r>
      <w:r>
        <w:t xml:space="preserve"> =</w:t>
      </w:r>
      <w:r>
        <w:tab/>
        <w:t>the discharge factor set for the property for the 2009/2010 year;</w:t>
      </w:r>
    </w:p>
    <w:p>
      <w:pPr>
        <w:pStyle w:val="yIndenta"/>
      </w:pPr>
      <w:r>
        <w:rPr>
          <w:b/>
        </w:rPr>
        <w:tab/>
        <w:t>H</w:t>
      </w:r>
      <w:r>
        <w:t xml:space="preserve"> =</w:t>
      </w:r>
      <w:r>
        <w:tab/>
        <w:t>the discharge allowance for the 2009/2010 year calculated in accordance with item 20;</w:t>
      </w:r>
    </w:p>
    <w:p>
      <w:pPr>
        <w:pStyle w:val="yIndenta"/>
      </w:pPr>
      <w:r>
        <w:rPr>
          <w:b/>
        </w:rPr>
        <w:tab/>
        <w:t>I</w:t>
      </w:r>
      <w:r>
        <w:t xml:space="preserve"> =</w:t>
      </w:r>
      <w:r>
        <w:tab/>
        <w:t>2.328.</w:t>
      </w:r>
    </w:p>
    <w:p>
      <w:pPr>
        <w:pStyle w:val="yHeading5"/>
      </w:pPr>
      <w:bookmarkStart w:id="840" w:name="_Toc237309638"/>
      <w:r>
        <w:rPr>
          <w:rStyle w:val="CharSClsNo"/>
          <w:bCs/>
        </w:rPr>
        <w:t>20</w:t>
      </w:r>
      <w:r>
        <w:t>.</w:t>
      </w:r>
      <w:r>
        <w:tab/>
        <w:t>Discharge allowance</w:t>
      </w:r>
      <w:bookmarkEnd w:id="840"/>
    </w:p>
    <w:p>
      <w:pPr>
        <w:pStyle w:val="ySubsection"/>
        <w:rPr>
          <w:snapToGrid w:val="0"/>
        </w:rPr>
      </w:pPr>
      <w:r>
        <w:rPr>
          <w:snapToGrid w:val="0"/>
        </w:rPr>
        <w:tab/>
      </w:r>
      <w:r>
        <w:rPr>
          <w:snapToGrid w:val="0"/>
        </w:rPr>
        <w:tab/>
        <w:t xml:space="preserve">For the purposes of item 19, the discharge </w:t>
      </w:r>
      <w:r>
        <w:t>allowance</w:t>
      </w:r>
      <w:r>
        <w:rPr>
          <w:snapToGrid w:val="0"/>
        </w:rPr>
        <w:t xml:space="preserve"> is — </w:t>
      </w:r>
    </w:p>
    <w:p>
      <w:pPr>
        <w:pStyle w:val="yIndenta"/>
        <w:rPr>
          <w:snapToGrid w:val="0"/>
        </w:rPr>
      </w:pPr>
      <w:r>
        <w:rPr>
          <w:snapToGrid w:val="0"/>
        </w:rPr>
        <w:tab/>
        <w:t>(a)</w:t>
      </w:r>
      <w:r>
        <w:rPr>
          <w:snapToGrid w:val="0"/>
        </w:rPr>
        <w:tab/>
        <w:t>for land to which item 13 applies that is not mentioned in paragraph (e), 200 kL of water; and</w:t>
      </w:r>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 and</w:t>
      </w:r>
    </w:p>
    <w:p>
      <w:pPr>
        <w:pStyle w:val="yIndenta"/>
        <w:rPr>
          <w:snapToGrid w:val="0"/>
        </w:rPr>
      </w:pPr>
      <w:r>
        <w:rPr>
          <w:snapToGrid w:val="0"/>
        </w:rPr>
        <w:tab/>
        <w:t>(c)</w:t>
      </w:r>
      <w:r>
        <w:rPr>
          <w:snapToGrid w:val="0"/>
        </w:rPr>
        <w:tab/>
        <w:t>for a caravan park referred to in item 15,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pPr>
      <w:r>
        <w:tab/>
      </w:r>
      <w:r>
        <w:rPr>
          <w:b/>
        </w:rPr>
        <w:t>L =</w:t>
      </w:r>
      <w:r>
        <w:rPr>
          <w:b/>
        </w:rPr>
        <w:tab/>
      </w:r>
      <w:r>
        <w:t>200;</w:t>
      </w:r>
    </w:p>
    <w:p>
      <w:pPr>
        <w:pStyle w:val="yIndenti0"/>
      </w:pPr>
      <w:r>
        <w:rPr>
          <w:b/>
        </w:rPr>
        <w:tab/>
        <w:t xml:space="preserve">M </w:t>
      </w:r>
      <w:r>
        <w:t>=</w:t>
      </w:r>
      <w:r>
        <w:tab/>
        <w:t>75 kL of water for each long-term residential caravan bay;</w:t>
      </w:r>
    </w:p>
    <w:p>
      <w:pPr>
        <w:pStyle w:val="yIndenta"/>
      </w:pPr>
      <w:r>
        <w:tab/>
      </w:r>
      <w:r>
        <w:tab/>
        <w:t>and</w:t>
      </w:r>
    </w:p>
    <w:p>
      <w:pPr>
        <w:pStyle w:val="yIndenta"/>
        <w:rPr>
          <w:snapToGrid w:val="0"/>
        </w:rPr>
      </w:pPr>
      <w:r>
        <w:rPr>
          <w:snapToGrid w:val="0"/>
        </w:rPr>
        <w:tab/>
        <w:t>(d)</w:t>
      </w:r>
      <w:r>
        <w:rPr>
          <w:snapToGrid w:val="0"/>
        </w:rPr>
        <w:tab/>
        <w:t>for a nursing home referred to in item 16, 75 kL of water per bed; and</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section"/>
      </w:pPr>
      <w:r>
        <w:tab/>
        <w:t>[Division 5 inserted in Gazette 19 Jun 2009 p. 2361-3.]</w:t>
      </w:r>
    </w:p>
    <w:p>
      <w:pPr>
        <w:pStyle w:val="yHeading3"/>
      </w:pPr>
      <w:bookmarkStart w:id="841" w:name="_Toc233448434"/>
      <w:bookmarkStart w:id="842" w:name="_Toc233611713"/>
      <w:bookmarkStart w:id="843" w:name="_Toc234730720"/>
      <w:bookmarkStart w:id="844" w:name="_Toc234733246"/>
      <w:bookmarkStart w:id="845" w:name="_Toc235863983"/>
      <w:bookmarkStart w:id="846" w:name="_Toc235933458"/>
      <w:bookmarkStart w:id="847" w:name="_Toc237164446"/>
      <w:bookmarkStart w:id="848" w:name="_Toc237244330"/>
      <w:bookmarkStart w:id="849" w:name="_Toc237245644"/>
      <w:bookmarkStart w:id="850" w:name="_Toc237245775"/>
      <w:bookmarkStart w:id="851" w:name="_Toc237247917"/>
      <w:bookmarkStart w:id="852" w:name="_Toc237254220"/>
      <w:bookmarkStart w:id="853" w:name="_Toc237309639"/>
      <w:r>
        <w:rPr>
          <w:rStyle w:val="CharSDivNo"/>
        </w:rPr>
        <w:t>Division 6</w:t>
      </w:r>
      <w:r>
        <w:rPr>
          <w:b w:val="0"/>
        </w:rPr>
        <w:t> — </w:t>
      </w:r>
      <w:r>
        <w:rPr>
          <w:rStyle w:val="CharSDivText"/>
        </w:rPr>
        <w:t>Service charges for industrial waste</w:t>
      </w:r>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yFootnoteheading"/>
        <w:spacing w:after="120"/>
      </w:pPr>
      <w:r>
        <w:tab/>
        <w:t>[Heading inserted in Gazette 19 Jun 2009 p. 2363.]</w:t>
      </w:r>
    </w:p>
    <w:tbl>
      <w:tblPr>
        <w:tblW w:w="0" w:type="auto"/>
        <w:tblInd w:w="-12" w:type="dxa"/>
        <w:tblLayout w:type="fixed"/>
        <w:tblLook w:val="0000" w:firstRow="0" w:lastRow="0" w:firstColumn="0" w:lastColumn="0" w:noHBand="0" w:noVBand="0"/>
      </w:tblPr>
      <w:tblGrid>
        <w:gridCol w:w="960"/>
        <w:gridCol w:w="4634"/>
        <w:gridCol w:w="14"/>
        <w:gridCol w:w="32"/>
        <w:gridCol w:w="1560"/>
      </w:tblGrid>
      <w:tr>
        <w:trPr>
          <w:cantSplit/>
        </w:trPr>
        <w:tc>
          <w:tcPr>
            <w:tcW w:w="7200" w:type="dxa"/>
            <w:gridSpan w:val="5"/>
          </w:tcPr>
          <w:p>
            <w:pPr>
              <w:pStyle w:val="yHeading5"/>
            </w:pPr>
            <w:bookmarkStart w:id="854" w:name="_Toc237309640"/>
            <w:r>
              <w:rPr>
                <w:rStyle w:val="CharSClsNo"/>
                <w:bCs/>
              </w:rPr>
              <w:t>21</w:t>
            </w:r>
            <w:r>
              <w:t>.</w:t>
            </w:r>
            <w:r>
              <w:tab/>
              <w:t>Inspection — routine programme</w:t>
            </w:r>
            <w:bookmarkEnd w:id="854"/>
          </w:p>
        </w:tc>
      </w:tr>
      <w:tr>
        <w:tc>
          <w:tcPr>
            <w:tcW w:w="960" w:type="dxa"/>
          </w:tcPr>
          <w:p>
            <w:pPr>
              <w:pStyle w:val="yTableNAm"/>
              <w:ind w:left="-108"/>
            </w:pPr>
          </w:p>
        </w:tc>
        <w:tc>
          <w:tcPr>
            <w:tcW w:w="4680" w:type="dxa"/>
            <w:gridSpan w:val="3"/>
          </w:tcPr>
          <w:p>
            <w:pPr>
              <w:pStyle w:val="yTableNAm"/>
              <w:tabs>
                <w:tab w:val="clear" w:pos="567"/>
                <w:tab w:val="left" w:leader="dot" w:pos="4452"/>
              </w:tabs>
              <w:ind w:left="-66" w:right="12"/>
            </w:pPr>
            <w:r>
              <w:t xml:space="preserve">For an inspection for a routine programme </w:t>
            </w:r>
            <w:r>
              <w:tab/>
            </w:r>
          </w:p>
        </w:tc>
        <w:tc>
          <w:tcPr>
            <w:tcW w:w="1560" w:type="dxa"/>
          </w:tcPr>
          <w:p>
            <w:pPr>
              <w:pStyle w:val="yTableNAm"/>
              <w:rPr>
                <w:spacing w:val="-1"/>
              </w:rPr>
            </w:pPr>
            <w:r>
              <w:rPr>
                <w:spacing w:val="-1"/>
              </w:rPr>
              <w:t>$121.00/hour</w:t>
            </w:r>
          </w:p>
        </w:tc>
      </w:tr>
      <w:tr>
        <w:trPr>
          <w:cantSplit/>
        </w:trPr>
        <w:tc>
          <w:tcPr>
            <w:tcW w:w="7200" w:type="dxa"/>
            <w:gridSpan w:val="5"/>
          </w:tcPr>
          <w:p>
            <w:pPr>
              <w:pStyle w:val="yHeading5"/>
            </w:pPr>
            <w:bookmarkStart w:id="855" w:name="_Toc237309641"/>
            <w:r>
              <w:rPr>
                <w:rStyle w:val="CharSClsNo"/>
                <w:bCs/>
              </w:rPr>
              <w:t>22</w:t>
            </w:r>
            <w:r>
              <w:t>.</w:t>
            </w:r>
            <w:r>
              <w:tab/>
              <w:t>Meter reading — routine programme</w:t>
            </w:r>
            <w:bookmarkEnd w:id="855"/>
          </w:p>
        </w:tc>
      </w:tr>
      <w:tr>
        <w:tc>
          <w:tcPr>
            <w:tcW w:w="960" w:type="dxa"/>
          </w:tcPr>
          <w:p>
            <w:pPr>
              <w:pStyle w:val="yTableNAm"/>
            </w:pPr>
          </w:p>
        </w:tc>
        <w:tc>
          <w:tcPr>
            <w:tcW w:w="4680" w:type="dxa"/>
            <w:gridSpan w:val="3"/>
          </w:tcPr>
          <w:p>
            <w:pPr>
              <w:pStyle w:val="yTableNAm"/>
              <w:tabs>
                <w:tab w:val="clear" w:pos="567"/>
                <w:tab w:val="left" w:leader="dot" w:pos="4452"/>
              </w:tabs>
              <w:ind w:left="-66" w:right="12"/>
            </w:pPr>
            <w:r>
              <w:t xml:space="preserve">For each meter reading for a routine programme </w:t>
            </w:r>
            <w:r>
              <w:tab/>
            </w:r>
          </w:p>
        </w:tc>
        <w:tc>
          <w:tcPr>
            <w:tcW w:w="1560" w:type="dxa"/>
          </w:tcPr>
          <w:p>
            <w:pPr>
              <w:pStyle w:val="yTableNAm"/>
            </w:pPr>
            <w:r>
              <w:t>$22.10</w:t>
            </w:r>
          </w:p>
        </w:tc>
      </w:tr>
      <w:tr>
        <w:trPr>
          <w:cantSplit/>
        </w:trPr>
        <w:tc>
          <w:tcPr>
            <w:tcW w:w="7200" w:type="dxa"/>
            <w:gridSpan w:val="5"/>
          </w:tcPr>
          <w:p>
            <w:pPr>
              <w:pStyle w:val="yHeading5"/>
            </w:pPr>
            <w:bookmarkStart w:id="856" w:name="_Toc237309642"/>
            <w:r>
              <w:rPr>
                <w:rStyle w:val="CharSClsNo"/>
                <w:bCs/>
              </w:rPr>
              <w:t>23</w:t>
            </w:r>
            <w:r>
              <w:t>.</w:t>
            </w:r>
            <w:r>
              <w:tab/>
              <w:t>Grab samples — routine programme</w:t>
            </w:r>
            <w:bookmarkEnd w:id="856"/>
          </w:p>
        </w:tc>
      </w:tr>
      <w:tr>
        <w:tc>
          <w:tcPr>
            <w:tcW w:w="960" w:type="dxa"/>
          </w:tcPr>
          <w:p>
            <w:pPr>
              <w:pStyle w:val="yTableNAm"/>
            </w:pPr>
          </w:p>
        </w:tc>
        <w:tc>
          <w:tcPr>
            <w:tcW w:w="4680" w:type="dxa"/>
            <w:gridSpan w:val="3"/>
          </w:tcPr>
          <w:p>
            <w:pPr>
              <w:pStyle w:val="yTableNAm"/>
              <w:tabs>
                <w:tab w:val="clear" w:pos="567"/>
                <w:tab w:val="left" w:leader="dot" w:pos="4452"/>
              </w:tabs>
              <w:ind w:left="-66" w:right="12"/>
              <w:rPr>
                <w:spacing w:val="-12"/>
              </w:rPr>
            </w:pPr>
            <w:r>
              <w:t xml:space="preserve">For each grab sample for a routine programme </w:t>
            </w:r>
            <w:r>
              <w:tab/>
            </w:r>
          </w:p>
        </w:tc>
        <w:tc>
          <w:tcPr>
            <w:tcW w:w="1560" w:type="dxa"/>
          </w:tcPr>
          <w:p>
            <w:pPr>
              <w:pStyle w:val="yTableNAm"/>
              <w:rPr>
                <w:spacing w:val="-1"/>
              </w:rPr>
            </w:pPr>
            <w:r>
              <w:rPr>
                <w:spacing w:val="-1"/>
              </w:rPr>
              <w:t>$257.40</w:t>
            </w:r>
          </w:p>
        </w:tc>
      </w:tr>
      <w:tr>
        <w:trPr>
          <w:cantSplit/>
        </w:trPr>
        <w:tc>
          <w:tcPr>
            <w:tcW w:w="7200" w:type="dxa"/>
            <w:gridSpan w:val="5"/>
          </w:tcPr>
          <w:p>
            <w:pPr>
              <w:pStyle w:val="yHeading5"/>
            </w:pPr>
            <w:bookmarkStart w:id="857" w:name="_Toc237309643"/>
            <w:r>
              <w:rPr>
                <w:rStyle w:val="CharSClsNo"/>
                <w:bCs/>
              </w:rPr>
              <w:t>24</w:t>
            </w:r>
            <w:r>
              <w:t>.</w:t>
            </w:r>
            <w:r>
              <w:tab/>
              <w:t>Composite samples — routine programme</w:t>
            </w:r>
            <w:bookmarkEnd w:id="857"/>
          </w:p>
        </w:tc>
      </w:tr>
      <w:tr>
        <w:tc>
          <w:tcPr>
            <w:tcW w:w="960" w:type="dxa"/>
          </w:tcPr>
          <w:p>
            <w:pPr>
              <w:pStyle w:val="yTableNAm"/>
            </w:pPr>
          </w:p>
        </w:tc>
        <w:tc>
          <w:tcPr>
            <w:tcW w:w="4680" w:type="dxa"/>
            <w:gridSpan w:val="3"/>
          </w:tcPr>
          <w:p>
            <w:pPr>
              <w:pStyle w:val="yTableNAm"/>
              <w:tabs>
                <w:tab w:val="clear" w:pos="567"/>
                <w:tab w:val="left" w:leader="dot" w:pos="4452"/>
              </w:tabs>
              <w:ind w:left="-66" w:right="12"/>
              <w:rPr>
                <w:spacing w:val="-1"/>
              </w:rPr>
            </w:pPr>
            <w:r>
              <w:t>For each composite sample for a routine programme</w:t>
            </w:r>
            <w:r>
              <w:rPr>
                <w:spacing w:val="-1"/>
              </w:rPr>
              <w:t xml:space="preserve"> </w:t>
            </w:r>
            <w:r>
              <w:rPr>
                <w:spacing w:val="-1"/>
              </w:rPr>
              <w:tab/>
            </w:r>
          </w:p>
        </w:tc>
        <w:tc>
          <w:tcPr>
            <w:tcW w:w="1560" w:type="dxa"/>
          </w:tcPr>
          <w:p>
            <w:pPr>
              <w:pStyle w:val="yTableNAm"/>
              <w:rPr>
                <w:spacing w:val="-1"/>
              </w:rPr>
            </w:pPr>
            <w:r>
              <w:rPr>
                <w:spacing w:val="-1"/>
              </w:rPr>
              <w:br/>
              <w:t>$603.90</w:t>
            </w:r>
          </w:p>
        </w:tc>
      </w:tr>
      <w:tr>
        <w:trPr>
          <w:cantSplit/>
        </w:trPr>
        <w:tc>
          <w:tcPr>
            <w:tcW w:w="7200" w:type="dxa"/>
            <w:gridSpan w:val="5"/>
          </w:tcPr>
          <w:p>
            <w:pPr>
              <w:pStyle w:val="yHeading5"/>
            </w:pPr>
            <w:bookmarkStart w:id="858" w:name="_Toc237309644"/>
            <w:r>
              <w:rPr>
                <w:rStyle w:val="CharSClsNo"/>
                <w:bCs/>
              </w:rPr>
              <w:t>25</w:t>
            </w:r>
            <w:r>
              <w:t>.</w:t>
            </w:r>
            <w:r>
              <w:tab/>
              <w:t>Establishment charge — unscheduled visit</w:t>
            </w:r>
            <w:bookmarkEnd w:id="858"/>
          </w:p>
        </w:tc>
      </w:tr>
      <w:tr>
        <w:tc>
          <w:tcPr>
            <w:tcW w:w="960" w:type="dxa"/>
          </w:tcPr>
          <w:p>
            <w:pPr>
              <w:pStyle w:val="yTableNAm"/>
            </w:pPr>
          </w:p>
        </w:tc>
        <w:tc>
          <w:tcPr>
            <w:tcW w:w="4680" w:type="dxa"/>
            <w:gridSpan w:val="3"/>
          </w:tcPr>
          <w:p>
            <w:pPr>
              <w:pStyle w:val="yTableNAm"/>
              <w:tabs>
                <w:tab w:val="clear" w:pos="567"/>
                <w:tab w:val="left" w:leader="dot" w:pos="4452"/>
              </w:tabs>
              <w:ind w:right="12"/>
              <w:rPr>
                <w:spacing w:val="-1"/>
              </w:rPr>
            </w:pPr>
            <w:r>
              <w:t>Establishment charge for an unscheduled v</w:t>
            </w:r>
            <w:r>
              <w:rPr>
                <w:spacing w:val="-1"/>
              </w:rPr>
              <w:t xml:space="preserve">isit </w:t>
            </w:r>
            <w:r>
              <w:rPr>
                <w:spacing w:val="-1"/>
              </w:rPr>
              <w:tab/>
            </w:r>
          </w:p>
        </w:tc>
        <w:tc>
          <w:tcPr>
            <w:tcW w:w="1560" w:type="dxa"/>
          </w:tcPr>
          <w:p>
            <w:pPr>
              <w:pStyle w:val="yTableNAm"/>
              <w:rPr>
                <w:spacing w:val="-1"/>
              </w:rPr>
            </w:pPr>
            <w:r>
              <w:rPr>
                <w:spacing w:val="-1"/>
              </w:rPr>
              <w:t>$110.00/hour</w:t>
            </w:r>
          </w:p>
        </w:tc>
      </w:tr>
      <w:tr>
        <w:trPr>
          <w:cantSplit/>
        </w:trPr>
        <w:tc>
          <w:tcPr>
            <w:tcW w:w="7200" w:type="dxa"/>
            <w:gridSpan w:val="5"/>
          </w:tcPr>
          <w:p>
            <w:pPr>
              <w:pStyle w:val="yHeading5"/>
            </w:pPr>
            <w:bookmarkStart w:id="859" w:name="_Toc237309645"/>
            <w:r>
              <w:rPr>
                <w:rStyle w:val="CharSClsNo"/>
                <w:bCs/>
              </w:rPr>
              <w:t>26</w:t>
            </w:r>
            <w:r>
              <w:t>.</w:t>
            </w:r>
            <w:r>
              <w:tab/>
              <w:t>Product evaluation — unscheduled visit</w:t>
            </w:r>
            <w:bookmarkEnd w:id="859"/>
          </w:p>
        </w:tc>
      </w:tr>
      <w:tr>
        <w:tc>
          <w:tcPr>
            <w:tcW w:w="960" w:type="dxa"/>
          </w:tcPr>
          <w:p>
            <w:pPr>
              <w:pStyle w:val="yTableNAm"/>
              <w:rPr>
                <w:rStyle w:val="CharSClsNo"/>
                <w:b/>
                <w:bCs/>
              </w:rPr>
            </w:pPr>
          </w:p>
        </w:tc>
        <w:tc>
          <w:tcPr>
            <w:tcW w:w="4680" w:type="dxa"/>
            <w:gridSpan w:val="3"/>
          </w:tcPr>
          <w:p>
            <w:pPr>
              <w:pStyle w:val="yTableNAm"/>
              <w:tabs>
                <w:tab w:val="clear" w:pos="567"/>
                <w:tab w:val="left" w:leader="dot" w:pos="4452"/>
              </w:tabs>
              <w:ind w:left="-66" w:right="12"/>
              <w:rPr>
                <w:spacing w:val="-1"/>
              </w:rPr>
            </w:pPr>
            <w:r>
              <w:rPr>
                <w:spacing w:val="-1"/>
              </w:rPr>
              <w:t xml:space="preserve">Product evaluation for an </w:t>
            </w:r>
            <w:r>
              <w:t>unscheduled</w:t>
            </w:r>
            <w:r>
              <w:rPr>
                <w:spacing w:val="-1"/>
              </w:rPr>
              <w:t xml:space="preserve"> visit </w:t>
            </w:r>
            <w:r>
              <w:rPr>
                <w:spacing w:val="-1"/>
              </w:rPr>
              <w:tab/>
            </w:r>
          </w:p>
        </w:tc>
        <w:tc>
          <w:tcPr>
            <w:tcW w:w="1560" w:type="dxa"/>
          </w:tcPr>
          <w:p>
            <w:pPr>
              <w:pStyle w:val="yTableNAm"/>
              <w:rPr>
                <w:spacing w:val="-1"/>
              </w:rPr>
            </w:pPr>
            <w:r>
              <w:rPr>
                <w:spacing w:val="-1"/>
              </w:rPr>
              <w:t>$138.00/hour</w:t>
            </w:r>
          </w:p>
        </w:tc>
      </w:tr>
      <w:tr>
        <w:trPr>
          <w:cantSplit/>
        </w:trPr>
        <w:tc>
          <w:tcPr>
            <w:tcW w:w="7200" w:type="dxa"/>
            <w:gridSpan w:val="5"/>
          </w:tcPr>
          <w:p>
            <w:pPr>
              <w:pStyle w:val="yHeading5"/>
            </w:pPr>
            <w:bookmarkStart w:id="860" w:name="_Toc237309646"/>
            <w:r>
              <w:rPr>
                <w:rStyle w:val="CharSClsNo"/>
                <w:bCs/>
              </w:rPr>
              <w:t>27</w:t>
            </w:r>
            <w:r>
              <w:t>.</w:t>
            </w:r>
            <w:r>
              <w:tab/>
              <w:t>Grab samples — unscheduled visit</w:t>
            </w:r>
            <w:bookmarkEnd w:id="860"/>
          </w:p>
        </w:tc>
      </w:tr>
      <w:tr>
        <w:tc>
          <w:tcPr>
            <w:tcW w:w="960" w:type="dxa"/>
          </w:tcPr>
          <w:p>
            <w:pPr>
              <w:pStyle w:val="yTableNAm"/>
              <w:rPr>
                <w:rStyle w:val="CharSClsNo"/>
                <w:b/>
                <w:bCs/>
              </w:rPr>
            </w:pPr>
          </w:p>
        </w:tc>
        <w:tc>
          <w:tcPr>
            <w:tcW w:w="4680" w:type="dxa"/>
            <w:gridSpan w:val="3"/>
          </w:tcPr>
          <w:p>
            <w:pPr>
              <w:pStyle w:val="yTableNAm"/>
              <w:tabs>
                <w:tab w:val="clear" w:pos="567"/>
                <w:tab w:val="left" w:leader="dot" w:pos="4452"/>
              </w:tabs>
              <w:ind w:left="-66" w:right="12"/>
              <w:rPr>
                <w:spacing w:val="-1"/>
              </w:rPr>
            </w:pPr>
            <w:r>
              <w:rPr>
                <w:spacing w:val="-1"/>
              </w:rPr>
              <w:t xml:space="preserve">For each grab sample for an </w:t>
            </w:r>
            <w:r>
              <w:t>unscheduled</w:t>
            </w:r>
            <w:r>
              <w:rPr>
                <w:spacing w:val="-1"/>
              </w:rPr>
              <w:t xml:space="preserve"> visit </w:t>
            </w:r>
            <w:r>
              <w:rPr>
                <w:spacing w:val="-1"/>
              </w:rPr>
              <w:tab/>
            </w:r>
          </w:p>
        </w:tc>
        <w:tc>
          <w:tcPr>
            <w:tcW w:w="1560" w:type="dxa"/>
          </w:tcPr>
          <w:p>
            <w:pPr>
              <w:pStyle w:val="yTableNAm"/>
              <w:rPr>
                <w:spacing w:val="-1"/>
              </w:rPr>
            </w:pPr>
            <w:r>
              <w:rPr>
                <w:spacing w:val="-1"/>
              </w:rPr>
              <w:t>At cost</w:t>
            </w:r>
          </w:p>
        </w:tc>
      </w:tr>
      <w:tr>
        <w:trPr>
          <w:cantSplit/>
        </w:trPr>
        <w:tc>
          <w:tcPr>
            <w:tcW w:w="7200" w:type="dxa"/>
            <w:gridSpan w:val="5"/>
          </w:tcPr>
          <w:p>
            <w:pPr>
              <w:pStyle w:val="yHeading5"/>
            </w:pPr>
            <w:bookmarkStart w:id="861" w:name="_Toc237309647"/>
            <w:r>
              <w:rPr>
                <w:rStyle w:val="CharSClsNo"/>
                <w:bCs/>
              </w:rPr>
              <w:t>28</w:t>
            </w:r>
            <w:r>
              <w:t>.</w:t>
            </w:r>
            <w:r>
              <w:tab/>
              <w:t>Composite samples — unscheduled visit</w:t>
            </w:r>
            <w:bookmarkEnd w:id="861"/>
          </w:p>
        </w:tc>
      </w:tr>
      <w:tr>
        <w:tc>
          <w:tcPr>
            <w:tcW w:w="960" w:type="dxa"/>
          </w:tcPr>
          <w:p>
            <w:pPr>
              <w:pStyle w:val="yTableNAm"/>
              <w:rPr>
                <w:rStyle w:val="CharSClsNo"/>
                <w:b/>
                <w:bCs/>
              </w:rPr>
            </w:pPr>
          </w:p>
        </w:tc>
        <w:tc>
          <w:tcPr>
            <w:tcW w:w="4680" w:type="dxa"/>
            <w:gridSpan w:val="3"/>
          </w:tcPr>
          <w:p>
            <w:pPr>
              <w:pStyle w:val="yTableNAm"/>
              <w:tabs>
                <w:tab w:val="clear" w:pos="567"/>
                <w:tab w:val="left" w:leader="dot" w:pos="4452"/>
              </w:tabs>
              <w:ind w:left="-66" w:right="12"/>
              <w:rPr>
                <w:spacing w:val="-1"/>
              </w:rPr>
            </w:pPr>
            <w:r>
              <w:rPr>
                <w:spacing w:val="-1"/>
              </w:rPr>
              <w:t xml:space="preserve">For each composite sample for an </w:t>
            </w:r>
            <w:r>
              <w:t>unscheduled</w:t>
            </w:r>
            <w:r>
              <w:rPr>
                <w:spacing w:val="-1"/>
              </w:rPr>
              <w:t xml:space="preserve"> visit </w:t>
            </w:r>
            <w:r>
              <w:rPr>
                <w:spacing w:val="-1"/>
              </w:rPr>
              <w:tab/>
            </w:r>
          </w:p>
        </w:tc>
        <w:tc>
          <w:tcPr>
            <w:tcW w:w="1560" w:type="dxa"/>
          </w:tcPr>
          <w:p>
            <w:pPr>
              <w:pStyle w:val="yTableNAm"/>
              <w:rPr>
                <w:spacing w:val="-1"/>
              </w:rPr>
            </w:pPr>
            <w:r>
              <w:rPr>
                <w:spacing w:val="-1"/>
              </w:rPr>
              <w:br/>
              <w:t>At cost</w:t>
            </w:r>
          </w:p>
        </w:tc>
      </w:tr>
      <w:tr>
        <w:trPr>
          <w:cantSplit/>
        </w:trPr>
        <w:tc>
          <w:tcPr>
            <w:tcW w:w="7200" w:type="dxa"/>
            <w:gridSpan w:val="5"/>
          </w:tcPr>
          <w:p>
            <w:pPr>
              <w:pStyle w:val="yHeading5"/>
            </w:pPr>
            <w:bookmarkStart w:id="862" w:name="_Toc237309648"/>
            <w:r>
              <w:rPr>
                <w:rStyle w:val="CharSClsNo"/>
                <w:bCs/>
              </w:rPr>
              <w:t>29</w:t>
            </w:r>
            <w:r>
              <w:t>.</w:t>
            </w:r>
            <w:r>
              <w:tab/>
              <w:t>Non</w:t>
            </w:r>
            <w:r>
              <w:noBreakHyphen/>
              <w:t>permit holders discharging industrial waste</w:t>
            </w:r>
            <w:bookmarkEnd w:id="862"/>
          </w:p>
        </w:tc>
      </w:tr>
      <w:tr>
        <w:tc>
          <w:tcPr>
            <w:tcW w:w="960" w:type="dxa"/>
          </w:tcPr>
          <w:p>
            <w:pPr>
              <w:pStyle w:val="yTableNAm"/>
              <w:rPr>
                <w:rStyle w:val="CharSClsNo"/>
                <w:b/>
                <w:bCs/>
              </w:rPr>
            </w:pPr>
          </w:p>
        </w:tc>
        <w:tc>
          <w:tcPr>
            <w:tcW w:w="4648" w:type="dxa"/>
            <w:gridSpan w:val="2"/>
          </w:tcPr>
          <w:p>
            <w:pPr>
              <w:pStyle w:val="yTableNAm"/>
              <w:tabs>
                <w:tab w:val="clear" w:pos="567"/>
                <w:tab w:val="left" w:leader="dot" w:pos="4452"/>
              </w:tabs>
              <w:ind w:left="-66" w:right="12"/>
              <w:rPr>
                <w:spacing w:val="-1"/>
              </w:rPr>
            </w:pPr>
            <w:r>
              <w:rPr>
                <w:spacing w:val="-1"/>
              </w:rPr>
              <w:t>For a one</w:t>
            </w:r>
            <w:r>
              <w:rPr>
                <w:spacing w:val="-1"/>
              </w:rPr>
              <w:noBreakHyphen/>
              <w:t xml:space="preserve">off discharge of industrial waste by a person who does not hold an </w:t>
            </w:r>
            <w:r>
              <w:t>industrial</w:t>
            </w:r>
            <w:r>
              <w:rPr>
                <w:spacing w:val="-1"/>
              </w:rPr>
              <w:t xml:space="preserve"> waste permit </w:t>
            </w:r>
            <w:r>
              <w:rPr>
                <w:spacing w:val="-1"/>
              </w:rPr>
              <w:tab/>
            </w:r>
          </w:p>
        </w:tc>
        <w:tc>
          <w:tcPr>
            <w:tcW w:w="1592" w:type="dxa"/>
            <w:gridSpan w:val="2"/>
          </w:tcPr>
          <w:p>
            <w:pPr>
              <w:pStyle w:val="yTableNAm"/>
              <w:rPr>
                <w:spacing w:val="-1"/>
              </w:rPr>
            </w:pPr>
            <w:r>
              <w:rPr>
                <w:spacing w:val="-1"/>
              </w:rPr>
              <w:br/>
            </w:r>
            <w:r>
              <w:rPr>
                <w:spacing w:val="-1"/>
              </w:rPr>
              <w:br/>
              <w:t>$110.00/hour</w:t>
            </w:r>
          </w:p>
        </w:tc>
      </w:tr>
      <w:tr>
        <w:trPr>
          <w:cantSplit/>
        </w:trPr>
        <w:tc>
          <w:tcPr>
            <w:tcW w:w="7200" w:type="dxa"/>
            <w:gridSpan w:val="5"/>
          </w:tcPr>
          <w:p>
            <w:pPr>
              <w:pStyle w:val="yHeading5"/>
            </w:pPr>
            <w:bookmarkStart w:id="863" w:name="_Toc237309649"/>
            <w:r>
              <w:rPr>
                <w:rStyle w:val="CharSClsNo"/>
                <w:bCs/>
              </w:rPr>
              <w:t>30</w:t>
            </w:r>
            <w:r>
              <w:t>.</w:t>
            </w:r>
            <w:r>
              <w:tab/>
              <w:t>Discharging industrial waste from an open area</w:t>
            </w:r>
            <w:bookmarkEnd w:id="863"/>
          </w:p>
        </w:tc>
      </w:tr>
      <w:tr>
        <w:tc>
          <w:tcPr>
            <w:tcW w:w="960" w:type="dxa"/>
          </w:tcPr>
          <w:p>
            <w:pPr>
              <w:pStyle w:val="yTableNAm"/>
              <w:rPr>
                <w:rStyle w:val="CharSClsNo"/>
                <w:b/>
                <w:bCs/>
              </w:rPr>
            </w:pPr>
          </w:p>
        </w:tc>
        <w:tc>
          <w:tcPr>
            <w:tcW w:w="4634" w:type="dxa"/>
          </w:tcPr>
          <w:p>
            <w:pPr>
              <w:pStyle w:val="yTableNAm"/>
              <w:tabs>
                <w:tab w:val="clear" w:pos="567"/>
                <w:tab w:val="left" w:leader="dot" w:pos="4452"/>
              </w:tabs>
              <w:ind w:left="-66" w:right="12"/>
              <w:rPr>
                <w:spacing w:val="-1"/>
              </w:rPr>
            </w:pPr>
            <w:r>
              <w:rPr>
                <w:spacing w:val="-1"/>
              </w:rPr>
              <w:t xml:space="preserve">For discharging </w:t>
            </w:r>
            <w:r>
              <w:t>industrial</w:t>
            </w:r>
            <w:r>
              <w:rPr>
                <w:spacing w:val="-1"/>
              </w:rPr>
              <w:t xml:space="preserve"> waste from an open area </w:t>
            </w:r>
            <w:r>
              <w:rPr>
                <w:spacing w:val="-1"/>
              </w:rPr>
              <w:tab/>
            </w:r>
          </w:p>
        </w:tc>
        <w:tc>
          <w:tcPr>
            <w:tcW w:w="1606" w:type="dxa"/>
            <w:gridSpan w:val="3"/>
          </w:tcPr>
          <w:p>
            <w:pPr>
              <w:pStyle w:val="yTableNAm"/>
              <w:rPr>
                <w:spacing w:val="-1"/>
              </w:rPr>
            </w:pPr>
            <w:r>
              <w:rPr>
                <w:spacing w:val="-1"/>
              </w:rPr>
              <w:br/>
              <w:t>$1.30/square metre</w:t>
            </w:r>
          </w:p>
        </w:tc>
      </w:tr>
    </w:tbl>
    <w:p>
      <w:pPr>
        <w:pStyle w:val="yFootnotesection"/>
      </w:pPr>
      <w:r>
        <w:tab/>
        <w:t>[Division 6 inserted in Gazette 19 Jun 2009 p. 2363-4.]</w:t>
      </w:r>
    </w:p>
    <w:p>
      <w:pPr>
        <w:pStyle w:val="yHeading3"/>
      </w:pPr>
      <w:bookmarkStart w:id="864" w:name="_Toc233448435"/>
      <w:bookmarkStart w:id="865" w:name="_Toc233611714"/>
      <w:bookmarkStart w:id="866" w:name="_Toc234730721"/>
      <w:bookmarkStart w:id="867" w:name="_Toc234733247"/>
      <w:bookmarkStart w:id="868" w:name="_Toc235863984"/>
      <w:bookmarkStart w:id="869" w:name="_Toc235933459"/>
      <w:bookmarkStart w:id="870" w:name="_Toc237164447"/>
      <w:bookmarkStart w:id="871" w:name="_Toc237244331"/>
      <w:bookmarkStart w:id="872" w:name="_Toc237245655"/>
      <w:bookmarkStart w:id="873" w:name="_Toc237245786"/>
      <w:bookmarkStart w:id="874" w:name="_Toc237247928"/>
      <w:bookmarkStart w:id="875" w:name="_Toc237254231"/>
      <w:bookmarkStart w:id="876" w:name="_Toc237309650"/>
      <w:r>
        <w:rPr>
          <w:rStyle w:val="CharSDivNo"/>
        </w:rPr>
        <w:t>Division 7</w:t>
      </w:r>
      <w:r>
        <w:rPr>
          <w:b w:val="0"/>
        </w:rPr>
        <w:t> — </w:t>
      </w:r>
      <w:r>
        <w:rPr>
          <w:rStyle w:val="CharSDivText"/>
        </w:rPr>
        <w:t>Combined charges for country non</w:t>
      </w:r>
      <w:r>
        <w:rPr>
          <w:rStyle w:val="CharSDivText"/>
        </w:rPr>
        <w:noBreakHyphen/>
        <w:t>residential or commercial residential</w:t>
      </w:r>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yFootnoteheading"/>
      </w:pPr>
      <w:r>
        <w:tab/>
        <w:t>[Heading inserted in Gazette 19 Jun 2009 p. 2364.]</w:t>
      </w:r>
    </w:p>
    <w:p>
      <w:pPr>
        <w:pStyle w:val="yHeading5"/>
      </w:pPr>
      <w:bookmarkStart w:id="877" w:name="_Toc237309651"/>
      <w:r>
        <w:rPr>
          <w:rStyle w:val="CharSClsNo"/>
          <w:bCs/>
        </w:rPr>
        <w:t>31</w:t>
      </w:r>
      <w:r>
        <w:t>.</w:t>
      </w:r>
      <w:r>
        <w:tab/>
        <w:t>Country non-residential or commercial residential</w:t>
      </w:r>
      <w:bookmarkEnd w:id="877"/>
    </w:p>
    <w:p>
      <w:pPr>
        <w:pStyle w:val="ySubsection"/>
      </w:pPr>
      <w:r>
        <w:tab/>
      </w:r>
      <w:r>
        <w:tab/>
        <w:t>In respect of land in a country sewerage area that is classified as country non-residential or commercial residential property and is not referred to in item 4, 5, 32, 33 or 34, the charge is calculated in accordance with the following formula —</w:t>
      </w:r>
    </w:p>
    <w:p>
      <w:pPr>
        <w:pStyle w:val="ySubsection"/>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Subsection"/>
      </w:pPr>
      <w:r>
        <w:rPr>
          <w:b/>
        </w:rPr>
        <w:tab/>
      </w:r>
      <w:r>
        <w:rPr>
          <w:b/>
        </w:rPr>
        <w:tab/>
        <w:t>P</w:t>
      </w:r>
      <w:r>
        <w:t xml:space="preserve"> + </w:t>
      </w:r>
      <w:r>
        <w:rPr>
          <w:b/>
        </w:rPr>
        <w:t>Q</w:t>
      </w:r>
    </w:p>
    <w:p>
      <w:pPr>
        <w:pStyle w:val="ySubsection"/>
      </w:pPr>
      <w:r>
        <w:tab/>
      </w:r>
      <w:r>
        <w:tab/>
        <w:t xml:space="preserve">or if — </w:t>
      </w:r>
    </w:p>
    <w:p>
      <w:pPr>
        <w:pStyle w:val="ySubsection"/>
      </w:pPr>
      <w:r>
        <w:tab/>
      </w:r>
      <w:r>
        <w:tab/>
        <w:t>(</w:t>
      </w:r>
      <w:r>
        <w:rPr>
          <w:b/>
        </w:rPr>
        <w:t>P</w:t>
      </w:r>
      <w:r>
        <w:t xml:space="preserve"> + </w:t>
      </w:r>
      <w:r>
        <w:rPr>
          <w:b/>
        </w:rPr>
        <w:t>Q</w:t>
      </w:r>
      <w:r>
        <w:t xml:space="preserve">) &gt; </w:t>
      </w:r>
      <w:r>
        <w:rPr>
          <w:b/>
        </w:rPr>
        <w:t>R</w:t>
      </w:r>
      <w:r>
        <w:t>; and</w:t>
      </w:r>
    </w:p>
    <w:p>
      <w:pPr>
        <w:pStyle w:val="ySubsection"/>
      </w:pPr>
      <w:r>
        <w:rPr>
          <w:b/>
        </w:rPr>
        <w:tab/>
      </w:r>
      <w:r>
        <w:rPr>
          <w:b/>
        </w:rPr>
        <w:tab/>
        <w:t>N</w:t>
      </w:r>
      <w:r>
        <w:t xml:space="preserve"> </w:t>
      </w:r>
      <w:r>
        <w:sym w:font="Symbol" w:char="F0A3"/>
      </w:r>
      <w:r>
        <w:t xml:space="preserve"> </w:t>
      </w:r>
      <w:r>
        <w:rPr>
          <w:b/>
        </w:rPr>
        <w:t>W</w:t>
      </w:r>
      <w:r>
        <w:t>,</w:t>
      </w:r>
    </w:p>
    <w:p>
      <w:pPr>
        <w:pStyle w:val="ySubsection"/>
      </w:pPr>
      <w:r>
        <w:tab/>
      </w:r>
      <w:r>
        <w:tab/>
        <w:t xml:space="preserve">then — </w:t>
      </w:r>
    </w:p>
    <w:p>
      <w:pPr>
        <w:pStyle w:val="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 xml:space="preserve">where — </w:t>
      </w:r>
    </w:p>
    <w:p>
      <w:pPr>
        <w:pStyle w:val="yIndenta"/>
      </w:pPr>
      <w:r>
        <w:rPr>
          <w:b/>
        </w:rPr>
        <w:tab/>
        <w:t>P</w:t>
      </w:r>
      <w:r>
        <w:t xml:space="preserve"> =</w:t>
      </w:r>
      <w:r>
        <w:tab/>
        <w:t xml:space="preserve">the </w:t>
      </w:r>
      <w:r>
        <w:rPr>
          <w:snapToGrid w:val="0"/>
        </w:rPr>
        <w:t>annual</w:t>
      </w:r>
      <w:r>
        <w:t xml:space="preserve"> charge calculated in accordance with the formula in item 36;</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maximum charge calculated in accordance with the formula in item 35;</w:t>
      </w:r>
    </w:p>
    <w:p>
      <w:pPr>
        <w:pStyle w:val="yIndenta"/>
      </w:pPr>
      <w:r>
        <w:rPr>
          <w:b/>
        </w:rPr>
        <w:tab/>
        <w:t>N</w:t>
      </w:r>
      <w:r>
        <w:t xml:space="preserve"> =</w:t>
      </w:r>
      <w:r>
        <w:tab/>
        <w:t>the discharge volume for the 2009/2010 year;</w:t>
      </w:r>
    </w:p>
    <w:p>
      <w:pPr>
        <w:pStyle w:val="yIndenta"/>
      </w:pPr>
      <w:r>
        <w:rPr>
          <w:b/>
        </w:rPr>
        <w:tab/>
        <w:t>W</w:t>
      </w:r>
      <w:r>
        <w:t xml:space="preserve"> =</w:t>
      </w:r>
      <w:r>
        <w:tab/>
        <w:t>the discharge volume for the last available consumption year;</w:t>
      </w:r>
    </w:p>
    <w:p>
      <w:pPr>
        <w:pStyle w:val="yIndenta"/>
      </w:pPr>
      <w:r>
        <w:rPr>
          <w:b/>
        </w:rPr>
        <w:tab/>
        <w:t>I</w:t>
      </w:r>
      <w:r>
        <w:t xml:space="preserve"> =</w:t>
      </w:r>
      <w:r>
        <w:tab/>
        <w:t>2.328.</w:t>
      </w:r>
    </w:p>
    <w:p>
      <w:pPr>
        <w:pStyle w:val="yHeading5"/>
        <w:spacing w:before="180"/>
      </w:pPr>
      <w:bookmarkStart w:id="878" w:name="_Toc237309652"/>
      <w:r>
        <w:rPr>
          <w:rStyle w:val="CharSClsNo"/>
          <w:bCs/>
        </w:rPr>
        <w:t>32</w:t>
      </w:r>
      <w:r>
        <w:t>.</w:t>
      </w:r>
      <w:r>
        <w:tab/>
        <w:t>Country non strata-titled caravan park with long</w:t>
      </w:r>
      <w:r>
        <w:noBreakHyphen/>
        <w:t>term residential caravan bays</w:t>
      </w:r>
      <w:bookmarkEnd w:id="878"/>
    </w:p>
    <w:p>
      <w:pPr>
        <w:pStyle w:val="ySubsection"/>
        <w:spacing w:before="120"/>
      </w:pPr>
      <w:r>
        <w:tab/>
      </w:r>
      <w:r>
        <w:tab/>
        <w:t>In respect of a caravan park in a country sewerage area —</w:t>
      </w:r>
    </w:p>
    <w:p>
      <w:pPr>
        <w:pStyle w:val="yIndenta"/>
      </w:pPr>
      <w:r>
        <w:tab/>
        <w:t>(a)</w:t>
      </w:r>
      <w:r>
        <w:tab/>
        <w:t>not consisting of strata</w:t>
      </w:r>
      <w:r>
        <w:noBreakHyphen/>
        <w:t>titled caravan bays referred to in item 3 of this Schedule; and</w:t>
      </w:r>
    </w:p>
    <w:p>
      <w:pPr>
        <w:pStyle w:val="yIndenta"/>
      </w:pPr>
      <w:r>
        <w:tab/>
        <w:t>(b)</w:t>
      </w:r>
      <w:r>
        <w:tab/>
        <w:t>having long-term residential caravan bays,</w:t>
      </w:r>
    </w:p>
    <w:p>
      <w:pPr>
        <w:pStyle w:val="ySubsection"/>
        <w:spacing w:before="120"/>
      </w:pPr>
      <w:r>
        <w:tab/>
      </w:r>
      <w:r>
        <w:tab/>
        <w:t xml:space="preserve">the charge payable in accordance with the following formula — </w:t>
      </w:r>
    </w:p>
    <w:p>
      <w:pPr>
        <w:pStyle w:val="ySubsection"/>
        <w:spacing w:before="120"/>
      </w:pPr>
      <w:r>
        <w:rPr>
          <w:b/>
        </w:rPr>
        <w:tab/>
      </w:r>
      <w:r>
        <w:rPr>
          <w:b/>
        </w:rPr>
        <w:tab/>
        <w:t>AA</w:t>
      </w:r>
      <w:r>
        <w:t xml:space="preserve"> + </w:t>
      </w:r>
      <w:r>
        <w:rPr>
          <w:b/>
        </w:rPr>
        <w:t>AB</w:t>
      </w:r>
    </w:p>
    <w:p>
      <w:pPr>
        <w:pStyle w:val="ySubsection"/>
      </w:pPr>
      <w:r>
        <w:tab/>
      </w:r>
      <w:r>
        <w:tab/>
        <w:t xml:space="preserve">where — </w:t>
      </w:r>
    </w:p>
    <w:p>
      <w:pPr>
        <w:pStyle w:val="yIndenta"/>
      </w:pPr>
      <w:r>
        <w:rPr>
          <w:b/>
        </w:rPr>
        <w:tab/>
        <w:t>AA</w:t>
      </w:r>
      <w:r>
        <w:t xml:space="preserve"> =</w:t>
      </w:r>
      <w:r>
        <w:tab/>
        <w:t xml:space="preserve">a charge of $209.10 for each long-term residential caravan bay; </w:t>
      </w:r>
    </w:p>
    <w:p>
      <w:pPr>
        <w:pStyle w:val="yIndenta"/>
      </w:pPr>
      <w:r>
        <w:rPr>
          <w:b/>
        </w:rPr>
        <w:tab/>
        <w:t>AB</w:t>
      </w:r>
      <w:r>
        <w:t xml:space="preserve"> =</w:t>
      </w:r>
      <w:r>
        <w:tab/>
        <w:t xml:space="preserve">the charge for any part of the caravan park not comprised in long-term residential caravan bays, calculated in accordance with the following formula — </w:t>
      </w:r>
    </w:p>
    <w:p>
      <w:pPr>
        <w:pStyle w:val="yIndenta"/>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t>Y</w:t>
      </w:r>
      <w:r>
        <w:t xml:space="preserve"> + </w:t>
      </w:r>
      <w:r>
        <w:rPr>
          <w:b/>
        </w:rPr>
        <w:t>Q</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t>R</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&gt; </w:t>
      </w:r>
      <w:r>
        <w:rPr>
          <w:b/>
        </w:rPr>
        <w:t>W</w:t>
      </w:r>
      <w:r>
        <w:t>,</w:t>
      </w:r>
    </w:p>
    <w:p>
      <w:pPr>
        <w:pStyle w:val="yIndenta"/>
      </w:pPr>
      <w:r>
        <w:tab/>
      </w:r>
      <w:r>
        <w:tab/>
        <w:t xml:space="preserve">then — </w:t>
      </w:r>
    </w:p>
    <w:p>
      <w:pPr>
        <w:pStyle w:val="yIndenta"/>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Y</w:t>
      </w:r>
      <w:r>
        <w:t xml:space="preserve"> =</w:t>
      </w:r>
      <w:r>
        <w:tab/>
        <w:t>the charge payable for the number of major fixtures in the relevant part of the caravan park in the 2009/2010 year as set out in the Table to item 36;</w:t>
      </w:r>
    </w:p>
    <w:p>
      <w:pPr>
        <w:pStyle w:val="yIndenti0"/>
        <w:spacing w:before="60"/>
      </w:pPr>
      <w:r>
        <w:rPr>
          <w:b/>
        </w:rPr>
        <w:tab/>
        <w:t>Q</w:t>
      </w:r>
      <w:r>
        <w:t xml:space="preserve"> =</w:t>
      </w:r>
      <w:r>
        <w:tab/>
        <w:t>the quantity charge calculated in accordance with the formula in item 37;</w:t>
      </w:r>
    </w:p>
    <w:p>
      <w:pPr>
        <w:pStyle w:val="yIndenti0"/>
        <w:spacing w:before="60"/>
      </w:pPr>
      <w:r>
        <w:rPr>
          <w:b/>
        </w:rPr>
        <w:tab/>
        <w:t>R</w:t>
      </w:r>
      <w:r>
        <w:t xml:space="preserve"> =</w:t>
      </w:r>
      <w:r>
        <w:tab/>
        <w:t>the charge calculated in accordance with the formula in item 35;</w:t>
      </w:r>
    </w:p>
    <w:p>
      <w:pPr>
        <w:pStyle w:val="yIndenti0"/>
        <w:spacing w:before="60"/>
      </w:pPr>
      <w:r>
        <w:rPr>
          <w:b/>
        </w:rPr>
        <w:tab/>
        <w:t>N =</w:t>
      </w:r>
      <w:r>
        <w:rPr>
          <w:b/>
        </w:rPr>
        <w:tab/>
      </w:r>
      <w:r>
        <w:t>the discharge volume for the 2009/2010 year;</w:t>
      </w:r>
    </w:p>
    <w:p>
      <w:pPr>
        <w:pStyle w:val="yIndenti0"/>
        <w:spacing w:before="60"/>
      </w:pPr>
      <w:r>
        <w:rPr>
          <w:b/>
        </w:rPr>
        <w:tab/>
        <w:t>W =</w:t>
      </w:r>
      <w:r>
        <w:rPr>
          <w:b/>
        </w:rPr>
        <w:tab/>
      </w:r>
      <w:r>
        <w:t>the discharge volume for the last available consumption year;</w:t>
      </w:r>
    </w:p>
    <w:p>
      <w:pPr>
        <w:pStyle w:val="yIndenti0"/>
        <w:spacing w:before="60"/>
      </w:pPr>
      <w:r>
        <w:rPr>
          <w:b/>
        </w:rPr>
        <w:tab/>
        <w:t>I =</w:t>
      </w:r>
      <w:r>
        <w:rPr>
          <w:b/>
        </w:rPr>
        <w:tab/>
      </w:r>
      <w:r>
        <w:t>2.328.</w:t>
      </w:r>
    </w:p>
    <w:p>
      <w:pPr>
        <w:pStyle w:val="yHeading5"/>
        <w:spacing w:before="180"/>
      </w:pPr>
      <w:bookmarkStart w:id="879" w:name="_Toc237309653"/>
      <w:r>
        <w:rPr>
          <w:rStyle w:val="CharSClsNo"/>
          <w:bCs/>
        </w:rPr>
        <w:t>33</w:t>
      </w:r>
      <w:r>
        <w:t>.</w:t>
      </w:r>
      <w:r>
        <w:tab/>
        <w:t>Country nursing home</w:t>
      </w:r>
      <w:bookmarkEnd w:id="879"/>
    </w:p>
    <w:p>
      <w:pPr>
        <w:pStyle w:val="ySubsection"/>
        <w:spacing w:before="120"/>
      </w:pPr>
      <w:r>
        <w:tab/>
      </w:r>
      <w:r>
        <w:tab/>
        <w:t>In respect of a nursing home in a country sewerage area, not being a nursing home which is, or is part of, a home for the aged, the charge is calculated in accordance with the following formula —</w:t>
      </w:r>
    </w:p>
    <w:p>
      <w:pPr>
        <w:pStyle w:val="ySubsection"/>
        <w:spacing w:before="80"/>
      </w:pPr>
      <w:r>
        <w:tab/>
      </w:r>
      <w:r>
        <w:tab/>
        <w:t>If (</w:t>
      </w:r>
      <w:r>
        <w:rPr>
          <w:b/>
        </w:rPr>
        <w:t>T</w:t>
      </w:r>
      <w:r>
        <w:t xml:space="preserve"> + </w:t>
      </w:r>
      <w:r>
        <w:rPr>
          <w:b/>
        </w:rPr>
        <w:t>Q</w:t>
      </w:r>
      <w:r>
        <w:t xml:space="preserve">) </w:t>
      </w:r>
      <w:r>
        <w:sym w:font="Symbol" w:char="F0A3"/>
      </w:r>
      <w:r>
        <w:t xml:space="preserve"> </w:t>
      </w:r>
      <w:r>
        <w:rPr>
          <w:b/>
        </w:rPr>
        <w:t>R</w:t>
      </w:r>
      <w:r>
        <w:t xml:space="preserve">, then — </w:t>
      </w:r>
    </w:p>
    <w:p>
      <w:pPr>
        <w:pStyle w:val="ySubsection"/>
        <w:spacing w:before="80"/>
      </w:pP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xml:space="preserve">, then — </w:t>
      </w:r>
    </w:p>
    <w:p>
      <w:pPr>
        <w:pStyle w:val="ySubsection"/>
        <w:rPr>
          <w:b/>
        </w:rPr>
      </w:pPr>
      <w:r>
        <w:tab/>
      </w:r>
      <w:r>
        <w:tab/>
      </w:r>
      <w:r>
        <w:rPr>
          <w:b/>
        </w:rPr>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 xml:space="preserve">the number of beds in the nursing home; </w:t>
      </w:r>
    </w:p>
    <w:p>
      <w:pPr>
        <w:pStyle w:val="yIndenti0"/>
      </w:pPr>
      <w:r>
        <w:rPr>
          <w:b/>
        </w:rPr>
        <w:tab/>
        <w:t>V</w:t>
      </w:r>
      <w:r>
        <w:t xml:space="preserve"> =</w:t>
      </w:r>
      <w:r>
        <w:tab/>
        <w:t>$114.60;</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charge calculated in accordance with the formula in item 35.</w:t>
      </w:r>
    </w:p>
    <w:p>
      <w:pPr>
        <w:pStyle w:val="yHeading5"/>
      </w:pPr>
      <w:bookmarkStart w:id="880" w:name="_Toc237309654"/>
      <w:r>
        <w:rPr>
          <w:rStyle w:val="CharSClsNo"/>
          <w:bCs/>
        </w:rPr>
        <w:t>34</w:t>
      </w:r>
      <w:r>
        <w:t>.</w:t>
      </w:r>
      <w:r>
        <w:tab/>
        <w:t>Certain country strata-titled units</w:t>
      </w:r>
      <w:bookmarkEnd w:id="880"/>
    </w:p>
    <w:p>
      <w:pPr>
        <w:pStyle w:val="ySubsection"/>
      </w:pPr>
      <w:r>
        <w:tab/>
      </w:r>
      <w:r>
        <w:tab/>
        <w:t>In respect of country non</w:t>
      </w:r>
      <w:r>
        <w:noBreakHyphen/>
        <w:t xml:space="preserve">residential or commercial residential property that is in a country sewerage area that — </w:t>
      </w:r>
    </w:p>
    <w:p>
      <w:pPr>
        <w:pStyle w:val="yIndenta"/>
      </w:pPr>
      <w:r>
        <w:tab/>
        <w:t>(a)</w:t>
      </w:r>
      <w:r>
        <w:tab/>
      </w:r>
      <w:r>
        <w:rPr>
          <w:snapToGrid w:val="0"/>
        </w:rPr>
        <w:t>comprises</w:t>
      </w:r>
      <w:r>
        <w:t xml:space="preserve"> a unit that is a lot within the meaning of the </w:t>
      </w:r>
      <w:r>
        <w:rPr>
          <w:i/>
        </w:rPr>
        <w:t>Strata Titles Act 1985</w:t>
      </w:r>
      <w:r>
        <w:t>; and</w:t>
      </w:r>
    </w:p>
    <w:p>
      <w:pPr>
        <w:pStyle w:val="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$393.70;</w:t>
      </w:r>
    </w:p>
    <w:p>
      <w:pPr>
        <w:pStyle w:val="yIndenta"/>
      </w:pPr>
      <w:r>
        <w:rPr>
          <w:b/>
        </w:rPr>
        <w:tab/>
        <w:t>Q</w:t>
      </w:r>
      <w:r>
        <w:t xml:space="preserve"> =</w:t>
      </w:r>
      <w:r>
        <w:tab/>
        <w:t>the quantity charge calculated in accordance with the formula in item 37.</w:t>
      </w:r>
    </w:p>
    <w:p>
      <w:pPr>
        <w:pStyle w:val="yHeading5"/>
      </w:pPr>
      <w:bookmarkStart w:id="881" w:name="_Toc237309655"/>
      <w:r>
        <w:rPr>
          <w:rStyle w:val="CharSClsNo"/>
          <w:bCs/>
        </w:rPr>
        <w:t>35</w:t>
      </w:r>
      <w:r>
        <w:t>.</w:t>
      </w:r>
      <w:r>
        <w:tab/>
        <w:t>Limit on increase</w:t>
      </w:r>
      <w:bookmarkEnd w:id="881"/>
    </w:p>
    <w:p>
      <w:pPr>
        <w:pStyle w:val="ySubsection"/>
      </w:pPr>
      <w:r>
        <w:tab/>
      </w:r>
      <w:r>
        <w:tab/>
        <w:t xml:space="preserve">For the </w:t>
      </w:r>
      <w:r>
        <w:rPr>
          <w:spacing w:val="-1"/>
        </w:rPr>
        <w:t>purposes</w:t>
      </w:r>
      <w:r>
        <w:t xml:space="preserve"> of this Division, the maximum charge (</w:t>
      </w:r>
      <w:r>
        <w:rPr>
          <w:rStyle w:val="CharDefText"/>
        </w:rPr>
        <w:t>R</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Subsection"/>
        <w:rPr>
          <w:b/>
        </w:rPr>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Subsection"/>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Subsection"/>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Subsection"/>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Indenta"/>
      </w:pPr>
      <w:r>
        <w:rPr>
          <w:b/>
        </w:rPr>
        <w:tab/>
        <w:t>P</w:t>
      </w:r>
      <w:r>
        <w:t xml:space="preserve"> =</w:t>
      </w:r>
      <w:r>
        <w:tab/>
        <w:t>the target annual charge, based on the number of major fixtures calculated using the Table in item 36;</w:t>
      </w:r>
    </w:p>
    <w:p>
      <w:pPr>
        <w:pStyle w:val="yIndenta"/>
      </w:pPr>
      <w:r>
        <w:rPr>
          <w:b/>
        </w:rPr>
        <w:tab/>
        <w:t>Q</w:t>
      </w:r>
      <w:r>
        <w:t xml:space="preserve"> =</w:t>
      </w:r>
      <w:r>
        <w:tab/>
        <w:t>the ultimate discharge charge calculated using the formula in item 37, except that the discharge allowance calculated in accordance with item 38(a) is 200 kL;</w:t>
      </w:r>
    </w:p>
    <w:p>
      <w:pPr>
        <w:pStyle w:val="yIndenta"/>
      </w:pPr>
      <w:r>
        <w:rPr>
          <w:b/>
        </w:rPr>
        <w:tab/>
        <w:t>A</w:t>
      </w:r>
      <w:r>
        <w:t xml:space="preserve"> =</w:t>
      </w:r>
      <w:r>
        <w:tab/>
        <w:t>the equivalent full year charge payable in the 2008/2009 year;</w:t>
      </w:r>
    </w:p>
    <w:p>
      <w:pPr>
        <w:pStyle w:val="yIndenta"/>
      </w:pPr>
      <w:r>
        <w:rPr>
          <w:b/>
        </w:rPr>
        <w:tab/>
        <w:t>S</w:t>
      </w:r>
      <w:r>
        <w:t xml:space="preserve"> =</w:t>
      </w:r>
      <w:r>
        <w:tab/>
        <w:t>1.142;</w:t>
      </w:r>
    </w:p>
    <w:p>
      <w:pPr>
        <w:pStyle w:val="yIndenta"/>
      </w:pPr>
      <w:r>
        <w:rPr>
          <w:b/>
        </w:rPr>
        <w:tab/>
        <w:t>B</w:t>
      </w:r>
      <w:r>
        <w:t xml:space="preserve"> =</w:t>
      </w:r>
      <w:r>
        <w:tab/>
        <w:t>$166.67;</w:t>
      </w:r>
    </w:p>
    <w:p>
      <w:pPr>
        <w:pStyle w:val="yIndenta"/>
      </w:pPr>
      <w:r>
        <w:rPr>
          <w:b/>
        </w:rPr>
        <w:tab/>
        <w:t>J</w:t>
      </w:r>
      <w:r>
        <w:t xml:space="preserve"> =</w:t>
      </w:r>
      <w:r>
        <w:tab/>
        <w:t>$166.67;</w:t>
      </w:r>
    </w:p>
    <w:p>
      <w:pPr>
        <w:pStyle w:val="yIndenta"/>
      </w:pPr>
      <w:r>
        <w:rPr>
          <w:b/>
        </w:rPr>
        <w:tab/>
        <w:t>O</w:t>
      </w:r>
      <w:r>
        <w:t xml:space="preserve"> =</w:t>
      </w:r>
      <w:r>
        <w:tab/>
        <w:t>1.</w:t>
      </w:r>
    </w:p>
    <w:p>
      <w:pPr>
        <w:pStyle w:val="yFootnotesection"/>
      </w:pPr>
      <w:r>
        <w:tab/>
        <w:t>[Division 7 inserted in Gazette 19 Jun 2009 p. 2364-8.]</w:t>
      </w:r>
    </w:p>
    <w:p>
      <w:pPr>
        <w:pStyle w:val="yHeading3"/>
      </w:pPr>
      <w:bookmarkStart w:id="882" w:name="_Toc233448441"/>
      <w:bookmarkStart w:id="883" w:name="_Toc233611720"/>
      <w:bookmarkStart w:id="884" w:name="_Toc234730727"/>
      <w:bookmarkStart w:id="885" w:name="_Toc234733253"/>
      <w:bookmarkStart w:id="886" w:name="_Toc235863990"/>
      <w:bookmarkStart w:id="887" w:name="_Toc235933465"/>
      <w:bookmarkStart w:id="888" w:name="_Toc237164453"/>
      <w:bookmarkStart w:id="889" w:name="_Toc237244337"/>
      <w:bookmarkStart w:id="890" w:name="_Toc237245661"/>
      <w:bookmarkStart w:id="891" w:name="_Toc237245792"/>
      <w:bookmarkStart w:id="892" w:name="_Toc237247934"/>
      <w:bookmarkStart w:id="893" w:name="_Toc237254237"/>
      <w:bookmarkStart w:id="894" w:name="_Toc237309656"/>
      <w:r>
        <w:rPr>
          <w:rStyle w:val="CharSDivNo"/>
        </w:rPr>
        <w:t>Division 8</w:t>
      </w:r>
      <w:r>
        <w:rPr>
          <w:b w:val="0"/>
        </w:rPr>
        <w:t> — </w:t>
      </w:r>
      <w:r>
        <w:rPr>
          <w:rStyle w:val="CharSDivText"/>
        </w:rPr>
        <w:t>Computation of combined charges for country non</w:t>
      </w:r>
      <w:r>
        <w:rPr>
          <w:rStyle w:val="CharSDivText"/>
        </w:rPr>
        <w:noBreakHyphen/>
        <w:t>residential or commercial residential property</w:t>
      </w:r>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yFootnoteheading"/>
        <w:keepNext/>
      </w:pPr>
      <w:r>
        <w:tab/>
        <w:t>[Heading inserted in Gazette 19 Jun 2009 p. 2368.]</w:t>
      </w:r>
    </w:p>
    <w:p>
      <w:pPr>
        <w:pStyle w:val="yHeading5"/>
      </w:pPr>
      <w:bookmarkStart w:id="895" w:name="_Toc237309657"/>
      <w:r>
        <w:rPr>
          <w:rStyle w:val="CharSClsNo"/>
          <w:bCs/>
        </w:rPr>
        <w:t>36</w:t>
      </w:r>
      <w:r>
        <w:t>.</w:t>
      </w:r>
      <w:r>
        <w:tab/>
        <w:t>Formula for annual charge</w:t>
      </w:r>
      <w:bookmarkEnd w:id="895"/>
    </w:p>
    <w:p>
      <w:pPr>
        <w:pStyle w:val="ySubsection"/>
      </w:pPr>
      <w:r>
        <w:tab/>
      </w:r>
      <w:r>
        <w:tab/>
        <w:t xml:space="preserve">For the </w:t>
      </w:r>
      <w:r>
        <w:rPr>
          <w:spacing w:val="-1"/>
        </w:rPr>
        <w:t>purposes</w:t>
      </w:r>
      <w:r>
        <w:t xml:space="preserve"> of Division 7, the annual charge (</w:t>
      </w:r>
      <w:r>
        <w:rPr>
          <w:rStyle w:val="CharDefText"/>
        </w:rPr>
        <w:t>P</w:t>
      </w:r>
      <w:r>
        <w:t xml:space="preserve">) is calculated according to the following formula —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Indenta"/>
      </w:pPr>
      <w:r>
        <w:rPr>
          <w:b/>
        </w:rPr>
        <w:tab/>
        <w:t>A</w:t>
      </w:r>
      <w:r>
        <w:t xml:space="preserve"> =</w:t>
      </w:r>
      <w:r>
        <w:tab/>
        <w:t>the equivalent amount payable in the 2008/2009 year;</w:t>
      </w:r>
    </w:p>
    <w:p>
      <w:pPr>
        <w:pStyle w:val="yIndenta"/>
      </w:pPr>
      <w:r>
        <w:rPr>
          <w:b/>
        </w:rPr>
        <w:tab/>
        <w:t>C</w:t>
      </w:r>
      <w:r>
        <w:t xml:space="preserve"> =</w:t>
      </w:r>
      <w:r>
        <w:tab/>
        <w:t>the charge payable for the relevant number of major fixtures for the 2009/2010 year as set out in the Table to this item;</w:t>
      </w:r>
    </w:p>
    <w:p>
      <w:pPr>
        <w:pStyle w:val="yIndenta"/>
      </w:pPr>
      <w:r>
        <w:rPr>
          <w:b/>
        </w:rPr>
        <w:tab/>
        <w:t>D</w:t>
      </w:r>
      <w:r>
        <w:t xml:space="preserve"> =</w:t>
      </w:r>
      <w:r>
        <w:tab/>
        <w:t>the ultimate discharge charge;</w:t>
      </w:r>
    </w:p>
    <w:p>
      <w:pPr>
        <w:pStyle w:val="yIndenta"/>
      </w:pPr>
      <w:r>
        <w:rPr>
          <w:b/>
        </w:rPr>
        <w:tab/>
        <w:t>E</w:t>
      </w:r>
      <w:r>
        <w:t xml:space="preserve"> =</w:t>
      </w:r>
      <w:r>
        <w:tab/>
        <w:t>1;</w:t>
      </w:r>
    </w:p>
    <w:p>
      <w:pPr>
        <w:pStyle w:val="yIndenta"/>
      </w:pPr>
      <w:r>
        <w:rPr>
          <w:b/>
        </w:rPr>
        <w:tab/>
        <w:t>X</w:t>
      </w:r>
      <w:r>
        <w:t xml:space="preserve"> =</w:t>
      </w:r>
      <w:r>
        <w:tab/>
        <w:t>the amount specified in relation to the 2009/2010 year for the relevant number of major fixtures as set out in the Table to this item.</w:t>
      </w:r>
    </w:p>
    <w:tbl>
      <w:tblPr>
        <w:tblW w:w="0" w:type="auto"/>
        <w:tblInd w:w="952" w:type="dxa"/>
        <w:tblLayout w:type="fixed"/>
        <w:tblCellMar>
          <w:left w:w="70" w:type="dxa"/>
          <w:right w:w="70" w:type="dxa"/>
        </w:tblCellMar>
        <w:tblLook w:val="0000" w:firstRow="0" w:lastRow="0" w:firstColumn="0" w:lastColumn="0" w:noHBand="0" w:noVBand="0"/>
      </w:tblPr>
      <w:tblGrid>
        <w:gridCol w:w="2961"/>
        <w:gridCol w:w="2961"/>
      </w:tblGrid>
      <w:tr>
        <w:trPr>
          <w:cantSplit/>
        </w:trPr>
        <w:tc>
          <w:tcPr>
            <w:tcW w:w="5922" w:type="dxa"/>
            <w:gridSpan w:val="2"/>
          </w:tcPr>
          <w:p>
            <w:pPr>
              <w:pStyle w:val="yTableNAm"/>
              <w:jc w:val="center"/>
              <w:rPr>
                <w:b/>
                <w:bCs/>
              </w:rPr>
            </w:pPr>
            <w:r>
              <w:rPr>
                <w:b/>
                <w:bCs/>
              </w:rPr>
              <w:t>Table of major fixture</w:t>
            </w:r>
            <w:r>
              <w:rPr>
                <w:b/>
                <w:bCs/>
              </w:rPr>
              <w:noBreakHyphen/>
              <w:t>based minimum charges</w:t>
            </w:r>
            <w:r>
              <w:rPr>
                <w:b/>
                <w:bCs/>
              </w:rPr>
              <w:br/>
              <w:t>(</w:t>
            </w:r>
            <w:r>
              <w:rPr>
                <w:b/>
                <w:bCs/>
                <w:iCs/>
              </w:rPr>
              <w:t>per fixture</w:t>
            </w:r>
            <w:r>
              <w:rPr>
                <w:b/>
                <w:bCs/>
              </w:rPr>
              <w:t>)</w:t>
            </w:r>
          </w:p>
        </w:tc>
      </w:tr>
      <w:tr>
        <w:tblPrEx>
          <w:tblCellMar>
            <w:left w:w="28" w:type="dxa"/>
            <w:right w:w="28" w:type="dxa"/>
          </w:tblCellMar>
        </w:tblPrEx>
        <w:trPr>
          <w:cantSplit/>
        </w:trPr>
        <w:tc>
          <w:tcPr>
            <w:tcW w:w="2961" w:type="dxa"/>
            <w:tcBorders>
              <w:top w:val="single" w:sz="4" w:space="0" w:color="auto"/>
              <w:bottom w:val="single" w:sz="4" w:space="0" w:color="auto"/>
            </w:tcBorders>
            <w:vAlign w:val="center"/>
          </w:tcPr>
          <w:p>
            <w:pPr>
              <w:pStyle w:val="yTableNAm"/>
              <w:jc w:val="center"/>
              <w:rPr>
                <w:b/>
                <w:bCs/>
              </w:rPr>
            </w:pPr>
            <w:r>
              <w:rPr>
                <w:b/>
                <w:bCs/>
              </w:rPr>
              <w:t>No. of fixtures</w:t>
            </w:r>
          </w:p>
        </w:tc>
        <w:tc>
          <w:tcPr>
            <w:tcW w:w="2961" w:type="dxa"/>
            <w:tcBorders>
              <w:top w:val="single" w:sz="4" w:space="0" w:color="auto"/>
              <w:bottom w:val="single" w:sz="4" w:space="0" w:color="auto"/>
            </w:tcBorders>
          </w:tcPr>
          <w:p>
            <w:pPr>
              <w:pStyle w:val="yTableNAm"/>
              <w:jc w:val="center"/>
              <w:rPr>
                <w:b/>
                <w:bCs/>
              </w:rPr>
            </w:pPr>
            <w:r>
              <w:rPr>
                <w:b/>
                <w:bCs/>
              </w:rPr>
              <w:t>Charges</w:t>
            </w:r>
            <w:r>
              <w:rPr>
                <w:b/>
                <w:bCs/>
              </w:rPr>
              <w:br/>
              <w:t>$</w:t>
            </w:r>
          </w:p>
        </w:tc>
      </w:tr>
      <w:tr>
        <w:tblPrEx>
          <w:tblCellMar>
            <w:left w:w="28" w:type="dxa"/>
            <w:right w:w="28" w:type="dxa"/>
          </w:tblCellMar>
        </w:tblPrEx>
        <w:trPr>
          <w:cantSplit/>
        </w:trPr>
        <w:tc>
          <w:tcPr>
            <w:tcW w:w="2961" w:type="dxa"/>
          </w:tcPr>
          <w:p>
            <w:pPr>
              <w:pStyle w:val="yTableNAm"/>
              <w:jc w:val="center"/>
            </w:pPr>
            <w:r>
              <w:t>1</w:t>
            </w:r>
          </w:p>
        </w:tc>
        <w:tc>
          <w:tcPr>
            <w:tcW w:w="2961" w:type="dxa"/>
          </w:tcPr>
          <w:p>
            <w:pPr>
              <w:pStyle w:val="yTableNAm"/>
              <w:jc w:val="center"/>
            </w:pPr>
            <w:r>
              <w:t>633.40</w:t>
            </w:r>
          </w:p>
        </w:tc>
      </w:tr>
      <w:tr>
        <w:tblPrEx>
          <w:tblCellMar>
            <w:left w:w="28" w:type="dxa"/>
            <w:right w:w="28" w:type="dxa"/>
          </w:tblCellMar>
        </w:tblPrEx>
        <w:trPr>
          <w:cantSplit/>
        </w:trPr>
        <w:tc>
          <w:tcPr>
            <w:tcW w:w="2961" w:type="dxa"/>
          </w:tcPr>
          <w:p>
            <w:pPr>
              <w:pStyle w:val="yTableNAm"/>
              <w:jc w:val="center"/>
            </w:pPr>
            <w:r>
              <w:t>2</w:t>
            </w:r>
          </w:p>
        </w:tc>
        <w:tc>
          <w:tcPr>
            <w:tcW w:w="2961" w:type="dxa"/>
          </w:tcPr>
          <w:p>
            <w:pPr>
              <w:pStyle w:val="yTableNAm"/>
              <w:jc w:val="center"/>
            </w:pPr>
            <w:r>
              <w:t>271.10</w:t>
            </w:r>
          </w:p>
        </w:tc>
      </w:tr>
      <w:tr>
        <w:tblPrEx>
          <w:tblCellMar>
            <w:left w:w="28" w:type="dxa"/>
            <w:right w:w="28" w:type="dxa"/>
          </w:tblCellMar>
        </w:tblPrEx>
        <w:trPr>
          <w:cantSplit/>
        </w:trPr>
        <w:tc>
          <w:tcPr>
            <w:tcW w:w="2961" w:type="dxa"/>
          </w:tcPr>
          <w:p>
            <w:pPr>
              <w:pStyle w:val="yTableNAm"/>
              <w:jc w:val="center"/>
            </w:pPr>
            <w:r>
              <w:t>3</w:t>
            </w:r>
          </w:p>
        </w:tc>
        <w:tc>
          <w:tcPr>
            <w:tcW w:w="2961" w:type="dxa"/>
          </w:tcPr>
          <w:p>
            <w:pPr>
              <w:pStyle w:val="yTableNAm"/>
              <w:jc w:val="center"/>
            </w:pPr>
            <w:r>
              <w:t>362.10</w:t>
            </w:r>
          </w:p>
        </w:tc>
      </w:tr>
      <w:tr>
        <w:tblPrEx>
          <w:tblCellMar>
            <w:left w:w="28" w:type="dxa"/>
            <w:right w:w="28" w:type="dxa"/>
          </w:tblCellMar>
        </w:tblPrEx>
        <w:trPr>
          <w:cantSplit/>
        </w:trPr>
        <w:tc>
          <w:tcPr>
            <w:tcW w:w="2961" w:type="dxa"/>
            <w:tcBorders>
              <w:bottom w:val="single" w:sz="4" w:space="0" w:color="auto"/>
            </w:tcBorders>
          </w:tcPr>
          <w:p>
            <w:pPr>
              <w:pStyle w:val="yTableNAm"/>
              <w:jc w:val="center"/>
            </w:pPr>
            <w:r>
              <w:t>4+</w:t>
            </w:r>
          </w:p>
        </w:tc>
        <w:tc>
          <w:tcPr>
            <w:tcW w:w="2961" w:type="dxa"/>
            <w:tcBorders>
              <w:bottom w:val="single" w:sz="4" w:space="0" w:color="auto"/>
            </w:tcBorders>
          </w:tcPr>
          <w:p>
            <w:pPr>
              <w:pStyle w:val="yTableNAm"/>
              <w:jc w:val="center"/>
            </w:pPr>
            <w:r>
              <w:t>393.70</w:t>
            </w:r>
          </w:p>
        </w:tc>
      </w:tr>
    </w:tbl>
    <w:p>
      <w:pPr>
        <w:pStyle w:val="yHeading5"/>
      </w:pPr>
      <w:bookmarkStart w:id="896" w:name="_Toc237309658"/>
      <w:r>
        <w:rPr>
          <w:rStyle w:val="CharSClsNo"/>
          <w:bCs/>
        </w:rPr>
        <w:t>37</w:t>
      </w:r>
      <w:r>
        <w:t>.</w:t>
      </w:r>
      <w:r>
        <w:tab/>
        <w:t>Formula for quantity charge</w:t>
      </w:r>
      <w:bookmarkEnd w:id="896"/>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2009/2010 year;</w:t>
      </w:r>
    </w:p>
    <w:p>
      <w:pPr>
        <w:pStyle w:val="yIndenta"/>
      </w:pPr>
      <w:r>
        <w:rPr>
          <w:b/>
        </w:rPr>
        <w:tab/>
        <w:t>G</w:t>
      </w:r>
      <w:r>
        <w:t xml:space="preserve"> =</w:t>
      </w:r>
      <w:r>
        <w:tab/>
        <w:t>the discharge factor set for the property for the 2009/2010 year;</w:t>
      </w:r>
    </w:p>
    <w:p>
      <w:pPr>
        <w:pStyle w:val="yIndenta"/>
      </w:pPr>
      <w:r>
        <w:rPr>
          <w:b/>
        </w:rPr>
        <w:tab/>
        <w:t>H</w:t>
      </w:r>
      <w:r>
        <w:t xml:space="preserve"> =</w:t>
      </w:r>
      <w:r>
        <w:tab/>
        <w:t>the discharge allowance for the 2009/2010 year calculated in accordance with item 38;</w:t>
      </w:r>
    </w:p>
    <w:p>
      <w:pPr>
        <w:pStyle w:val="yIndenta"/>
      </w:pPr>
      <w:r>
        <w:rPr>
          <w:b/>
        </w:rPr>
        <w:tab/>
        <w:t>I</w:t>
      </w:r>
      <w:r>
        <w:t xml:space="preserve"> =</w:t>
      </w:r>
      <w:r>
        <w:tab/>
        <w:t>2.328,</w:t>
      </w:r>
    </w:p>
    <w:p>
      <w:pPr>
        <w:pStyle w:val="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pPr>
      <w:bookmarkStart w:id="897" w:name="_Toc237309659"/>
      <w:r>
        <w:rPr>
          <w:rStyle w:val="CharSClsNo"/>
          <w:bCs/>
        </w:rPr>
        <w:t>38</w:t>
      </w:r>
      <w:r>
        <w:t>.</w:t>
      </w:r>
      <w:r>
        <w:tab/>
        <w:t>Discharge allowance</w:t>
      </w:r>
      <w:bookmarkEnd w:id="897"/>
    </w:p>
    <w:p>
      <w:pPr>
        <w:pStyle w:val="ySubsection"/>
        <w:rPr>
          <w:snapToGrid w:val="0"/>
        </w:rPr>
      </w:pPr>
      <w:r>
        <w:rPr>
          <w:snapToGrid w:val="0"/>
        </w:rPr>
        <w:tab/>
      </w:r>
      <w:r>
        <w:rPr>
          <w:snapToGrid w:val="0"/>
        </w:rPr>
        <w:tab/>
        <w:t xml:space="preserve">For the purposes of item 37, the discharge allowance is — </w:t>
      </w:r>
    </w:p>
    <w:p>
      <w:pPr>
        <w:pStyle w:val="yIndenta"/>
        <w:rPr>
          <w:snapToGrid w:val="0"/>
        </w:rPr>
      </w:pPr>
      <w:r>
        <w:rPr>
          <w:snapToGrid w:val="0"/>
        </w:rPr>
        <w:tab/>
        <w:t>(a)</w:t>
      </w:r>
      <w:r>
        <w:rPr>
          <w:snapToGrid w:val="0"/>
        </w:rPr>
        <w:tab/>
        <w:t xml:space="preserve">for land to which item 35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i0"/>
        <w:rPr>
          <w:snapToGrid w:val="0"/>
        </w:rPr>
      </w:pPr>
      <w:r>
        <w:rPr>
          <w:b/>
        </w:rPr>
        <w:tab/>
        <w:t>X</w:t>
      </w:r>
      <w:r>
        <w:t xml:space="preserve"> =</w:t>
      </w:r>
      <w:r>
        <w:tab/>
        <w:t xml:space="preserve">the annual charge for the 2009/2010 year calculated in </w:t>
      </w:r>
      <w:r>
        <w:rPr>
          <w:snapToGrid w:val="0"/>
        </w:rPr>
        <w:t>accordance with the formula in item 36;</w:t>
      </w:r>
    </w:p>
    <w:p>
      <w:pPr>
        <w:pStyle w:val="yIndenti0"/>
      </w:pPr>
      <w:r>
        <w:rPr>
          <w:b/>
        </w:rPr>
        <w:tab/>
        <w:t>L</w:t>
      </w:r>
      <w:r>
        <w:t xml:space="preserve"> =</w:t>
      </w:r>
      <w:r>
        <w:tab/>
        <w:t>200;</w:t>
      </w:r>
    </w:p>
    <w:p>
      <w:pPr>
        <w:pStyle w:val="yIndenti0"/>
        <w:rPr>
          <w:b/>
        </w:rPr>
      </w:pPr>
      <w:r>
        <w:rPr>
          <w:b/>
        </w:rPr>
        <w:tab/>
        <w:t>C</w:t>
      </w:r>
      <w:r>
        <w:t xml:space="preserve"> =</w:t>
      </w:r>
      <w:r>
        <w:tab/>
        <w:t xml:space="preserve">the charge payable for the relevant number of major fixtures for the 2009/2010 year as set out in the Table to item 36; </w:t>
      </w:r>
    </w:p>
    <w:p>
      <w:pPr>
        <w:pStyle w:val="yIndenti0"/>
      </w:pPr>
      <w:r>
        <w:rPr>
          <w:b/>
        </w:rPr>
        <w:tab/>
        <w:t>K</w:t>
      </w:r>
      <w:r>
        <w:t xml:space="preserve"> =</w:t>
      </w:r>
      <w:r>
        <w:tab/>
        <w:t>2.328;</w:t>
      </w:r>
    </w:p>
    <w:p>
      <w:pPr>
        <w:pStyle w:val="yIndenta"/>
      </w:pPr>
      <w:r>
        <w:tab/>
      </w:r>
      <w:r>
        <w:tab/>
        <w:t>and</w:t>
      </w:r>
    </w:p>
    <w:p>
      <w:pPr>
        <w:pStyle w:val="yIndenta"/>
        <w:rPr>
          <w:snapToGrid w:val="0"/>
        </w:rPr>
      </w:pPr>
      <w:r>
        <w:rPr>
          <w:snapToGrid w:val="0"/>
        </w:rPr>
        <w:tab/>
        <w:t>(b)</w:t>
      </w:r>
      <w:r>
        <w:rPr>
          <w:snapToGrid w:val="0"/>
        </w:rPr>
        <w:tab/>
        <w:t>for a caravan park referred to in item 32,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pPr>
      <w:r>
        <w:rPr>
          <w:b/>
        </w:rPr>
        <w:tab/>
        <w:t>L</w:t>
      </w:r>
      <w:r>
        <w:t xml:space="preserve"> =</w:t>
      </w:r>
      <w:r>
        <w:tab/>
        <w:t>200;</w:t>
      </w:r>
    </w:p>
    <w:p>
      <w:pPr>
        <w:pStyle w:val="yIndenti0"/>
      </w:pPr>
      <w:r>
        <w:rPr>
          <w:b/>
        </w:rPr>
        <w:tab/>
        <w:t>M</w:t>
      </w:r>
      <w:r>
        <w:t xml:space="preserve"> =</w:t>
      </w:r>
      <w:r>
        <w:tab/>
        <w:t>75 kL of water for each long-term residential caravan bay;</w:t>
      </w:r>
    </w:p>
    <w:p>
      <w:pPr>
        <w:pStyle w:val="yIndenta"/>
      </w:pPr>
      <w:r>
        <w:tab/>
      </w:r>
      <w:r>
        <w:tab/>
        <w:t>and</w:t>
      </w:r>
    </w:p>
    <w:p>
      <w:pPr>
        <w:pStyle w:val="yIndenta"/>
        <w:rPr>
          <w:snapToGrid w:val="0"/>
        </w:rPr>
      </w:pPr>
      <w:r>
        <w:rPr>
          <w:snapToGrid w:val="0"/>
        </w:rPr>
        <w:tab/>
        <w:t>(c)</w:t>
      </w:r>
      <w:r>
        <w:rPr>
          <w:snapToGrid w:val="0"/>
        </w:rPr>
        <w:tab/>
        <w:t>for a nursing home referred to in item 33, 75 kL of water per bed; and</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r>
        <w:tab/>
        <w:t>[Division 8 inserted in Gazette 19 Jun 2009 p. 2368-71.]</w:t>
      </w:r>
    </w:p>
    <w:p>
      <w:pPr>
        <w:pStyle w:val="yScheduleHeading"/>
      </w:pPr>
      <w:bookmarkStart w:id="898" w:name="_Toc233448448"/>
      <w:bookmarkStart w:id="899" w:name="_Toc233611724"/>
      <w:bookmarkStart w:id="900" w:name="_Toc234730731"/>
      <w:bookmarkStart w:id="901" w:name="_Toc234733257"/>
      <w:bookmarkStart w:id="902" w:name="_Toc235863994"/>
      <w:bookmarkStart w:id="903" w:name="_Toc235933469"/>
      <w:bookmarkStart w:id="904" w:name="_Toc237164457"/>
      <w:bookmarkStart w:id="905" w:name="_Toc237244341"/>
      <w:bookmarkStart w:id="906" w:name="_Toc237245665"/>
      <w:bookmarkStart w:id="907" w:name="_Toc237245796"/>
      <w:bookmarkStart w:id="908" w:name="_Toc237247938"/>
      <w:bookmarkStart w:id="909" w:name="_Toc237254241"/>
      <w:bookmarkStart w:id="910" w:name="_Toc237309660"/>
      <w:bookmarkStart w:id="911" w:name="_Toc202506081"/>
      <w:bookmarkStart w:id="912" w:name="_Toc202672813"/>
      <w:bookmarkStart w:id="913" w:name="_Toc202691791"/>
      <w:bookmarkStart w:id="914" w:name="_Toc170879127"/>
      <w:bookmarkStart w:id="915" w:name="_Toc170894775"/>
      <w:bookmarkStart w:id="916" w:name="_Toc175712741"/>
      <w:bookmarkStart w:id="917" w:name="_Toc175970682"/>
      <w:bookmarkStart w:id="918" w:name="_Toc176335401"/>
      <w:bookmarkStart w:id="919" w:name="_Toc176338976"/>
      <w:bookmarkStart w:id="920" w:name="_Toc178743001"/>
      <w:bookmarkStart w:id="921" w:name="_Toc179363424"/>
      <w:bookmarkStart w:id="922" w:name="_Toc179604493"/>
      <w:bookmarkStart w:id="923" w:name="_Toc180204686"/>
      <w:bookmarkStart w:id="924" w:name="_Toc180204902"/>
      <w:bookmarkStart w:id="925" w:name="_Toc185844647"/>
      <w:bookmarkStart w:id="926" w:name="_Toc185845267"/>
      <w:bookmarkStart w:id="927" w:name="_Toc1859272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r>
        <w:rPr>
          <w:rStyle w:val="CharSchNo"/>
        </w:rPr>
        <w:t>Schedule 4</w:t>
      </w:r>
      <w:r>
        <w:t> — </w:t>
      </w:r>
      <w:r>
        <w:rPr>
          <w:rStyle w:val="CharSchText"/>
        </w:rPr>
        <w:t>Charges for drainage for 2009/2010</w:t>
      </w:r>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yShoulderClause"/>
      </w:pPr>
      <w:r>
        <w:t>[bl. 27]</w:t>
      </w:r>
    </w:p>
    <w:p>
      <w:pPr>
        <w:pStyle w:val="yFootnoteheading"/>
      </w:pPr>
      <w:r>
        <w:tab/>
        <w:t>[Heading inserted in Gazette 19 Jun 2009 p. 2371.]</w:t>
      </w:r>
    </w:p>
    <w:p>
      <w:pPr>
        <w:pStyle w:val="yHeading3"/>
      </w:pPr>
      <w:bookmarkStart w:id="928" w:name="_Toc233448449"/>
      <w:bookmarkStart w:id="929" w:name="_Toc233611725"/>
      <w:bookmarkStart w:id="930" w:name="_Toc234730732"/>
      <w:bookmarkStart w:id="931" w:name="_Toc234733258"/>
      <w:bookmarkStart w:id="932" w:name="_Toc235863995"/>
      <w:bookmarkStart w:id="933" w:name="_Toc235933470"/>
      <w:bookmarkStart w:id="934" w:name="_Toc237164458"/>
      <w:bookmarkStart w:id="935" w:name="_Toc237244342"/>
      <w:bookmarkStart w:id="936" w:name="_Toc237245666"/>
      <w:bookmarkStart w:id="937" w:name="_Toc237245797"/>
      <w:bookmarkStart w:id="938" w:name="_Toc237247939"/>
      <w:bookmarkStart w:id="939" w:name="_Toc237254242"/>
      <w:bookmarkStart w:id="940" w:name="_Toc237309661"/>
      <w:r>
        <w:rPr>
          <w:rStyle w:val="CharSDivNo"/>
        </w:rPr>
        <w:t>Division 1</w:t>
      </w:r>
      <w:r>
        <w:rPr>
          <w:b w:val="0"/>
        </w:rPr>
        <w:t> — </w:t>
      </w:r>
      <w:r>
        <w:rPr>
          <w:rStyle w:val="CharSDivText"/>
        </w:rPr>
        <w:t>Fixed charges</w:t>
      </w:r>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yFootnoteheading"/>
      </w:pPr>
      <w:r>
        <w:tab/>
        <w:t>[Heading inserted in Gazette 19 Jun 2009 p. 2371.]</w:t>
      </w:r>
    </w:p>
    <w:p>
      <w:pPr>
        <w:pStyle w:val="yHeading5"/>
        <w:spacing w:before="120"/>
      </w:pPr>
      <w:bookmarkStart w:id="941" w:name="_Toc237309662"/>
      <w:r>
        <w:rPr>
          <w:rStyle w:val="CharSClsNo"/>
        </w:rPr>
        <w:t>1</w:t>
      </w:r>
      <w:r>
        <w:t>.</w:t>
      </w:r>
      <w:r>
        <w:tab/>
        <w:t>Strata</w:t>
      </w:r>
      <w:r>
        <w:noBreakHyphen/>
        <w:t>titled caravan bay</w:t>
      </w:r>
      <w:bookmarkEnd w:id="941"/>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tabs>
                <w:tab w:val="clear" w:pos="567"/>
                <w:tab w:val="left" w:leader="dot" w:pos="4572"/>
              </w:tabs>
              <w:ind w:right="12"/>
              <w:rPr>
                <w:rFonts w:ascii="Times" w:hAnsi="Times"/>
              </w:rPr>
            </w:pPr>
            <w:r>
              <w:rPr>
                <w:rFonts w:ascii="Times" w:hAnsi="Times"/>
              </w:rPr>
              <w:t xml:space="preserve">In respect of each residential property being a single caravan bay </w:t>
            </w:r>
            <w:r>
              <w:t>that</w:t>
            </w:r>
            <w:r>
              <w:rPr>
                <w:rFonts w:ascii="Times" w:hAnsi="Times"/>
              </w:rPr>
              <w:t xml:space="preserve"> is a lot within the meaning of the </w:t>
            </w:r>
            <w:r>
              <w:rPr>
                <w:rFonts w:ascii="Times" w:hAnsi="Times"/>
                <w:i/>
              </w:rPr>
              <w:t>Strata Titles Act 1985</w:t>
            </w:r>
            <w:r>
              <w:rPr>
                <w:rFonts w:ascii="Times" w:hAnsi="Times"/>
              </w:rPr>
              <w:t xml:space="preserve"> </w:t>
            </w:r>
            <w:r>
              <w:rPr>
                <w:rFonts w:ascii="Times" w:hAnsi="Times"/>
              </w:rPr>
              <w:tab/>
            </w:r>
          </w:p>
        </w:tc>
        <w:tc>
          <w:tcPr>
            <w:tcW w:w="1440" w:type="dxa"/>
          </w:tcPr>
          <w:p>
            <w:pPr>
              <w:pStyle w:val="yTableNAm"/>
              <w:rPr>
                <w:sz w:val="20"/>
              </w:rPr>
            </w:pPr>
            <w:r>
              <w:br/>
            </w:r>
            <w:r>
              <w:br/>
              <w:t>$20.20</w:t>
            </w:r>
          </w:p>
        </w:tc>
      </w:tr>
    </w:tbl>
    <w:p>
      <w:pPr>
        <w:pStyle w:val="yHeading5"/>
        <w:spacing w:before="180"/>
      </w:pPr>
      <w:bookmarkStart w:id="942" w:name="_Toc237309663"/>
      <w:r>
        <w:rPr>
          <w:rStyle w:val="CharSClsNo"/>
        </w:rPr>
        <w:t>2</w:t>
      </w:r>
      <w:r>
        <w:t>.</w:t>
      </w:r>
      <w:r>
        <w:tab/>
        <w:t>Strata</w:t>
      </w:r>
      <w:r>
        <w:noBreakHyphen/>
        <w:t>titled storage unit and strata</w:t>
      </w:r>
      <w:r>
        <w:noBreakHyphen/>
        <w:t>titled parking bay</w:t>
      </w:r>
      <w:bookmarkEnd w:id="942"/>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tabs>
                <w:tab w:val="clear" w:pos="567"/>
                <w:tab w:val="left" w:leader="dot" w:pos="4572"/>
              </w:tabs>
              <w:ind w:right="12"/>
              <w:rPr>
                <w:rFonts w:ascii="Times" w:hAnsi="Times"/>
                <w:iCs/>
              </w:rPr>
            </w:pPr>
            <w:r>
              <w:rPr>
                <w:rFonts w:ascii="Times" w:hAnsi="Times"/>
              </w:rPr>
              <w:t xml:space="preserve">In respect of land comprised in a unit used for storage purposes or as a parking bay that is a lot within the meaning of the </w:t>
            </w:r>
            <w:r>
              <w:rPr>
                <w:rFonts w:ascii="Times" w:hAnsi="Times"/>
                <w:i/>
              </w:rPr>
              <w:t xml:space="preserve">Strata Titles Act 1985 </w:t>
            </w:r>
            <w:r>
              <w:rPr>
                <w:rFonts w:ascii="Times" w:hAnsi="Times"/>
              </w:rPr>
              <w:tab/>
            </w:r>
          </w:p>
        </w:tc>
        <w:tc>
          <w:tcPr>
            <w:tcW w:w="1440" w:type="dxa"/>
          </w:tcPr>
          <w:p>
            <w:pPr>
              <w:pStyle w:val="yTableNAm"/>
            </w:pPr>
            <w:r>
              <w:br/>
            </w:r>
            <w:r>
              <w:br/>
              <w:t>$8.30</w:t>
            </w:r>
          </w:p>
        </w:tc>
      </w:tr>
    </w:tbl>
    <w:p>
      <w:pPr>
        <w:pStyle w:val="yFootnotesection"/>
      </w:pPr>
      <w:r>
        <w:tab/>
        <w:t>[Division 1 inserted in Gazette 19 Jun 2009 p. 2371.]</w:t>
      </w:r>
    </w:p>
    <w:p>
      <w:pPr>
        <w:pStyle w:val="yHeading3"/>
      </w:pPr>
      <w:bookmarkStart w:id="943" w:name="_Toc233448450"/>
      <w:bookmarkStart w:id="944" w:name="_Toc233611726"/>
      <w:bookmarkStart w:id="945" w:name="_Toc234730733"/>
      <w:bookmarkStart w:id="946" w:name="_Toc234733259"/>
      <w:bookmarkStart w:id="947" w:name="_Toc235863996"/>
      <w:bookmarkStart w:id="948" w:name="_Toc235933471"/>
      <w:bookmarkStart w:id="949" w:name="_Toc237164459"/>
      <w:bookmarkStart w:id="950" w:name="_Toc237244343"/>
      <w:bookmarkStart w:id="951" w:name="_Toc237245667"/>
      <w:bookmarkStart w:id="952" w:name="_Toc237245798"/>
      <w:bookmarkStart w:id="953" w:name="_Toc237247940"/>
      <w:bookmarkStart w:id="954" w:name="_Toc237254245"/>
      <w:bookmarkStart w:id="955" w:name="_Toc237309664"/>
      <w:r>
        <w:rPr>
          <w:rStyle w:val="CharSDivNo"/>
        </w:rPr>
        <w:t>Division 2</w:t>
      </w:r>
      <w:r>
        <w:rPr>
          <w:b w:val="0"/>
        </w:rPr>
        <w:t> — </w:t>
      </w:r>
      <w:r>
        <w:rPr>
          <w:rStyle w:val="CharSDivText"/>
        </w:rPr>
        <w:t>Charges by way of rate</w:t>
      </w:r>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yFootnoteheading"/>
        <w:spacing w:after="120"/>
      </w:pPr>
      <w:r>
        <w:tab/>
        <w:t>[Heading inserted in Gazette 19 Jun 2009 p. 2371.]</w:t>
      </w:r>
    </w:p>
    <w:p>
      <w:pPr>
        <w:pStyle w:val="yHeading5"/>
        <w:spacing w:before="120"/>
      </w:pPr>
      <w:bookmarkStart w:id="956" w:name="_Toc237309665"/>
      <w:r>
        <w:rPr>
          <w:rStyle w:val="CharSClsNo"/>
          <w:rFonts w:ascii="Times" w:hAnsi="Times"/>
        </w:rPr>
        <w:t>3</w:t>
      </w:r>
      <w:r>
        <w:t>.</w:t>
      </w:r>
      <w:r>
        <w:tab/>
        <w:t>Land in a drainage area as referred to in by</w:t>
      </w:r>
      <w:r>
        <w:noBreakHyphen/>
        <w:t>law 27 classified as residential or semi</w:t>
      </w:r>
      <w:r>
        <w:noBreakHyphen/>
        <w:t>rural residential</w:t>
      </w:r>
      <w:bookmarkEnd w:id="956"/>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tabs>
                <w:tab w:val="clear" w:pos="567"/>
                <w:tab w:val="left" w:leader="dot" w:pos="4572"/>
              </w:tabs>
              <w:ind w:right="12"/>
            </w:pPr>
            <w:r>
              <w:t>In respect of all land in a drainage area as referred to in by</w:t>
            </w:r>
            <w:r>
              <w:noBreakHyphen/>
              <w:t xml:space="preserve">law 27 that is classified </w:t>
            </w:r>
            <w:r>
              <w:rPr>
                <w:rFonts w:ascii="Times" w:hAnsi="Times"/>
              </w:rPr>
              <w:t>as</w:t>
            </w:r>
            <w:r>
              <w:t xml:space="preserve"> residential or semi</w:t>
            </w:r>
            <w:r>
              <w:noBreakHyphen/>
              <w:t xml:space="preserve">rural residential land </w:t>
            </w:r>
            <w:r>
              <w:tab/>
            </w:r>
          </w:p>
        </w:tc>
        <w:tc>
          <w:tcPr>
            <w:tcW w:w="1440" w:type="dxa"/>
          </w:tcPr>
          <w:p>
            <w:pPr>
              <w:pStyle w:val="yTableNAm"/>
            </w:pPr>
            <w:r>
              <w:br/>
            </w:r>
            <w:r>
              <w:br/>
              <w:t>0.529 cents/$ of GRV</w:t>
            </w:r>
          </w:p>
        </w:tc>
      </w:tr>
      <w:tr>
        <w:tc>
          <w:tcPr>
            <w:tcW w:w="960" w:type="dxa"/>
          </w:tcPr>
          <w:p>
            <w:pPr>
              <w:pStyle w:val="yTableNAm"/>
            </w:pPr>
          </w:p>
        </w:tc>
        <w:tc>
          <w:tcPr>
            <w:tcW w:w="4800" w:type="dxa"/>
          </w:tcPr>
          <w:p>
            <w:pPr>
              <w:pStyle w:val="yTableNAm"/>
              <w:tabs>
                <w:tab w:val="clear" w:pos="567"/>
                <w:tab w:val="left" w:leader="dot" w:pos="4572"/>
              </w:tabs>
              <w:ind w:right="12"/>
            </w:pPr>
            <w:r>
              <w:t xml:space="preserve">subject to a minimum in respect of any land the subject of a separate assessment of </w:t>
            </w:r>
            <w:r>
              <w:tab/>
            </w:r>
          </w:p>
        </w:tc>
        <w:tc>
          <w:tcPr>
            <w:tcW w:w="1440" w:type="dxa"/>
          </w:tcPr>
          <w:p>
            <w:pPr>
              <w:pStyle w:val="yTableNAm"/>
            </w:pPr>
            <w:r>
              <w:br/>
              <w:t>$67.30</w:t>
            </w:r>
          </w:p>
        </w:tc>
      </w:tr>
    </w:tbl>
    <w:p>
      <w:pPr>
        <w:pStyle w:val="yHeading5"/>
        <w:spacing w:before="180"/>
      </w:pPr>
      <w:bookmarkStart w:id="957" w:name="_Toc237309666"/>
      <w:r>
        <w:rPr>
          <w:rStyle w:val="CharSClsNo"/>
          <w:rFonts w:ascii="Times" w:hAnsi="Times"/>
        </w:rPr>
        <w:t>4</w:t>
      </w:r>
      <w:r>
        <w:t>.</w:t>
      </w:r>
      <w:r>
        <w:tab/>
        <w:t>Land in a drainage area classified as vacant land</w:t>
      </w:r>
      <w:bookmarkEnd w:id="957"/>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rPr>
                <w:rStyle w:val="CharSClsNo"/>
              </w:rPr>
            </w:pPr>
          </w:p>
        </w:tc>
        <w:tc>
          <w:tcPr>
            <w:tcW w:w="4800" w:type="dxa"/>
          </w:tcPr>
          <w:p>
            <w:pPr>
              <w:pStyle w:val="yTableNAm"/>
              <w:tabs>
                <w:tab w:val="clear" w:pos="567"/>
                <w:tab w:val="left" w:leader="dot" w:pos="4572"/>
              </w:tabs>
              <w:ind w:right="12"/>
            </w:pPr>
            <w:r>
              <w:t xml:space="preserve">In respect of all land in a </w:t>
            </w:r>
            <w:r>
              <w:rPr>
                <w:rFonts w:ascii="Times" w:hAnsi="Times"/>
              </w:rPr>
              <w:t>drainage</w:t>
            </w:r>
            <w:r>
              <w:t xml:space="preserve"> area classified as vacant land </w:t>
            </w:r>
            <w:r>
              <w:tab/>
            </w:r>
          </w:p>
        </w:tc>
        <w:tc>
          <w:tcPr>
            <w:tcW w:w="1440" w:type="dxa"/>
          </w:tcPr>
          <w:p>
            <w:pPr>
              <w:pStyle w:val="yTableNAm"/>
              <w:rPr>
                <w:sz w:val="20"/>
              </w:rPr>
            </w:pPr>
            <w:r>
              <w:br/>
              <w:t>0.406 cents/$ of GRV</w:t>
            </w:r>
          </w:p>
        </w:tc>
      </w:tr>
      <w:tr>
        <w:tc>
          <w:tcPr>
            <w:tcW w:w="960" w:type="dxa"/>
          </w:tcPr>
          <w:p>
            <w:pPr>
              <w:pStyle w:val="yTableNAm"/>
              <w:rPr>
                <w:rStyle w:val="CharSClsNo"/>
              </w:rPr>
            </w:pPr>
          </w:p>
        </w:tc>
        <w:tc>
          <w:tcPr>
            <w:tcW w:w="4800" w:type="dxa"/>
          </w:tcPr>
          <w:p>
            <w:pPr>
              <w:pStyle w:val="yTableNAm"/>
              <w:tabs>
                <w:tab w:val="clear" w:pos="567"/>
                <w:tab w:val="left" w:leader="dot" w:pos="4572"/>
              </w:tabs>
              <w:ind w:right="12"/>
            </w:pPr>
            <w:r>
              <w:t xml:space="preserve">subject to a minimum in respect of any land the subject of a separate assessment </w:t>
            </w:r>
            <w:r>
              <w:rPr>
                <w:rFonts w:ascii="Times" w:hAnsi="Times"/>
              </w:rPr>
              <w:t>of</w:t>
            </w:r>
            <w:r>
              <w:t xml:space="preserve"> </w:t>
            </w:r>
            <w:r>
              <w:tab/>
            </w:r>
          </w:p>
        </w:tc>
        <w:tc>
          <w:tcPr>
            <w:tcW w:w="1440" w:type="dxa"/>
          </w:tcPr>
          <w:p>
            <w:pPr>
              <w:pStyle w:val="yTableNAm"/>
              <w:rPr>
                <w:sz w:val="20"/>
              </w:rPr>
            </w:pPr>
            <w:r>
              <w:br/>
              <w:t>$67.30</w:t>
            </w:r>
          </w:p>
        </w:tc>
      </w:tr>
    </w:tbl>
    <w:p>
      <w:pPr>
        <w:pStyle w:val="yHeading5"/>
      </w:pPr>
      <w:bookmarkStart w:id="958" w:name="_Toc237309667"/>
      <w:r>
        <w:rPr>
          <w:rStyle w:val="CharSClsNo"/>
        </w:rPr>
        <w:t>5</w:t>
      </w:r>
      <w:r>
        <w:t>.</w:t>
      </w:r>
      <w:r>
        <w:rPr>
          <w:rStyle w:val="CharSClsNo"/>
        </w:rPr>
        <w:tab/>
      </w:r>
      <w:r>
        <w:t>Land in a drainage area as referred to in by</w:t>
      </w:r>
      <w:r>
        <w:noBreakHyphen/>
        <w:t>law 27 other than land to which item 1, 2, 3 or 4 applies</w:t>
      </w:r>
      <w:bookmarkEnd w:id="958"/>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rPr>
                <w:rStyle w:val="CharSClsNo"/>
              </w:rPr>
            </w:pPr>
          </w:p>
        </w:tc>
        <w:tc>
          <w:tcPr>
            <w:tcW w:w="4800" w:type="dxa"/>
          </w:tcPr>
          <w:p>
            <w:pPr>
              <w:pStyle w:val="yTableNAm"/>
              <w:tabs>
                <w:tab w:val="clear" w:pos="567"/>
                <w:tab w:val="left" w:leader="dot" w:pos="4572"/>
              </w:tabs>
              <w:ind w:right="12"/>
            </w:pPr>
            <w:r>
              <w:t>In respect of all land in a drainage area as referred to in by</w:t>
            </w:r>
            <w:r>
              <w:noBreakHyphen/>
              <w:t xml:space="preserve">law 27 other than </w:t>
            </w:r>
            <w:r>
              <w:rPr>
                <w:rFonts w:ascii="Times" w:hAnsi="Times"/>
              </w:rPr>
              <w:t>land</w:t>
            </w:r>
            <w:r>
              <w:t xml:space="preserve"> to which item 1, 2, 3 or 4 applies </w:t>
            </w:r>
            <w:r>
              <w:tab/>
            </w:r>
          </w:p>
        </w:tc>
        <w:tc>
          <w:tcPr>
            <w:tcW w:w="1440" w:type="dxa"/>
          </w:tcPr>
          <w:p>
            <w:pPr>
              <w:pStyle w:val="yTableNAm"/>
              <w:rPr>
                <w:sz w:val="20"/>
              </w:rPr>
            </w:pPr>
            <w:r>
              <w:br/>
            </w:r>
            <w:r>
              <w:br/>
              <w:t>0.631 cents/$ of GRV</w:t>
            </w:r>
          </w:p>
        </w:tc>
      </w:tr>
      <w:tr>
        <w:tc>
          <w:tcPr>
            <w:tcW w:w="960" w:type="dxa"/>
          </w:tcPr>
          <w:p>
            <w:pPr>
              <w:pStyle w:val="yTableNAm"/>
              <w:rPr>
                <w:rStyle w:val="CharSClsNo"/>
                <w:rFonts w:ascii="Times" w:hAnsi="Times"/>
              </w:rPr>
            </w:pPr>
          </w:p>
        </w:tc>
        <w:tc>
          <w:tcPr>
            <w:tcW w:w="4800" w:type="dxa"/>
          </w:tcPr>
          <w:p>
            <w:pPr>
              <w:pStyle w:val="yTableNAm"/>
              <w:tabs>
                <w:tab w:val="clear" w:pos="567"/>
                <w:tab w:val="left" w:leader="dot" w:pos="4572"/>
              </w:tabs>
              <w:ind w:right="12"/>
            </w:pPr>
            <w:r>
              <w:t xml:space="preserve">subject to a minimum in </w:t>
            </w:r>
            <w:r>
              <w:rPr>
                <w:rFonts w:ascii="Times" w:hAnsi="Times"/>
              </w:rPr>
              <w:t>respect</w:t>
            </w:r>
            <w:r>
              <w:t xml:space="preserve"> of any land the subject of a separate assessment of </w:t>
            </w:r>
            <w:r>
              <w:tab/>
            </w:r>
          </w:p>
        </w:tc>
        <w:tc>
          <w:tcPr>
            <w:tcW w:w="1440" w:type="dxa"/>
          </w:tcPr>
          <w:p>
            <w:pPr>
              <w:pStyle w:val="yTableNAm"/>
              <w:rPr>
                <w:sz w:val="20"/>
              </w:rPr>
            </w:pPr>
            <w:r>
              <w:br/>
              <w:t>$67.30</w:t>
            </w:r>
          </w:p>
        </w:tc>
      </w:tr>
    </w:tbl>
    <w:p>
      <w:pPr>
        <w:pStyle w:val="yFootnotesection"/>
      </w:pPr>
      <w:r>
        <w:tab/>
        <w:t>[Division 2 inserted in Gazette 19 Jun 2009 p. 2371-2.]</w:t>
      </w:r>
    </w:p>
    <w:p>
      <w:pPr>
        <w:pStyle w:val="yScheduleHeading"/>
      </w:pPr>
      <w:bookmarkStart w:id="959" w:name="_Toc233448452"/>
      <w:bookmarkStart w:id="960" w:name="_Toc233611727"/>
      <w:bookmarkStart w:id="961" w:name="_Toc234730734"/>
      <w:bookmarkStart w:id="962" w:name="_Toc234733260"/>
      <w:bookmarkStart w:id="963" w:name="_Toc235863997"/>
      <w:bookmarkStart w:id="964" w:name="_Toc235933472"/>
      <w:bookmarkStart w:id="965" w:name="_Toc237164460"/>
      <w:bookmarkStart w:id="966" w:name="_Toc237244344"/>
      <w:bookmarkStart w:id="967" w:name="_Toc237245668"/>
      <w:bookmarkStart w:id="968" w:name="_Toc237245799"/>
      <w:bookmarkStart w:id="969" w:name="_Toc237247941"/>
      <w:bookmarkStart w:id="970" w:name="_Toc237254249"/>
      <w:bookmarkStart w:id="971" w:name="_Toc237309668"/>
      <w:bookmarkStart w:id="972" w:name="_Toc202506083"/>
      <w:bookmarkStart w:id="973" w:name="_Toc202672815"/>
      <w:bookmarkStart w:id="974" w:name="_Toc202691792"/>
      <w:bookmarkEnd w:id="911"/>
      <w:bookmarkEnd w:id="912"/>
      <w:bookmarkEnd w:id="913"/>
      <w:r>
        <w:rPr>
          <w:rStyle w:val="CharSchNo"/>
        </w:rPr>
        <w:t>Schedule 5</w:t>
      </w:r>
      <w:r>
        <w:rPr>
          <w:rStyle w:val="CharSDivNo"/>
        </w:rPr>
        <w:t> </w:t>
      </w:r>
      <w:r>
        <w:t>—</w:t>
      </w:r>
      <w:r>
        <w:rPr>
          <w:rStyle w:val="CharSDivText"/>
        </w:rPr>
        <w:t> </w:t>
      </w:r>
      <w:r>
        <w:rPr>
          <w:rStyle w:val="CharSchText"/>
        </w:rPr>
        <w:t>Charges for irrigation for 2009/2010</w:t>
      </w:r>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yShoulderClause"/>
      </w:pPr>
      <w:r>
        <w:t>[bl. 31]</w:t>
      </w:r>
    </w:p>
    <w:p>
      <w:pPr>
        <w:pStyle w:val="yFootnoteheading"/>
        <w:spacing w:after="120"/>
      </w:pPr>
      <w:r>
        <w:tab/>
        <w:t>[Heading inserted in Gazette 19 Jun 2009 p. 2372.]</w:t>
      </w:r>
    </w:p>
    <w:p>
      <w:pPr>
        <w:pStyle w:val="yHeading5"/>
        <w:tabs>
          <w:tab w:val="clear" w:pos="879"/>
        </w:tabs>
        <w:ind w:left="960" w:hanging="960"/>
      </w:pPr>
      <w:bookmarkStart w:id="975" w:name="_Toc237309669"/>
      <w:r>
        <w:rPr>
          <w:rStyle w:val="CharSClsNo"/>
          <w:rFonts w:ascii="Times" w:hAnsi="Times"/>
        </w:rPr>
        <w:t>1</w:t>
      </w:r>
      <w:r>
        <w:t>.</w:t>
      </w:r>
      <w:r>
        <w:rPr>
          <w:rStyle w:val="CharSClsNo"/>
          <w:rFonts w:ascii="Times" w:hAnsi="Times"/>
        </w:rPr>
        <w:tab/>
      </w:r>
      <w:r>
        <w:t>Ord Irrigation District</w:t>
      </w:r>
      <w:bookmarkEnd w:id="975"/>
    </w:p>
    <w:tbl>
      <w:tblPr>
        <w:tblW w:w="0" w:type="auto"/>
        <w:tblInd w:w="-12" w:type="dxa"/>
        <w:tblLook w:val="0000" w:firstRow="0" w:lastRow="0" w:firstColumn="0" w:lastColumn="0" w:noHBand="0" w:noVBand="0"/>
      </w:tblPr>
      <w:tblGrid>
        <w:gridCol w:w="960"/>
        <w:gridCol w:w="4800"/>
        <w:gridCol w:w="1440"/>
      </w:tblGrid>
      <w:tr>
        <w:tc>
          <w:tcPr>
            <w:tcW w:w="960" w:type="dxa"/>
          </w:tcPr>
          <w:p>
            <w:pPr>
              <w:pStyle w:val="yTableNAm"/>
            </w:pPr>
          </w:p>
        </w:tc>
        <w:tc>
          <w:tcPr>
            <w:tcW w:w="4800" w:type="dxa"/>
          </w:tcPr>
          <w:p>
            <w:pPr>
              <w:pStyle w:val="yTableNAm"/>
            </w:pPr>
            <w:r>
              <w:t xml:space="preserve">Charges by way of rate for land in the Ord Irrigation District where under the </w:t>
            </w:r>
            <w:r>
              <w:rPr>
                <w:i/>
              </w:rPr>
              <w:t>Ord Irrigation District By</w:t>
            </w:r>
            <w:r>
              <w:rPr>
                <w:i/>
              </w:rPr>
              <w:noBreakHyphen/>
              <w:t>laws 1963</w:t>
            </w:r>
            <w:r>
              <w:t xml:space="preserve"> by</w:t>
            </w:r>
            <w:r>
              <w:noBreakHyphen/>
              <w:t>law 31A, the land is irrigated by pumping from works, an amount per hectare of land so irrigated of —</w:t>
            </w:r>
          </w:p>
        </w:tc>
        <w:tc>
          <w:tcPr>
            <w:tcW w:w="1440" w:type="dxa"/>
          </w:tcPr>
          <w:p>
            <w:pPr>
              <w:pStyle w:val="yTableNAm"/>
              <w:rPr>
                <w:sz w:val="20"/>
              </w:rPr>
            </w:pPr>
          </w:p>
        </w:tc>
      </w:tr>
      <w:tr>
        <w:tc>
          <w:tcPr>
            <w:tcW w:w="960" w:type="dxa"/>
          </w:tcPr>
          <w:p>
            <w:pPr>
              <w:pStyle w:val="yTableNAm"/>
            </w:pPr>
          </w:p>
        </w:tc>
        <w:tc>
          <w:tcPr>
            <w:tcW w:w="4800" w:type="dxa"/>
          </w:tcPr>
          <w:p>
            <w:pPr>
              <w:pStyle w:val="yTableNAm"/>
              <w:tabs>
                <w:tab w:val="clear" w:pos="567"/>
                <w:tab w:val="left" w:pos="416"/>
                <w:tab w:val="left" w:pos="896"/>
                <w:tab w:val="left" w:leader="dot" w:pos="4584"/>
              </w:tabs>
              <w:ind w:left="896" w:hanging="896"/>
            </w:pPr>
            <w:r>
              <w:tab/>
              <w:t>(a)</w:t>
            </w:r>
            <w:r>
              <w:tab/>
              <w:t xml:space="preserve">where the supply is assured </w:t>
            </w:r>
            <w:r>
              <w:tab/>
            </w:r>
          </w:p>
        </w:tc>
        <w:tc>
          <w:tcPr>
            <w:tcW w:w="1440" w:type="dxa"/>
          </w:tcPr>
          <w:p>
            <w:pPr>
              <w:pStyle w:val="yTableNAm"/>
            </w:pPr>
            <w:r>
              <w:t>$127.50</w:t>
            </w:r>
          </w:p>
        </w:tc>
      </w:tr>
      <w:tr>
        <w:tc>
          <w:tcPr>
            <w:tcW w:w="960" w:type="dxa"/>
          </w:tcPr>
          <w:p>
            <w:pPr>
              <w:pStyle w:val="yTableNAm"/>
            </w:pPr>
          </w:p>
        </w:tc>
        <w:tc>
          <w:tcPr>
            <w:tcW w:w="4800" w:type="dxa"/>
          </w:tcPr>
          <w:p>
            <w:pPr>
              <w:pStyle w:val="yTableNAm"/>
              <w:tabs>
                <w:tab w:val="clear" w:pos="567"/>
                <w:tab w:val="left" w:pos="416"/>
                <w:tab w:val="left" w:pos="896"/>
                <w:tab w:val="left" w:leader="dot" w:pos="4584"/>
              </w:tabs>
              <w:ind w:left="896" w:hanging="896"/>
            </w:pPr>
            <w:r>
              <w:tab/>
              <w:t>(b)</w:t>
            </w:r>
            <w:r>
              <w:tab/>
              <w:t xml:space="preserve">where the supply is not assured </w:t>
            </w:r>
            <w:r>
              <w:tab/>
            </w:r>
          </w:p>
        </w:tc>
        <w:tc>
          <w:tcPr>
            <w:tcW w:w="1440" w:type="dxa"/>
          </w:tcPr>
          <w:p>
            <w:pPr>
              <w:pStyle w:val="yTableNAm"/>
            </w:pPr>
            <w:r>
              <w:t>$96.50</w:t>
            </w:r>
          </w:p>
        </w:tc>
      </w:tr>
    </w:tbl>
    <w:p>
      <w:pPr>
        <w:pStyle w:val="yFootnotesection"/>
      </w:pPr>
      <w:r>
        <w:tab/>
        <w:t>[Schedule 5 inserted in Gazette 19 Jun 2009 p. 2372.]</w:t>
      </w:r>
    </w:p>
    <w:p>
      <w:pPr>
        <w:pStyle w:val="yScheduleHeading"/>
        <w:outlineLvl w:val="0"/>
      </w:pPr>
      <w:bookmarkStart w:id="976" w:name="_Toc233448453"/>
      <w:bookmarkStart w:id="977" w:name="_Toc233611728"/>
      <w:bookmarkStart w:id="978" w:name="_Toc234730735"/>
      <w:bookmarkStart w:id="979" w:name="_Toc234733261"/>
      <w:bookmarkStart w:id="980" w:name="_Toc235863998"/>
      <w:bookmarkStart w:id="981" w:name="_Toc235933473"/>
      <w:bookmarkStart w:id="982" w:name="_Toc237164461"/>
      <w:bookmarkStart w:id="983" w:name="_Toc237244345"/>
      <w:bookmarkStart w:id="984" w:name="_Toc237245669"/>
      <w:bookmarkStart w:id="985" w:name="_Toc237245800"/>
      <w:bookmarkStart w:id="986" w:name="_Toc237247942"/>
      <w:bookmarkStart w:id="987" w:name="_Toc237254251"/>
      <w:bookmarkStart w:id="988" w:name="_Toc237309670"/>
      <w:r>
        <w:rPr>
          <w:rStyle w:val="CharSchNo"/>
        </w:rPr>
        <w:t>Schedule 6</w:t>
      </w:r>
      <w:r>
        <w:t xml:space="preserve"> — </w:t>
      </w:r>
      <w:r>
        <w:rPr>
          <w:rStyle w:val="CharSchText"/>
        </w:rPr>
        <w:t>Formula for calculating AGRV</w:t>
      </w:r>
      <w:bookmarkEnd w:id="561"/>
      <w:bookmarkEnd w:id="562"/>
      <w:bookmarkEnd w:id="563"/>
      <w:bookmarkEnd w:id="564"/>
      <w:bookmarkEnd w:id="565"/>
      <w:bookmarkEnd w:id="566"/>
      <w:bookmarkEnd w:id="750"/>
      <w:bookmarkEnd w:id="751"/>
      <w:bookmarkEnd w:id="752"/>
      <w:bookmarkEnd w:id="753"/>
      <w:bookmarkEnd w:id="754"/>
      <w:bookmarkEnd w:id="755"/>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72"/>
      <w:bookmarkEnd w:id="973"/>
      <w:bookmarkEnd w:id="974"/>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yShoulderClause"/>
      </w:pPr>
      <w:r>
        <w:t>[bl. 14(2) and 24(2)]</w:t>
      </w:r>
    </w:p>
    <w:p>
      <w:pPr>
        <w:pStyle w:val="yFootnotesection"/>
      </w:pPr>
      <w:bookmarkStart w:id="989" w:name="_Toc17278766"/>
      <w:r>
        <w:tab/>
        <w:t>[Heading inserted in Gazette 29 Jun 2001 p. 3224.]</w:t>
      </w:r>
    </w:p>
    <w:p>
      <w:pPr>
        <w:pStyle w:val="yHeading5"/>
      </w:pPr>
      <w:bookmarkStart w:id="990" w:name="_Toc180204903"/>
      <w:bookmarkStart w:id="991" w:name="_Toc237309671"/>
      <w:r>
        <w:rPr>
          <w:rStyle w:val="CharSClsNo"/>
        </w:rPr>
        <w:t>1</w:t>
      </w:r>
      <w:r>
        <w:t>.</w:t>
      </w:r>
      <w:r>
        <w:tab/>
      </w:r>
      <w:bookmarkEnd w:id="989"/>
      <w:r>
        <w:t>Term used</w:t>
      </w:r>
      <w:bookmarkEnd w:id="990"/>
      <w:r>
        <w:t>: relevant general valuation</w:t>
      </w:r>
      <w:bookmarkEnd w:id="991"/>
    </w:p>
    <w:p>
      <w:pPr>
        <w:pStyle w:val="ySubsection"/>
      </w:pPr>
      <w:r>
        <w:tab/>
      </w:r>
      <w:r>
        <w:tab/>
        <w:t>In this Schedule —</w:t>
      </w:r>
    </w:p>
    <w:p>
      <w:pPr>
        <w:pStyle w:val="yDefstart"/>
      </w:pPr>
      <w:r>
        <w:tab/>
      </w:r>
      <w:r>
        <w:rPr>
          <w:rStyle w:val="CharDefText"/>
        </w:rPr>
        <w:t>relevant general valuation</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t>before the commencement of the period for which the charge is to be imposed.</w:t>
      </w:r>
    </w:p>
    <w:p>
      <w:pPr>
        <w:pStyle w:val="yHeading5"/>
      </w:pPr>
      <w:bookmarkStart w:id="992" w:name="_Toc17278767"/>
      <w:bookmarkStart w:id="993" w:name="_Toc180204904"/>
      <w:bookmarkStart w:id="994" w:name="_Toc237309672"/>
      <w:r>
        <w:t>2.</w:t>
      </w:r>
      <w:r>
        <w:tab/>
        <w:t>Formula for calculating AGRV</w:t>
      </w:r>
      <w:bookmarkEnd w:id="992"/>
      <w:bookmarkEnd w:id="993"/>
      <w:bookmarkEnd w:id="994"/>
    </w:p>
    <w:p>
      <w:pPr>
        <w:pStyle w:val="ySubsection"/>
      </w:pPr>
      <w:r>
        <w:tab/>
      </w:r>
      <w:r>
        <w:tab/>
        <w:t>If the relevant general valuation was conducted in the previous year, then —</w:t>
      </w:r>
    </w:p>
    <w:p>
      <w:pPr>
        <w:pStyle w:val="ySubsection"/>
        <w:rPr>
          <w:b/>
          <w:bCs/>
        </w:rPr>
      </w:pPr>
      <w:r>
        <w:tab/>
      </w:r>
      <w:r>
        <w:tab/>
      </w:r>
      <w:r>
        <w:rPr>
          <w:b/>
          <w:bCs/>
        </w:rPr>
        <w:t xml:space="preserve">AGRV = GRV </w:t>
      </w:r>
      <w:r>
        <w:rPr>
          <w:b/>
          <w:bCs/>
        </w:rPr>
        <w:sym w:font="Symbol" w:char="F0B4"/>
      </w:r>
      <w:r>
        <w:rPr>
          <w:b/>
          <w:bCs/>
        </w:rPr>
        <w:t xml:space="preserve"> A</w:t>
      </w:r>
    </w:p>
    <w:p>
      <w:pPr>
        <w:pStyle w:val="ySubsection"/>
      </w:pPr>
      <w:r>
        <w:tab/>
      </w:r>
      <w:r>
        <w:tab/>
        <w:t>or if the relevant general valuation was conducted in any earlier year —</w:t>
      </w:r>
    </w:p>
    <w:p>
      <w:pPr>
        <w:pStyle w:val="ySubsection"/>
        <w:rPr>
          <w:b/>
          <w:bCs/>
        </w:rPr>
      </w:pPr>
      <w:r>
        <w:tab/>
      </w:r>
      <w:r>
        <w:tab/>
      </w:r>
      <w:r>
        <w:rPr>
          <w:b/>
          <w:bCs/>
        </w:rPr>
        <w:t xml:space="preserve">AGRV = GRV </w:t>
      </w:r>
      <w:r>
        <w:rPr>
          <w:b/>
          <w:bCs/>
        </w:rPr>
        <w:sym w:font="Symbol" w:char="F0B4"/>
      </w:r>
      <w:r>
        <w:rPr>
          <w:b/>
          <w:bCs/>
        </w:rPr>
        <w:t xml:space="preserve"> A </w:t>
      </w:r>
      <w:r>
        <w:rPr>
          <w:b/>
          <w:bCs/>
        </w:rPr>
        <w:sym w:font="Symbol" w:char="F0B4"/>
      </w:r>
      <w:r>
        <w:rPr>
          <w:b/>
          <w:bCs/>
        </w:rPr>
        <w:t xml:space="preserve"> B</w:t>
      </w:r>
    </w:p>
    <w:p>
      <w:pPr>
        <w:pStyle w:val="ySubsection"/>
      </w:pPr>
      <w:r>
        <w:tab/>
      </w:r>
      <w:r>
        <w:tab/>
        <w:t>where —</w:t>
      </w:r>
    </w:p>
    <w:p>
      <w:pPr>
        <w:pStyle w:val="yIndenta"/>
      </w:pPr>
      <w:r>
        <w:rPr>
          <w:b/>
        </w:rPr>
        <w:tab/>
        <w:t xml:space="preserve">A  </w:t>
      </w:r>
      <w:r>
        <w:t>=</w:t>
      </w:r>
      <w:r>
        <w:tab/>
        <w:t>1.00; and</w:t>
      </w:r>
    </w:p>
    <w:p>
      <w:pPr>
        <w:pStyle w:val="yIndenta"/>
      </w:pPr>
      <w:r>
        <w:rPr>
          <w:b/>
        </w:rPr>
        <w:tab/>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995" w:name="_Toc233448457"/>
      <w:bookmarkStart w:id="996" w:name="_Toc233611731"/>
      <w:bookmarkStart w:id="997" w:name="_Toc234730738"/>
      <w:bookmarkStart w:id="998" w:name="_Toc234733264"/>
      <w:bookmarkStart w:id="999" w:name="_Toc235864001"/>
      <w:bookmarkStart w:id="1000" w:name="_Toc235933476"/>
      <w:bookmarkStart w:id="1001" w:name="_Toc237164464"/>
      <w:bookmarkStart w:id="1002" w:name="_Toc237244348"/>
      <w:bookmarkStart w:id="1003" w:name="_Toc237245672"/>
      <w:bookmarkStart w:id="1004" w:name="_Toc237245803"/>
      <w:bookmarkStart w:id="1005" w:name="_Toc237247945"/>
      <w:bookmarkStart w:id="1006" w:name="_Toc237254254"/>
      <w:bookmarkStart w:id="1007" w:name="_Toc237309673"/>
      <w:bookmarkStart w:id="1008" w:name="_Toc202506101"/>
      <w:bookmarkStart w:id="1009" w:name="_Toc202672833"/>
      <w:bookmarkStart w:id="1010" w:name="_Toc202691796"/>
      <w:bookmarkStart w:id="1011" w:name="_Toc139771109"/>
      <w:bookmarkStart w:id="1012" w:name="_Toc139771487"/>
      <w:bookmarkStart w:id="1013" w:name="_Toc151191702"/>
      <w:bookmarkStart w:id="1014" w:name="_Toc151260595"/>
      <w:bookmarkStart w:id="1015" w:name="_Toc164158702"/>
      <w:bookmarkStart w:id="1016" w:name="_Toc164221074"/>
      <w:r>
        <w:rPr>
          <w:rStyle w:val="CharSchNo"/>
        </w:rPr>
        <w:t>Schedule 7</w:t>
      </w:r>
      <w:r>
        <w:rPr>
          <w:rStyle w:val="CharSDivNo"/>
        </w:rPr>
        <w:t> </w:t>
      </w:r>
      <w:r>
        <w:t>—</w:t>
      </w:r>
      <w:r>
        <w:rPr>
          <w:rStyle w:val="CharSDivText"/>
        </w:rPr>
        <w:t> </w:t>
      </w:r>
      <w:r>
        <w:rPr>
          <w:rStyle w:val="CharSchText"/>
        </w:rPr>
        <w:t>Discounts and additional charges</w:t>
      </w:r>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yShoulderClause"/>
      </w:pPr>
      <w:r>
        <w:t>[bl. 7, 8, 8A and 9]</w:t>
      </w:r>
    </w:p>
    <w:p>
      <w:pPr>
        <w:pStyle w:val="yFootnoteheading"/>
        <w:spacing w:after="120"/>
      </w:pPr>
      <w:r>
        <w:tab/>
        <w:t>[Heading inserted in Gazette 19 Jun 2009 p. 2373.]</w:t>
      </w:r>
    </w:p>
    <w:p>
      <w:pPr>
        <w:pStyle w:val="yHeading5"/>
        <w:tabs>
          <w:tab w:val="clear" w:pos="879"/>
        </w:tabs>
        <w:ind w:left="960" w:hanging="960"/>
      </w:pPr>
      <w:bookmarkStart w:id="1017" w:name="_Toc237309674"/>
      <w:r>
        <w:rPr>
          <w:rStyle w:val="CharSClsNo"/>
        </w:rPr>
        <w:t>1</w:t>
      </w:r>
      <w:r>
        <w:t>.</w:t>
      </w:r>
      <w:r>
        <w:rPr>
          <w:rStyle w:val="CharSClsNo"/>
        </w:rPr>
        <w:tab/>
      </w:r>
      <w:r>
        <w:t>Discount</w:t>
      </w:r>
      <w:bookmarkEnd w:id="1017"/>
    </w:p>
    <w:tbl>
      <w:tblPr>
        <w:tblW w:w="0" w:type="auto"/>
        <w:tblInd w:w="-12" w:type="dxa"/>
        <w:tblLook w:val="0000" w:firstRow="0" w:lastRow="0" w:firstColumn="0" w:lastColumn="0" w:noHBand="0" w:noVBand="0"/>
      </w:tblPr>
      <w:tblGrid>
        <w:gridCol w:w="960"/>
        <w:gridCol w:w="4320"/>
        <w:gridCol w:w="1920"/>
      </w:tblGrid>
      <w:tr>
        <w:tc>
          <w:tcPr>
            <w:tcW w:w="960" w:type="dxa"/>
          </w:tcPr>
          <w:p>
            <w:pPr>
              <w:pStyle w:val="yTableNAm"/>
              <w:rPr>
                <w:rStyle w:val="CharSClsNo"/>
              </w:rPr>
            </w:pPr>
          </w:p>
        </w:tc>
        <w:tc>
          <w:tcPr>
            <w:tcW w:w="4320" w:type="dxa"/>
          </w:tcPr>
          <w:p>
            <w:pPr>
              <w:pStyle w:val="yTableNAm"/>
              <w:tabs>
                <w:tab w:val="clear" w:pos="567"/>
                <w:tab w:val="left" w:pos="416"/>
                <w:tab w:val="left" w:pos="896"/>
                <w:tab w:val="left" w:leader="dot" w:pos="4104"/>
              </w:tabs>
              <w:ind w:left="896" w:hanging="896"/>
            </w:pPr>
            <w:r>
              <w:t>By</w:t>
            </w:r>
            <w:r>
              <w:noBreakHyphen/>
              <w:t xml:space="preserve">law 7(4)(a)(i) </w:t>
            </w:r>
            <w:r>
              <w:tab/>
            </w:r>
          </w:p>
        </w:tc>
        <w:tc>
          <w:tcPr>
            <w:tcW w:w="1920" w:type="dxa"/>
          </w:tcPr>
          <w:p>
            <w:pPr>
              <w:pStyle w:val="yTableNAm"/>
              <w:tabs>
                <w:tab w:val="clear" w:pos="567"/>
                <w:tab w:val="left" w:pos="-228"/>
              </w:tabs>
            </w:pPr>
            <w:r>
              <w:t>$1.50</w:t>
            </w:r>
          </w:p>
        </w:tc>
      </w:tr>
    </w:tbl>
    <w:p>
      <w:pPr>
        <w:pStyle w:val="yHeading5"/>
        <w:tabs>
          <w:tab w:val="clear" w:pos="879"/>
        </w:tabs>
        <w:ind w:left="960" w:hanging="960"/>
      </w:pPr>
      <w:bookmarkStart w:id="1018" w:name="_Toc237309675"/>
      <w:r>
        <w:rPr>
          <w:rStyle w:val="CharSClsNo"/>
        </w:rPr>
        <w:t>2</w:t>
      </w:r>
      <w:r>
        <w:t>.</w:t>
      </w:r>
      <w:r>
        <w:rPr>
          <w:rStyle w:val="CharSClsNo"/>
        </w:rPr>
        <w:tab/>
      </w:r>
      <w:r>
        <w:t>Additional charges</w:t>
      </w:r>
      <w:bookmarkEnd w:id="1018"/>
      <w:r>
        <w:tab/>
      </w:r>
    </w:p>
    <w:tbl>
      <w:tblPr>
        <w:tblW w:w="0" w:type="auto"/>
        <w:tblInd w:w="-12" w:type="dxa"/>
        <w:tblLook w:val="0000" w:firstRow="0" w:lastRow="0" w:firstColumn="0" w:lastColumn="0" w:noHBand="0" w:noVBand="0"/>
      </w:tblPr>
      <w:tblGrid>
        <w:gridCol w:w="960"/>
        <w:gridCol w:w="4320"/>
        <w:gridCol w:w="1920"/>
      </w:tblGrid>
      <w:tr>
        <w:tc>
          <w:tcPr>
            <w:tcW w:w="960" w:type="dxa"/>
          </w:tcPr>
          <w:p>
            <w:pPr>
              <w:pStyle w:val="yTableNAm"/>
              <w:rPr>
                <w:rStyle w:val="CharSClsNo"/>
              </w:rPr>
            </w:pPr>
          </w:p>
        </w:tc>
        <w:tc>
          <w:tcPr>
            <w:tcW w:w="4320" w:type="dxa"/>
          </w:tcPr>
          <w:p>
            <w:pPr>
              <w:pStyle w:val="yTableNAm"/>
              <w:tabs>
                <w:tab w:val="clear" w:pos="567"/>
                <w:tab w:val="left" w:pos="416"/>
                <w:tab w:val="left" w:pos="896"/>
                <w:tab w:val="left" w:leader="dot" w:pos="4092"/>
              </w:tabs>
              <w:ind w:left="896" w:hanging="896"/>
            </w:pPr>
            <w:r>
              <w:t>By</w:t>
            </w:r>
            <w:r>
              <w:noBreakHyphen/>
              <w:t xml:space="preserve">law 7(4)(b)(i) </w:t>
            </w:r>
            <w:r>
              <w:tab/>
            </w:r>
          </w:p>
        </w:tc>
        <w:tc>
          <w:tcPr>
            <w:tcW w:w="1920" w:type="dxa"/>
          </w:tcPr>
          <w:p>
            <w:pPr>
              <w:pStyle w:val="yTableNAm"/>
            </w:pPr>
            <w:r>
              <w:t>$3.00</w:t>
            </w:r>
          </w:p>
        </w:tc>
      </w:tr>
    </w:tbl>
    <w:p>
      <w:pPr>
        <w:pStyle w:val="yHeading5"/>
        <w:tabs>
          <w:tab w:val="clear" w:pos="879"/>
        </w:tabs>
        <w:ind w:left="960" w:hanging="960"/>
      </w:pPr>
      <w:bookmarkStart w:id="1019" w:name="_Toc237309676"/>
      <w:r>
        <w:rPr>
          <w:rStyle w:val="CharSClsNo"/>
        </w:rPr>
        <w:t>3</w:t>
      </w:r>
      <w:r>
        <w:t>.</w:t>
      </w:r>
      <w:r>
        <w:rPr>
          <w:rStyle w:val="CharSClsNo"/>
        </w:rPr>
        <w:tab/>
      </w:r>
      <w:r>
        <w:t>Rates of interest</w:t>
      </w:r>
      <w:bookmarkEnd w:id="1019"/>
      <w:r>
        <w:tab/>
      </w:r>
    </w:p>
    <w:tbl>
      <w:tblPr>
        <w:tblW w:w="0" w:type="auto"/>
        <w:tblInd w:w="-12" w:type="dxa"/>
        <w:tblLook w:val="0000" w:firstRow="0" w:lastRow="0" w:firstColumn="0" w:lastColumn="0" w:noHBand="0" w:noVBand="0"/>
      </w:tblPr>
      <w:tblGrid>
        <w:gridCol w:w="960"/>
        <w:gridCol w:w="4320"/>
        <w:gridCol w:w="1920"/>
      </w:tblGrid>
      <w:tr>
        <w:tc>
          <w:tcPr>
            <w:tcW w:w="960" w:type="dxa"/>
          </w:tcPr>
          <w:p>
            <w:pPr>
              <w:pStyle w:val="yTableNAm"/>
              <w:rPr>
                <w:rStyle w:val="CharSClsNo"/>
              </w:rPr>
            </w:pPr>
          </w:p>
        </w:tc>
        <w:tc>
          <w:tcPr>
            <w:tcW w:w="4320" w:type="dxa"/>
          </w:tcPr>
          <w:p>
            <w:pPr>
              <w:pStyle w:val="yTableNAm"/>
              <w:tabs>
                <w:tab w:val="clear" w:pos="567"/>
                <w:tab w:val="left" w:pos="416"/>
                <w:tab w:val="left" w:pos="896"/>
                <w:tab w:val="left" w:leader="dot" w:pos="4092"/>
              </w:tabs>
              <w:ind w:left="896" w:hanging="896"/>
            </w:pPr>
            <w:r>
              <w:t>By</w:t>
            </w:r>
            <w:r>
              <w:noBreakHyphen/>
              <w:t xml:space="preserve">law 7(4)(a)(ii) </w:t>
            </w:r>
            <w:r>
              <w:tab/>
            </w:r>
          </w:p>
        </w:tc>
        <w:tc>
          <w:tcPr>
            <w:tcW w:w="1920" w:type="dxa"/>
          </w:tcPr>
          <w:p>
            <w:pPr>
              <w:pStyle w:val="yTableNAm"/>
            </w:pPr>
            <w:r>
              <w:t>2.46% per annum</w:t>
            </w:r>
          </w:p>
        </w:tc>
      </w:tr>
      <w:tr>
        <w:tc>
          <w:tcPr>
            <w:tcW w:w="960" w:type="dxa"/>
          </w:tcPr>
          <w:p>
            <w:pPr>
              <w:pStyle w:val="yTableNAm"/>
              <w:rPr>
                <w:rStyle w:val="CharSClsNo"/>
              </w:rPr>
            </w:pPr>
          </w:p>
        </w:tc>
        <w:tc>
          <w:tcPr>
            <w:tcW w:w="4320" w:type="dxa"/>
          </w:tcPr>
          <w:p>
            <w:pPr>
              <w:pStyle w:val="yTableNAm"/>
              <w:tabs>
                <w:tab w:val="clear" w:pos="567"/>
                <w:tab w:val="left" w:pos="416"/>
                <w:tab w:val="left" w:pos="896"/>
                <w:tab w:val="left" w:leader="dot" w:pos="4092"/>
              </w:tabs>
              <w:ind w:left="896" w:hanging="896"/>
            </w:pPr>
            <w:r>
              <w:t>By</w:t>
            </w:r>
            <w:r>
              <w:noBreakHyphen/>
              <w:t xml:space="preserve">law 7(4)(b)(ii) </w:t>
            </w:r>
            <w:r>
              <w:tab/>
            </w:r>
          </w:p>
        </w:tc>
        <w:tc>
          <w:tcPr>
            <w:tcW w:w="1920" w:type="dxa"/>
          </w:tcPr>
          <w:p>
            <w:pPr>
              <w:pStyle w:val="yTableNAm"/>
            </w:pPr>
            <w:r>
              <w:t>3.46% per annum</w:t>
            </w:r>
          </w:p>
        </w:tc>
      </w:tr>
    </w:tbl>
    <w:p>
      <w:pPr>
        <w:pStyle w:val="yHeading5"/>
        <w:tabs>
          <w:tab w:val="clear" w:pos="879"/>
        </w:tabs>
        <w:ind w:left="960" w:hanging="960"/>
      </w:pPr>
      <w:bookmarkStart w:id="1020" w:name="_Toc237309677"/>
      <w:r>
        <w:rPr>
          <w:rStyle w:val="CharSClsNo"/>
        </w:rPr>
        <w:t>4</w:t>
      </w:r>
      <w:r>
        <w:t>.</w:t>
      </w:r>
      <w:r>
        <w:rPr>
          <w:rStyle w:val="CharSClsNo"/>
        </w:rPr>
        <w:tab/>
      </w:r>
      <w:r>
        <w:t>Concession (by</w:t>
      </w:r>
      <w:r>
        <w:noBreakHyphen/>
        <w:t>law 8A(2))</w:t>
      </w:r>
      <w:bookmarkEnd w:id="1020"/>
      <w:r>
        <w:tab/>
      </w:r>
    </w:p>
    <w:tbl>
      <w:tblPr>
        <w:tblW w:w="0" w:type="auto"/>
        <w:tblInd w:w="-12" w:type="dxa"/>
        <w:tblLook w:val="0000" w:firstRow="0" w:lastRow="0" w:firstColumn="0" w:lastColumn="0" w:noHBand="0" w:noVBand="0"/>
      </w:tblPr>
      <w:tblGrid>
        <w:gridCol w:w="960"/>
        <w:gridCol w:w="4320"/>
        <w:gridCol w:w="1920"/>
      </w:tblGrid>
      <w:tr>
        <w:tc>
          <w:tcPr>
            <w:tcW w:w="960" w:type="dxa"/>
          </w:tcPr>
          <w:p>
            <w:pPr>
              <w:pStyle w:val="yTableNAm"/>
            </w:pPr>
          </w:p>
        </w:tc>
        <w:tc>
          <w:tcPr>
            <w:tcW w:w="4320" w:type="dxa"/>
          </w:tcPr>
          <w:p>
            <w:pPr>
              <w:pStyle w:val="yTableNAm"/>
              <w:tabs>
                <w:tab w:val="clear" w:pos="567"/>
                <w:tab w:val="left" w:pos="416"/>
                <w:tab w:val="left" w:pos="896"/>
                <w:tab w:val="left" w:leader="dot" w:pos="4092"/>
              </w:tabs>
              <w:ind w:left="896" w:hanging="896"/>
            </w:pPr>
            <w:r>
              <w:t xml:space="preserve">Charge for water supply </w:t>
            </w:r>
            <w:r>
              <w:tab/>
            </w:r>
          </w:p>
        </w:tc>
        <w:tc>
          <w:tcPr>
            <w:tcW w:w="1920" w:type="dxa"/>
          </w:tcPr>
          <w:p>
            <w:pPr>
              <w:pStyle w:val="yTableNAm"/>
            </w:pPr>
            <w:r>
              <w:t>$82.30</w:t>
            </w:r>
          </w:p>
        </w:tc>
      </w:tr>
      <w:tr>
        <w:tc>
          <w:tcPr>
            <w:tcW w:w="960" w:type="dxa"/>
          </w:tcPr>
          <w:p>
            <w:pPr>
              <w:pStyle w:val="yTableNAm"/>
            </w:pPr>
          </w:p>
        </w:tc>
        <w:tc>
          <w:tcPr>
            <w:tcW w:w="4320" w:type="dxa"/>
          </w:tcPr>
          <w:p>
            <w:pPr>
              <w:pStyle w:val="yTableNAm"/>
              <w:tabs>
                <w:tab w:val="clear" w:pos="567"/>
                <w:tab w:val="left" w:pos="416"/>
                <w:tab w:val="left" w:pos="896"/>
                <w:tab w:val="left" w:leader="dot" w:pos="4092"/>
              </w:tabs>
              <w:ind w:left="896" w:hanging="896"/>
            </w:pPr>
            <w:r>
              <w:t xml:space="preserve">Charge for sewerage </w:t>
            </w:r>
            <w:r>
              <w:tab/>
            </w:r>
          </w:p>
        </w:tc>
        <w:tc>
          <w:tcPr>
            <w:tcW w:w="1920" w:type="dxa"/>
          </w:tcPr>
          <w:p>
            <w:pPr>
              <w:pStyle w:val="yTableNAm"/>
            </w:pPr>
            <w:r>
              <w:t>$162.75</w:t>
            </w:r>
          </w:p>
        </w:tc>
      </w:tr>
      <w:tr>
        <w:tc>
          <w:tcPr>
            <w:tcW w:w="960" w:type="dxa"/>
          </w:tcPr>
          <w:p>
            <w:pPr>
              <w:pStyle w:val="yTableNAm"/>
            </w:pPr>
          </w:p>
        </w:tc>
        <w:tc>
          <w:tcPr>
            <w:tcW w:w="4320" w:type="dxa"/>
          </w:tcPr>
          <w:p>
            <w:pPr>
              <w:pStyle w:val="yTableNAm"/>
              <w:tabs>
                <w:tab w:val="clear" w:pos="567"/>
                <w:tab w:val="left" w:pos="416"/>
                <w:tab w:val="left" w:pos="896"/>
                <w:tab w:val="left" w:leader="dot" w:pos="4092"/>
              </w:tabs>
              <w:ind w:left="896" w:hanging="896"/>
            </w:pPr>
            <w:r>
              <w:t xml:space="preserve">Charge for drainage </w:t>
            </w:r>
            <w:r>
              <w:tab/>
            </w:r>
          </w:p>
        </w:tc>
        <w:tc>
          <w:tcPr>
            <w:tcW w:w="1920" w:type="dxa"/>
          </w:tcPr>
          <w:p>
            <w:pPr>
              <w:pStyle w:val="yTableNAm"/>
            </w:pPr>
            <w:r>
              <w:t>$17.55</w:t>
            </w:r>
          </w:p>
        </w:tc>
      </w:tr>
    </w:tbl>
    <w:p>
      <w:pPr>
        <w:pStyle w:val="yHeading5"/>
        <w:tabs>
          <w:tab w:val="clear" w:pos="879"/>
        </w:tabs>
        <w:ind w:left="960" w:hanging="960"/>
      </w:pPr>
      <w:bookmarkStart w:id="1021" w:name="_Toc237309678"/>
      <w:r>
        <w:rPr>
          <w:rStyle w:val="CharSClsNo"/>
        </w:rPr>
        <w:t>5</w:t>
      </w:r>
      <w:r>
        <w:t>.</w:t>
      </w:r>
      <w:r>
        <w:tab/>
        <w:t>Interest on overdue amounts (by</w:t>
      </w:r>
      <w:r>
        <w:noBreakHyphen/>
        <w:t>law 9)</w:t>
      </w:r>
      <w:bookmarkEnd w:id="1021"/>
      <w:r>
        <w:tab/>
      </w:r>
    </w:p>
    <w:tbl>
      <w:tblPr>
        <w:tblW w:w="0" w:type="auto"/>
        <w:tblInd w:w="-12" w:type="dxa"/>
        <w:tblLook w:val="0000" w:firstRow="0" w:lastRow="0" w:firstColumn="0" w:lastColumn="0" w:noHBand="0" w:noVBand="0"/>
      </w:tblPr>
      <w:tblGrid>
        <w:gridCol w:w="960"/>
        <w:gridCol w:w="4320"/>
        <w:gridCol w:w="1920"/>
      </w:tblGrid>
      <w:tr>
        <w:tc>
          <w:tcPr>
            <w:tcW w:w="960" w:type="dxa"/>
          </w:tcPr>
          <w:p>
            <w:pPr>
              <w:pStyle w:val="yTableNAm"/>
            </w:pPr>
          </w:p>
        </w:tc>
        <w:tc>
          <w:tcPr>
            <w:tcW w:w="4320" w:type="dxa"/>
          </w:tcPr>
          <w:p>
            <w:pPr>
              <w:pStyle w:val="yTableNAm"/>
              <w:tabs>
                <w:tab w:val="clear" w:pos="567"/>
                <w:tab w:val="left" w:pos="416"/>
                <w:tab w:val="left" w:pos="896"/>
                <w:tab w:val="left" w:leader="dot" w:pos="4104"/>
              </w:tabs>
              <w:ind w:left="896" w:hanging="896"/>
            </w:pPr>
            <w:r>
              <w:t>Interest on overdue amounts (by</w:t>
            </w:r>
            <w:r>
              <w:noBreakHyphen/>
              <w:t xml:space="preserve">law 9) </w:t>
            </w:r>
            <w:r>
              <w:tab/>
            </w:r>
          </w:p>
        </w:tc>
        <w:tc>
          <w:tcPr>
            <w:tcW w:w="1920" w:type="dxa"/>
          </w:tcPr>
          <w:p>
            <w:pPr>
              <w:pStyle w:val="yTableNAm"/>
            </w:pPr>
            <w:r>
              <w:t>14.51% per annum</w:t>
            </w:r>
          </w:p>
        </w:tc>
      </w:tr>
    </w:tbl>
    <w:p>
      <w:pPr>
        <w:pStyle w:val="yFootnotesection"/>
      </w:pPr>
      <w:r>
        <w:tab/>
        <w:t>[Schedule 7 inserted in Gazette 19 Jun 2009 p. 2373.]</w:t>
      </w:r>
    </w:p>
    <w:p>
      <w:pPr>
        <w:pStyle w:val="yScheduleHeading"/>
        <w:spacing w:before="80"/>
      </w:pPr>
      <w:bookmarkStart w:id="1022" w:name="_Toc233448460"/>
      <w:bookmarkStart w:id="1023" w:name="_Toc233611732"/>
      <w:bookmarkStart w:id="1024" w:name="_Toc234730739"/>
      <w:bookmarkStart w:id="1025" w:name="_Toc234733265"/>
      <w:bookmarkStart w:id="1026" w:name="_Toc235864002"/>
      <w:bookmarkStart w:id="1027" w:name="_Toc235933477"/>
      <w:bookmarkStart w:id="1028" w:name="_Toc237164465"/>
      <w:bookmarkStart w:id="1029" w:name="_Toc237244349"/>
      <w:bookmarkStart w:id="1030" w:name="_Toc237245673"/>
      <w:bookmarkStart w:id="1031" w:name="_Toc237245804"/>
      <w:bookmarkStart w:id="1032" w:name="_Toc237247946"/>
      <w:bookmarkStart w:id="1033" w:name="_Toc237254260"/>
      <w:bookmarkStart w:id="1034" w:name="_Toc237309679"/>
      <w:bookmarkEnd w:id="1008"/>
      <w:bookmarkEnd w:id="1009"/>
      <w:bookmarkEnd w:id="1010"/>
      <w:r>
        <w:rPr>
          <w:rStyle w:val="CharSchNo"/>
        </w:rPr>
        <w:t>Schedule 8</w:t>
      </w:r>
      <w:r>
        <w:rPr>
          <w:rStyle w:val="CharSDivNo"/>
        </w:rPr>
        <w:t> </w:t>
      </w:r>
      <w:r>
        <w:t>—</w:t>
      </w:r>
      <w:r>
        <w:rPr>
          <w:rStyle w:val="CharSDivText"/>
        </w:rPr>
        <w:t> </w:t>
      </w:r>
      <w:r>
        <w:rPr>
          <w:rStyle w:val="CharSchText"/>
        </w:rPr>
        <w:t>Water supply charges for Government trading organisations and non</w:t>
      </w:r>
      <w:r>
        <w:rPr>
          <w:rStyle w:val="CharSchText"/>
        </w:rPr>
        <w:noBreakHyphen/>
        <w:t>commercial Government property</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yShoulderClause"/>
        <w:spacing w:before="80"/>
      </w:pPr>
      <w:r>
        <w:t>[bl. 8B]</w:t>
      </w:r>
    </w:p>
    <w:p>
      <w:pPr>
        <w:pStyle w:val="yFootnoteheading"/>
      </w:pPr>
      <w:r>
        <w:tab/>
        <w:t>[Heading inserted in Gazette 19 Jun 2009 p. 2373.]</w:t>
      </w:r>
    </w:p>
    <w:p>
      <w:pPr>
        <w:pStyle w:val="yHeading5"/>
        <w:spacing w:after="120"/>
      </w:pPr>
      <w:bookmarkStart w:id="1035" w:name="_Toc237309680"/>
      <w:r>
        <w:rPr>
          <w:rStyle w:val="CharSClsNo"/>
          <w:bCs/>
        </w:rPr>
        <w:t>1</w:t>
      </w:r>
      <w:r>
        <w:t>.</w:t>
      </w:r>
      <w:r>
        <w:tab/>
        <w:t>Annual charge (based on meter size)</w:t>
      </w:r>
      <w:bookmarkEnd w:id="1035"/>
    </w:p>
    <w:tbl>
      <w:tblPr>
        <w:tblW w:w="0" w:type="auto"/>
        <w:tblInd w:w="1166" w:type="dxa"/>
        <w:tblLayout w:type="fixed"/>
        <w:tblCellMar>
          <w:left w:w="284" w:type="dxa"/>
          <w:right w:w="284" w:type="dxa"/>
        </w:tblCellMar>
        <w:tblLook w:val="0000" w:firstRow="0" w:lastRow="0" w:firstColumn="0" w:lastColumn="0" w:noHBand="0" w:noVBand="0"/>
      </w:tblPr>
      <w:tblGrid>
        <w:gridCol w:w="3032"/>
        <w:gridCol w:w="3032"/>
      </w:tblGrid>
      <w:tr>
        <w:trPr>
          <w:cantSplit/>
          <w:tblHeader/>
        </w:trPr>
        <w:tc>
          <w:tcPr>
            <w:tcW w:w="3032" w:type="dxa"/>
            <w:tcBorders>
              <w:top w:val="single" w:sz="4" w:space="0" w:color="auto"/>
              <w:bottom w:val="single" w:sz="4" w:space="0" w:color="auto"/>
            </w:tcBorders>
          </w:tcPr>
          <w:p>
            <w:pPr>
              <w:pStyle w:val="yTableNAm"/>
              <w:spacing w:before="40"/>
              <w:jc w:val="center"/>
              <w:rPr>
                <w:b/>
                <w:bCs/>
              </w:rPr>
            </w:pPr>
            <w:r>
              <w:rPr>
                <w:b/>
                <w:bCs/>
              </w:rPr>
              <w:t>Meter size</w:t>
            </w:r>
            <w:r>
              <w:rPr>
                <w:b/>
                <w:bCs/>
              </w:rPr>
              <w:br/>
              <w:t>mm</w:t>
            </w:r>
          </w:p>
        </w:tc>
        <w:tc>
          <w:tcPr>
            <w:tcW w:w="3032" w:type="dxa"/>
            <w:tcBorders>
              <w:top w:val="single" w:sz="4" w:space="0" w:color="auto"/>
              <w:bottom w:val="single" w:sz="4" w:space="0" w:color="auto"/>
            </w:tcBorders>
          </w:tcPr>
          <w:p>
            <w:pPr>
              <w:pStyle w:val="yTableNAm"/>
              <w:spacing w:before="40"/>
              <w:jc w:val="center"/>
              <w:rPr>
                <w:b/>
                <w:bCs/>
              </w:rPr>
            </w:pPr>
            <w:r>
              <w:rPr>
                <w:b/>
                <w:bCs/>
              </w:rPr>
              <w:t>Charge</w:t>
            </w:r>
            <w:r>
              <w:rPr>
                <w:b/>
                <w:bCs/>
              </w:rPr>
              <w:br/>
              <w:t>$</w:t>
            </w:r>
          </w:p>
        </w:tc>
      </w:tr>
      <w:tr>
        <w:trPr>
          <w:cantSplit/>
        </w:trPr>
        <w:tc>
          <w:tcPr>
            <w:tcW w:w="3032" w:type="dxa"/>
          </w:tcPr>
          <w:p>
            <w:pPr>
              <w:pStyle w:val="yTableNAm"/>
              <w:spacing w:before="40"/>
              <w:jc w:val="center"/>
              <w:rPr>
                <w:spacing w:val="-2"/>
              </w:rPr>
            </w:pPr>
            <w:r>
              <w:rPr>
                <w:spacing w:val="-2"/>
              </w:rPr>
              <w:t>20 or less</w:t>
            </w:r>
          </w:p>
        </w:tc>
        <w:tc>
          <w:tcPr>
            <w:tcW w:w="3032" w:type="dxa"/>
          </w:tcPr>
          <w:p>
            <w:pPr>
              <w:pStyle w:val="yTableNAm"/>
              <w:spacing w:before="40"/>
              <w:jc w:val="center"/>
              <w:rPr>
                <w:spacing w:val="-2"/>
              </w:rPr>
            </w:pPr>
            <w:r>
              <w:rPr>
                <w:spacing w:val="-2"/>
              </w:rPr>
              <w:t>463.80</w:t>
            </w:r>
          </w:p>
        </w:tc>
      </w:tr>
      <w:tr>
        <w:trPr>
          <w:cantSplit/>
        </w:trPr>
        <w:tc>
          <w:tcPr>
            <w:tcW w:w="3032" w:type="dxa"/>
          </w:tcPr>
          <w:p>
            <w:pPr>
              <w:pStyle w:val="yTableNAm"/>
              <w:spacing w:before="40"/>
              <w:jc w:val="center"/>
              <w:rPr>
                <w:spacing w:val="-2"/>
              </w:rPr>
            </w:pPr>
            <w:r>
              <w:rPr>
                <w:spacing w:val="-2"/>
              </w:rPr>
              <w:t>25</w:t>
            </w:r>
          </w:p>
        </w:tc>
        <w:tc>
          <w:tcPr>
            <w:tcW w:w="3032" w:type="dxa"/>
          </w:tcPr>
          <w:p>
            <w:pPr>
              <w:pStyle w:val="yTableNAm"/>
              <w:spacing w:before="40"/>
              <w:jc w:val="center"/>
              <w:rPr>
                <w:spacing w:val="-2"/>
              </w:rPr>
            </w:pPr>
            <w:r>
              <w:rPr>
                <w:spacing w:val="-2"/>
              </w:rPr>
              <w:t>724.80</w:t>
            </w:r>
          </w:p>
        </w:tc>
      </w:tr>
      <w:tr>
        <w:trPr>
          <w:cantSplit/>
        </w:trPr>
        <w:tc>
          <w:tcPr>
            <w:tcW w:w="3032" w:type="dxa"/>
          </w:tcPr>
          <w:p>
            <w:pPr>
              <w:pStyle w:val="yTableNAm"/>
              <w:spacing w:before="40"/>
              <w:jc w:val="center"/>
              <w:rPr>
                <w:spacing w:val="-2"/>
              </w:rPr>
            </w:pPr>
            <w:r>
              <w:rPr>
                <w:spacing w:val="-2"/>
              </w:rPr>
              <w:t>30</w:t>
            </w:r>
          </w:p>
        </w:tc>
        <w:tc>
          <w:tcPr>
            <w:tcW w:w="3032" w:type="dxa"/>
          </w:tcPr>
          <w:p>
            <w:pPr>
              <w:pStyle w:val="yTableNAm"/>
              <w:spacing w:before="40"/>
              <w:jc w:val="center"/>
              <w:rPr>
                <w:spacing w:val="-2"/>
              </w:rPr>
            </w:pPr>
            <w:r>
              <w:rPr>
                <w:spacing w:val="-2"/>
              </w:rPr>
              <w:t>1 044.00</w:t>
            </w:r>
          </w:p>
        </w:tc>
      </w:tr>
      <w:tr>
        <w:trPr>
          <w:cantSplit/>
        </w:trPr>
        <w:tc>
          <w:tcPr>
            <w:tcW w:w="3032" w:type="dxa"/>
          </w:tcPr>
          <w:p>
            <w:pPr>
              <w:pStyle w:val="yTableNAm"/>
              <w:spacing w:before="40"/>
              <w:jc w:val="center"/>
              <w:rPr>
                <w:spacing w:val="-2"/>
              </w:rPr>
            </w:pPr>
            <w:r>
              <w:rPr>
                <w:spacing w:val="-2"/>
              </w:rPr>
              <w:t>40</w:t>
            </w:r>
          </w:p>
        </w:tc>
        <w:tc>
          <w:tcPr>
            <w:tcW w:w="3032" w:type="dxa"/>
          </w:tcPr>
          <w:p>
            <w:pPr>
              <w:pStyle w:val="yTableNAm"/>
              <w:spacing w:before="40"/>
              <w:jc w:val="center"/>
              <w:rPr>
                <w:spacing w:val="-2"/>
              </w:rPr>
            </w:pPr>
            <w:r>
              <w:rPr>
                <w:spacing w:val="-2"/>
              </w:rPr>
              <w:t>1 855.00</w:t>
            </w:r>
          </w:p>
        </w:tc>
      </w:tr>
      <w:tr>
        <w:trPr>
          <w:cantSplit/>
        </w:trPr>
        <w:tc>
          <w:tcPr>
            <w:tcW w:w="3032" w:type="dxa"/>
          </w:tcPr>
          <w:p>
            <w:pPr>
              <w:pStyle w:val="yTableNAm"/>
              <w:spacing w:before="40"/>
              <w:jc w:val="center"/>
              <w:rPr>
                <w:spacing w:val="-2"/>
              </w:rPr>
            </w:pPr>
            <w:r>
              <w:rPr>
                <w:spacing w:val="-2"/>
              </w:rPr>
              <w:t>50</w:t>
            </w:r>
          </w:p>
        </w:tc>
        <w:tc>
          <w:tcPr>
            <w:tcW w:w="3032" w:type="dxa"/>
          </w:tcPr>
          <w:p>
            <w:pPr>
              <w:pStyle w:val="yTableNAm"/>
              <w:spacing w:before="40"/>
              <w:jc w:val="center"/>
              <w:rPr>
                <w:spacing w:val="-2"/>
              </w:rPr>
            </w:pPr>
            <w:r>
              <w:rPr>
                <w:spacing w:val="-2"/>
              </w:rPr>
              <w:t>2 899.00</w:t>
            </w:r>
          </w:p>
        </w:tc>
      </w:tr>
      <w:tr>
        <w:trPr>
          <w:cantSplit/>
        </w:trPr>
        <w:tc>
          <w:tcPr>
            <w:tcW w:w="3032" w:type="dxa"/>
          </w:tcPr>
          <w:p>
            <w:pPr>
              <w:pStyle w:val="yTableNAm"/>
              <w:spacing w:before="40"/>
              <w:jc w:val="center"/>
              <w:rPr>
                <w:spacing w:val="-2"/>
              </w:rPr>
            </w:pPr>
            <w:r>
              <w:rPr>
                <w:spacing w:val="-2"/>
              </w:rPr>
              <w:t>70</w:t>
            </w:r>
          </w:p>
        </w:tc>
        <w:tc>
          <w:tcPr>
            <w:tcW w:w="3032" w:type="dxa"/>
          </w:tcPr>
          <w:p>
            <w:pPr>
              <w:pStyle w:val="yTableNAm"/>
              <w:spacing w:before="40"/>
              <w:jc w:val="center"/>
              <w:rPr>
                <w:spacing w:val="-2"/>
              </w:rPr>
            </w:pPr>
            <w:r>
              <w:rPr>
                <w:spacing w:val="-2"/>
              </w:rPr>
              <w:t>7 422.00</w:t>
            </w:r>
          </w:p>
        </w:tc>
      </w:tr>
      <w:tr>
        <w:trPr>
          <w:cantSplit/>
        </w:trPr>
        <w:tc>
          <w:tcPr>
            <w:tcW w:w="3032" w:type="dxa"/>
          </w:tcPr>
          <w:p>
            <w:pPr>
              <w:pStyle w:val="yTableNAm"/>
              <w:spacing w:before="40"/>
              <w:jc w:val="center"/>
              <w:rPr>
                <w:spacing w:val="-2"/>
              </w:rPr>
            </w:pPr>
            <w:r>
              <w:rPr>
                <w:spacing w:val="-2"/>
              </w:rPr>
              <w:t>75</w:t>
            </w:r>
          </w:p>
        </w:tc>
        <w:tc>
          <w:tcPr>
            <w:tcW w:w="3032" w:type="dxa"/>
          </w:tcPr>
          <w:p>
            <w:pPr>
              <w:pStyle w:val="yTableNAm"/>
              <w:spacing w:before="40"/>
              <w:jc w:val="center"/>
              <w:rPr>
                <w:spacing w:val="-2"/>
              </w:rPr>
            </w:pPr>
            <w:r>
              <w:rPr>
                <w:spacing w:val="-2"/>
              </w:rPr>
              <w:t>7 422.00</w:t>
            </w:r>
          </w:p>
        </w:tc>
      </w:tr>
      <w:tr>
        <w:trPr>
          <w:cantSplit/>
        </w:trPr>
        <w:tc>
          <w:tcPr>
            <w:tcW w:w="3032" w:type="dxa"/>
          </w:tcPr>
          <w:p>
            <w:pPr>
              <w:pStyle w:val="yTableNAm"/>
              <w:spacing w:before="40"/>
              <w:jc w:val="center"/>
              <w:rPr>
                <w:spacing w:val="-2"/>
              </w:rPr>
            </w:pPr>
            <w:r>
              <w:rPr>
                <w:spacing w:val="-2"/>
              </w:rPr>
              <w:t>80</w:t>
            </w:r>
          </w:p>
        </w:tc>
        <w:tc>
          <w:tcPr>
            <w:tcW w:w="3032" w:type="dxa"/>
          </w:tcPr>
          <w:p>
            <w:pPr>
              <w:pStyle w:val="yTableNAm"/>
              <w:spacing w:before="40"/>
              <w:jc w:val="center"/>
              <w:rPr>
                <w:spacing w:val="-2"/>
              </w:rPr>
            </w:pPr>
            <w:r>
              <w:rPr>
                <w:spacing w:val="-2"/>
              </w:rPr>
              <w:t>7 422.00</w:t>
            </w:r>
          </w:p>
        </w:tc>
      </w:tr>
      <w:tr>
        <w:trPr>
          <w:cantSplit/>
        </w:trPr>
        <w:tc>
          <w:tcPr>
            <w:tcW w:w="3032" w:type="dxa"/>
          </w:tcPr>
          <w:p>
            <w:pPr>
              <w:pStyle w:val="yTableNAm"/>
              <w:spacing w:before="40"/>
              <w:jc w:val="center"/>
              <w:rPr>
                <w:spacing w:val="-2"/>
              </w:rPr>
            </w:pPr>
            <w:r>
              <w:rPr>
                <w:spacing w:val="-2"/>
              </w:rPr>
              <w:t>100</w:t>
            </w:r>
          </w:p>
        </w:tc>
        <w:tc>
          <w:tcPr>
            <w:tcW w:w="3032" w:type="dxa"/>
          </w:tcPr>
          <w:p>
            <w:pPr>
              <w:pStyle w:val="yTableNAm"/>
              <w:spacing w:before="40"/>
              <w:jc w:val="center"/>
              <w:rPr>
                <w:spacing w:val="-2"/>
              </w:rPr>
            </w:pPr>
            <w:r>
              <w:rPr>
                <w:spacing w:val="-2"/>
              </w:rPr>
              <w:t>11 596.00</w:t>
            </w:r>
          </w:p>
        </w:tc>
      </w:tr>
      <w:tr>
        <w:trPr>
          <w:cantSplit/>
        </w:trPr>
        <w:tc>
          <w:tcPr>
            <w:tcW w:w="3032" w:type="dxa"/>
          </w:tcPr>
          <w:p>
            <w:pPr>
              <w:pStyle w:val="yTableNAm"/>
              <w:spacing w:before="40"/>
              <w:jc w:val="center"/>
              <w:rPr>
                <w:spacing w:val="-2"/>
              </w:rPr>
            </w:pPr>
            <w:r>
              <w:rPr>
                <w:spacing w:val="-2"/>
              </w:rPr>
              <w:t>140</w:t>
            </w:r>
          </w:p>
        </w:tc>
        <w:tc>
          <w:tcPr>
            <w:tcW w:w="3032" w:type="dxa"/>
          </w:tcPr>
          <w:p>
            <w:pPr>
              <w:pStyle w:val="yTableNAm"/>
              <w:spacing w:before="40"/>
              <w:jc w:val="center"/>
              <w:rPr>
                <w:spacing w:val="-2"/>
              </w:rPr>
            </w:pPr>
            <w:r>
              <w:rPr>
                <w:spacing w:val="-2"/>
              </w:rPr>
              <w:t>26 091.00</w:t>
            </w:r>
          </w:p>
        </w:tc>
      </w:tr>
      <w:tr>
        <w:trPr>
          <w:cantSplit/>
        </w:trPr>
        <w:tc>
          <w:tcPr>
            <w:tcW w:w="3032" w:type="dxa"/>
          </w:tcPr>
          <w:p>
            <w:pPr>
              <w:pStyle w:val="yTableNAm"/>
              <w:spacing w:before="40"/>
              <w:jc w:val="center"/>
              <w:rPr>
                <w:spacing w:val="-2"/>
              </w:rPr>
            </w:pPr>
            <w:r>
              <w:rPr>
                <w:spacing w:val="-2"/>
              </w:rPr>
              <w:t>150</w:t>
            </w:r>
          </w:p>
        </w:tc>
        <w:tc>
          <w:tcPr>
            <w:tcW w:w="3032" w:type="dxa"/>
          </w:tcPr>
          <w:p>
            <w:pPr>
              <w:pStyle w:val="yTableNAm"/>
              <w:spacing w:before="40"/>
              <w:jc w:val="center"/>
              <w:rPr>
                <w:spacing w:val="-2"/>
              </w:rPr>
            </w:pPr>
            <w:r>
              <w:rPr>
                <w:spacing w:val="-2"/>
              </w:rPr>
              <w:t>26 091.00</w:t>
            </w:r>
          </w:p>
        </w:tc>
      </w:tr>
      <w:tr>
        <w:trPr>
          <w:cantSplit/>
        </w:trPr>
        <w:tc>
          <w:tcPr>
            <w:tcW w:w="3032" w:type="dxa"/>
          </w:tcPr>
          <w:p>
            <w:pPr>
              <w:pStyle w:val="yTableNAm"/>
              <w:spacing w:before="40"/>
              <w:jc w:val="center"/>
              <w:rPr>
                <w:spacing w:val="-2"/>
              </w:rPr>
            </w:pPr>
            <w:r>
              <w:rPr>
                <w:spacing w:val="-2"/>
              </w:rPr>
              <w:t>200</w:t>
            </w:r>
          </w:p>
        </w:tc>
        <w:tc>
          <w:tcPr>
            <w:tcW w:w="3032" w:type="dxa"/>
          </w:tcPr>
          <w:p>
            <w:pPr>
              <w:pStyle w:val="yTableNAm"/>
              <w:spacing w:before="40"/>
              <w:jc w:val="center"/>
              <w:rPr>
                <w:spacing w:val="-2"/>
              </w:rPr>
            </w:pPr>
            <w:r>
              <w:rPr>
                <w:spacing w:val="-2"/>
              </w:rPr>
              <w:t>46 385.00</w:t>
            </w:r>
          </w:p>
        </w:tc>
      </w:tr>
      <w:tr>
        <w:trPr>
          <w:cantSplit/>
        </w:trPr>
        <w:tc>
          <w:tcPr>
            <w:tcW w:w="3032" w:type="dxa"/>
          </w:tcPr>
          <w:p>
            <w:pPr>
              <w:pStyle w:val="yTableNAm"/>
              <w:spacing w:before="40"/>
              <w:jc w:val="center"/>
              <w:rPr>
                <w:spacing w:val="-2"/>
              </w:rPr>
            </w:pPr>
            <w:r>
              <w:rPr>
                <w:spacing w:val="-2"/>
              </w:rPr>
              <w:t>250</w:t>
            </w:r>
          </w:p>
        </w:tc>
        <w:tc>
          <w:tcPr>
            <w:tcW w:w="3032" w:type="dxa"/>
          </w:tcPr>
          <w:p>
            <w:pPr>
              <w:pStyle w:val="yTableNAm"/>
              <w:spacing w:before="40"/>
              <w:jc w:val="center"/>
              <w:rPr>
                <w:spacing w:val="-2"/>
              </w:rPr>
            </w:pPr>
            <w:r>
              <w:rPr>
                <w:spacing w:val="-2"/>
              </w:rPr>
              <w:t>72 476.00</w:t>
            </w:r>
          </w:p>
        </w:tc>
      </w:tr>
      <w:tr>
        <w:trPr>
          <w:cantSplit/>
        </w:trPr>
        <w:tc>
          <w:tcPr>
            <w:tcW w:w="3032" w:type="dxa"/>
          </w:tcPr>
          <w:p>
            <w:pPr>
              <w:pStyle w:val="yTableNAm"/>
              <w:spacing w:before="40"/>
              <w:jc w:val="center"/>
              <w:rPr>
                <w:spacing w:val="-2"/>
              </w:rPr>
            </w:pPr>
            <w:r>
              <w:rPr>
                <w:spacing w:val="-2"/>
              </w:rPr>
              <w:t>300</w:t>
            </w:r>
          </w:p>
        </w:tc>
        <w:tc>
          <w:tcPr>
            <w:tcW w:w="3032" w:type="dxa"/>
          </w:tcPr>
          <w:p>
            <w:pPr>
              <w:pStyle w:val="yTableNAm"/>
              <w:spacing w:before="40"/>
              <w:jc w:val="center"/>
              <w:rPr>
                <w:spacing w:val="-2"/>
              </w:rPr>
            </w:pPr>
            <w:r>
              <w:rPr>
                <w:spacing w:val="-2"/>
              </w:rPr>
              <w:t>104 366.00</w:t>
            </w:r>
          </w:p>
        </w:tc>
      </w:tr>
      <w:tr>
        <w:trPr>
          <w:cantSplit/>
        </w:trPr>
        <w:tc>
          <w:tcPr>
            <w:tcW w:w="3032" w:type="dxa"/>
          </w:tcPr>
          <w:p>
            <w:pPr>
              <w:pStyle w:val="yTableNAm"/>
              <w:spacing w:before="40"/>
              <w:jc w:val="center"/>
              <w:rPr>
                <w:spacing w:val="-2"/>
              </w:rPr>
            </w:pPr>
            <w:r>
              <w:rPr>
                <w:spacing w:val="-2"/>
              </w:rPr>
              <w:t>350</w:t>
            </w:r>
          </w:p>
        </w:tc>
        <w:tc>
          <w:tcPr>
            <w:tcW w:w="3032" w:type="dxa"/>
          </w:tcPr>
          <w:p>
            <w:pPr>
              <w:pStyle w:val="yTableNAm"/>
              <w:spacing w:before="40"/>
              <w:jc w:val="center"/>
              <w:rPr>
                <w:spacing w:val="-2"/>
              </w:rPr>
            </w:pPr>
            <w:r>
              <w:rPr>
                <w:spacing w:val="-2"/>
              </w:rPr>
              <w:t>142 053.00</w:t>
            </w:r>
          </w:p>
        </w:tc>
      </w:tr>
      <w:tr>
        <w:tblPrEx>
          <w:tblCellMar>
            <w:left w:w="142" w:type="dxa"/>
            <w:right w:w="142" w:type="dxa"/>
          </w:tblCellMar>
        </w:tblPrEx>
        <w:trPr>
          <w:cantSplit/>
        </w:trPr>
        <w:tc>
          <w:tcPr>
            <w:tcW w:w="3032" w:type="dxa"/>
            <w:tcBorders>
              <w:bottom w:val="single" w:sz="4" w:space="0" w:color="auto"/>
            </w:tcBorders>
          </w:tcPr>
          <w:p>
            <w:pPr>
              <w:pStyle w:val="yTableNAm"/>
              <w:spacing w:before="40"/>
              <w:jc w:val="center"/>
            </w:pPr>
            <w:r>
              <w:t>subject to a minimum charge, where property is served but not metered by the Corporation, of</w:t>
            </w:r>
          </w:p>
        </w:tc>
        <w:tc>
          <w:tcPr>
            <w:tcW w:w="3032" w:type="dxa"/>
            <w:tcBorders>
              <w:bottom w:val="single" w:sz="4" w:space="0" w:color="auto"/>
            </w:tcBorders>
          </w:tcPr>
          <w:p>
            <w:pPr>
              <w:pStyle w:val="yTableNAm"/>
              <w:spacing w:before="40"/>
              <w:jc w:val="center"/>
              <w:rPr>
                <w:spacing w:val="-2"/>
              </w:rPr>
            </w:pPr>
            <w:r>
              <w:rPr>
                <w:spacing w:val="-2"/>
              </w:rPr>
              <w:br/>
            </w:r>
            <w:r>
              <w:rPr>
                <w:spacing w:val="-2"/>
              </w:rPr>
              <w:br/>
            </w:r>
            <w:r>
              <w:rPr>
                <w:spacing w:val="-2"/>
              </w:rPr>
              <w:br/>
              <w:t>463.80</w:t>
            </w:r>
          </w:p>
        </w:tc>
      </w:tr>
    </w:tbl>
    <w:p>
      <w:pPr>
        <w:pStyle w:val="yHeading5"/>
        <w:rPr>
          <w:spacing w:val="-1"/>
        </w:rPr>
      </w:pPr>
      <w:bookmarkStart w:id="1036" w:name="_Toc237309681"/>
      <w:r>
        <w:rPr>
          <w:rStyle w:val="CharSClsNo"/>
        </w:rPr>
        <w:t>2</w:t>
      </w:r>
      <w:r>
        <w:t>.</w:t>
      </w:r>
      <w:r>
        <w:tab/>
        <w:t>Volume charge (c/kL)</w:t>
      </w:r>
      <w:bookmarkEnd w:id="1036"/>
    </w:p>
    <w:tbl>
      <w:tblPr>
        <w:tblW w:w="0" w:type="auto"/>
        <w:tblInd w:w="-12" w:type="dxa"/>
        <w:tblLayout w:type="fixed"/>
        <w:tblLook w:val="0000" w:firstRow="0" w:lastRow="0" w:firstColumn="0" w:lastColumn="0" w:noHBand="0" w:noVBand="0"/>
      </w:tblPr>
      <w:tblGrid>
        <w:gridCol w:w="904"/>
        <w:gridCol w:w="4856"/>
        <w:gridCol w:w="1440"/>
      </w:tblGrid>
      <w:tr>
        <w:tc>
          <w:tcPr>
            <w:tcW w:w="904" w:type="dxa"/>
          </w:tcPr>
          <w:p>
            <w:pPr>
              <w:pStyle w:val="yTableNAm"/>
              <w:spacing w:before="160"/>
            </w:pPr>
          </w:p>
        </w:tc>
        <w:tc>
          <w:tcPr>
            <w:tcW w:w="4856" w:type="dxa"/>
          </w:tcPr>
          <w:p>
            <w:pPr>
              <w:pStyle w:val="yTableNAm"/>
              <w:spacing w:before="160"/>
              <w:ind w:left="601" w:hanging="601"/>
              <w:rPr>
                <w:spacing w:val="-1"/>
              </w:rPr>
            </w:pPr>
            <w:r>
              <w:t>(1)</w:t>
            </w:r>
            <w:r>
              <w:tab/>
              <w:t>Metropolitan —</w:t>
            </w:r>
          </w:p>
        </w:tc>
        <w:tc>
          <w:tcPr>
            <w:tcW w:w="1440" w:type="dxa"/>
          </w:tcPr>
          <w:p>
            <w:pPr>
              <w:pStyle w:val="yTableNAm"/>
              <w:spacing w:before="160"/>
              <w:rPr>
                <w:spacing w:val="-2"/>
                <w:sz w:val="20"/>
              </w:rPr>
            </w:pPr>
          </w:p>
        </w:tc>
      </w:tr>
      <w:tr>
        <w:tc>
          <w:tcPr>
            <w:tcW w:w="904" w:type="dxa"/>
          </w:tcPr>
          <w:p>
            <w:pPr>
              <w:pStyle w:val="yTableNAm"/>
              <w:spacing w:before="80"/>
            </w:pPr>
          </w:p>
        </w:tc>
        <w:tc>
          <w:tcPr>
            <w:tcW w:w="4856" w:type="dxa"/>
          </w:tcPr>
          <w:p>
            <w:pPr>
              <w:pStyle w:val="yTableNAm"/>
              <w:tabs>
                <w:tab w:val="clear" w:pos="567"/>
                <w:tab w:val="left" w:pos="601"/>
                <w:tab w:val="left" w:pos="1081"/>
                <w:tab w:val="left" w:leader="dot" w:pos="4692"/>
              </w:tabs>
              <w:spacing w:before="80"/>
              <w:ind w:left="1081" w:right="12" w:hanging="1081"/>
            </w:pPr>
            <w:r>
              <w:tab/>
              <w:t>(a)</w:t>
            </w:r>
            <w:r>
              <w:tab/>
              <w:t xml:space="preserve">first 600 kL </w:t>
            </w:r>
            <w:r>
              <w:tab/>
            </w:r>
          </w:p>
        </w:tc>
        <w:tc>
          <w:tcPr>
            <w:tcW w:w="1440" w:type="dxa"/>
          </w:tcPr>
          <w:p>
            <w:pPr>
              <w:pStyle w:val="yTableNAm"/>
              <w:spacing w:before="80"/>
            </w:pPr>
            <w:r>
              <w:t>117.1 cents</w:t>
            </w:r>
          </w:p>
        </w:tc>
      </w:tr>
      <w:tr>
        <w:tc>
          <w:tcPr>
            <w:tcW w:w="904" w:type="dxa"/>
          </w:tcPr>
          <w:p>
            <w:pPr>
              <w:pStyle w:val="yTableNAm"/>
              <w:spacing w:before="80"/>
            </w:pPr>
          </w:p>
        </w:tc>
        <w:tc>
          <w:tcPr>
            <w:tcW w:w="4856" w:type="dxa"/>
          </w:tcPr>
          <w:p>
            <w:pPr>
              <w:pStyle w:val="yTableNAm"/>
              <w:tabs>
                <w:tab w:val="clear" w:pos="567"/>
                <w:tab w:val="left" w:pos="601"/>
                <w:tab w:val="left" w:pos="1081"/>
                <w:tab w:val="left" w:leader="dot" w:pos="4692"/>
              </w:tabs>
              <w:spacing w:before="80"/>
              <w:ind w:left="1081" w:right="12" w:hanging="1081"/>
            </w:pPr>
            <w:r>
              <w:tab/>
              <w:t>(b)</w:t>
            </w:r>
            <w:r>
              <w:tab/>
              <w:t xml:space="preserve">601 kL to 1 100 000 kL </w:t>
            </w:r>
            <w:r>
              <w:tab/>
            </w:r>
          </w:p>
        </w:tc>
        <w:tc>
          <w:tcPr>
            <w:tcW w:w="1440" w:type="dxa"/>
          </w:tcPr>
          <w:p>
            <w:pPr>
              <w:pStyle w:val="yTableNAm"/>
              <w:spacing w:before="80"/>
            </w:pPr>
            <w:r>
              <w:t>122.0 cents</w:t>
            </w:r>
          </w:p>
        </w:tc>
      </w:tr>
      <w:tr>
        <w:tc>
          <w:tcPr>
            <w:tcW w:w="904" w:type="dxa"/>
          </w:tcPr>
          <w:p>
            <w:pPr>
              <w:pStyle w:val="yTableNAm"/>
              <w:spacing w:before="80"/>
            </w:pPr>
          </w:p>
        </w:tc>
        <w:tc>
          <w:tcPr>
            <w:tcW w:w="4856" w:type="dxa"/>
          </w:tcPr>
          <w:p>
            <w:pPr>
              <w:pStyle w:val="yTableNAm"/>
              <w:tabs>
                <w:tab w:val="clear" w:pos="567"/>
                <w:tab w:val="left" w:pos="601"/>
                <w:tab w:val="left" w:pos="1081"/>
                <w:tab w:val="left" w:leader="dot" w:pos="4692"/>
              </w:tabs>
              <w:spacing w:before="80"/>
              <w:ind w:left="1081" w:right="12" w:hanging="1081"/>
            </w:pPr>
            <w:r>
              <w:tab/>
              <w:t>(c)</w:t>
            </w:r>
            <w:r>
              <w:tab/>
              <w:t xml:space="preserve">over 1 100 000 kL </w:t>
            </w:r>
            <w:r>
              <w:tab/>
            </w:r>
          </w:p>
        </w:tc>
        <w:tc>
          <w:tcPr>
            <w:tcW w:w="1440" w:type="dxa"/>
          </w:tcPr>
          <w:p>
            <w:pPr>
              <w:pStyle w:val="yTableNAm"/>
              <w:spacing w:before="80"/>
            </w:pPr>
            <w:r>
              <w:t>120.8 cents</w:t>
            </w:r>
          </w:p>
        </w:tc>
      </w:tr>
      <w:tr>
        <w:tc>
          <w:tcPr>
            <w:tcW w:w="904" w:type="dxa"/>
          </w:tcPr>
          <w:p>
            <w:pPr>
              <w:pStyle w:val="yTableNAm"/>
            </w:pPr>
          </w:p>
        </w:tc>
        <w:tc>
          <w:tcPr>
            <w:tcW w:w="4856" w:type="dxa"/>
          </w:tcPr>
          <w:p>
            <w:pPr>
              <w:pStyle w:val="yTableNAm"/>
              <w:ind w:left="601" w:hanging="601"/>
            </w:pPr>
            <w:r>
              <w:t>(2)</w:t>
            </w:r>
            <w:r>
              <w:tab/>
              <w:t>Country (according to the non</w:t>
            </w:r>
            <w:r>
              <w:noBreakHyphen/>
              <w:t>residential classification of the town/area in which that property is situated, as set out in Schedule 10) —</w:t>
            </w:r>
          </w:p>
        </w:tc>
        <w:tc>
          <w:tcPr>
            <w:tcW w:w="1440" w:type="dxa"/>
          </w:tcPr>
          <w:p>
            <w:pPr>
              <w:pStyle w:val="yTableNAm"/>
            </w:pPr>
          </w:p>
        </w:tc>
      </w:tr>
    </w:tbl>
    <w:p>
      <w:pPr>
        <w:pStyle w:val="ySubsection"/>
        <w:spacing w:before="0"/>
      </w:pPr>
    </w:p>
    <w:tbl>
      <w:tblPr>
        <w:tblW w:w="6520" w:type="dxa"/>
        <w:tblInd w:w="454" w:type="dxa"/>
        <w:tblLayout w:type="fixed"/>
        <w:tblCellMar>
          <w:left w:w="28" w:type="dxa"/>
          <w:right w:w="28" w:type="dxa"/>
        </w:tblCellMar>
        <w:tblLook w:val="0000" w:firstRow="0" w:lastRow="0" w:firstColumn="0" w:lastColumn="0" w:noHBand="0" w:noVBand="0"/>
      </w:tblPr>
      <w:tblGrid>
        <w:gridCol w:w="2409"/>
        <w:gridCol w:w="2055"/>
        <w:gridCol w:w="2056"/>
      </w:tblGrid>
      <w:tr>
        <w:trPr>
          <w:cantSplit/>
          <w:trHeight w:val="217"/>
        </w:trPr>
        <w:tc>
          <w:tcPr>
            <w:tcW w:w="2409" w:type="dxa"/>
            <w:vMerge w:val="restart"/>
            <w:tcBorders>
              <w:top w:val="single" w:sz="4" w:space="0" w:color="auto"/>
            </w:tcBorders>
          </w:tcPr>
          <w:p>
            <w:pPr>
              <w:pStyle w:val="yTableNAm"/>
              <w:spacing w:before="60"/>
              <w:rPr>
                <w:b/>
                <w:bCs/>
              </w:rPr>
            </w:pPr>
            <w:r>
              <w:rPr>
                <w:b/>
                <w:bCs/>
              </w:rPr>
              <w:t>Class</w:t>
            </w:r>
          </w:p>
        </w:tc>
        <w:tc>
          <w:tcPr>
            <w:tcW w:w="4111" w:type="dxa"/>
            <w:gridSpan w:val="2"/>
            <w:tcBorders>
              <w:top w:val="single" w:sz="4" w:space="0" w:color="auto"/>
            </w:tcBorders>
          </w:tcPr>
          <w:p>
            <w:pPr>
              <w:pStyle w:val="yTableNAm"/>
              <w:spacing w:before="60"/>
              <w:jc w:val="center"/>
              <w:rPr>
                <w:b/>
                <w:bCs/>
              </w:rPr>
            </w:pPr>
            <w:r>
              <w:rPr>
                <w:b/>
                <w:bCs/>
              </w:rPr>
              <w:t>Consumption (kL)</w:t>
            </w:r>
          </w:p>
        </w:tc>
      </w:tr>
      <w:tr>
        <w:trPr>
          <w:cantSplit/>
          <w:trHeight w:val="217"/>
        </w:trPr>
        <w:tc>
          <w:tcPr>
            <w:tcW w:w="2409" w:type="dxa"/>
            <w:vMerge/>
            <w:tcBorders>
              <w:bottom w:val="single" w:sz="4" w:space="0" w:color="auto"/>
            </w:tcBorders>
          </w:tcPr>
          <w:p>
            <w:pPr>
              <w:pStyle w:val="yTableNAm"/>
              <w:spacing w:before="60"/>
              <w:rPr>
                <w:b/>
                <w:bCs/>
              </w:rPr>
            </w:pPr>
          </w:p>
        </w:tc>
        <w:tc>
          <w:tcPr>
            <w:tcW w:w="2055" w:type="dxa"/>
            <w:tcBorders>
              <w:bottom w:val="single" w:sz="4" w:space="0" w:color="auto"/>
            </w:tcBorders>
          </w:tcPr>
          <w:p>
            <w:pPr>
              <w:pStyle w:val="yTableNAm"/>
              <w:spacing w:before="60"/>
              <w:jc w:val="center"/>
              <w:rPr>
                <w:b/>
                <w:bCs/>
              </w:rPr>
            </w:pPr>
            <w:r>
              <w:rPr>
                <w:b/>
                <w:bCs/>
              </w:rPr>
              <w:t>Up to 300</w:t>
            </w:r>
          </w:p>
        </w:tc>
        <w:tc>
          <w:tcPr>
            <w:tcW w:w="2056" w:type="dxa"/>
            <w:tcBorders>
              <w:bottom w:val="single" w:sz="4" w:space="0" w:color="auto"/>
            </w:tcBorders>
          </w:tcPr>
          <w:p>
            <w:pPr>
              <w:pStyle w:val="yTableNAm"/>
              <w:spacing w:before="60"/>
              <w:jc w:val="center"/>
              <w:rPr>
                <w:b/>
                <w:bCs/>
              </w:rPr>
            </w:pPr>
            <w:r>
              <w:rPr>
                <w:b/>
                <w:bCs/>
              </w:rPr>
              <w:t>Over 300</w:t>
            </w:r>
          </w:p>
        </w:tc>
      </w:tr>
      <w:tr>
        <w:tc>
          <w:tcPr>
            <w:tcW w:w="2409" w:type="dxa"/>
            <w:tcBorders>
              <w:top w:val="single" w:sz="4" w:space="0" w:color="auto"/>
            </w:tcBorders>
          </w:tcPr>
          <w:p>
            <w:pPr>
              <w:pStyle w:val="yTableNAm"/>
              <w:spacing w:before="60"/>
            </w:pPr>
            <w:r>
              <w:t>Class 1 (c/kL)</w:t>
            </w:r>
          </w:p>
        </w:tc>
        <w:tc>
          <w:tcPr>
            <w:tcW w:w="2055" w:type="dxa"/>
            <w:tcBorders>
              <w:top w:val="single" w:sz="4" w:space="0" w:color="auto"/>
            </w:tcBorders>
          </w:tcPr>
          <w:p>
            <w:pPr>
              <w:pStyle w:val="yTableNAm"/>
              <w:spacing w:before="60"/>
              <w:jc w:val="center"/>
            </w:pPr>
            <w:r>
              <w:t>119.7</w:t>
            </w:r>
          </w:p>
        </w:tc>
        <w:tc>
          <w:tcPr>
            <w:tcW w:w="2056" w:type="dxa"/>
            <w:tcBorders>
              <w:top w:val="single" w:sz="4" w:space="0" w:color="auto"/>
            </w:tcBorders>
          </w:tcPr>
          <w:p>
            <w:pPr>
              <w:pStyle w:val="yTableNAm"/>
              <w:spacing w:before="60"/>
              <w:jc w:val="center"/>
            </w:pPr>
            <w:r>
              <w:t>176.8</w:t>
            </w:r>
          </w:p>
        </w:tc>
      </w:tr>
      <w:tr>
        <w:tc>
          <w:tcPr>
            <w:tcW w:w="2409" w:type="dxa"/>
          </w:tcPr>
          <w:p>
            <w:pPr>
              <w:pStyle w:val="yTableNAm"/>
              <w:spacing w:before="60"/>
            </w:pPr>
            <w:r>
              <w:t>Class 2 (c/kL)</w:t>
            </w:r>
          </w:p>
        </w:tc>
        <w:tc>
          <w:tcPr>
            <w:tcW w:w="2055" w:type="dxa"/>
          </w:tcPr>
          <w:p>
            <w:pPr>
              <w:pStyle w:val="yTableNAm"/>
              <w:spacing w:before="60"/>
              <w:jc w:val="center"/>
            </w:pPr>
            <w:r>
              <w:t>133.9</w:t>
            </w:r>
          </w:p>
        </w:tc>
        <w:tc>
          <w:tcPr>
            <w:tcW w:w="2056" w:type="dxa"/>
          </w:tcPr>
          <w:p>
            <w:pPr>
              <w:pStyle w:val="yTableNAm"/>
              <w:spacing w:before="60"/>
              <w:jc w:val="center"/>
            </w:pPr>
            <w:r>
              <w:t>192.6</w:t>
            </w:r>
          </w:p>
        </w:tc>
      </w:tr>
      <w:tr>
        <w:tc>
          <w:tcPr>
            <w:tcW w:w="2409" w:type="dxa"/>
          </w:tcPr>
          <w:p>
            <w:pPr>
              <w:pStyle w:val="yTableNAm"/>
              <w:spacing w:before="60"/>
            </w:pPr>
            <w:r>
              <w:t>Class 3 (c/kL)</w:t>
            </w:r>
          </w:p>
        </w:tc>
        <w:tc>
          <w:tcPr>
            <w:tcW w:w="2055" w:type="dxa"/>
          </w:tcPr>
          <w:p>
            <w:pPr>
              <w:pStyle w:val="yTableNAm"/>
              <w:spacing w:before="60"/>
              <w:jc w:val="center"/>
            </w:pPr>
            <w:r>
              <w:t>149.6</w:t>
            </w:r>
          </w:p>
        </w:tc>
        <w:tc>
          <w:tcPr>
            <w:tcW w:w="2056" w:type="dxa"/>
          </w:tcPr>
          <w:p>
            <w:pPr>
              <w:pStyle w:val="yTableNAm"/>
              <w:spacing w:before="60"/>
              <w:jc w:val="center"/>
            </w:pPr>
            <w:r>
              <w:t>209.5</w:t>
            </w:r>
          </w:p>
        </w:tc>
      </w:tr>
      <w:tr>
        <w:tc>
          <w:tcPr>
            <w:tcW w:w="2409" w:type="dxa"/>
          </w:tcPr>
          <w:p>
            <w:pPr>
              <w:pStyle w:val="yTableNAm"/>
              <w:spacing w:before="60"/>
            </w:pPr>
            <w:r>
              <w:t>Class 4 (c/kL)</w:t>
            </w:r>
          </w:p>
        </w:tc>
        <w:tc>
          <w:tcPr>
            <w:tcW w:w="2055" w:type="dxa"/>
          </w:tcPr>
          <w:p>
            <w:pPr>
              <w:pStyle w:val="yTableNAm"/>
              <w:spacing w:before="60"/>
              <w:jc w:val="center"/>
            </w:pPr>
            <w:r>
              <w:t>167.2</w:t>
            </w:r>
          </w:p>
        </w:tc>
        <w:tc>
          <w:tcPr>
            <w:tcW w:w="2056" w:type="dxa"/>
          </w:tcPr>
          <w:p>
            <w:pPr>
              <w:pStyle w:val="yTableNAm"/>
              <w:spacing w:before="60"/>
              <w:jc w:val="center"/>
            </w:pPr>
            <w:r>
              <w:t>228.2</w:t>
            </w:r>
          </w:p>
        </w:tc>
      </w:tr>
      <w:tr>
        <w:tc>
          <w:tcPr>
            <w:tcW w:w="2409" w:type="dxa"/>
          </w:tcPr>
          <w:p>
            <w:pPr>
              <w:pStyle w:val="yTableNAm"/>
              <w:spacing w:before="60"/>
            </w:pPr>
            <w:r>
              <w:t>Class 5 (c/kL)</w:t>
            </w:r>
          </w:p>
        </w:tc>
        <w:tc>
          <w:tcPr>
            <w:tcW w:w="2055" w:type="dxa"/>
          </w:tcPr>
          <w:p>
            <w:pPr>
              <w:pStyle w:val="yTableNAm"/>
              <w:spacing w:before="60"/>
              <w:jc w:val="center"/>
            </w:pPr>
            <w:r>
              <w:t>187.0</w:t>
            </w:r>
          </w:p>
        </w:tc>
        <w:tc>
          <w:tcPr>
            <w:tcW w:w="2056" w:type="dxa"/>
          </w:tcPr>
          <w:p>
            <w:pPr>
              <w:pStyle w:val="yTableNAm"/>
              <w:spacing w:before="60"/>
              <w:jc w:val="center"/>
            </w:pPr>
            <w:r>
              <w:t>248.5</w:t>
            </w:r>
          </w:p>
        </w:tc>
      </w:tr>
      <w:tr>
        <w:tc>
          <w:tcPr>
            <w:tcW w:w="2409" w:type="dxa"/>
          </w:tcPr>
          <w:p>
            <w:pPr>
              <w:pStyle w:val="yTableNAm"/>
              <w:spacing w:before="60"/>
            </w:pPr>
            <w:r>
              <w:t>Class 6 (c/kL)</w:t>
            </w:r>
          </w:p>
        </w:tc>
        <w:tc>
          <w:tcPr>
            <w:tcW w:w="2055" w:type="dxa"/>
          </w:tcPr>
          <w:p>
            <w:pPr>
              <w:pStyle w:val="yTableNAm"/>
              <w:spacing w:before="60"/>
              <w:jc w:val="center"/>
            </w:pPr>
            <w:r>
              <w:t>203.1</w:t>
            </w:r>
          </w:p>
        </w:tc>
        <w:tc>
          <w:tcPr>
            <w:tcW w:w="2056" w:type="dxa"/>
          </w:tcPr>
          <w:p>
            <w:pPr>
              <w:pStyle w:val="yTableNAm"/>
              <w:spacing w:before="60"/>
              <w:jc w:val="center"/>
            </w:pPr>
            <w:r>
              <w:t>270.6</w:t>
            </w:r>
          </w:p>
        </w:tc>
      </w:tr>
      <w:tr>
        <w:tc>
          <w:tcPr>
            <w:tcW w:w="2409" w:type="dxa"/>
          </w:tcPr>
          <w:p>
            <w:pPr>
              <w:pStyle w:val="yTableNAm"/>
              <w:spacing w:before="60"/>
            </w:pPr>
            <w:r>
              <w:t>Class 7 (c/kL)</w:t>
            </w:r>
          </w:p>
        </w:tc>
        <w:tc>
          <w:tcPr>
            <w:tcW w:w="2055" w:type="dxa"/>
          </w:tcPr>
          <w:p>
            <w:pPr>
              <w:pStyle w:val="yTableNAm"/>
              <w:spacing w:before="60"/>
              <w:jc w:val="center"/>
            </w:pPr>
            <w:r>
              <w:t>220.6</w:t>
            </w:r>
          </w:p>
        </w:tc>
        <w:tc>
          <w:tcPr>
            <w:tcW w:w="2056" w:type="dxa"/>
          </w:tcPr>
          <w:p>
            <w:pPr>
              <w:pStyle w:val="yTableNAm"/>
              <w:spacing w:before="60"/>
              <w:jc w:val="center"/>
            </w:pPr>
            <w:r>
              <w:t>294.7</w:t>
            </w:r>
          </w:p>
        </w:tc>
      </w:tr>
      <w:tr>
        <w:tc>
          <w:tcPr>
            <w:tcW w:w="2409" w:type="dxa"/>
          </w:tcPr>
          <w:p>
            <w:pPr>
              <w:pStyle w:val="yTableNAm"/>
              <w:spacing w:before="60"/>
            </w:pPr>
            <w:r>
              <w:t>Class 8 (c/kL)</w:t>
            </w:r>
          </w:p>
        </w:tc>
        <w:tc>
          <w:tcPr>
            <w:tcW w:w="2055" w:type="dxa"/>
          </w:tcPr>
          <w:p>
            <w:pPr>
              <w:pStyle w:val="yTableNAm"/>
              <w:spacing w:before="60"/>
              <w:jc w:val="center"/>
            </w:pPr>
            <w:r>
              <w:t>237.4</w:t>
            </w:r>
          </w:p>
        </w:tc>
        <w:tc>
          <w:tcPr>
            <w:tcW w:w="2056" w:type="dxa"/>
          </w:tcPr>
          <w:p>
            <w:pPr>
              <w:pStyle w:val="yTableNAm"/>
              <w:spacing w:before="60"/>
              <w:jc w:val="center"/>
            </w:pPr>
            <w:r>
              <w:t>320.9</w:t>
            </w:r>
          </w:p>
        </w:tc>
      </w:tr>
      <w:tr>
        <w:tc>
          <w:tcPr>
            <w:tcW w:w="2409" w:type="dxa"/>
          </w:tcPr>
          <w:p>
            <w:pPr>
              <w:pStyle w:val="yTableNAm"/>
              <w:spacing w:before="60"/>
            </w:pPr>
            <w:r>
              <w:t>Class 9 (c/kL)</w:t>
            </w:r>
          </w:p>
        </w:tc>
        <w:tc>
          <w:tcPr>
            <w:tcW w:w="2055" w:type="dxa"/>
          </w:tcPr>
          <w:p>
            <w:pPr>
              <w:pStyle w:val="yTableNAm"/>
              <w:spacing w:before="60"/>
              <w:jc w:val="center"/>
            </w:pPr>
            <w:r>
              <w:t>255.5</w:t>
            </w:r>
          </w:p>
        </w:tc>
        <w:tc>
          <w:tcPr>
            <w:tcW w:w="2056" w:type="dxa"/>
          </w:tcPr>
          <w:p>
            <w:pPr>
              <w:pStyle w:val="yTableNAm"/>
              <w:spacing w:before="60"/>
              <w:jc w:val="center"/>
            </w:pPr>
            <w:r>
              <w:t>349.4</w:t>
            </w:r>
          </w:p>
        </w:tc>
      </w:tr>
      <w:tr>
        <w:tc>
          <w:tcPr>
            <w:tcW w:w="2409" w:type="dxa"/>
          </w:tcPr>
          <w:p>
            <w:pPr>
              <w:pStyle w:val="yTableNAm"/>
              <w:spacing w:before="60"/>
            </w:pPr>
            <w:r>
              <w:t>Class 10 (c/kL)</w:t>
            </w:r>
          </w:p>
        </w:tc>
        <w:tc>
          <w:tcPr>
            <w:tcW w:w="2055" w:type="dxa"/>
          </w:tcPr>
          <w:p>
            <w:pPr>
              <w:pStyle w:val="yTableNAm"/>
              <w:spacing w:before="60"/>
              <w:jc w:val="center"/>
            </w:pPr>
            <w:r>
              <w:t>265.9</w:t>
            </w:r>
          </w:p>
        </w:tc>
        <w:tc>
          <w:tcPr>
            <w:tcW w:w="2056" w:type="dxa"/>
          </w:tcPr>
          <w:p>
            <w:pPr>
              <w:pStyle w:val="yTableNAm"/>
              <w:spacing w:before="60"/>
              <w:jc w:val="center"/>
            </w:pPr>
            <w:r>
              <w:t>380.5</w:t>
            </w:r>
          </w:p>
        </w:tc>
      </w:tr>
      <w:tr>
        <w:tc>
          <w:tcPr>
            <w:tcW w:w="2409" w:type="dxa"/>
          </w:tcPr>
          <w:p>
            <w:pPr>
              <w:pStyle w:val="yTableNAm"/>
              <w:spacing w:before="60"/>
            </w:pPr>
            <w:r>
              <w:t>Class 11 (c/kL)</w:t>
            </w:r>
          </w:p>
        </w:tc>
        <w:tc>
          <w:tcPr>
            <w:tcW w:w="2055" w:type="dxa"/>
          </w:tcPr>
          <w:p>
            <w:pPr>
              <w:pStyle w:val="yTableNAm"/>
              <w:spacing w:before="60"/>
              <w:jc w:val="center"/>
            </w:pPr>
            <w:r>
              <w:t>291.9</w:t>
            </w:r>
          </w:p>
        </w:tc>
        <w:tc>
          <w:tcPr>
            <w:tcW w:w="2056" w:type="dxa"/>
          </w:tcPr>
          <w:p>
            <w:pPr>
              <w:pStyle w:val="yTableNAm"/>
              <w:spacing w:before="60"/>
              <w:jc w:val="center"/>
            </w:pPr>
            <w:r>
              <w:t>414.3</w:t>
            </w:r>
          </w:p>
        </w:tc>
      </w:tr>
      <w:tr>
        <w:tc>
          <w:tcPr>
            <w:tcW w:w="2409" w:type="dxa"/>
          </w:tcPr>
          <w:p>
            <w:pPr>
              <w:pStyle w:val="yTableNAm"/>
              <w:spacing w:before="60"/>
            </w:pPr>
            <w:r>
              <w:t>Class 12 (c/kL)</w:t>
            </w:r>
          </w:p>
        </w:tc>
        <w:tc>
          <w:tcPr>
            <w:tcW w:w="2055" w:type="dxa"/>
          </w:tcPr>
          <w:p>
            <w:pPr>
              <w:pStyle w:val="yTableNAm"/>
              <w:spacing w:before="60"/>
              <w:jc w:val="center"/>
            </w:pPr>
            <w:r>
              <w:t>320.4</w:t>
            </w:r>
          </w:p>
        </w:tc>
        <w:tc>
          <w:tcPr>
            <w:tcW w:w="2056" w:type="dxa"/>
          </w:tcPr>
          <w:p>
            <w:pPr>
              <w:pStyle w:val="yTableNAm"/>
              <w:spacing w:before="60"/>
              <w:jc w:val="center"/>
            </w:pPr>
            <w:r>
              <w:t>451.2</w:t>
            </w:r>
          </w:p>
        </w:tc>
      </w:tr>
      <w:tr>
        <w:tc>
          <w:tcPr>
            <w:tcW w:w="2409" w:type="dxa"/>
          </w:tcPr>
          <w:p>
            <w:pPr>
              <w:pStyle w:val="yTableNAm"/>
              <w:spacing w:before="60"/>
            </w:pPr>
            <w:r>
              <w:t>Class 13 (c/kL)</w:t>
            </w:r>
          </w:p>
        </w:tc>
        <w:tc>
          <w:tcPr>
            <w:tcW w:w="2055" w:type="dxa"/>
          </w:tcPr>
          <w:p>
            <w:pPr>
              <w:pStyle w:val="yTableNAm"/>
              <w:spacing w:before="60"/>
              <w:jc w:val="center"/>
            </w:pPr>
            <w:r>
              <w:t>351.7</w:t>
            </w:r>
          </w:p>
        </w:tc>
        <w:tc>
          <w:tcPr>
            <w:tcW w:w="2056" w:type="dxa"/>
          </w:tcPr>
          <w:p>
            <w:pPr>
              <w:pStyle w:val="yTableNAm"/>
              <w:spacing w:before="60"/>
              <w:jc w:val="center"/>
            </w:pPr>
            <w:r>
              <w:t>491.3</w:t>
            </w:r>
          </w:p>
        </w:tc>
      </w:tr>
      <w:tr>
        <w:tc>
          <w:tcPr>
            <w:tcW w:w="2409" w:type="dxa"/>
          </w:tcPr>
          <w:p>
            <w:pPr>
              <w:pStyle w:val="yTableNAm"/>
              <w:spacing w:before="60"/>
            </w:pPr>
            <w:r>
              <w:t>Class 14 (c/kL)</w:t>
            </w:r>
          </w:p>
        </w:tc>
        <w:tc>
          <w:tcPr>
            <w:tcW w:w="2055" w:type="dxa"/>
          </w:tcPr>
          <w:p>
            <w:pPr>
              <w:pStyle w:val="yTableNAm"/>
              <w:spacing w:before="60"/>
              <w:jc w:val="center"/>
            </w:pPr>
            <w:r>
              <w:t>386.2</w:t>
            </w:r>
          </w:p>
        </w:tc>
        <w:tc>
          <w:tcPr>
            <w:tcW w:w="2056" w:type="dxa"/>
          </w:tcPr>
          <w:p>
            <w:pPr>
              <w:pStyle w:val="yTableNAm"/>
              <w:spacing w:before="60"/>
              <w:jc w:val="center"/>
            </w:pPr>
            <w:r>
              <w:t>535.0</w:t>
            </w:r>
          </w:p>
        </w:tc>
      </w:tr>
      <w:tr>
        <w:tc>
          <w:tcPr>
            <w:tcW w:w="2409" w:type="dxa"/>
            <w:tcBorders>
              <w:bottom w:val="single" w:sz="4" w:space="0" w:color="auto"/>
            </w:tcBorders>
          </w:tcPr>
          <w:p>
            <w:pPr>
              <w:pStyle w:val="yTableNAm"/>
              <w:spacing w:before="60"/>
            </w:pPr>
            <w:r>
              <w:t>Class 15 (c/kL)</w:t>
            </w:r>
          </w:p>
        </w:tc>
        <w:tc>
          <w:tcPr>
            <w:tcW w:w="2055" w:type="dxa"/>
            <w:tcBorders>
              <w:bottom w:val="single" w:sz="4" w:space="0" w:color="auto"/>
            </w:tcBorders>
          </w:tcPr>
          <w:p>
            <w:pPr>
              <w:pStyle w:val="yTableNAm"/>
              <w:spacing w:before="60"/>
              <w:jc w:val="center"/>
            </w:pPr>
            <w:r>
              <w:t>423.9</w:t>
            </w:r>
          </w:p>
        </w:tc>
        <w:tc>
          <w:tcPr>
            <w:tcW w:w="2056" w:type="dxa"/>
            <w:tcBorders>
              <w:bottom w:val="single" w:sz="4" w:space="0" w:color="auto"/>
            </w:tcBorders>
          </w:tcPr>
          <w:p>
            <w:pPr>
              <w:pStyle w:val="yTableNAm"/>
              <w:spacing w:before="60"/>
              <w:jc w:val="center"/>
            </w:pPr>
            <w:r>
              <w:t>582.6</w:t>
            </w:r>
          </w:p>
        </w:tc>
      </w:tr>
    </w:tbl>
    <w:p>
      <w:pPr>
        <w:pStyle w:val="yFootnotesection"/>
      </w:pPr>
      <w:r>
        <w:tab/>
        <w:t>[Schedule 8 inserted in Gazette 19 Jun 2009 p. 2373-5.]</w:t>
      </w:r>
    </w:p>
    <w:p>
      <w:pPr>
        <w:tabs>
          <w:tab w:val="left" w:pos="840"/>
          <w:tab w:val="right" w:pos="1212"/>
          <w:tab w:val="left" w:pos="1452"/>
          <w:tab w:val="left" w:leader="dot" w:pos="4212"/>
          <w:tab w:val="right" w:leader="dot" w:pos="4253"/>
          <w:tab w:val="left" w:leader="dot" w:pos="4572"/>
          <w:tab w:val="left" w:pos="5387"/>
        </w:tabs>
        <w:spacing w:before="180"/>
        <w:ind w:right="12" w:hanging="964"/>
        <w:rPr>
          <w:b/>
          <w:bCs/>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1037" w:name="_Toc233448463"/>
      <w:bookmarkStart w:id="1038" w:name="_Toc233611734"/>
      <w:bookmarkStart w:id="1039" w:name="_Toc234730741"/>
      <w:bookmarkStart w:id="1040" w:name="_Toc234733267"/>
      <w:bookmarkStart w:id="1041" w:name="_Toc235864004"/>
      <w:bookmarkStart w:id="1042" w:name="_Toc235933479"/>
      <w:bookmarkStart w:id="1043" w:name="_Toc237164467"/>
      <w:bookmarkStart w:id="1044" w:name="_Toc237244351"/>
      <w:bookmarkStart w:id="1045" w:name="_Toc237245675"/>
      <w:bookmarkStart w:id="1046" w:name="_Toc237245806"/>
      <w:bookmarkStart w:id="1047" w:name="_Toc237247948"/>
      <w:bookmarkStart w:id="1048" w:name="_Toc237254263"/>
      <w:bookmarkStart w:id="1049" w:name="_Toc237309682"/>
      <w:bookmarkStart w:id="1050" w:name="_Toc202506107"/>
      <w:bookmarkStart w:id="1051" w:name="_Toc202672839"/>
      <w:bookmarkStart w:id="1052" w:name="_Toc202691799"/>
      <w:bookmarkEnd w:id="1011"/>
      <w:bookmarkEnd w:id="1012"/>
      <w:bookmarkEnd w:id="1013"/>
      <w:bookmarkEnd w:id="1014"/>
      <w:bookmarkEnd w:id="1015"/>
      <w:bookmarkEnd w:id="1016"/>
      <w:r>
        <w:rPr>
          <w:rStyle w:val="CharSchNo"/>
        </w:rPr>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yShoulderClause"/>
      </w:pPr>
      <w:r>
        <w:t>[bl. 17D(3)]</w:t>
      </w:r>
    </w:p>
    <w:p>
      <w:pPr>
        <w:pStyle w:val="yFootnoteheading"/>
        <w:spacing w:after="120"/>
      </w:pPr>
      <w:r>
        <w:tab/>
        <w:t>[Heading inserted in Gazette 19 Jun 2009 p. 2375.]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6"/>
        <w:gridCol w:w="1867"/>
        <w:gridCol w:w="1867"/>
      </w:tblGrid>
      <w:tr>
        <w:trPr>
          <w:tblHeader/>
        </w:trPr>
        <w:tc>
          <w:tcPr>
            <w:tcW w:w="3346" w:type="dxa"/>
            <w:tcBorders>
              <w:top w:val="single" w:sz="4" w:space="0" w:color="auto"/>
              <w:left w:val="nil"/>
              <w:bottom w:val="single" w:sz="4" w:space="0" w:color="auto"/>
              <w:right w:val="nil"/>
            </w:tcBorders>
          </w:tcPr>
          <w:p>
            <w:pPr>
              <w:pStyle w:val="yTableNAm"/>
              <w:rPr>
                <w:b/>
                <w:bCs/>
              </w:rPr>
            </w:pPr>
            <w:r>
              <w:rPr>
                <w:b/>
                <w:bCs/>
              </w:rPr>
              <w:t>Town/area</w:t>
            </w:r>
          </w:p>
        </w:tc>
        <w:tc>
          <w:tcPr>
            <w:tcW w:w="1867" w:type="dxa"/>
            <w:tcBorders>
              <w:top w:val="single" w:sz="4" w:space="0" w:color="auto"/>
              <w:left w:val="nil"/>
              <w:bottom w:val="single" w:sz="4" w:space="0" w:color="auto"/>
              <w:right w:val="nil"/>
            </w:tcBorders>
          </w:tcPr>
          <w:p>
            <w:pPr>
              <w:pStyle w:val="yTableNAm"/>
              <w:jc w:val="center"/>
              <w:rPr>
                <w:b/>
                <w:bCs/>
              </w:rPr>
            </w:pPr>
            <w:r>
              <w:rPr>
                <w:b/>
                <w:bCs/>
              </w:rPr>
              <w:t>Residential classification</w:t>
            </w:r>
          </w:p>
        </w:tc>
        <w:tc>
          <w:tcPr>
            <w:tcW w:w="1867" w:type="dxa"/>
            <w:tcBorders>
              <w:top w:val="single" w:sz="4" w:space="0" w:color="auto"/>
              <w:left w:val="nil"/>
              <w:bottom w:val="single" w:sz="4" w:space="0" w:color="auto"/>
              <w:right w:val="nil"/>
            </w:tcBorders>
          </w:tcPr>
          <w:p>
            <w:pPr>
              <w:pStyle w:val="yTableNAm"/>
              <w:jc w:val="center"/>
              <w:rPr>
                <w:b/>
                <w:bCs/>
              </w:rPr>
            </w:pPr>
            <w:r>
              <w:rPr>
                <w:b/>
                <w:bCs/>
              </w:rPr>
              <w:t>Non</w:t>
            </w:r>
            <w:r>
              <w:rPr>
                <w:b/>
                <w:bCs/>
              </w:rPr>
              <w:noBreakHyphen/>
              <w:t>residential classification</w:t>
            </w:r>
          </w:p>
        </w:tc>
      </w:tr>
      <w:tr>
        <w:tc>
          <w:tcPr>
            <w:tcW w:w="3346" w:type="dxa"/>
            <w:tcBorders>
              <w:top w:val="single" w:sz="4" w:space="0" w:color="auto"/>
              <w:left w:val="nil"/>
              <w:bottom w:val="nil"/>
              <w:right w:val="nil"/>
            </w:tcBorders>
            <w:vAlign w:val="center"/>
          </w:tcPr>
          <w:p>
            <w:pPr>
              <w:pStyle w:val="yTableNAm"/>
              <w:spacing w:before="60"/>
            </w:pPr>
            <w:r>
              <w:t>Albany</w:t>
            </w:r>
          </w:p>
        </w:tc>
        <w:tc>
          <w:tcPr>
            <w:tcW w:w="1867" w:type="dxa"/>
            <w:tcBorders>
              <w:top w:val="single" w:sz="4" w:space="0" w:color="auto"/>
              <w:left w:val="nil"/>
              <w:bottom w:val="nil"/>
              <w:right w:val="nil"/>
            </w:tcBorders>
            <w:vAlign w:val="center"/>
          </w:tcPr>
          <w:p>
            <w:pPr>
              <w:pStyle w:val="yTableNAm"/>
              <w:spacing w:before="60"/>
              <w:jc w:val="center"/>
            </w:pPr>
            <w:r>
              <w:t>2</w:t>
            </w:r>
          </w:p>
        </w:tc>
        <w:tc>
          <w:tcPr>
            <w:tcW w:w="1867" w:type="dxa"/>
            <w:tcBorders>
              <w:top w:val="single" w:sz="4" w:space="0" w:color="auto"/>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Allanooka Farmlands</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Allanson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Arrino</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Arrowsmith Farmlands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Augusta</w:t>
            </w:r>
          </w:p>
        </w:tc>
        <w:tc>
          <w:tcPr>
            <w:tcW w:w="1867" w:type="dxa"/>
            <w:tcBorders>
              <w:top w:val="nil"/>
              <w:left w:val="nil"/>
              <w:bottom w:val="nil"/>
              <w:right w:val="nil"/>
            </w:tcBorders>
            <w:vAlign w:val="center"/>
          </w:tcPr>
          <w:p>
            <w:pPr>
              <w:pStyle w:val="yTableNAm"/>
              <w:spacing w:before="60"/>
              <w:jc w:val="center"/>
              <w:rPr>
                <w:spacing w:val="-2"/>
                <w:szCs w:val="12"/>
              </w:rPr>
            </w:pPr>
            <w:r>
              <w:rPr>
                <w:spacing w:val="-2"/>
                <w:szCs w:val="12"/>
              </w:rP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Australind/Eaton</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Badgingarra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Bakers Hill</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Balingup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Ballidu</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Beacon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Bencubbin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Beverley</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Bindi Bindi</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Bindoon/Chittering</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Binningup</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Bodallin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Boddington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Bolgart</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Borden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Boyanup</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Boyup Brook</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Bremer Bay</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Bridgetown/Hester</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Broad Arrow</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Brookton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Broome</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Broomehill</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Bruce Rock</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Brunswick/Burekup/Roelands</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Bullaring</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Bullfinch</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Bunjil</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Buntine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Burracoppin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Calingiri</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Camballin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Capel</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Carnamah</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Carnarvon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Caron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Cervantes</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Collie</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Collie Farmlands</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Condingup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Coolgardie</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Coomberdale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Coorow</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Coral Bay</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N/A</w:t>
            </w:r>
          </w:p>
        </w:tc>
      </w:tr>
      <w:tr>
        <w:tc>
          <w:tcPr>
            <w:tcW w:w="3346" w:type="dxa"/>
            <w:tcBorders>
              <w:top w:val="nil"/>
              <w:left w:val="nil"/>
              <w:bottom w:val="nil"/>
              <w:right w:val="nil"/>
            </w:tcBorders>
            <w:vAlign w:val="center"/>
          </w:tcPr>
          <w:p>
            <w:pPr>
              <w:pStyle w:val="yTableNAm"/>
              <w:spacing w:before="60"/>
            </w:pPr>
            <w:r>
              <w:t>Corrigin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Cowaramup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Cranbrook</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Cuballing</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Cue</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Cunderdin</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Dalwallinu</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Dalyellup</w:t>
            </w:r>
          </w:p>
        </w:tc>
        <w:tc>
          <w:tcPr>
            <w:tcW w:w="1867" w:type="dxa"/>
            <w:tcBorders>
              <w:top w:val="nil"/>
              <w:left w:val="nil"/>
              <w:bottom w:val="nil"/>
              <w:right w:val="nil"/>
            </w:tcBorders>
            <w:vAlign w:val="center"/>
          </w:tcPr>
          <w:p>
            <w:pPr>
              <w:pStyle w:val="yTableNAm"/>
              <w:spacing w:before="60"/>
              <w:jc w:val="center"/>
              <w:rPr>
                <w:spacing w:val="-2"/>
                <w:szCs w:val="12"/>
              </w:rPr>
            </w:pPr>
            <w:r>
              <w:rPr>
                <w:spacing w:val="-2"/>
                <w:szCs w:val="12"/>
              </w:rPr>
              <w:t>1</w:t>
            </w:r>
          </w:p>
        </w:tc>
        <w:tc>
          <w:tcPr>
            <w:tcW w:w="1867" w:type="dxa"/>
            <w:tcBorders>
              <w:top w:val="nil"/>
              <w:left w:val="nil"/>
              <w:bottom w:val="nil"/>
              <w:right w:val="nil"/>
            </w:tcBorders>
            <w:vAlign w:val="center"/>
          </w:tcPr>
          <w:p>
            <w:pPr>
              <w:pStyle w:val="yTableNAm"/>
              <w:spacing w:before="60"/>
              <w:jc w:val="center"/>
            </w:pPr>
            <w:r>
              <w:t>4</w:t>
            </w:r>
          </w:p>
        </w:tc>
      </w:tr>
      <w:tr>
        <w:tc>
          <w:tcPr>
            <w:tcW w:w="3346" w:type="dxa"/>
            <w:tcBorders>
              <w:top w:val="nil"/>
              <w:left w:val="nil"/>
              <w:bottom w:val="nil"/>
              <w:right w:val="nil"/>
            </w:tcBorders>
            <w:vAlign w:val="center"/>
          </w:tcPr>
          <w:p>
            <w:pPr>
              <w:pStyle w:val="yTableNAm"/>
              <w:spacing w:before="60"/>
            </w:pPr>
            <w:r>
              <w:t>Dandaragan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tcPr>
          <w:p>
            <w:pPr>
              <w:pStyle w:val="yTableNAm"/>
              <w:spacing w:before="60"/>
              <w:jc w:val="center"/>
            </w:pPr>
            <w:r>
              <w:t>10</w:t>
            </w:r>
          </w:p>
        </w:tc>
      </w:tr>
      <w:tr>
        <w:tc>
          <w:tcPr>
            <w:tcW w:w="3346" w:type="dxa"/>
            <w:tcBorders>
              <w:top w:val="nil"/>
              <w:left w:val="nil"/>
              <w:bottom w:val="nil"/>
              <w:right w:val="nil"/>
            </w:tcBorders>
          </w:tcPr>
          <w:p>
            <w:pPr>
              <w:pStyle w:val="yTableNAm"/>
              <w:spacing w:before="60"/>
            </w:pPr>
            <w:r>
              <w:t>Dardanup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Darkan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Dathagnoorara Farmlands</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Denham (Saline)</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Denmark</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Derby</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Dongara/Denison</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Donnybrook</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Doodlakine</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Dowerin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Dudinin/Harrismith/Jitarning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Dumbleyung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Dunsborough/Yallingup</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Dwellingup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Eneabba</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Eradu</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Esperance</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Exmouth</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Fitzroy Crossing</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5</w:t>
            </w:r>
          </w:p>
        </w:tc>
      </w:tr>
      <w:tr>
        <w:tc>
          <w:tcPr>
            <w:tcW w:w="3346" w:type="dxa"/>
            <w:tcBorders>
              <w:top w:val="nil"/>
              <w:left w:val="nil"/>
              <w:bottom w:val="nil"/>
              <w:right w:val="nil"/>
            </w:tcBorders>
            <w:vAlign w:val="center"/>
          </w:tcPr>
          <w:p>
            <w:pPr>
              <w:pStyle w:val="yTableNAm"/>
              <w:spacing w:before="60"/>
            </w:pPr>
            <w:r>
              <w:t>Frankland</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Gabbadah</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Gascoyne Junction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Geraldton</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Gibson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Gingin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Gnarabup</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Gnowangerup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Goomalling</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Grass Patch</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Grass Valley</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Greenbushes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Greenhead</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Guilderton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Halls Creek</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Hamel/Waroona</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Harvey/Wokalup</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Highbury/Piesseville</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Hines Hill</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Hopetoun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Horrocks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Hyden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Jerramungup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Jurien Bay</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Kalannie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Kalbarri</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Kalgoorlie/Boulder</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Kambalda</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Karakin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Karlgarin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Karratha</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Katanning</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Katanning Farmlands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Kellerberrin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Kendenup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Kendenup Farmlands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Kirup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Kojonup/Muradup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Kondinin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Koorda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Kukerin/Moulyinning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Kulin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Kununoppin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tcPr>
          <w:p>
            <w:pPr>
              <w:pStyle w:val="yTableNAm"/>
              <w:spacing w:before="60"/>
            </w:pPr>
            <w:r>
              <w:t>Kununurra</w:t>
            </w:r>
          </w:p>
        </w:tc>
        <w:tc>
          <w:tcPr>
            <w:tcW w:w="1867" w:type="dxa"/>
            <w:tcBorders>
              <w:top w:val="nil"/>
              <w:left w:val="nil"/>
              <w:bottom w:val="nil"/>
              <w:right w:val="nil"/>
            </w:tcBorders>
          </w:tcPr>
          <w:p>
            <w:pPr>
              <w:pStyle w:val="yTableNAm"/>
              <w:spacing w:before="60"/>
              <w:jc w:val="center"/>
            </w:pPr>
            <w:r>
              <w:t>2</w:t>
            </w:r>
          </w:p>
        </w:tc>
        <w:tc>
          <w:tcPr>
            <w:tcW w:w="1867" w:type="dxa"/>
            <w:tcBorders>
              <w:top w:val="nil"/>
              <w:left w:val="nil"/>
              <w:bottom w:val="nil"/>
              <w:right w:val="nil"/>
            </w:tcBorders>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Lake Argyle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Lake Grace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Lake King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Lancelin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Latham</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Laverton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Ledge Point</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Leeman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Leonora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Mandurah</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Manjimup</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Marble Bar</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Margaret River</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Marvel Loch</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Meckering</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Meekatharra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Menzies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Merredin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Merredin Farmlands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Miling</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Mingenew</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Moora</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Moorine Rock</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Morawa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Mount Barker</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Mount Magnet</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Mount Roe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Mukinbudin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Mullalyup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Mullewa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Mullewa Farmlands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Munglinup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Muntadgin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Myalup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Nabawa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Nannup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Narembeen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Narngulu</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Narrikup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Narrogin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Narrogin Farmlands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New Norcia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Newdegate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Newman</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4</w:t>
            </w:r>
          </w:p>
        </w:tc>
      </w:tr>
      <w:tr>
        <w:tc>
          <w:tcPr>
            <w:tcW w:w="3346" w:type="dxa"/>
            <w:tcBorders>
              <w:top w:val="nil"/>
              <w:left w:val="nil"/>
              <w:bottom w:val="nil"/>
              <w:right w:val="nil"/>
            </w:tcBorders>
            <w:vAlign w:val="center"/>
          </w:tcPr>
          <w:p>
            <w:pPr>
              <w:pStyle w:val="yTableNAm"/>
              <w:spacing w:before="60"/>
            </w:pPr>
            <w:r>
              <w:t>Nilgen</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4</w:t>
            </w:r>
          </w:p>
        </w:tc>
      </w:tr>
      <w:tr>
        <w:tc>
          <w:tcPr>
            <w:tcW w:w="3346" w:type="dxa"/>
            <w:tcBorders>
              <w:top w:val="nil"/>
              <w:left w:val="nil"/>
              <w:bottom w:val="nil"/>
              <w:right w:val="nil"/>
            </w:tcBorders>
            <w:vAlign w:val="center"/>
          </w:tcPr>
          <w:p>
            <w:pPr>
              <w:pStyle w:val="yTableNAm"/>
              <w:spacing w:before="60"/>
            </w:pPr>
            <w:r>
              <w:t>Norseman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North Dandalup</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Northam</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Northam Farmlands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Northampton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Northcliffe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Nullagine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Nungarin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Nyabing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Ongerup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Onslow</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Ora Banda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Park Ridge</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Pemberton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Peppermint Grove Beach</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Perenjori</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Pingaring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Pingelly</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Pingrup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Pinjarra</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Pithara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Point Samson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Popanyinning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Porongurup</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Port Hedland</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Preston Beach</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Quairading</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Quinninup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Ravensthorpe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Rocky Gully</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Roebourne</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Salmon Gums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Sandstone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Seabird</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South Hedland</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Southern Cross</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Tambellup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Tammin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Three Springs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Tincurrin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Toodyay</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Trayning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Varley</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Wagin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Walkaway</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Walpole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Wandering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Watheroo</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Wellstead</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Westonia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Wickepin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Wickham</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Widgiemooltha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Williams</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Wiluna</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Wongan Hills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Woodanilling</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Woodridge</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Wubin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Wundowie</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Wyalkatchem</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Wyndham</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Yalgoo</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Yarloop/Wagerup</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Yealering</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8</w:t>
            </w:r>
          </w:p>
        </w:tc>
      </w:tr>
      <w:tr>
        <w:tc>
          <w:tcPr>
            <w:tcW w:w="3346" w:type="dxa"/>
            <w:tcBorders>
              <w:top w:val="nil"/>
              <w:left w:val="nil"/>
              <w:bottom w:val="nil"/>
              <w:right w:val="nil"/>
            </w:tcBorders>
            <w:vAlign w:val="center"/>
          </w:tcPr>
          <w:p>
            <w:pPr>
              <w:pStyle w:val="yTableNAm"/>
              <w:spacing w:before="60"/>
            </w:pPr>
            <w:r>
              <w:t>Yerecoin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York</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single" w:sz="4" w:space="0" w:color="auto"/>
              <w:right w:val="nil"/>
            </w:tcBorders>
            <w:vAlign w:val="center"/>
          </w:tcPr>
          <w:p>
            <w:pPr>
              <w:pStyle w:val="yTableNAm"/>
              <w:spacing w:before="60"/>
            </w:pPr>
            <w:r>
              <w:t>Yuna</w:t>
            </w:r>
          </w:p>
        </w:tc>
        <w:tc>
          <w:tcPr>
            <w:tcW w:w="1867" w:type="dxa"/>
            <w:tcBorders>
              <w:top w:val="nil"/>
              <w:left w:val="nil"/>
              <w:bottom w:val="single" w:sz="4" w:space="0" w:color="auto"/>
              <w:right w:val="nil"/>
            </w:tcBorders>
            <w:vAlign w:val="center"/>
          </w:tcPr>
          <w:p>
            <w:pPr>
              <w:pStyle w:val="yTableNAm"/>
              <w:spacing w:before="60"/>
              <w:jc w:val="center"/>
            </w:pPr>
            <w:r>
              <w:t>5</w:t>
            </w:r>
          </w:p>
        </w:tc>
        <w:tc>
          <w:tcPr>
            <w:tcW w:w="1867" w:type="dxa"/>
            <w:tcBorders>
              <w:top w:val="nil"/>
              <w:left w:val="nil"/>
              <w:bottom w:val="single" w:sz="4" w:space="0" w:color="auto"/>
              <w:right w:val="nil"/>
            </w:tcBorders>
            <w:vAlign w:val="center"/>
          </w:tcPr>
          <w:p>
            <w:pPr>
              <w:pStyle w:val="yTableNAm"/>
              <w:spacing w:before="60"/>
              <w:jc w:val="center"/>
            </w:pPr>
            <w:r>
              <w:t>11</w:t>
            </w:r>
          </w:p>
        </w:tc>
      </w:tr>
    </w:tbl>
    <w:p>
      <w:pPr>
        <w:pStyle w:val="yFootnotesection"/>
      </w:pPr>
      <w:r>
        <w:tab/>
        <w:t>[Schedule 9 inserted in Gazette 19 Jun 2009 p. 2375-83.]</w:t>
      </w:r>
    </w:p>
    <w:p>
      <w:pPr>
        <w:pStyle w:val="yScheduleHeading"/>
      </w:pPr>
      <w:bookmarkStart w:id="1053" w:name="_Toc233448465"/>
      <w:bookmarkStart w:id="1054" w:name="_Toc233611735"/>
      <w:bookmarkStart w:id="1055" w:name="_Toc234730742"/>
      <w:bookmarkStart w:id="1056" w:name="_Toc234733268"/>
      <w:bookmarkStart w:id="1057" w:name="_Toc235864005"/>
      <w:bookmarkStart w:id="1058" w:name="_Toc235933480"/>
      <w:bookmarkStart w:id="1059" w:name="_Toc237164468"/>
      <w:bookmarkStart w:id="1060" w:name="_Toc237244352"/>
      <w:bookmarkStart w:id="1061" w:name="_Toc237245676"/>
      <w:bookmarkStart w:id="1062" w:name="_Toc237245807"/>
      <w:bookmarkStart w:id="1063" w:name="_Toc237247949"/>
      <w:bookmarkStart w:id="1064" w:name="_Toc237254264"/>
      <w:bookmarkStart w:id="1065" w:name="_Toc237309683"/>
      <w:bookmarkEnd w:id="1050"/>
      <w:bookmarkEnd w:id="1051"/>
      <w:bookmarkEnd w:id="1052"/>
      <w:r>
        <w:rPr>
          <w:rStyle w:val="CharSchNo"/>
        </w:rPr>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yShoulderClause"/>
      </w:pPr>
      <w:r>
        <w:t>[bl. 17D(3)]</w:t>
      </w:r>
    </w:p>
    <w:p>
      <w:pPr>
        <w:pStyle w:val="yFootnoteheading"/>
        <w:spacing w:after="120"/>
      </w:pPr>
      <w:r>
        <w:tab/>
        <w:t>[Heading inserted in Gazette 19 Jun 2009 p. 2384.]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6"/>
        <w:gridCol w:w="1867"/>
        <w:gridCol w:w="1867"/>
      </w:tblGrid>
      <w:tr>
        <w:trPr>
          <w:tblHeader/>
        </w:trPr>
        <w:tc>
          <w:tcPr>
            <w:tcW w:w="3346" w:type="dxa"/>
            <w:tcBorders>
              <w:top w:val="single" w:sz="4" w:space="0" w:color="auto"/>
              <w:left w:val="nil"/>
              <w:bottom w:val="single" w:sz="4" w:space="0" w:color="auto"/>
              <w:right w:val="nil"/>
            </w:tcBorders>
          </w:tcPr>
          <w:p>
            <w:pPr>
              <w:pStyle w:val="yTableNAm"/>
              <w:rPr>
                <w:b/>
                <w:bCs/>
              </w:rPr>
            </w:pPr>
            <w:r>
              <w:rPr>
                <w:b/>
                <w:bCs/>
              </w:rPr>
              <w:t>Town/area</w:t>
            </w:r>
          </w:p>
        </w:tc>
        <w:tc>
          <w:tcPr>
            <w:tcW w:w="1867" w:type="dxa"/>
            <w:tcBorders>
              <w:top w:val="single" w:sz="4" w:space="0" w:color="auto"/>
              <w:left w:val="nil"/>
              <w:bottom w:val="single" w:sz="4" w:space="0" w:color="auto"/>
              <w:right w:val="nil"/>
            </w:tcBorders>
          </w:tcPr>
          <w:p>
            <w:pPr>
              <w:pStyle w:val="yTableNAm"/>
              <w:jc w:val="center"/>
              <w:rPr>
                <w:b/>
                <w:bCs/>
              </w:rPr>
            </w:pPr>
            <w:r>
              <w:rPr>
                <w:b/>
                <w:bCs/>
              </w:rPr>
              <w:t>Residential classification</w:t>
            </w:r>
          </w:p>
        </w:tc>
        <w:tc>
          <w:tcPr>
            <w:tcW w:w="1867" w:type="dxa"/>
            <w:tcBorders>
              <w:top w:val="single" w:sz="4" w:space="0" w:color="auto"/>
              <w:left w:val="nil"/>
              <w:bottom w:val="single" w:sz="4" w:space="0" w:color="auto"/>
              <w:right w:val="nil"/>
            </w:tcBorders>
          </w:tcPr>
          <w:p>
            <w:pPr>
              <w:pStyle w:val="yTableNAm"/>
              <w:jc w:val="center"/>
              <w:rPr>
                <w:b/>
                <w:bCs/>
              </w:rPr>
            </w:pPr>
            <w:r>
              <w:rPr>
                <w:b/>
                <w:bCs/>
              </w:rPr>
              <w:t>Non</w:t>
            </w:r>
            <w:r>
              <w:rPr>
                <w:b/>
                <w:bCs/>
              </w:rPr>
              <w:noBreakHyphen/>
              <w:t>residential classification</w:t>
            </w:r>
          </w:p>
        </w:tc>
      </w:tr>
      <w:tr>
        <w:tc>
          <w:tcPr>
            <w:tcW w:w="3346" w:type="dxa"/>
            <w:tcBorders>
              <w:top w:val="single" w:sz="4" w:space="0" w:color="auto"/>
              <w:left w:val="nil"/>
              <w:bottom w:val="nil"/>
              <w:right w:val="nil"/>
            </w:tcBorders>
            <w:vAlign w:val="center"/>
          </w:tcPr>
          <w:p>
            <w:pPr>
              <w:pStyle w:val="yTableNAm"/>
              <w:spacing w:before="60"/>
            </w:pPr>
            <w:r>
              <w:t>Albany</w:t>
            </w:r>
          </w:p>
        </w:tc>
        <w:tc>
          <w:tcPr>
            <w:tcW w:w="1867" w:type="dxa"/>
            <w:tcBorders>
              <w:top w:val="single" w:sz="4" w:space="0" w:color="auto"/>
              <w:left w:val="nil"/>
              <w:bottom w:val="nil"/>
              <w:right w:val="nil"/>
            </w:tcBorders>
            <w:vAlign w:val="center"/>
          </w:tcPr>
          <w:p>
            <w:pPr>
              <w:pStyle w:val="yTableNAm"/>
              <w:spacing w:before="60"/>
              <w:jc w:val="center"/>
            </w:pPr>
            <w:r>
              <w:t>2</w:t>
            </w:r>
          </w:p>
        </w:tc>
        <w:tc>
          <w:tcPr>
            <w:tcW w:w="1867" w:type="dxa"/>
            <w:tcBorders>
              <w:top w:val="single" w:sz="4" w:space="0" w:color="auto"/>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Albany Farmlands</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Allanooka Farmlands</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Allanson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Arrino</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Arrowsmith Farmlands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Augusta</w:t>
            </w:r>
          </w:p>
        </w:tc>
        <w:tc>
          <w:tcPr>
            <w:tcW w:w="1867" w:type="dxa"/>
            <w:tcBorders>
              <w:top w:val="nil"/>
              <w:left w:val="nil"/>
              <w:bottom w:val="nil"/>
              <w:right w:val="nil"/>
            </w:tcBorders>
            <w:vAlign w:val="center"/>
          </w:tcPr>
          <w:p>
            <w:pPr>
              <w:pStyle w:val="yTableNAm"/>
              <w:spacing w:before="60"/>
              <w:jc w:val="center"/>
              <w:rPr>
                <w:spacing w:val="-2"/>
                <w:szCs w:val="12"/>
              </w:rPr>
            </w:pPr>
            <w:r>
              <w:rPr>
                <w:spacing w:val="-2"/>
                <w:szCs w:val="12"/>
              </w:rP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Australind/Eaton</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Badgingarra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Bakers Hill</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Balingup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Ballidu</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Beacon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Bencubbin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Beverley</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Bindi Bindi</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Bindoon/Chittering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Binningup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Bodallin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Boddington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Bolgart</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Borden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Boyanup</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Boyup Brook</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Bremer Bay</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Bridgetown/Hester</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Broad Arrow</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Brookton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Broome</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Broomehill</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Bruce Rock</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Brunswick/Burekup/Roelands</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Bullaring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Bullfinch</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Bunjil</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Buntine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Burracoppin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Calingiri</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Camballin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Capel</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Carnamah</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Carnarvon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Caron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Cervantes</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Collie</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Collie Farmlands</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Condingup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Coolgardie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Coomberdale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Coorow</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Coral Bay</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N/A</w:t>
            </w:r>
          </w:p>
        </w:tc>
      </w:tr>
      <w:tr>
        <w:tc>
          <w:tcPr>
            <w:tcW w:w="3346" w:type="dxa"/>
            <w:tcBorders>
              <w:top w:val="nil"/>
              <w:left w:val="nil"/>
              <w:bottom w:val="nil"/>
              <w:right w:val="nil"/>
            </w:tcBorders>
            <w:vAlign w:val="center"/>
          </w:tcPr>
          <w:p>
            <w:pPr>
              <w:pStyle w:val="yTableNAm"/>
              <w:spacing w:before="60"/>
            </w:pPr>
            <w:r>
              <w:t>Corrigin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Cowaramup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Cranbrook</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Cuballing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Cue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Cunderdin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Dalwallinu</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Dalyellup</w:t>
            </w:r>
          </w:p>
        </w:tc>
        <w:tc>
          <w:tcPr>
            <w:tcW w:w="1867" w:type="dxa"/>
            <w:tcBorders>
              <w:top w:val="nil"/>
              <w:left w:val="nil"/>
              <w:bottom w:val="nil"/>
              <w:right w:val="nil"/>
            </w:tcBorders>
            <w:vAlign w:val="center"/>
          </w:tcPr>
          <w:p>
            <w:pPr>
              <w:pStyle w:val="yTableNAm"/>
              <w:spacing w:before="60"/>
              <w:jc w:val="center"/>
              <w:rPr>
                <w:spacing w:val="-2"/>
                <w:szCs w:val="12"/>
              </w:rPr>
            </w:pPr>
            <w:r>
              <w:rPr>
                <w:spacing w:val="-2"/>
                <w:szCs w:val="12"/>
              </w:rPr>
              <w:t>1</w:t>
            </w:r>
          </w:p>
        </w:tc>
        <w:tc>
          <w:tcPr>
            <w:tcW w:w="1867" w:type="dxa"/>
            <w:tcBorders>
              <w:top w:val="nil"/>
              <w:left w:val="nil"/>
              <w:bottom w:val="nil"/>
              <w:right w:val="nil"/>
            </w:tcBorders>
            <w:vAlign w:val="center"/>
          </w:tcPr>
          <w:p>
            <w:pPr>
              <w:pStyle w:val="yTableNAm"/>
              <w:spacing w:before="60"/>
              <w:jc w:val="center"/>
            </w:pPr>
            <w:r>
              <w:t>4</w:t>
            </w:r>
          </w:p>
        </w:tc>
      </w:tr>
      <w:tr>
        <w:tc>
          <w:tcPr>
            <w:tcW w:w="3346" w:type="dxa"/>
            <w:tcBorders>
              <w:top w:val="nil"/>
              <w:left w:val="nil"/>
              <w:bottom w:val="nil"/>
              <w:right w:val="nil"/>
            </w:tcBorders>
            <w:vAlign w:val="center"/>
          </w:tcPr>
          <w:p>
            <w:pPr>
              <w:pStyle w:val="yTableNAm"/>
              <w:spacing w:before="60"/>
            </w:pPr>
            <w:r>
              <w:t>Dandaragan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tcPr>
          <w:p>
            <w:pPr>
              <w:pStyle w:val="yTableNAm"/>
              <w:spacing w:before="60"/>
              <w:jc w:val="center"/>
            </w:pPr>
            <w:r>
              <w:t>11</w:t>
            </w:r>
          </w:p>
        </w:tc>
      </w:tr>
      <w:tr>
        <w:tc>
          <w:tcPr>
            <w:tcW w:w="3346" w:type="dxa"/>
            <w:tcBorders>
              <w:top w:val="nil"/>
              <w:left w:val="nil"/>
              <w:bottom w:val="nil"/>
              <w:right w:val="nil"/>
            </w:tcBorders>
          </w:tcPr>
          <w:p>
            <w:pPr>
              <w:pStyle w:val="yTableNAm"/>
              <w:spacing w:before="60"/>
            </w:pPr>
            <w:r>
              <w:t>Dardanup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Darkan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Dathagnoorara Farmlands</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Denham (Saline)</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Denmark</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Derby</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Dongara/Denison</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Donnybrook</w:t>
            </w:r>
          </w:p>
        </w:tc>
        <w:tc>
          <w:tcPr>
            <w:tcW w:w="1867" w:type="dxa"/>
            <w:tcBorders>
              <w:top w:val="nil"/>
              <w:left w:val="nil"/>
              <w:bottom w:val="nil"/>
              <w:right w:val="nil"/>
            </w:tcBorders>
            <w:vAlign w:val="center"/>
          </w:tcPr>
          <w:p>
            <w:pPr>
              <w:pStyle w:val="yTableNAm"/>
              <w:spacing w:before="60"/>
              <w:jc w:val="center"/>
              <w:rPr>
                <w:rStyle w:val="CharacterStyle1"/>
              </w:rPr>
            </w:pPr>
            <w:r>
              <w:t>2</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Doodlakine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Dowerin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Dudinin/Harrismith/Jitarning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Dumbleyung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Dunsborough/Yallingup</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Dwellingup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Eneabba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Eradu</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Esperance</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Exmouth</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Fitzroy Crossing</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5</w:t>
            </w:r>
          </w:p>
        </w:tc>
      </w:tr>
      <w:tr>
        <w:tc>
          <w:tcPr>
            <w:tcW w:w="3346" w:type="dxa"/>
            <w:tcBorders>
              <w:top w:val="nil"/>
              <w:left w:val="nil"/>
              <w:bottom w:val="nil"/>
              <w:right w:val="nil"/>
            </w:tcBorders>
            <w:vAlign w:val="center"/>
          </w:tcPr>
          <w:p>
            <w:pPr>
              <w:pStyle w:val="yTableNAm"/>
              <w:spacing w:before="60"/>
            </w:pPr>
            <w:r>
              <w:t>Frankland</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Gabbadah</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Gascoyne Junction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Geraldton</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Gibson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Gingin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Gnarabup</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Gnowangerup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Goomalling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Grass Patch</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Grass Valley</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Greenbushes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Greenhead</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Guilderton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Halls Creek</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Hamel/Waroona</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Harvey/Wokalup</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Highbury/Piesseville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Hines Hill</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Hopetoun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Horrocks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Hyden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Jerramungup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Jurien Bay</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Kalannie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Kalbarri</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Kalgoorlie/Boulder</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Kambalda</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5</w:t>
            </w:r>
          </w:p>
        </w:tc>
      </w:tr>
      <w:tr>
        <w:tc>
          <w:tcPr>
            <w:tcW w:w="3346" w:type="dxa"/>
            <w:tcBorders>
              <w:top w:val="nil"/>
              <w:left w:val="nil"/>
              <w:bottom w:val="nil"/>
              <w:right w:val="nil"/>
            </w:tcBorders>
            <w:vAlign w:val="center"/>
          </w:tcPr>
          <w:p>
            <w:pPr>
              <w:pStyle w:val="yTableNAm"/>
              <w:spacing w:before="60"/>
            </w:pPr>
            <w:r>
              <w:t>Karakin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Karlgarin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Karratha</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Katanning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Katanning Farmlands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Kellerberrin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Kendenup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Kendenup Farmlands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Kirup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Kojonup/Muradup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Kondinin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Koorda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Kukerin/Moulyinning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Kulin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Kununoppin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tcPr>
          <w:p>
            <w:pPr>
              <w:pStyle w:val="yTableNAm"/>
              <w:spacing w:before="60"/>
            </w:pPr>
            <w:r>
              <w:t>Kununurra</w:t>
            </w:r>
          </w:p>
        </w:tc>
        <w:tc>
          <w:tcPr>
            <w:tcW w:w="1867" w:type="dxa"/>
            <w:tcBorders>
              <w:top w:val="nil"/>
              <w:left w:val="nil"/>
              <w:bottom w:val="nil"/>
              <w:right w:val="nil"/>
            </w:tcBorders>
          </w:tcPr>
          <w:p>
            <w:pPr>
              <w:pStyle w:val="yTableNAm"/>
              <w:spacing w:before="60"/>
              <w:jc w:val="center"/>
            </w:pPr>
            <w:r>
              <w:t>2</w:t>
            </w:r>
          </w:p>
        </w:tc>
        <w:tc>
          <w:tcPr>
            <w:tcW w:w="1867" w:type="dxa"/>
            <w:tcBorders>
              <w:top w:val="nil"/>
              <w:left w:val="nil"/>
              <w:bottom w:val="nil"/>
              <w:right w:val="nil"/>
            </w:tcBorders>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Lake Argyle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Lake Grace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Lake King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Lancelin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Latham</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Laverton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Ledge Point</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Leeman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Leonora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Mandurah</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Manjimup</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Marble Bar</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Margaret River</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Marvel Loch</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Meckering</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Meekatharra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Menzies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Merredin</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Merredin Farmlands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Miling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Mingenew</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Moora</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Moorine Rock</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Morawa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Mount Barker</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Mount Magnet</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Mount Roe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Mukinbudin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Mullalyup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Mullewa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Mullewa Farmlands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Munglinup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Muntadgin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Myalup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Nabawa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Nannup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Narembeen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Narngulu</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Narrikup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Narrogin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Narrogin Farmlands</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New Norcia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Newdegate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Newman</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Nilgen</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4</w:t>
            </w:r>
          </w:p>
        </w:tc>
      </w:tr>
      <w:tr>
        <w:tc>
          <w:tcPr>
            <w:tcW w:w="3346" w:type="dxa"/>
            <w:tcBorders>
              <w:top w:val="nil"/>
              <w:left w:val="nil"/>
              <w:bottom w:val="nil"/>
              <w:right w:val="nil"/>
            </w:tcBorders>
            <w:vAlign w:val="center"/>
          </w:tcPr>
          <w:p>
            <w:pPr>
              <w:pStyle w:val="yTableNAm"/>
              <w:spacing w:before="60"/>
            </w:pPr>
            <w:r>
              <w:t>Norseman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North Dandalup</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Northam</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Northam Farmlands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10</w:t>
            </w:r>
          </w:p>
        </w:tc>
      </w:tr>
      <w:tr>
        <w:tc>
          <w:tcPr>
            <w:tcW w:w="3346" w:type="dxa"/>
            <w:tcBorders>
              <w:top w:val="nil"/>
              <w:left w:val="nil"/>
              <w:bottom w:val="nil"/>
              <w:right w:val="nil"/>
            </w:tcBorders>
            <w:vAlign w:val="center"/>
          </w:tcPr>
          <w:p>
            <w:pPr>
              <w:pStyle w:val="yTableNAm"/>
              <w:spacing w:before="60"/>
            </w:pPr>
            <w:r>
              <w:t>Northampton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Northcliffe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Nullagine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Nungarin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Nyabing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Ongerup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Onslow</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Ora Banda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Park Ridge</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Pemberton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Peppermint Grove Beach</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Perenjori</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Pingaring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Pingelly</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Pingrup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Pinjarra</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2</w:t>
            </w:r>
          </w:p>
        </w:tc>
      </w:tr>
      <w:tr>
        <w:tc>
          <w:tcPr>
            <w:tcW w:w="3346" w:type="dxa"/>
            <w:tcBorders>
              <w:top w:val="nil"/>
              <w:left w:val="nil"/>
              <w:bottom w:val="nil"/>
              <w:right w:val="nil"/>
            </w:tcBorders>
            <w:vAlign w:val="center"/>
          </w:tcPr>
          <w:p>
            <w:pPr>
              <w:pStyle w:val="yTableNAm"/>
              <w:spacing w:before="60"/>
            </w:pPr>
            <w:r>
              <w:t>Pithara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Point Samson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Popanyinning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Porongurup</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Port Hedland</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Preston Beach</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Quairading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Quinninup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Ravensthorpe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Rocky Gully</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Roebourne</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Salmon Gums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Sandstone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Seabird</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South Hedland</w:t>
            </w:r>
          </w:p>
        </w:tc>
        <w:tc>
          <w:tcPr>
            <w:tcW w:w="1867" w:type="dxa"/>
            <w:tcBorders>
              <w:top w:val="nil"/>
              <w:left w:val="nil"/>
              <w:bottom w:val="nil"/>
              <w:right w:val="nil"/>
            </w:tcBorders>
            <w:vAlign w:val="center"/>
          </w:tcPr>
          <w:p>
            <w:pPr>
              <w:pStyle w:val="yTableNAm"/>
              <w:spacing w:before="60"/>
              <w:jc w:val="center"/>
            </w:pPr>
            <w:r>
              <w:t>2</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Southern Cross</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6</w:t>
            </w:r>
          </w:p>
        </w:tc>
      </w:tr>
      <w:tr>
        <w:tc>
          <w:tcPr>
            <w:tcW w:w="3346" w:type="dxa"/>
            <w:tcBorders>
              <w:top w:val="nil"/>
              <w:left w:val="nil"/>
              <w:bottom w:val="nil"/>
              <w:right w:val="nil"/>
            </w:tcBorders>
            <w:vAlign w:val="center"/>
          </w:tcPr>
          <w:p>
            <w:pPr>
              <w:pStyle w:val="yTableNAm"/>
              <w:spacing w:before="60"/>
            </w:pPr>
            <w:r>
              <w:t>Tambellup</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Tammin</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Three Springs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Tincurrin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Toodyay</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Trayning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Varley</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Wagin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Walkaway</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Walpole</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Wandering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Watheroo</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Wellstead</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Westonia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Wickepin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Wickham</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Widgiemooltha</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Williams</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Wiluna</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Wongan Hills</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Woodanilling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Woodridge</w:t>
            </w:r>
          </w:p>
        </w:tc>
        <w:tc>
          <w:tcPr>
            <w:tcW w:w="1867" w:type="dxa"/>
            <w:tcBorders>
              <w:top w:val="nil"/>
              <w:left w:val="nil"/>
              <w:bottom w:val="nil"/>
              <w:right w:val="nil"/>
            </w:tcBorders>
            <w:vAlign w:val="center"/>
          </w:tcPr>
          <w:p>
            <w:pPr>
              <w:pStyle w:val="yTableNAm"/>
              <w:spacing w:before="60"/>
              <w:jc w:val="center"/>
            </w:pPr>
            <w:r>
              <w:t>4</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nil"/>
              <w:right w:val="nil"/>
            </w:tcBorders>
            <w:vAlign w:val="center"/>
          </w:tcPr>
          <w:p>
            <w:pPr>
              <w:pStyle w:val="yTableNAm"/>
              <w:spacing w:before="60"/>
            </w:pPr>
            <w:r>
              <w:t>Wubin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Wundowie</w:t>
            </w:r>
          </w:p>
        </w:tc>
        <w:tc>
          <w:tcPr>
            <w:tcW w:w="1867" w:type="dxa"/>
            <w:tcBorders>
              <w:top w:val="nil"/>
              <w:left w:val="nil"/>
              <w:bottom w:val="nil"/>
              <w:right w:val="nil"/>
            </w:tcBorders>
            <w:vAlign w:val="center"/>
          </w:tcPr>
          <w:p>
            <w:pPr>
              <w:pStyle w:val="yTableNAm"/>
              <w:spacing w:before="60"/>
              <w:jc w:val="center"/>
            </w:pPr>
            <w:r>
              <w:t>1</w:t>
            </w:r>
          </w:p>
        </w:tc>
        <w:tc>
          <w:tcPr>
            <w:tcW w:w="1867" w:type="dxa"/>
            <w:tcBorders>
              <w:top w:val="nil"/>
              <w:left w:val="nil"/>
              <w:bottom w:val="nil"/>
              <w:right w:val="nil"/>
            </w:tcBorders>
            <w:vAlign w:val="center"/>
          </w:tcPr>
          <w:p>
            <w:pPr>
              <w:pStyle w:val="yTableNAm"/>
              <w:spacing w:before="60"/>
              <w:jc w:val="center"/>
            </w:pPr>
            <w:r>
              <w:t>1</w:t>
            </w:r>
          </w:p>
        </w:tc>
      </w:tr>
      <w:tr>
        <w:tc>
          <w:tcPr>
            <w:tcW w:w="3346" w:type="dxa"/>
            <w:tcBorders>
              <w:top w:val="nil"/>
              <w:left w:val="nil"/>
              <w:bottom w:val="nil"/>
              <w:right w:val="nil"/>
            </w:tcBorders>
            <w:vAlign w:val="center"/>
          </w:tcPr>
          <w:p>
            <w:pPr>
              <w:pStyle w:val="yTableNAm"/>
              <w:spacing w:before="60"/>
            </w:pPr>
            <w:r>
              <w:t>Wyalkatchem</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Wyndham</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Yalgoo</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11</w:t>
            </w:r>
          </w:p>
        </w:tc>
      </w:tr>
      <w:tr>
        <w:tc>
          <w:tcPr>
            <w:tcW w:w="3346" w:type="dxa"/>
            <w:tcBorders>
              <w:top w:val="nil"/>
              <w:left w:val="nil"/>
              <w:bottom w:val="nil"/>
              <w:right w:val="nil"/>
            </w:tcBorders>
            <w:vAlign w:val="center"/>
          </w:tcPr>
          <w:p>
            <w:pPr>
              <w:pStyle w:val="yTableNAm"/>
              <w:spacing w:before="60"/>
            </w:pPr>
            <w:r>
              <w:t>Yarloop/Wagerup</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3</w:t>
            </w:r>
          </w:p>
        </w:tc>
      </w:tr>
      <w:tr>
        <w:tc>
          <w:tcPr>
            <w:tcW w:w="3346" w:type="dxa"/>
            <w:tcBorders>
              <w:top w:val="nil"/>
              <w:left w:val="nil"/>
              <w:bottom w:val="nil"/>
              <w:right w:val="nil"/>
            </w:tcBorders>
            <w:vAlign w:val="center"/>
          </w:tcPr>
          <w:p>
            <w:pPr>
              <w:pStyle w:val="yTableNAm"/>
              <w:spacing w:before="60"/>
            </w:pPr>
            <w:r>
              <w:t>Yealering</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9</w:t>
            </w:r>
          </w:p>
        </w:tc>
      </w:tr>
      <w:tr>
        <w:tc>
          <w:tcPr>
            <w:tcW w:w="3346" w:type="dxa"/>
            <w:tcBorders>
              <w:top w:val="nil"/>
              <w:left w:val="nil"/>
              <w:bottom w:val="nil"/>
              <w:right w:val="nil"/>
            </w:tcBorders>
            <w:vAlign w:val="center"/>
          </w:tcPr>
          <w:p>
            <w:pPr>
              <w:pStyle w:val="yTableNAm"/>
              <w:spacing w:before="60"/>
            </w:pPr>
            <w:r>
              <w:t>Yerecoin</w:t>
            </w:r>
          </w:p>
        </w:tc>
        <w:tc>
          <w:tcPr>
            <w:tcW w:w="1867" w:type="dxa"/>
            <w:tcBorders>
              <w:top w:val="nil"/>
              <w:left w:val="nil"/>
              <w:bottom w:val="nil"/>
              <w:right w:val="nil"/>
            </w:tcBorders>
            <w:vAlign w:val="center"/>
          </w:tcPr>
          <w:p>
            <w:pPr>
              <w:pStyle w:val="yTableNAm"/>
              <w:spacing w:before="60"/>
              <w:jc w:val="center"/>
            </w:pPr>
            <w:r>
              <w:t>5</w:t>
            </w:r>
          </w:p>
        </w:tc>
        <w:tc>
          <w:tcPr>
            <w:tcW w:w="1867" w:type="dxa"/>
            <w:tcBorders>
              <w:top w:val="nil"/>
              <w:left w:val="nil"/>
              <w:bottom w:val="nil"/>
              <w:right w:val="nil"/>
            </w:tcBorders>
            <w:vAlign w:val="center"/>
          </w:tcPr>
          <w:p>
            <w:pPr>
              <w:pStyle w:val="yTableNAm"/>
              <w:spacing w:before="60"/>
              <w:jc w:val="center"/>
            </w:pPr>
            <w:r>
              <w:t>12</w:t>
            </w:r>
          </w:p>
        </w:tc>
      </w:tr>
      <w:tr>
        <w:tc>
          <w:tcPr>
            <w:tcW w:w="3346" w:type="dxa"/>
            <w:tcBorders>
              <w:top w:val="nil"/>
              <w:left w:val="nil"/>
              <w:bottom w:val="nil"/>
              <w:right w:val="nil"/>
            </w:tcBorders>
            <w:vAlign w:val="center"/>
          </w:tcPr>
          <w:p>
            <w:pPr>
              <w:pStyle w:val="yTableNAm"/>
              <w:spacing w:before="60"/>
            </w:pPr>
            <w:r>
              <w:t>York</w:t>
            </w:r>
          </w:p>
        </w:tc>
        <w:tc>
          <w:tcPr>
            <w:tcW w:w="1867" w:type="dxa"/>
            <w:tcBorders>
              <w:top w:val="nil"/>
              <w:left w:val="nil"/>
              <w:bottom w:val="nil"/>
              <w:right w:val="nil"/>
            </w:tcBorders>
            <w:vAlign w:val="center"/>
          </w:tcPr>
          <w:p>
            <w:pPr>
              <w:pStyle w:val="yTableNAm"/>
              <w:spacing w:before="60"/>
              <w:jc w:val="center"/>
            </w:pPr>
            <w:r>
              <w:t>3</w:t>
            </w:r>
          </w:p>
        </w:tc>
        <w:tc>
          <w:tcPr>
            <w:tcW w:w="1867" w:type="dxa"/>
            <w:tcBorders>
              <w:top w:val="nil"/>
              <w:left w:val="nil"/>
              <w:bottom w:val="nil"/>
              <w:right w:val="nil"/>
            </w:tcBorders>
            <w:vAlign w:val="center"/>
          </w:tcPr>
          <w:p>
            <w:pPr>
              <w:pStyle w:val="yTableNAm"/>
              <w:spacing w:before="60"/>
              <w:jc w:val="center"/>
            </w:pPr>
            <w:r>
              <w:t>7</w:t>
            </w:r>
          </w:p>
        </w:tc>
      </w:tr>
      <w:tr>
        <w:tc>
          <w:tcPr>
            <w:tcW w:w="3346" w:type="dxa"/>
            <w:tcBorders>
              <w:top w:val="nil"/>
              <w:left w:val="nil"/>
              <w:bottom w:val="single" w:sz="4" w:space="0" w:color="auto"/>
              <w:right w:val="nil"/>
            </w:tcBorders>
            <w:vAlign w:val="center"/>
          </w:tcPr>
          <w:p>
            <w:pPr>
              <w:pStyle w:val="yTableNAm"/>
              <w:spacing w:before="60"/>
            </w:pPr>
            <w:r>
              <w:t>Yuna</w:t>
            </w:r>
          </w:p>
        </w:tc>
        <w:tc>
          <w:tcPr>
            <w:tcW w:w="1867" w:type="dxa"/>
            <w:tcBorders>
              <w:top w:val="nil"/>
              <w:left w:val="nil"/>
              <w:bottom w:val="single" w:sz="4" w:space="0" w:color="auto"/>
              <w:right w:val="nil"/>
            </w:tcBorders>
            <w:vAlign w:val="center"/>
          </w:tcPr>
          <w:p>
            <w:pPr>
              <w:pStyle w:val="yTableNAm"/>
              <w:spacing w:before="60"/>
              <w:jc w:val="center"/>
            </w:pPr>
            <w:r>
              <w:t>5</w:t>
            </w:r>
          </w:p>
        </w:tc>
        <w:tc>
          <w:tcPr>
            <w:tcW w:w="1867" w:type="dxa"/>
            <w:tcBorders>
              <w:top w:val="nil"/>
              <w:left w:val="nil"/>
              <w:bottom w:val="single" w:sz="4" w:space="0" w:color="auto"/>
              <w:right w:val="nil"/>
            </w:tcBorders>
            <w:vAlign w:val="center"/>
          </w:tcPr>
          <w:p>
            <w:pPr>
              <w:pStyle w:val="yTableNAm"/>
              <w:spacing w:before="60"/>
              <w:jc w:val="center"/>
            </w:pPr>
            <w:r>
              <w:t>12</w:t>
            </w:r>
          </w:p>
        </w:tc>
      </w:tr>
    </w:tbl>
    <w:p>
      <w:pPr>
        <w:pStyle w:val="yFootnotesection"/>
      </w:pPr>
      <w:r>
        <w:tab/>
        <w:t>[Schedule 10 inserted in Gazette 19 Jun 2009 p. 2383-92.]</w:t>
      </w:r>
    </w:p>
    <w:p>
      <w:pPr>
        <w:pStyle w:val="CentredBaseLine"/>
        <w:jc w:val="center"/>
      </w:pPr>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outlineLvl w:val="0"/>
      </w:pPr>
      <w:bookmarkStart w:id="1066" w:name="_Toc91580567"/>
      <w:bookmarkStart w:id="1067" w:name="_Toc103667252"/>
      <w:bookmarkStart w:id="1068" w:name="_Toc103741771"/>
      <w:bookmarkStart w:id="1069" w:name="_Toc107982014"/>
      <w:bookmarkStart w:id="1070" w:name="_Toc118800181"/>
      <w:bookmarkStart w:id="1071" w:name="_Toc118860189"/>
      <w:bookmarkStart w:id="1072" w:name="_Toc121545689"/>
      <w:bookmarkStart w:id="1073" w:name="_Toc121801212"/>
      <w:bookmarkStart w:id="1074" w:name="_Toc121818325"/>
      <w:bookmarkStart w:id="1075" w:name="_Toc121880935"/>
      <w:bookmarkStart w:id="1076" w:name="_Toc129482006"/>
      <w:bookmarkStart w:id="1077" w:name="_Toc130095375"/>
      <w:bookmarkStart w:id="1078" w:name="_Toc130273439"/>
      <w:bookmarkStart w:id="1079" w:name="_Toc139771111"/>
      <w:bookmarkStart w:id="1080" w:name="_Toc139771489"/>
      <w:bookmarkStart w:id="1081" w:name="_Toc151191704"/>
      <w:bookmarkStart w:id="1082" w:name="_Toc151260597"/>
      <w:bookmarkStart w:id="1083" w:name="_Toc164158704"/>
      <w:bookmarkStart w:id="1084" w:name="_Toc164221076"/>
      <w:bookmarkStart w:id="1085" w:name="_Toc170879152"/>
      <w:bookmarkStart w:id="1086" w:name="_Toc170894789"/>
      <w:bookmarkStart w:id="1087" w:name="_Toc175712755"/>
      <w:bookmarkStart w:id="1088" w:name="_Toc175970696"/>
      <w:bookmarkStart w:id="1089" w:name="_Toc176335415"/>
      <w:bookmarkStart w:id="1090" w:name="_Toc176338990"/>
      <w:bookmarkStart w:id="1091" w:name="_Toc178743015"/>
      <w:bookmarkStart w:id="1092" w:name="_Toc179363438"/>
      <w:bookmarkStart w:id="1093" w:name="_Toc179604507"/>
      <w:bookmarkStart w:id="1094" w:name="_Toc180204700"/>
      <w:bookmarkStart w:id="1095" w:name="_Toc180204916"/>
      <w:bookmarkStart w:id="1096" w:name="_Toc185844661"/>
      <w:bookmarkStart w:id="1097" w:name="_Toc185845281"/>
      <w:bookmarkStart w:id="1098" w:name="_Toc185927246"/>
      <w:bookmarkStart w:id="1099" w:name="_Toc202506108"/>
      <w:bookmarkStart w:id="1100" w:name="_Toc202672840"/>
      <w:bookmarkStart w:id="1101" w:name="_Toc202691800"/>
      <w:bookmarkStart w:id="1102" w:name="_Toc233448466"/>
      <w:bookmarkStart w:id="1103" w:name="_Toc233611736"/>
      <w:bookmarkStart w:id="1104" w:name="_Toc234730743"/>
      <w:bookmarkStart w:id="1105" w:name="_Toc234733269"/>
      <w:bookmarkStart w:id="1106" w:name="_Toc235864006"/>
      <w:bookmarkStart w:id="1107" w:name="_Toc235933481"/>
      <w:bookmarkStart w:id="1108" w:name="_Toc237164469"/>
      <w:bookmarkStart w:id="1109" w:name="_Toc237244353"/>
      <w:bookmarkStart w:id="1110" w:name="_Toc237245677"/>
      <w:bookmarkStart w:id="1111" w:name="_Toc237245808"/>
      <w:bookmarkStart w:id="1112" w:name="_Toc237247950"/>
      <w:bookmarkStart w:id="1113" w:name="_Toc237254265"/>
      <w:bookmarkStart w:id="1114" w:name="_Toc237309684"/>
      <w:r>
        <w:t>Notes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nSubsection"/>
        <w:rPr>
          <w:snapToGrid w:val="0"/>
        </w:rPr>
      </w:pPr>
      <w:r>
        <w:rPr>
          <w:snapToGrid w:val="0"/>
          <w:vertAlign w:val="superscript"/>
        </w:rPr>
        <w:t>1</w:t>
      </w:r>
      <w:r>
        <w:rPr>
          <w:snapToGrid w:val="0"/>
        </w:rPr>
        <w:tab/>
        <w:t xml:space="preserve">This reprint is a compilation as at 7 August 2009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1115" w:name="_Toc180204917"/>
      <w:bookmarkStart w:id="1116" w:name="_Toc237309685"/>
      <w:r>
        <w:t>Compilation table</w:t>
      </w:r>
      <w:bookmarkEnd w:id="1115"/>
      <w:bookmarkEnd w:id="11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12</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13</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14</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15</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16</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17</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18</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19</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20</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21</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2007</w:t>
            </w:r>
          </w:p>
        </w:tc>
        <w:tc>
          <w:tcPr>
            <w:tcW w:w="1276" w:type="dxa"/>
          </w:tcPr>
          <w:p>
            <w:pPr>
              <w:pStyle w:val="nTable"/>
              <w:spacing w:after="40"/>
              <w:rPr>
                <w:sz w:val="19"/>
              </w:rPr>
            </w:pPr>
            <w:r>
              <w:rPr>
                <w:sz w:val="19"/>
              </w:rPr>
              <w:t>21 Dec 2007 p. 6349</w:t>
            </w:r>
          </w:p>
        </w:tc>
        <w:tc>
          <w:tcPr>
            <w:tcW w:w="2693" w:type="dxa"/>
          </w:tcPr>
          <w:p>
            <w:pPr>
              <w:pStyle w:val="nTable"/>
              <w:spacing w:before="0" w:after="40"/>
              <w:rPr>
                <w:sz w:val="19"/>
              </w:rPr>
            </w:pPr>
            <w:r>
              <w:rPr>
                <w:sz w:val="19"/>
              </w:rPr>
              <w:t>bl. 1 and 2: 21 Dec 2007 (see bl. 2(a));</w:t>
            </w:r>
            <w:r>
              <w:rPr>
                <w:sz w:val="19"/>
              </w:rPr>
              <w:br/>
              <w:t>By-laws other than bl. 1 and 2: 22 Dec 2007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2008</w:t>
            </w:r>
          </w:p>
        </w:tc>
        <w:tc>
          <w:tcPr>
            <w:tcW w:w="1276" w:type="dxa"/>
          </w:tcPr>
          <w:p>
            <w:pPr>
              <w:pStyle w:val="nTable"/>
              <w:spacing w:after="40"/>
              <w:rPr>
                <w:sz w:val="19"/>
              </w:rPr>
            </w:pPr>
            <w:r>
              <w:rPr>
                <w:sz w:val="19"/>
              </w:rPr>
              <w:t>27 Jun 2008 p. 2981</w:t>
            </w:r>
            <w:r>
              <w:rPr>
                <w:sz w:val="19"/>
              </w:rPr>
              <w:noBreakHyphen/>
              <w:t>3048</w:t>
            </w:r>
          </w:p>
        </w:tc>
        <w:tc>
          <w:tcPr>
            <w:tcW w:w="2693" w:type="dxa"/>
          </w:tcPr>
          <w:p>
            <w:pPr>
              <w:pStyle w:val="nTable"/>
              <w:spacing w:before="0" w:after="40"/>
              <w:rPr>
                <w:sz w:val="19"/>
              </w:rPr>
            </w:pPr>
            <w:r>
              <w:rPr>
                <w:sz w:val="19"/>
              </w:rPr>
              <w:t>bl. 1 and 2: 27 Jun 2008 (see bl. 2(a));</w:t>
            </w:r>
            <w:r>
              <w:rPr>
                <w:sz w:val="19"/>
              </w:rPr>
              <w:br/>
              <w:t>By-laws other than bl. 1 and 2: 1 Jul 2008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2009</w:t>
            </w:r>
          </w:p>
        </w:tc>
        <w:tc>
          <w:tcPr>
            <w:tcW w:w="1276" w:type="dxa"/>
          </w:tcPr>
          <w:p>
            <w:pPr>
              <w:pStyle w:val="nTable"/>
              <w:spacing w:after="40"/>
              <w:rPr>
                <w:sz w:val="19"/>
              </w:rPr>
            </w:pPr>
            <w:r>
              <w:rPr>
                <w:sz w:val="19"/>
              </w:rPr>
              <w:t>19 Jun 2009 p. 2319-92</w:t>
            </w:r>
          </w:p>
        </w:tc>
        <w:tc>
          <w:tcPr>
            <w:tcW w:w="2693" w:type="dxa"/>
          </w:tcPr>
          <w:p>
            <w:pPr>
              <w:pStyle w:val="nTable"/>
              <w:spacing w:before="0" w:after="40"/>
              <w:rPr>
                <w:sz w:val="19"/>
              </w:rPr>
            </w:pPr>
            <w:r>
              <w:rPr>
                <w:sz w:val="19"/>
              </w:rPr>
              <w:t>bl. 1 and 2: 19 Jun 2009 (see bl. 2(a));</w:t>
            </w:r>
            <w:r>
              <w:rPr>
                <w:sz w:val="19"/>
              </w:rPr>
              <w:br/>
              <w:t>By-laws other than bl. 1 and 2: 1 Jul 2009 (see bl. 2(b))</w:t>
            </w:r>
          </w:p>
        </w:tc>
      </w:tr>
      <w:tr>
        <w:trPr>
          <w:cantSplit/>
        </w:trPr>
        <w:tc>
          <w:tcPr>
            <w:tcW w:w="7087" w:type="dxa"/>
            <w:gridSpan w:val="3"/>
            <w:tcBorders>
              <w:bottom w:val="single" w:sz="4" w:space="0" w:color="auto"/>
            </w:tcBorders>
          </w:tcPr>
          <w:p>
            <w:pPr>
              <w:pStyle w:val="nTable"/>
              <w:spacing w:before="0" w:after="40"/>
              <w:rPr>
                <w:sz w:val="19"/>
              </w:rPr>
            </w:pPr>
            <w:r>
              <w:rPr>
                <w:b/>
                <w:sz w:val="19"/>
              </w:rPr>
              <w:t xml:space="preserve">Reprint 6:  The </w:t>
            </w:r>
            <w:r>
              <w:rPr>
                <w:b/>
                <w:i/>
                <w:sz w:val="19"/>
              </w:rPr>
              <w:t>Water Agencies (Charges) By</w:t>
            </w:r>
            <w:r>
              <w:rPr>
                <w:b/>
                <w:bCs/>
                <w:i/>
                <w:sz w:val="19"/>
              </w:rPr>
              <w:noBreakHyphen/>
            </w:r>
            <w:r>
              <w:rPr>
                <w:b/>
                <w:i/>
                <w:sz w:val="19"/>
              </w:rPr>
              <w:t>laws 1987</w:t>
            </w:r>
            <w:r>
              <w:rPr>
                <w:b/>
                <w:sz w:val="19"/>
              </w:rPr>
              <w:t xml:space="preserve"> as at 7 Aug 2009 </w:t>
            </w:r>
            <w:r>
              <w:rPr>
                <w:sz w:val="19"/>
              </w:rPr>
              <w:t>(includes amendments listed above)</w:t>
            </w:r>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rPr>
          <w:snapToGrid w:val="0"/>
        </w:rPr>
      </w:pPr>
      <w:r>
        <w:rPr>
          <w:snapToGrid w:val="0"/>
          <w:vertAlign w:val="superscript"/>
        </w:rPr>
        <w:t>11</w:t>
      </w:r>
      <w:r>
        <w:rPr>
          <w:snapToGrid w:val="0"/>
        </w:rPr>
        <w:tab/>
        <w:t xml:space="preserve">Repealed by the </w:t>
      </w:r>
      <w:r>
        <w:rPr>
          <w:i/>
          <w:color w:val="000000"/>
        </w:rPr>
        <w:t>Racing and Gambling Legislation Amendment and Repeal Act 2003</w:t>
      </w:r>
      <w:r>
        <w:rPr>
          <w:snapToGrid w:val="0"/>
        </w:rPr>
        <w:t>.</w:t>
      </w:r>
    </w:p>
    <w:p>
      <w:pPr>
        <w:pStyle w:val="nSubsection"/>
        <w:spacing w:before="60"/>
        <w:rPr>
          <w:snapToGrid w:val="0"/>
        </w:rPr>
      </w:pPr>
      <w:r>
        <w:rPr>
          <w:snapToGrid w:val="0"/>
          <w:vertAlign w:val="superscript"/>
        </w:rPr>
        <w:t>12</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14</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15</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17</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18</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19</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20</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21</w:t>
      </w:r>
      <w:r>
        <w:tab/>
        <w:t xml:space="preserve">The </w:t>
      </w:r>
      <w:r>
        <w:rPr>
          <w:i/>
        </w:rPr>
        <w:t>Water Agencies (Charges) Amendment By</w:t>
      </w:r>
      <w:r>
        <w:rPr>
          <w:i/>
        </w:rPr>
        <w:noBreakHyphen/>
        <w:t xml:space="preserve">laws 2002 </w:t>
      </w:r>
      <w:r>
        <w:t>bl. 3</w:t>
      </w:r>
      <w:r>
        <w:rPr>
          <w:i/>
        </w:rPr>
        <w:t xml:space="preserve"> </w:t>
      </w:r>
      <w:r>
        <w:t>reads as follows:</w:t>
      </w:r>
    </w:p>
    <w:p>
      <w:pPr>
        <w:pStyle w:val="BlankOpen"/>
      </w:pP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BlankClose"/>
        <w:rPr>
          <w:snapToGrid w:val="0"/>
        </w:rPr>
      </w:pP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1117" w:name="_Toc235933483"/>
      <w:bookmarkStart w:id="1118" w:name="_Toc237164471"/>
      <w:bookmarkStart w:id="1119" w:name="_Toc237244355"/>
      <w:bookmarkStart w:id="1120" w:name="_Toc237245679"/>
      <w:bookmarkStart w:id="1121" w:name="_Toc237245810"/>
      <w:bookmarkStart w:id="1122" w:name="_Toc237247952"/>
      <w:bookmarkStart w:id="1123" w:name="_Toc237254267"/>
      <w:bookmarkStart w:id="1124" w:name="_Toc237309686"/>
      <w:r>
        <w:rPr>
          <w:sz w:val="28"/>
        </w:rPr>
        <w:t>Defined Terms</w:t>
      </w:r>
      <w:bookmarkEnd w:id="1117"/>
      <w:bookmarkEnd w:id="1118"/>
      <w:bookmarkEnd w:id="1119"/>
      <w:bookmarkEnd w:id="1120"/>
      <w:bookmarkEnd w:id="1121"/>
      <w:bookmarkEnd w:id="1122"/>
      <w:bookmarkEnd w:id="1123"/>
      <w:bookmarkEnd w:id="11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25" w:name="DefinedTerms"/>
      <w:bookmarkEnd w:id="1125"/>
      <w:r>
        <w:t>&gt;</w:t>
      </w:r>
      <w:r>
        <w:tab/>
        <w:t>2(3)</w:t>
      </w:r>
    </w:p>
    <w:p>
      <w:pPr>
        <w:pStyle w:val="DefinedTerms"/>
      </w:pPr>
      <w:r>
        <w:t>≤</w:t>
      </w:r>
      <w:r>
        <w:tab/>
        <w:t>2(3)</w:t>
      </w:r>
    </w:p>
    <w:p>
      <w:pPr>
        <w:pStyle w:val="DefinedTerms"/>
      </w:pPr>
      <w:r>
        <w:t>AGRV</w:t>
      </w:r>
      <w:r>
        <w:tab/>
        <w:t>14(2), 24(2)</w:t>
      </w:r>
    </w:p>
    <w:p>
      <w:pPr>
        <w:pStyle w:val="DefinedTerms"/>
      </w:pPr>
      <w:r>
        <w:t>caravan bay</w:t>
      </w:r>
      <w:r>
        <w:tab/>
        <w:t>2(1)</w:t>
      </w:r>
    </w:p>
    <w:p>
      <w:pPr>
        <w:pStyle w:val="DefinedTerms"/>
      </w:pPr>
      <w:r>
        <w:t>charge</w:t>
      </w:r>
      <w:r>
        <w:tab/>
        <w:t>7(1)</w:t>
      </w:r>
    </w:p>
    <w:p>
      <w:pPr>
        <w:pStyle w:val="DefinedTerms"/>
      </w:pPr>
      <w:r>
        <w:t>charitable purposes</w:t>
      </w:r>
      <w:r>
        <w:tab/>
        <w:t>4(3)</w:t>
      </w:r>
    </w:p>
    <w:p>
      <w:pPr>
        <w:pStyle w:val="DefinedTerms"/>
      </w:pPr>
      <w:r>
        <w:t>consumption year</w:t>
      </w:r>
      <w:r>
        <w:tab/>
        <w:t>2(1)</w:t>
      </w:r>
    </w:p>
    <w:p>
      <w:pPr>
        <w:pStyle w:val="DefinedTerms"/>
      </w:pPr>
      <w:r>
        <w:t>country non</w:t>
      </w:r>
      <w:r>
        <w:noBreakHyphen/>
        <w:t>residential or commercial residential property</w:t>
      </w:r>
      <w:r>
        <w:tab/>
        <w:t>21A</w:t>
      </w:r>
    </w:p>
    <w:p>
      <w:pPr>
        <w:pStyle w:val="DefinedTerms"/>
      </w:pPr>
      <w:r>
        <w:t>country sewerage area</w:t>
      </w:r>
      <w:r>
        <w:tab/>
        <w:t>2(1)</w:t>
      </w:r>
    </w:p>
    <w:p>
      <w:pPr>
        <w:pStyle w:val="DefinedTerms"/>
      </w:pPr>
      <w:r>
        <w:t>current year</w:t>
      </w:r>
      <w:r>
        <w:tab/>
        <w:t>2(1)</w:t>
      </w:r>
    </w:p>
    <w:p>
      <w:pPr>
        <w:pStyle w:val="DefinedTerms"/>
      </w:pPr>
      <w:r>
        <w:t>customer</w:t>
      </w:r>
      <w:r>
        <w:tab/>
        <w:t>33(1)</w:t>
      </w:r>
    </w:p>
    <w:p>
      <w:pPr>
        <w:pStyle w:val="DefinedTerms"/>
      </w:pPr>
      <w:r>
        <w:t>development</w:t>
      </w:r>
      <w:r>
        <w:tab/>
        <w:t>28(3)</w:t>
      </w:r>
    </w:p>
    <w:p>
      <w:pPr>
        <w:pStyle w:val="DefinedTerms"/>
      </w:pPr>
      <w:r>
        <w:t>discharge charge</w:t>
      </w:r>
      <w:r>
        <w:tab/>
        <w:t>2(1)</w:t>
      </w:r>
    </w:p>
    <w:p>
      <w:pPr>
        <w:pStyle w:val="DefinedTerms"/>
      </w:pPr>
      <w:r>
        <w:t>discharge factor</w:t>
      </w:r>
      <w:r>
        <w:tab/>
        <w:t>2(1)</w:t>
      </w:r>
    </w:p>
    <w:p>
      <w:pPr>
        <w:pStyle w:val="DefinedTerms"/>
      </w:pPr>
      <w:r>
        <w:t>discharge period</w:t>
      </w:r>
      <w:r>
        <w:tab/>
        <w:t>2(1)</w:t>
      </w:r>
    </w:p>
    <w:p>
      <w:pPr>
        <w:pStyle w:val="DefinedTerms"/>
      </w:pPr>
      <w:r>
        <w:t>discharge volume</w:t>
      </w:r>
      <w:r>
        <w:tab/>
        <w:t>2(1)</w:t>
      </w:r>
    </w:p>
    <w:p>
      <w:pPr>
        <w:pStyle w:val="DefinedTerms"/>
      </w:pPr>
      <w:r>
        <w:t>eligible pensioner</w:t>
      </w:r>
      <w:r>
        <w:tab/>
        <w:t>18(1), 18A(1), 18B(1)</w:t>
      </w:r>
    </w:p>
    <w:p>
      <w:pPr>
        <w:pStyle w:val="DefinedTerms"/>
      </w:pPr>
      <w:r>
        <w:t>formula</w:t>
      </w:r>
      <w:r>
        <w:tab/>
        <w:t>21A</w:t>
      </w:r>
    </w:p>
    <w:p>
      <w:pPr>
        <w:pStyle w:val="DefinedTerms"/>
      </w:pPr>
      <w:r>
        <w:t>Government trading organisation</w:t>
      </w:r>
      <w:r>
        <w:tab/>
        <w:t>2(1)</w:t>
      </w:r>
    </w:p>
    <w:p>
      <w:pPr>
        <w:pStyle w:val="DefinedTerms"/>
      </w:pPr>
      <w:r>
        <w:t>GRV</w:t>
      </w:r>
      <w:r>
        <w:tab/>
        <w:t>2(1)</w:t>
      </w:r>
    </w:p>
    <w:p>
      <w:pPr>
        <w:pStyle w:val="DefinedTerms"/>
      </w:pPr>
      <w:r>
        <w:t>holiday accommodation</w:t>
      </w:r>
      <w:r>
        <w:tab/>
        <w:t>2(1)</w:t>
      </w:r>
    </w:p>
    <w:p>
      <w:pPr>
        <w:pStyle w:val="DefinedTerms"/>
      </w:pPr>
      <w:r>
        <w:t>home for the aged</w:t>
      </w:r>
      <w:r>
        <w:tab/>
        <w:t>2(1)</w:t>
      </w:r>
    </w:p>
    <w:p>
      <w:pPr>
        <w:pStyle w:val="DefinedTerms"/>
      </w:pPr>
      <w:r>
        <w:t>irrigation district</w:t>
      </w:r>
      <w:r>
        <w:tab/>
        <w:t>2(1)</w:t>
      </w:r>
    </w:p>
    <w:p>
      <w:pPr>
        <w:pStyle w:val="DefinedTerms"/>
      </w:pPr>
      <w:r>
        <w:t>land</w:t>
      </w:r>
      <w:r>
        <w:tab/>
        <w:t>19A(1)</w:t>
      </w:r>
    </w:p>
    <w:p>
      <w:pPr>
        <w:pStyle w:val="DefinedTerms"/>
      </w:pPr>
      <w:r>
        <w:t>long term residential caravan bay</w:t>
      </w:r>
      <w:r>
        <w:tab/>
        <w:t>2(1)</w:t>
      </w:r>
    </w:p>
    <w:p>
      <w:pPr>
        <w:pStyle w:val="DefinedTerms"/>
      </w:pPr>
      <w:r>
        <w:t>lot</w:t>
      </w:r>
      <w:r>
        <w:tab/>
        <w:t>28(3)</w:t>
      </w:r>
    </w:p>
    <w:p>
      <w:pPr>
        <w:pStyle w:val="DefinedTerms"/>
      </w:pPr>
      <w:r>
        <w:t>major fixture</w:t>
      </w:r>
      <w:r>
        <w:tab/>
        <w:t>2(1)</w:t>
      </w:r>
    </w:p>
    <w:p>
      <w:pPr>
        <w:pStyle w:val="DefinedTerms"/>
      </w:pPr>
      <w:r>
        <w:t>metropolitan area</w:t>
      </w:r>
      <w:r>
        <w:tab/>
        <w:t>2(1)</w:t>
      </w:r>
    </w:p>
    <w:p>
      <w:pPr>
        <w:pStyle w:val="DefinedTerms"/>
      </w:pPr>
      <w:r>
        <w:t>metropolitan non</w:t>
      </w:r>
      <w:r>
        <w:noBreakHyphen/>
        <w:t>residential property</w:t>
      </w:r>
      <w:r>
        <w:tab/>
        <w:t>21A</w:t>
      </w:r>
    </w:p>
    <w:p>
      <w:pPr>
        <w:pStyle w:val="DefinedTerms"/>
      </w:pPr>
      <w:r>
        <w:t>non</w:t>
      </w:r>
      <w:r>
        <w:noBreakHyphen/>
        <w:t>commercial Government property</w:t>
      </w:r>
      <w:r>
        <w:tab/>
        <w:t>2(1)</w:t>
      </w:r>
    </w:p>
    <w:p>
      <w:pPr>
        <w:pStyle w:val="DefinedTerms"/>
      </w:pPr>
      <w:r>
        <w:t>option A</w:t>
      </w:r>
      <w:r>
        <w:tab/>
        <w:t>33(2)(a)</w:t>
      </w:r>
    </w:p>
    <w:p>
      <w:pPr>
        <w:pStyle w:val="DefinedTerms"/>
      </w:pPr>
      <w:r>
        <w:t>option B</w:t>
      </w:r>
      <w:r>
        <w:tab/>
        <w:t>33(2)(b)</w:t>
      </w:r>
    </w:p>
    <w:p>
      <w:pPr>
        <w:pStyle w:val="DefinedTerms"/>
      </w:pPr>
      <w:r>
        <w:t>P</w:t>
      </w:r>
      <w:r>
        <w:tab/>
        <w:t>Sch. 3 cl. 18 and 36</w:t>
      </w:r>
    </w:p>
    <w:p>
      <w:pPr>
        <w:pStyle w:val="DefinedTerms"/>
      </w:pPr>
      <w:r>
        <w:t>previous year</w:t>
      </w:r>
      <w:r>
        <w:tab/>
        <w:t>2(1)</w:t>
      </w:r>
    </w:p>
    <w:p>
      <w:pPr>
        <w:pStyle w:val="DefinedTerms"/>
      </w:pPr>
      <w:r>
        <w:t>Q</w:t>
      </w:r>
      <w:r>
        <w:tab/>
        <w:t>Sch. 3 cl. 19 and 37</w:t>
      </w:r>
    </w:p>
    <w:p>
      <w:pPr>
        <w:pStyle w:val="DefinedTerms"/>
      </w:pPr>
      <w:r>
        <w:t>quantity charge</w:t>
      </w:r>
      <w:r>
        <w:tab/>
        <w:t>2(1)</w:t>
      </w:r>
    </w:p>
    <w:p>
      <w:pPr>
        <w:pStyle w:val="DefinedTerms"/>
      </w:pPr>
      <w:r>
        <w:t>R</w:t>
      </w:r>
      <w:r>
        <w:tab/>
        <w:t>Sch. 3 cl. 35</w:t>
      </w:r>
    </w:p>
    <w:p>
      <w:pPr>
        <w:pStyle w:val="DefinedTerms"/>
      </w:pPr>
      <w:r>
        <w:t>registered</w:t>
      </w:r>
      <w:r>
        <w:tab/>
        <w:t>18B(1)</w:t>
      </w:r>
    </w:p>
    <w:p>
      <w:pPr>
        <w:pStyle w:val="DefinedTerms"/>
      </w:pPr>
      <w:r>
        <w:t>relevant general valuation</w:t>
      </w:r>
      <w:r>
        <w:tab/>
        <w:t>Sch. 6 cl. 1</w:t>
      </w:r>
    </w:p>
    <w:p>
      <w:pPr>
        <w:pStyle w:val="DefinedTerms"/>
      </w:pPr>
      <w:r>
        <w:t>residence</w:t>
      </w:r>
      <w:r>
        <w:tab/>
        <w:t>2(1)</w:t>
      </w:r>
    </w:p>
    <w:p>
      <w:pPr>
        <w:pStyle w:val="DefinedTerms"/>
      </w:pPr>
      <w:r>
        <w:t>residential property</w:t>
      </w:r>
      <w:r>
        <w:tab/>
        <w:t>2(1)</w:t>
      </w:r>
    </w:p>
    <w:p>
      <w:pPr>
        <w:pStyle w:val="DefinedTerms"/>
      </w:pPr>
      <w:r>
        <w:t>retirement village</w:t>
      </w:r>
      <w:r>
        <w:tab/>
        <w:t>8A(3)</w:t>
      </w:r>
    </w:p>
    <w:p>
      <w:pPr>
        <w:pStyle w:val="DefinedTerms"/>
      </w:pPr>
      <w:r>
        <w:t>rural land</w:t>
      </w:r>
      <w:r>
        <w:tab/>
        <w:t>28(3)</w:t>
      </w:r>
    </w:p>
    <w:p>
      <w:pPr>
        <w:pStyle w:val="DefinedTerms"/>
      </w:pPr>
      <w:r>
        <w:t>single capital infrastructure charge</w:t>
      </w:r>
      <w:r>
        <w:tab/>
        <w:t>2(1)</w:t>
      </w:r>
    </w:p>
    <w:p>
      <w:pPr>
        <w:pStyle w:val="DefinedTerms"/>
      </w:pPr>
      <w:r>
        <w:t>site</w:t>
      </w:r>
      <w:r>
        <w:tab/>
        <w:t>2(1)</w:t>
      </w:r>
    </w:p>
    <w:p>
      <w:pPr>
        <w:pStyle w:val="DefinedTerms"/>
      </w:pPr>
      <w:r>
        <w:t>Table</w:t>
      </w:r>
      <w:r>
        <w:tab/>
        <w:t>21A</w:t>
      </w:r>
    </w:p>
    <w:p>
      <w:pPr>
        <w:pStyle w:val="DefinedTerms"/>
      </w:pPr>
      <w:r>
        <w:t>UV</w:t>
      </w:r>
      <w:r>
        <w:tab/>
        <w:t>2(1)</w:t>
      </w:r>
    </w:p>
    <w:p>
      <w:pPr>
        <w:pStyle w:val="DefinedTerms"/>
      </w:pPr>
      <w:r>
        <w:t>water supply</w:t>
      </w:r>
      <w:r>
        <w:tab/>
        <w:t>2(1)</w:t>
      </w:r>
    </w:p>
    <w:p>
      <w:pPr>
        <w:pStyle w:val="DefinedTerms"/>
      </w:pPr>
      <w:r>
        <w:t>water supply connection</w:t>
      </w:r>
      <w:r>
        <w:tab/>
        <w:t>12(1)</w:t>
      </w:r>
    </w:p>
    <w:p>
      <w:pPr>
        <w:pStyle w:val="DefinedTerms"/>
      </w:pPr>
      <w:r>
        <w:t>year</w:t>
      </w:r>
      <w:r>
        <w:tab/>
        <w:t>2(1)</w:t>
      </w:r>
    </w:p>
    <w:p>
      <w:pPr>
        <w:pStyle w:val="DefinedTerms"/>
      </w:pP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
    <w:p/>
    <w:p/>
    <w:p/>
    <w:p/>
    <w:p/>
    <w:p/>
    <w:p/>
    <w:p/>
    <w:p/>
    <w:p/>
    <w:p/>
    <w:p/>
    <w:p/>
    <w:p/>
    <w:p/>
    <w:p/>
    <w:p/>
    <w:p/>
    <w:p/>
    <w:p/>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Fixed charges</w:t>
            </w:r>
          </w:fldSimple>
        </w:p>
      </w:tc>
    </w:tr>
    <w:tr>
      <w:tc>
        <w:tcPr>
          <w:tcW w:w="1548" w:type="dxa"/>
        </w:tcPr>
        <w:p>
          <w:pPr>
            <w:pStyle w:val="HeaderNumberLeft"/>
          </w:pPr>
          <w:r>
            <w:t xml:space="preserve">it.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fldSimple w:instr=" styleref CharSDivText ">
            <w:r>
              <w:rPr>
                <w:noProof/>
              </w:rPr>
              <w:t>Fixed charges</w:t>
            </w:r>
          </w:fldSimple>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57" w:type="dxa"/>
        </w:tcPr>
        <w:p>
          <w:pPr>
            <w:pStyle w:val="HeaderNumberRight"/>
            <w:ind w:right="3"/>
            <w:rPr>
              <w:bCs/>
            </w:rPr>
          </w:pPr>
          <w:r>
            <w:rPr>
              <w:bCs/>
            </w:rPr>
            <w:t xml:space="preserve">it.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ED824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E6F7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CACF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840CD8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C086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F9E17B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D50E4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04D90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5A6E82"/>
    <w:lvl w:ilvl="0">
      <w:start w:val="1"/>
      <w:numFmt w:val="decimal"/>
      <w:pStyle w:val="ListNumber"/>
      <w:lvlText w:val="%1."/>
      <w:lvlJc w:val="left"/>
      <w:pPr>
        <w:tabs>
          <w:tab w:val="num" w:pos="360"/>
        </w:tabs>
        <w:ind w:left="360" w:hanging="360"/>
      </w:pPr>
    </w:lvl>
  </w:abstractNum>
  <w:abstractNum w:abstractNumId="9">
    <w:nsid w:val="FFFFFF89"/>
    <w:multiLevelType w:val="singleLevel"/>
    <w:tmpl w:val="9F66B7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CF248F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62B407F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Grammatical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232"/>
    <w:docVar w:name="WAFER_20151209172232" w:val="RemoveTrackChanges"/>
    <w:docVar w:name="WAFER_20151209172232_GUID" w:val="864193cd-f027-44d4-b6c5-672d4ae258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tyle2">
    <w:name w:val="Style 2"/>
    <w:pPr>
      <w:widowControl w:val="0"/>
      <w:autoSpaceDE w:val="0"/>
      <w:autoSpaceDN w:val="0"/>
      <w:adjustRightInd w:val="0"/>
    </w:pPr>
    <w:rPr>
      <w:sz w:val="14"/>
      <w:szCs w:val="14"/>
      <w:lang w:val="en-US" w:eastAsia="en-US"/>
    </w:rPr>
  </w:style>
  <w:style w:type="paragraph" w:customStyle="1" w:styleId="Style1">
    <w:name w:val="Style 1"/>
    <w:pPr>
      <w:widowControl w:val="0"/>
      <w:autoSpaceDE w:val="0"/>
      <w:autoSpaceDN w:val="0"/>
      <w:adjustRightInd w:val="0"/>
    </w:pPr>
    <w:rPr>
      <w:lang w:val="en-US" w:eastAsia="en-US"/>
    </w:rPr>
  </w:style>
  <w:style w:type="character" w:customStyle="1" w:styleId="CharacterStyle1">
    <w:name w:val="Character Style 1"/>
    <w:rPr>
      <w:sz w:val="14"/>
      <w:szCs w:val="1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tyle2">
    <w:name w:val="Style 2"/>
    <w:pPr>
      <w:widowControl w:val="0"/>
      <w:autoSpaceDE w:val="0"/>
      <w:autoSpaceDN w:val="0"/>
      <w:adjustRightInd w:val="0"/>
    </w:pPr>
    <w:rPr>
      <w:sz w:val="14"/>
      <w:szCs w:val="14"/>
      <w:lang w:val="en-US" w:eastAsia="en-US"/>
    </w:rPr>
  </w:style>
  <w:style w:type="paragraph" w:customStyle="1" w:styleId="Style1">
    <w:name w:val="Style 1"/>
    <w:pPr>
      <w:widowControl w:val="0"/>
      <w:autoSpaceDE w:val="0"/>
      <w:autoSpaceDN w:val="0"/>
      <w:adjustRightInd w:val="0"/>
    </w:pPr>
    <w:rPr>
      <w:lang w:val="en-US" w:eastAsia="en-US"/>
    </w:rPr>
  </w:style>
  <w:style w:type="character" w:customStyle="1" w:styleId="CharacterStyle1">
    <w:name w:val="Character Style 1"/>
    <w:rPr>
      <w:sz w:val="14"/>
      <w:szCs w:val="1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5.png"/><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142</Pages>
  <Words>29352</Words>
  <Characters>135901</Characters>
  <Application>Microsoft Office Word</Application>
  <DocSecurity>0</DocSecurity>
  <Lines>7994</Lines>
  <Paragraphs>5698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159555</CharactersWithSpaces>
  <SharedDoc>false</SharedDoc>
  <HLinks>
    <vt:vector size="18" baseType="variant">
      <vt:variant>
        <vt:i4>3014716</vt:i4>
      </vt:variant>
      <vt:variant>
        <vt:i4>14598</vt:i4>
      </vt:variant>
      <vt:variant>
        <vt:i4>1025</vt:i4>
      </vt:variant>
      <vt:variant>
        <vt:i4>1</vt:i4>
      </vt:variant>
      <vt:variant>
        <vt:lpwstr>C:\Program Files\PCO DLL\Support\Crest.wpg</vt:lpwstr>
      </vt:variant>
      <vt:variant>
        <vt:lpwstr/>
      </vt:variant>
      <vt:variant>
        <vt:i4>5439608</vt:i4>
      </vt:variant>
      <vt:variant>
        <vt:i4>152137</vt:i4>
      </vt:variant>
      <vt:variant>
        <vt:i4>1026</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1987 - 06-a0-02</dc:title>
  <dc:subject/>
  <dc:creator/>
  <cp:keywords/>
  <dc:description/>
  <cp:lastModifiedBy>svcMRProcess</cp:lastModifiedBy>
  <cp:revision>4</cp:revision>
  <cp:lastPrinted>2009-08-27T02:26:00Z</cp:lastPrinted>
  <dcterms:created xsi:type="dcterms:W3CDTF">2020-02-29T13:52:00Z</dcterms:created>
  <dcterms:modified xsi:type="dcterms:W3CDTF">2020-02-29T13:52:00Z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20090807</vt:lpwstr>
  </property>
  <property fmtid="{D5CDD505-2E9C-101B-9397-08002B2CF9AE}" pid="4" name="DocumentType">
    <vt:lpwstr>Reg</vt:lpwstr>
  </property>
  <property fmtid="{D5CDD505-2E9C-101B-9397-08002B2CF9AE}" pid="5" name="OwlsUID">
    <vt:i4>4852</vt:i4>
  </property>
  <property fmtid="{D5CDD505-2E9C-101B-9397-08002B2CF9AE}" pid="6" name="ReprintNo">
    <vt:lpwstr>6</vt:lpwstr>
  </property>
  <property fmtid="{D5CDD505-2E9C-101B-9397-08002B2CF9AE}" pid="7" name="AsAtDate">
    <vt:lpwstr>07 Aug 2009</vt:lpwstr>
  </property>
  <property fmtid="{D5CDD505-2E9C-101B-9397-08002B2CF9AE}" pid="8" name="Suffix">
    <vt:lpwstr>06-a0-02</vt:lpwstr>
  </property>
</Properties>
</file>