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Children’s Court of Western Australia Act 1988</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Children’s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Bdr>
          <w:bottom w:val="single" w:sz="4" w:space="11" w:color="auto"/>
        </w:pBdr>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_Toc239753829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_Toc239753830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_Toc239753831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_Toc239753832 \h </w:instrText>
      </w:r>
      <w:r>
        <w:fldChar w:fldCharType="separate"/>
      </w:r>
      <w:r>
        <w:t>2</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_Toc239753833 \h </w:instrText>
      </w:r>
      <w:r>
        <w:fldChar w:fldCharType="separate"/>
      </w:r>
      <w:r>
        <w:t>2</w:t>
      </w:r>
      <w:r>
        <w:fldChar w:fldCharType="end"/>
      </w:r>
    </w:p>
    <w:p>
      <w:pPr>
        <w:pStyle w:val="TOC8"/>
        <w:rPr>
          <w:sz w:val="24"/>
          <w:szCs w:val="24"/>
        </w:rPr>
      </w:pPr>
      <w:r>
        <w:rPr>
          <w:szCs w:val="24"/>
        </w:rPr>
        <w:t>6.</w:t>
      </w:r>
      <w:r>
        <w:rPr>
          <w:szCs w:val="24"/>
        </w:rPr>
        <w:tab/>
        <w:t>Fees subject to conditions or waiver</w:t>
      </w:r>
      <w:r>
        <w:tab/>
      </w:r>
      <w:r>
        <w:fldChar w:fldCharType="begin"/>
      </w:r>
      <w:r>
        <w:instrText xml:space="preserve"> PAGEREF _Toc239753834 \h </w:instrText>
      </w:r>
      <w:r>
        <w:fldChar w:fldCharType="separate"/>
      </w:r>
      <w:r>
        <w:t>2</w:t>
      </w:r>
      <w:r>
        <w:fldChar w:fldCharType="end"/>
      </w:r>
    </w:p>
    <w:p>
      <w:pPr>
        <w:pStyle w:val="TOC8"/>
        <w:rPr>
          <w:sz w:val="24"/>
          <w:szCs w:val="24"/>
        </w:rPr>
      </w:pPr>
      <w:r>
        <w:rPr>
          <w:szCs w:val="24"/>
        </w:rPr>
        <w:t>7.</w:t>
      </w:r>
      <w:r>
        <w:rPr>
          <w:szCs w:val="24"/>
        </w:rPr>
        <w:tab/>
        <w:t>F</w:t>
      </w:r>
      <w:r>
        <w:rPr>
          <w:snapToGrid w:val="0"/>
          <w:szCs w:val="24"/>
        </w:rPr>
        <w:t>ees to be paid before documents etc. filed</w:t>
      </w:r>
      <w:r>
        <w:tab/>
      </w:r>
      <w:r>
        <w:fldChar w:fldCharType="begin"/>
      </w:r>
      <w:r>
        <w:instrText xml:space="preserve"> PAGEREF _Toc239753835 \h </w:instrText>
      </w:r>
      <w:r>
        <w:fldChar w:fldCharType="separate"/>
      </w:r>
      <w:r>
        <w:t>3</w:t>
      </w:r>
      <w:r>
        <w:fldChar w:fldCharType="end"/>
      </w:r>
    </w:p>
    <w:p>
      <w:pPr>
        <w:pStyle w:val="TOC8"/>
        <w:rPr>
          <w:sz w:val="24"/>
          <w:szCs w:val="24"/>
        </w:rPr>
      </w:pPr>
      <w:r>
        <w:rPr>
          <w:szCs w:val="24"/>
        </w:rPr>
        <w:t>8.</w:t>
      </w:r>
      <w:r>
        <w:rPr>
          <w:szCs w:val="24"/>
        </w:rPr>
        <w:tab/>
      </w:r>
      <w:r>
        <w:rPr>
          <w:snapToGrid w:val="0"/>
          <w:szCs w:val="24"/>
        </w:rPr>
        <w:t>Court, registrar or deputy registrar may remit fees</w:t>
      </w:r>
      <w:r>
        <w:tab/>
      </w:r>
      <w:r>
        <w:fldChar w:fldCharType="begin"/>
      </w:r>
      <w:r>
        <w:instrText xml:space="preserve"> PAGEREF _Toc239753836 \h </w:instrText>
      </w:r>
      <w:r>
        <w:fldChar w:fldCharType="separate"/>
      </w:r>
      <w:r>
        <w:t>3</w:t>
      </w:r>
      <w:r>
        <w:fldChar w:fldCharType="end"/>
      </w:r>
    </w:p>
    <w:p>
      <w:pPr>
        <w:pStyle w:val="TOC8"/>
        <w:rPr>
          <w:sz w:val="24"/>
          <w:szCs w:val="24"/>
        </w:rPr>
      </w:pPr>
      <w:r>
        <w:rPr>
          <w:szCs w:val="24"/>
        </w:rPr>
        <w:t>9.</w:t>
      </w:r>
      <w:r>
        <w:rPr>
          <w:szCs w:val="24"/>
        </w:rPr>
        <w:tab/>
      </w:r>
      <w:r>
        <w:rPr>
          <w:snapToGrid w:val="0"/>
          <w:szCs w:val="24"/>
        </w:rPr>
        <w:t>Conventions</w:t>
      </w:r>
      <w:r>
        <w:tab/>
      </w:r>
      <w:r>
        <w:fldChar w:fldCharType="begin"/>
      </w:r>
      <w:r>
        <w:instrText xml:space="preserve"> PAGEREF _Toc239753837 \h </w:instrText>
      </w:r>
      <w:r>
        <w:fldChar w:fldCharType="separate"/>
      </w:r>
      <w:r>
        <w:t>6</w:t>
      </w:r>
      <w:r>
        <w:fldChar w:fldCharType="end"/>
      </w:r>
    </w:p>
    <w:p>
      <w:pPr>
        <w:pStyle w:val="TOC8"/>
        <w:rPr>
          <w:sz w:val="24"/>
          <w:szCs w:val="24"/>
        </w:rPr>
      </w:pPr>
      <w:r>
        <w:rPr>
          <w:szCs w:val="24"/>
        </w:rPr>
        <w:t>10.</w:t>
      </w:r>
      <w:r>
        <w:rPr>
          <w:szCs w:val="24"/>
        </w:rPr>
        <w:tab/>
        <w:t>Resolution of disputes as to fees</w:t>
      </w:r>
      <w:r>
        <w:tab/>
      </w:r>
      <w:r>
        <w:fldChar w:fldCharType="begin"/>
      </w:r>
      <w:r>
        <w:instrText xml:space="preserve"> PAGEREF _Toc239753838 \h </w:instrText>
      </w:r>
      <w:r>
        <w:fldChar w:fldCharType="separate"/>
      </w:r>
      <w:r>
        <w:t>6</w:t>
      </w:r>
      <w:r>
        <w:fldChar w:fldCharType="end"/>
      </w:r>
    </w:p>
    <w:p>
      <w:pPr>
        <w:pStyle w:val="TOC8"/>
        <w:rPr>
          <w:sz w:val="24"/>
          <w:szCs w:val="24"/>
        </w:rPr>
      </w:pPr>
      <w:r>
        <w:rPr>
          <w:szCs w:val="24"/>
        </w:rPr>
        <w:t>11.</w:t>
      </w:r>
      <w:r>
        <w:rPr>
          <w:szCs w:val="24"/>
        </w:rPr>
        <w:tab/>
        <w:t>Recovery of unpaid fees</w:t>
      </w:r>
      <w:r>
        <w:tab/>
      </w:r>
      <w:r>
        <w:fldChar w:fldCharType="begin"/>
      </w:r>
      <w:r>
        <w:instrText xml:space="preserve"> PAGEREF _Toc239753839 \h </w:instrText>
      </w:r>
      <w:r>
        <w:fldChar w:fldCharType="separate"/>
      </w:r>
      <w:r>
        <w:t>6</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w:t>
      </w:r>
    </w:p>
    <w:p>
      <w:pPr>
        <w:pStyle w:val="TOC4"/>
        <w:tabs>
          <w:tab w:val="right" w:leader="dot" w:pos="7086"/>
        </w:tabs>
        <w:rPr>
          <w:b w:val="0"/>
          <w:sz w:val="24"/>
          <w:szCs w:val="24"/>
        </w:rPr>
      </w:pPr>
      <w:r>
        <w:rPr>
          <w:szCs w:val="24"/>
        </w:rPr>
        <w:t>Division 2</w:t>
      </w:r>
      <w:r>
        <w:rPr>
          <w:b w:val="0"/>
          <w:szCs w:val="24"/>
        </w:rPr>
        <w:t> — </w:t>
      </w:r>
      <w:r>
        <w:rPr>
          <w:szCs w:val="24"/>
        </w:rPr>
        <w:t>Civil jurisdiction</w:t>
      </w:r>
    </w:p>
    <w:p>
      <w:pPr>
        <w:pStyle w:val="TOC4"/>
        <w:tabs>
          <w:tab w:val="right" w:leader="dot" w:pos="7086"/>
        </w:tabs>
        <w:rPr>
          <w:b w:val="0"/>
          <w:sz w:val="24"/>
          <w:szCs w:val="24"/>
        </w:rPr>
      </w:pPr>
      <w:r>
        <w:rPr>
          <w:szCs w:val="24"/>
        </w:rPr>
        <w:t>Division 3</w:t>
      </w:r>
      <w:r>
        <w:rPr>
          <w:b w:val="0"/>
          <w:szCs w:val="24"/>
        </w:rPr>
        <w:t> — </w:t>
      </w:r>
      <w:r>
        <w:rPr>
          <w:szCs w:val="24"/>
        </w:rPr>
        <w:t>Criminal jurisdiction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Application to remit fees</w:t>
      </w:r>
      <w:r>
        <w:tab/>
      </w:r>
      <w:r>
        <w:fldChar w:fldCharType="begin"/>
      </w:r>
      <w:r>
        <w:instrText xml:space="preserve"> PAGEREF _Toc239753845 \h </w:instrText>
      </w:r>
      <w:r>
        <w:fldChar w:fldCharType="separate"/>
      </w:r>
      <w:r>
        <w:t>11</w:t>
      </w:r>
      <w:r>
        <w:fldChar w:fldCharType="end"/>
      </w:r>
    </w:p>
    <w:p>
      <w:pPr>
        <w:pStyle w:val="TOC8"/>
        <w:rPr>
          <w:sz w:val="24"/>
          <w:szCs w:val="24"/>
        </w:rPr>
      </w:pPr>
      <w:r>
        <w:rPr>
          <w:szCs w:val="22"/>
        </w:rPr>
        <w:t>2.</w:t>
      </w:r>
      <w:r>
        <w:rPr>
          <w:szCs w:val="22"/>
        </w:rPr>
        <w:tab/>
        <w:t>Application for determination of dispute about fees</w:t>
      </w:r>
      <w:r>
        <w:tab/>
      </w:r>
      <w:r>
        <w:fldChar w:fldCharType="begin"/>
      </w:r>
      <w:r>
        <w:instrText xml:space="preserve"> PAGEREF _Toc239753846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_Toc239753848 \h </w:instrText>
      </w:r>
      <w:r>
        <w:fldChar w:fldCharType="separate"/>
      </w:r>
      <w:r>
        <w:t>16</w:t>
      </w:r>
      <w:r>
        <w:fldChar w:fldCharType="end"/>
      </w:r>
    </w:p>
    <w:p>
      <w:pPr>
        <w:pStyle w:val="TOC2"/>
        <w:tabs>
          <w:tab w:val="right" w:leader="dot" w:pos="7086"/>
        </w:tabs>
        <w:rPr>
          <w:b w:val="0"/>
          <w:sz w:val="24"/>
          <w:szCs w:val="24"/>
        </w:rPr>
      </w:pPr>
      <w:r>
        <w:rPr>
          <w:szCs w:val="26"/>
        </w:rPr>
        <w:t>Defined Terms</w:t>
      </w:r>
    </w:p>
    <w:p>
      <w:pPr>
        <w:pStyle w:val="TOC4"/>
        <w:keepNext w:val="0"/>
        <w:spacing w:before="0" w:after="0"/>
        <w:rPr>
          <w:sz w:val="16"/>
        </w:rPr>
      </w:pPr>
      <w:r>
        <w:fldChar w:fldCharType="end"/>
      </w: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Children’s Court of Western Australia Act 1988</w:t>
      </w:r>
    </w:p>
    <w:p>
      <w:pPr>
        <w:pStyle w:val="NameofActReg"/>
      </w:pPr>
      <w:r>
        <w:t>Children’s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4711"/>
      <w:bookmarkStart w:id="8" w:name="_Toc138836650"/>
      <w:bookmarkStart w:id="9" w:name="_Toc239753829"/>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4712"/>
      <w:bookmarkStart w:id="17" w:name="_Toc138836651"/>
      <w:bookmarkStart w:id="18" w:name="_Toc239753830"/>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9" w:name="_Toc96402830"/>
      <w:bookmarkStart w:id="20" w:name="_Toc100634713"/>
      <w:bookmarkStart w:id="21" w:name="_Toc138836652"/>
      <w:bookmarkStart w:id="22" w:name="_Toc239753831"/>
      <w:r>
        <w:rPr>
          <w:rStyle w:val="CharSectno"/>
        </w:rPr>
        <w:t>3</w:t>
      </w:r>
      <w:r>
        <w:t>.</w:t>
      </w:r>
      <w:r>
        <w:tab/>
        <w:t>Terms used in these regulations</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pPr>
      <w:r>
        <w:tab/>
        <w:t>[Regulation 3 amended in Gazette 23 Jun 2006 p. 2182.]</w:t>
      </w:r>
    </w:p>
    <w:p>
      <w:pPr>
        <w:pStyle w:val="Heading5"/>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4714"/>
      <w:bookmarkStart w:id="32" w:name="_Toc138836653"/>
      <w:bookmarkStart w:id="33" w:name="_Toc239753832"/>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bookmarkEnd w:id="33"/>
    </w:p>
    <w:p>
      <w:pPr>
        <w:pStyle w:val="Subsection"/>
        <w:rPr>
          <w:snapToGrid w:val="0"/>
        </w:rPr>
      </w:pPr>
      <w:r>
        <w:rPr>
          <w:snapToGrid w:val="0"/>
        </w:rPr>
        <w:tab/>
        <w:t>(1)</w:t>
      </w:r>
      <w:r>
        <w:rPr>
          <w:snapToGrid w:val="0"/>
        </w:rPr>
        <w:tab/>
        <w:t>Subject to the provisions of these regulations, the fees specified in Schedule </w:t>
      </w:r>
      <w:bookmarkStart w:id="34" w:name="_Hlt533230123"/>
      <w:r>
        <w:rPr>
          <w:snapToGrid w:val="0"/>
        </w:rPr>
        <w:t>1</w:t>
      </w:r>
      <w:bookmarkEnd w:id="34"/>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rPr>
          <w:snapToGrid w:val="0"/>
        </w:rPr>
      </w:pPr>
      <w:bookmarkStart w:id="35" w:name="_Toc437922207"/>
      <w:bookmarkStart w:id="36" w:name="_Toc483972642"/>
      <w:bookmarkStart w:id="37" w:name="_Toc506018773"/>
      <w:bookmarkStart w:id="38" w:name="_Toc519738592"/>
      <w:bookmarkStart w:id="39" w:name="_Toc520868380"/>
      <w:bookmarkStart w:id="40" w:name="_Toc533482757"/>
      <w:bookmarkStart w:id="41" w:name="_Toc61252560"/>
      <w:bookmarkStart w:id="42" w:name="_Toc96402832"/>
      <w:bookmarkStart w:id="43" w:name="_Toc96756225"/>
      <w:bookmarkStart w:id="44" w:name="_Toc100634715"/>
      <w:bookmarkStart w:id="45" w:name="_Toc138836654"/>
      <w:bookmarkStart w:id="46" w:name="_Toc239753833"/>
      <w:r>
        <w:rPr>
          <w:rStyle w:val="CharSectno"/>
        </w:rPr>
        <w:t>5</w:t>
      </w:r>
      <w:r>
        <w:t>.</w:t>
      </w:r>
      <w:r>
        <w:tab/>
      </w:r>
      <w:r>
        <w:rPr>
          <w:snapToGrid w:val="0"/>
        </w:rPr>
        <w:t>Exemptions</w:t>
      </w:r>
      <w:bookmarkEnd w:id="35"/>
      <w:bookmarkEnd w:id="36"/>
      <w:bookmarkEnd w:id="37"/>
      <w:bookmarkEnd w:id="38"/>
      <w:bookmarkEnd w:id="39"/>
      <w:bookmarkEnd w:id="40"/>
      <w:bookmarkEnd w:id="41"/>
      <w:bookmarkEnd w:id="42"/>
      <w:bookmarkEnd w:id="43"/>
      <w:bookmarkEnd w:id="44"/>
      <w:bookmarkEnd w:id="45"/>
      <w:bookmarkEnd w:id="46"/>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7" w:name="_Toc96756226"/>
      <w:bookmarkStart w:id="48" w:name="_Toc100634716"/>
      <w:bookmarkStart w:id="49" w:name="_Toc138836655"/>
      <w:bookmarkStart w:id="50" w:name="_Toc239753834"/>
      <w:r>
        <w:rPr>
          <w:rStyle w:val="CharSectno"/>
        </w:rPr>
        <w:t>6</w:t>
      </w:r>
      <w:r>
        <w:t>.</w:t>
      </w:r>
      <w:r>
        <w:tab/>
        <w:t>Fees subject to conditions or waiver</w:t>
      </w:r>
      <w:bookmarkEnd w:id="47"/>
      <w:bookmarkEnd w:id="48"/>
      <w:bookmarkEnd w:id="49"/>
      <w:bookmarkEnd w:id="50"/>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keepLines/>
      </w:pPr>
      <w:r>
        <w:tab/>
        <w:t>(3)</w:t>
      </w:r>
      <w:r>
        <w:tab/>
        <w:t>If —</w:t>
      </w:r>
    </w:p>
    <w:p>
      <w:pPr>
        <w:pStyle w:val="Indenta"/>
        <w:keepNext/>
        <w:keepLines/>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51" w:name="_Toc437922208"/>
      <w:bookmarkStart w:id="52" w:name="_Toc483972643"/>
      <w:bookmarkStart w:id="53" w:name="_Toc506018774"/>
      <w:bookmarkStart w:id="54" w:name="_Toc519738593"/>
      <w:bookmarkStart w:id="55" w:name="_Toc520868381"/>
      <w:bookmarkStart w:id="56" w:name="_Toc533482758"/>
      <w:bookmarkStart w:id="57" w:name="_Toc61252561"/>
      <w:bookmarkStart w:id="58" w:name="_Toc96402833"/>
      <w:bookmarkStart w:id="59" w:name="_Toc100634717"/>
      <w:bookmarkStart w:id="60" w:name="_Toc138836656"/>
      <w:bookmarkStart w:id="61" w:name="_Toc239753835"/>
      <w:r>
        <w:rPr>
          <w:rStyle w:val="CharSectno"/>
        </w:rPr>
        <w:t>7</w:t>
      </w:r>
      <w:r>
        <w:t>.</w:t>
      </w:r>
      <w:r>
        <w:tab/>
      </w:r>
      <w:r>
        <w:rPr>
          <w:rStyle w:val="CharSectno"/>
        </w:rPr>
        <w:t>F</w:t>
      </w:r>
      <w:r>
        <w:rPr>
          <w:snapToGrid w:val="0"/>
        </w:rPr>
        <w:t>ees to be paid before documents etc. filed</w:t>
      </w:r>
      <w:bookmarkEnd w:id="51"/>
      <w:bookmarkEnd w:id="52"/>
      <w:bookmarkEnd w:id="53"/>
      <w:bookmarkEnd w:id="54"/>
      <w:bookmarkEnd w:id="55"/>
      <w:bookmarkEnd w:id="56"/>
      <w:bookmarkEnd w:id="57"/>
      <w:bookmarkEnd w:id="58"/>
      <w:bookmarkEnd w:id="59"/>
      <w:bookmarkEnd w:id="60"/>
      <w:bookmarkEnd w:id="61"/>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62" w:name="_Toc437922210"/>
      <w:bookmarkStart w:id="63" w:name="_Toc483972645"/>
      <w:bookmarkStart w:id="64" w:name="_Toc506018776"/>
      <w:bookmarkStart w:id="65" w:name="_Toc519738594"/>
      <w:bookmarkStart w:id="66" w:name="_Toc520868382"/>
      <w:bookmarkStart w:id="67" w:name="_Toc533482759"/>
      <w:bookmarkStart w:id="68" w:name="_Toc61252562"/>
      <w:bookmarkStart w:id="69" w:name="_Toc96402834"/>
      <w:bookmarkStart w:id="70" w:name="_Toc100634718"/>
      <w:bookmarkStart w:id="71" w:name="_Toc138836657"/>
      <w:bookmarkStart w:id="72" w:name="_Toc239753836"/>
      <w:r>
        <w:rPr>
          <w:rStyle w:val="CharSectno"/>
        </w:rPr>
        <w:t>8</w:t>
      </w:r>
      <w:r>
        <w:t>.</w:t>
      </w:r>
      <w:r>
        <w:tab/>
      </w:r>
      <w:r>
        <w:rPr>
          <w:snapToGrid w:val="0"/>
        </w:rPr>
        <w:t>Court, registrar or deputy registrar may remit fees</w:t>
      </w:r>
      <w:bookmarkEnd w:id="62"/>
      <w:bookmarkEnd w:id="63"/>
      <w:bookmarkEnd w:id="64"/>
      <w:bookmarkEnd w:id="65"/>
      <w:bookmarkEnd w:id="66"/>
      <w:bookmarkEnd w:id="67"/>
      <w:bookmarkEnd w:id="68"/>
      <w:bookmarkEnd w:id="69"/>
      <w:bookmarkEnd w:id="70"/>
      <w:bookmarkEnd w:id="71"/>
      <w:bookmarkEnd w:id="72"/>
    </w:p>
    <w:p>
      <w:pPr>
        <w:pStyle w:val="Subsection"/>
        <w:spacing w:before="180"/>
      </w:pPr>
      <w:r>
        <w:tab/>
        <w:t>(1)</w:t>
      </w:r>
      <w:r>
        <w:tab/>
        <w:t>This regulation does not apply to a fee referred to in Schedule 1 Division 1 items 2 and 3 and Division 2 item 2.</w:t>
      </w:r>
    </w:p>
    <w:p>
      <w:pPr>
        <w:pStyle w:val="Subsection"/>
        <w:spacing w:before="180"/>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spacing w:before="180"/>
      </w:pPr>
      <w:r>
        <w:tab/>
        <w:t>(3)</w:t>
      </w:r>
      <w:r>
        <w:tab/>
        <w:t>For the purpose of assessing financial hardship, the Court, a registrar or a deputy registrar is to have regard to the applicant’s income, day to day living expenses, liabilities and assets.</w:t>
      </w:r>
    </w:p>
    <w:p>
      <w:pPr>
        <w:pStyle w:val="Subsection"/>
        <w:spacing w:before="180"/>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spacing w:before="180"/>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73" w:name="_Toc437922211"/>
      <w:bookmarkStart w:id="74" w:name="_Toc483972646"/>
      <w:bookmarkStart w:id="75" w:name="_Toc506018777"/>
      <w:bookmarkStart w:id="76" w:name="_Toc519738595"/>
      <w:bookmarkStart w:id="77" w:name="_Toc520868383"/>
      <w:bookmarkStart w:id="78" w:name="_Toc533482760"/>
      <w:r>
        <w:tab/>
        <w:t>(12)</w:t>
      </w:r>
      <w:r>
        <w:tab/>
        <w:t>Despite the provisions of these regulations, a fee is not to be charged in respect of an application under subregulation (2).</w:t>
      </w:r>
    </w:p>
    <w:p>
      <w:pPr>
        <w:pStyle w:val="Heading5"/>
        <w:rPr>
          <w:snapToGrid w:val="0"/>
        </w:rPr>
      </w:pPr>
      <w:bookmarkStart w:id="79" w:name="_Toc61252563"/>
      <w:bookmarkStart w:id="80" w:name="_Toc96402835"/>
      <w:bookmarkStart w:id="81" w:name="_Toc100634719"/>
      <w:bookmarkStart w:id="82" w:name="_Toc138836658"/>
      <w:bookmarkStart w:id="83" w:name="_Toc239753837"/>
      <w:r>
        <w:rPr>
          <w:rStyle w:val="CharSectno"/>
        </w:rPr>
        <w:t>9</w:t>
      </w:r>
      <w:r>
        <w:t>.</w:t>
      </w:r>
      <w:r>
        <w:tab/>
      </w:r>
      <w:r>
        <w:rPr>
          <w:snapToGrid w:val="0"/>
        </w:rPr>
        <w:t>Conventions</w:t>
      </w:r>
      <w:bookmarkEnd w:id="73"/>
      <w:bookmarkEnd w:id="74"/>
      <w:bookmarkEnd w:id="75"/>
      <w:bookmarkEnd w:id="76"/>
      <w:bookmarkEnd w:id="77"/>
      <w:bookmarkEnd w:id="78"/>
      <w:bookmarkEnd w:id="79"/>
      <w:bookmarkEnd w:id="80"/>
      <w:bookmarkEnd w:id="81"/>
      <w:bookmarkEnd w:id="82"/>
      <w:bookmarkEnd w:id="83"/>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4" w:name="_Toc96398500"/>
      <w:bookmarkStart w:id="85" w:name="_Toc100634720"/>
      <w:bookmarkStart w:id="86" w:name="_Toc138836659"/>
      <w:bookmarkStart w:id="87" w:name="_Toc239753838"/>
      <w:r>
        <w:rPr>
          <w:rStyle w:val="CharSectno"/>
        </w:rPr>
        <w:t>10</w:t>
      </w:r>
      <w:r>
        <w:t>.</w:t>
      </w:r>
      <w:r>
        <w:tab/>
        <w:t>Resolution of disputes as to fees</w:t>
      </w:r>
      <w:bookmarkEnd w:id="84"/>
      <w:bookmarkEnd w:id="85"/>
      <w:bookmarkEnd w:id="86"/>
      <w:bookmarkEnd w:id="87"/>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88" w:name="_Toc97609766"/>
      <w:bookmarkStart w:id="89" w:name="_Toc100634721"/>
      <w:bookmarkStart w:id="90" w:name="_Toc138836660"/>
      <w:bookmarkStart w:id="91" w:name="_Toc239753839"/>
      <w:r>
        <w:rPr>
          <w:rStyle w:val="CharSectno"/>
        </w:rPr>
        <w:t>11</w:t>
      </w:r>
      <w:r>
        <w:t>.</w:t>
      </w:r>
      <w:r>
        <w:tab/>
        <w:t>Recovery of unpaid fees</w:t>
      </w:r>
      <w:bookmarkEnd w:id="88"/>
      <w:bookmarkEnd w:id="89"/>
      <w:bookmarkEnd w:id="90"/>
      <w:bookmarkEnd w:id="91"/>
    </w:p>
    <w:p>
      <w:pPr>
        <w:pStyle w:val="Subsection"/>
      </w:pPr>
      <w:r>
        <w:tab/>
      </w:r>
      <w:r>
        <w:tab/>
        <w:t>Any unpaid fee is a debt due to the State and may be recovered by action in a court of competent jurisdiction.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92" w:name="_Toc100634722"/>
    </w:p>
    <w:p>
      <w:pPr>
        <w:pStyle w:val="yScheduleHeading"/>
      </w:pPr>
      <w:bookmarkStart w:id="93" w:name="_Toc138836661"/>
      <w:bookmarkStart w:id="94" w:name="_Toc138836729"/>
      <w:bookmarkStart w:id="95" w:name="_Toc139270566"/>
      <w:bookmarkStart w:id="96" w:name="_Toc171051333"/>
      <w:bookmarkStart w:id="97" w:name="_Toc193167423"/>
      <w:bookmarkStart w:id="98" w:name="_Toc202585849"/>
      <w:bookmarkStart w:id="99" w:name="_Toc203278490"/>
      <w:bookmarkStart w:id="100" w:name="_Toc203278679"/>
      <w:bookmarkStart w:id="101" w:name="_Toc207427461"/>
      <w:bookmarkStart w:id="102" w:name="_Toc207512132"/>
      <w:bookmarkStart w:id="103" w:name="_Toc207513777"/>
      <w:bookmarkStart w:id="104" w:name="_Toc209501438"/>
      <w:bookmarkStart w:id="105" w:name="_Toc232308348"/>
      <w:bookmarkStart w:id="106" w:name="_Toc239753840"/>
      <w:r>
        <w:rPr>
          <w:rStyle w:val="CharSchNo"/>
        </w:rPr>
        <w:t>Schedule 1</w:t>
      </w:r>
      <w:r>
        <w:t> — </w:t>
      </w:r>
      <w:r>
        <w:rPr>
          <w:rStyle w:val="CharSchText"/>
        </w:rPr>
        <w:t>Fees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yShoulderClause"/>
      </w:pPr>
      <w:r>
        <w:t>[r. 4]</w:t>
      </w:r>
    </w:p>
    <w:p>
      <w:pPr>
        <w:pStyle w:val="yHeading3"/>
        <w:spacing w:after="120"/>
      </w:pPr>
      <w:bookmarkStart w:id="107" w:name="_Toc96756237"/>
      <w:bookmarkStart w:id="108" w:name="_Toc100634723"/>
      <w:bookmarkStart w:id="109" w:name="_Toc138836662"/>
      <w:bookmarkStart w:id="110" w:name="_Toc138836730"/>
      <w:bookmarkStart w:id="111" w:name="_Toc139270567"/>
      <w:bookmarkStart w:id="112" w:name="_Toc171051334"/>
      <w:bookmarkStart w:id="113" w:name="_Toc193167424"/>
      <w:bookmarkStart w:id="114" w:name="_Toc202585850"/>
      <w:bookmarkStart w:id="115" w:name="_Toc203278491"/>
      <w:bookmarkStart w:id="116" w:name="_Toc203278680"/>
      <w:bookmarkStart w:id="117" w:name="_Toc207427462"/>
      <w:bookmarkStart w:id="118" w:name="_Toc207512133"/>
      <w:bookmarkStart w:id="119" w:name="_Toc207513778"/>
      <w:bookmarkStart w:id="120" w:name="_Toc209501439"/>
      <w:bookmarkStart w:id="121" w:name="_Toc232308349"/>
      <w:bookmarkStart w:id="122" w:name="_Toc239753841"/>
      <w:r>
        <w:rPr>
          <w:rStyle w:val="CharSDivNo"/>
        </w:rPr>
        <w:t>Division 1</w:t>
      </w:r>
      <w:r>
        <w:rPr>
          <w:b w:val="0"/>
        </w:rPr>
        <w:t> — </w:t>
      </w:r>
      <w:r>
        <w:rPr>
          <w:rStyle w:val="CharSDivText"/>
        </w:rPr>
        <w:t>General</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tbl>
      <w:tblPr>
        <w:tblW w:w="0" w:type="auto"/>
        <w:tblInd w:w="392" w:type="dxa"/>
        <w:tblLayout w:type="fixed"/>
        <w:tblLook w:val="0000" w:firstRow="0" w:lastRow="0" w:firstColumn="0" w:lastColumn="0" w:noHBand="0" w:noVBand="0"/>
      </w:tblPr>
      <w:tblGrid>
        <w:gridCol w:w="567"/>
        <w:gridCol w:w="4429"/>
        <w:gridCol w:w="1800"/>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44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1800"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44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1800" w:type="dxa"/>
            <w:tcBorders>
              <w:top w:val="single" w:sz="4" w:space="0" w:color="auto"/>
            </w:tcBorders>
          </w:tcPr>
          <w:p>
            <w:pPr>
              <w:pStyle w:val="yTable"/>
              <w:spacing w:before="120"/>
              <w:ind w:right="34"/>
              <w:jc w:val="center"/>
              <w:rPr>
                <w:sz w:val="20"/>
              </w:rPr>
            </w:pPr>
            <w:r>
              <w:rPr>
                <w:sz w:val="20"/>
              </w:rPr>
              <w:br/>
              <w:t>14.50</w:t>
            </w:r>
            <w:r>
              <w:rPr>
                <w:sz w:val="20"/>
              </w:rPr>
              <w:br/>
              <w:t>14.50</w:t>
            </w:r>
          </w:p>
        </w:tc>
      </w:tr>
      <w:tr>
        <w:trPr>
          <w:cantSplit/>
        </w:trPr>
        <w:tc>
          <w:tcPr>
            <w:tcW w:w="567" w:type="dxa"/>
          </w:tcPr>
          <w:p>
            <w:pPr>
              <w:pStyle w:val="yTable"/>
              <w:rPr>
                <w:sz w:val="20"/>
              </w:rPr>
            </w:pPr>
            <w:r>
              <w:rPr>
                <w:sz w:val="20"/>
              </w:rPr>
              <w:t>2.</w:t>
            </w:r>
          </w:p>
        </w:tc>
        <w:tc>
          <w:tcPr>
            <w:tcW w:w="4429" w:type="dxa"/>
          </w:tcPr>
          <w:p>
            <w:pPr>
              <w:pStyle w:val="yTable"/>
              <w:rPr>
                <w:sz w:val="20"/>
              </w:rPr>
            </w:pPr>
            <w:r>
              <w:rPr>
                <w:sz w:val="20"/>
              </w:rPr>
              <w:t xml:space="preserve">For the service of any application, summons, originating process, notice or order of the Court or any other process requiring service............................ </w:t>
            </w:r>
          </w:p>
        </w:tc>
        <w:tc>
          <w:tcPr>
            <w:tcW w:w="1800" w:type="dxa"/>
          </w:tcPr>
          <w:p>
            <w:pPr>
              <w:pStyle w:val="yTable"/>
              <w:jc w:val="center"/>
              <w:rPr>
                <w:sz w:val="20"/>
              </w:rPr>
            </w:pPr>
            <w:r>
              <w:rPr>
                <w:sz w:val="20"/>
              </w:rPr>
              <w:br/>
            </w:r>
            <w:r>
              <w:rPr>
                <w:sz w:val="20"/>
              </w:rPr>
              <w:br/>
              <w:t>44.50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44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1800"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r>
            <w:r>
              <w:rPr>
                <w:sz w:val="20"/>
              </w:rPr>
              <w:br/>
              <w:t>1.15</w:t>
            </w:r>
            <w:r>
              <w:rPr>
                <w:sz w:val="20"/>
              </w:rPr>
              <w:br/>
            </w:r>
            <w:r>
              <w:rPr>
                <w:sz w:val="20"/>
              </w:rPr>
              <w:br/>
              <w:t>1.25</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44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1800" w:type="dxa"/>
          </w:tcPr>
          <w:p>
            <w:pPr>
              <w:pStyle w:val="yTable"/>
              <w:jc w:val="center"/>
              <w:rPr>
                <w:sz w:val="20"/>
              </w:rPr>
            </w:pPr>
            <w:r>
              <w:rPr>
                <w:sz w:val="20"/>
              </w:rPr>
              <w:br/>
            </w:r>
            <w:r>
              <w:rPr>
                <w:sz w:val="20"/>
              </w:rPr>
              <w:br/>
            </w:r>
            <w:r>
              <w:rPr>
                <w:sz w:val="20"/>
              </w:rPr>
              <w:br/>
              <w:t>26.00</w:t>
            </w:r>
          </w:p>
          <w:p>
            <w:pPr>
              <w:pStyle w:val="yTable"/>
              <w:spacing w:before="0"/>
              <w:jc w:val="center"/>
              <w:rPr>
                <w:sz w:val="20"/>
              </w:rPr>
            </w:pPr>
            <w:r>
              <w:rPr>
                <w:sz w:val="20"/>
              </w:rPr>
              <w:br/>
            </w:r>
            <w:r>
              <w:rPr>
                <w:sz w:val="20"/>
              </w:rPr>
              <w:br/>
              <w:t>26.00</w:t>
            </w:r>
          </w:p>
          <w:p>
            <w:pPr>
              <w:pStyle w:val="yTable"/>
              <w:jc w:val="center"/>
              <w:rPr>
                <w:sz w:val="20"/>
              </w:rPr>
            </w:pPr>
            <w:r>
              <w:rPr>
                <w:sz w:val="20"/>
              </w:rPr>
              <w:br/>
              <w:t>64.00</w:t>
            </w:r>
          </w:p>
        </w:tc>
      </w:tr>
      <w:tr>
        <w:trPr>
          <w:cantSplit/>
        </w:trPr>
        <w:tc>
          <w:tcPr>
            <w:tcW w:w="567" w:type="dxa"/>
          </w:tcPr>
          <w:p>
            <w:pPr>
              <w:pStyle w:val="yTable"/>
              <w:rPr>
                <w:sz w:val="20"/>
              </w:rPr>
            </w:pPr>
            <w:r>
              <w:rPr>
                <w:sz w:val="20"/>
              </w:rPr>
              <w:t>5.</w:t>
            </w:r>
          </w:p>
        </w:tc>
        <w:tc>
          <w:tcPr>
            <w:tcW w:w="44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1800" w:type="dxa"/>
          </w:tcPr>
          <w:p>
            <w:pPr>
              <w:pStyle w:val="yTable"/>
              <w:jc w:val="center"/>
              <w:rPr>
                <w:sz w:val="20"/>
              </w:rPr>
            </w:pPr>
            <w:r>
              <w:rPr>
                <w:sz w:val="20"/>
              </w:rPr>
              <w:br/>
            </w:r>
            <w:r>
              <w:rPr>
                <w:sz w:val="20"/>
              </w:rPr>
              <w:br/>
            </w:r>
            <w:r>
              <w:rPr>
                <w:sz w:val="20"/>
              </w:rPr>
              <w:br/>
              <w:t>38.00</w:t>
            </w:r>
          </w:p>
          <w:p>
            <w:pPr>
              <w:pStyle w:val="yTable"/>
              <w:jc w:val="center"/>
              <w:rPr>
                <w:sz w:val="20"/>
              </w:rPr>
            </w:pPr>
            <w:r>
              <w:rPr>
                <w:sz w:val="20"/>
              </w:rPr>
              <w:br/>
            </w:r>
            <w:r>
              <w:rPr>
                <w:sz w:val="20"/>
              </w:rPr>
              <w:br/>
            </w:r>
            <w:r>
              <w:rPr>
                <w:sz w:val="20"/>
              </w:rPr>
              <w:br/>
            </w:r>
            <w:r>
              <w:rPr>
                <w:sz w:val="20"/>
              </w:rPr>
              <w:br/>
            </w:r>
            <w:r>
              <w:rPr>
                <w:sz w:val="20"/>
              </w:rPr>
              <w:br/>
              <w:t>64.00</w:t>
            </w:r>
          </w:p>
        </w:tc>
      </w:tr>
      <w:tr>
        <w:trPr>
          <w:cantSplit/>
        </w:trPr>
        <w:tc>
          <w:tcPr>
            <w:tcW w:w="567" w:type="dxa"/>
          </w:tcPr>
          <w:p>
            <w:pPr>
              <w:pStyle w:val="yTable"/>
              <w:rPr>
                <w:sz w:val="20"/>
              </w:rPr>
            </w:pPr>
            <w:r>
              <w:rPr>
                <w:sz w:val="20"/>
              </w:rPr>
              <w:t>6.</w:t>
            </w:r>
          </w:p>
        </w:tc>
        <w:tc>
          <w:tcPr>
            <w:tcW w:w="44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1800"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r>
              <w:rPr>
                <w:sz w:val="20"/>
              </w:rPr>
              <w:br/>
              <w:t>9.00</w:t>
            </w:r>
          </w:p>
          <w:p>
            <w:pPr>
              <w:pStyle w:val="yTable"/>
              <w:jc w:val="center"/>
              <w:rPr>
                <w:sz w:val="20"/>
              </w:rPr>
            </w:pPr>
            <w:r>
              <w:rPr>
                <w:sz w:val="20"/>
              </w:rPr>
              <w:br/>
              <w:t>1.15</w:t>
            </w:r>
          </w:p>
          <w:p>
            <w:pPr>
              <w:pStyle w:val="yTable"/>
              <w:jc w:val="center"/>
              <w:rPr>
                <w:sz w:val="20"/>
              </w:rPr>
            </w:pPr>
            <w:r>
              <w:rPr>
                <w:sz w:val="20"/>
              </w:rPr>
              <w:br/>
              <w:t>12.50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4429" w:type="dxa"/>
          </w:tcPr>
          <w:p>
            <w:pPr>
              <w:pStyle w:val="yTable"/>
              <w:tabs>
                <w:tab w:val="left" w:pos="176"/>
                <w:tab w:val="left" w:pos="601"/>
              </w:tabs>
              <w:ind w:left="601" w:hanging="601"/>
              <w:rPr>
                <w:sz w:val="20"/>
              </w:rPr>
            </w:pPr>
            <w:r>
              <w:rPr>
                <w:sz w:val="20"/>
              </w:rPr>
              <w:tab/>
              <w:t>(a)</w:t>
            </w:r>
            <w:r>
              <w:rPr>
                <w:sz w:val="20"/>
              </w:rPr>
              <w:tab/>
              <w:t xml:space="preserve">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 xml:space="preserve">for each copy of a transcript not in electronic format if a fee has been paid under paragraph (a) by the applicant for a copy of the transcript, for each page or part of a page </w:t>
            </w:r>
          </w:p>
        </w:tc>
        <w:tc>
          <w:tcPr>
            <w:tcW w:w="1800" w:type="dxa"/>
          </w:tcPr>
          <w:p>
            <w:pPr>
              <w:pStyle w:val="yTable"/>
              <w:jc w:val="center"/>
              <w:rPr>
                <w:sz w:val="20"/>
              </w:rPr>
            </w:pPr>
            <w:r>
              <w:rPr>
                <w:sz w:val="20"/>
              </w:rPr>
              <w:br/>
              <w:t>5.05</w:t>
            </w:r>
          </w:p>
          <w:p>
            <w:pPr>
              <w:pStyle w:val="yTable"/>
              <w:jc w:val="center"/>
              <w:rPr>
                <w:sz w:val="20"/>
              </w:rPr>
            </w:pPr>
            <w:r>
              <w:rPr>
                <w:sz w:val="20"/>
              </w:rPr>
              <w:br/>
            </w:r>
            <w:r>
              <w:rPr>
                <w:sz w:val="20"/>
              </w:rPr>
              <w:br/>
            </w:r>
            <w:r>
              <w:rPr>
                <w:sz w:val="20"/>
              </w:rPr>
              <w:br/>
            </w:r>
            <w:r>
              <w:rPr>
                <w:sz w:val="20"/>
              </w:rPr>
              <w:br/>
              <w:t>12.50</w:t>
            </w:r>
          </w:p>
          <w:p>
            <w:pPr>
              <w:pStyle w:val="yTable"/>
              <w:jc w:val="center"/>
              <w:rPr>
                <w:sz w:val="20"/>
              </w:rPr>
            </w:pPr>
            <w:r>
              <w:rPr>
                <w:sz w:val="20"/>
              </w:rPr>
              <w:br/>
            </w:r>
            <w:r>
              <w:rPr>
                <w:sz w:val="20"/>
              </w:rPr>
              <w:br/>
            </w:r>
            <w:r>
              <w:rPr>
                <w:sz w:val="20"/>
              </w:rPr>
              <w:br/>
              <w:t>1.50</w:t>
            </w:r>
          </w:p>
        </w:tc>
      </w:tr>
      <w:tr>
        <w:trPr>
          <w:cantSplit/>
        </w:trPr>
        <w:tc>
          <w:tcPr>
            <w:tcW w:w="6796"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$17.25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23" w:name="_Toc96756238"/>
      <w:bookmarkStart w:id="124" w:name="_Toc100634724"/>
      <w:r>
        <w:tab/>
        <w:t>[Division 1 amended in Gazette 23 Jun 2006 p. 2182; 26 Jun 2007 p. 3040</w:t>
      </w:r>
      <w:r>
        <w:noBreakHyphen/>
        <w:t>1; 27 Jun 2008 p. 3071; 4 Sep 2009 p. 3484.]</w:t>
      </w:r>
    </w:p>
    <w:p>
      <w:pPr>
        <w:pStyle w:val="yHeading3"/>
        <w:spacing w:after="240"/>
      </w:pPr>
      <w:bookmarkStart w:id="125" w:name="_Toc138836663"/>
      <w:bookmarkStart w:id="126" w:name="_Toc138836731"/>
      <w:bookmarkStart w:id="127" w:name="_Toc139270568"/>
      <w:bookmarkStart w:id="128" w:name="_Toc171051335"/>
      <w:bookmarkStart w:id="129" w:name="_Toc193167425"/>
      <w:bookmarkStart w:id="130" w:name="_Toc202585851"/>
      <w:bookmarkStart w:id="131" w:name="_Toc203278492"/>
      <w:bookmarkStart w:id="132" w:name="_Toc203278681"/>
      <w:bookmarkStart w:id="133" w:name="_Toc207427463"/>
      <w:bookmarkStart w:id="134" w:name="_Toc207512134"/>
      <w:bookmarkStart w:id="135" w:name="_Toc207513779"/>
      <w:bookmarkStart w:id="136" w:name="_Toc209501440"/>
      <w:bookmarkStart w:id="137" w:name="_Toc232308350"/>
      <w:bookmarkStart w:id="138" w:name="_Toc239753842"/>
      <w:r>
        <w:rPr>
          <w:rStyle w:val="CharSDivNo"/>
        </w:rPr>
        <w:t>Division 2</w:t>
      </w:r>
      <w:r>
        <w:rPr>
          <w:b w:val="0"/>
        </w:rPr>
        <w:t> — </w:t>
      </w:r>
      <w:r>
        <w:rPr>
          <w:rStyle w:val="CharSDivText"/>
        </w:rPr>
        <w:t>Civil jurisdiction</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tbl>
      <w:tblPr>
        <w:tblW w:w="0" w:type="auto"/>
        <w:tblInd w:w="136" w:type="dxa"/>
        <w:tblLayout w:type="fixed"/>
        <w:tblLook w:val="0000" w:firstRow="0" w:lastRow="0" w:firstColumn="0" w:lastColumn="0" w:noHBand="0" w:noVBand="0"/>
      </w:tblPr>
      <w:tblGrid>
        <w:gridCol w:w="212"/>
        <w:gridCol w:w="306"/>
        <w:gridCol w:w="414"/>
        <w:gridCol w:w="5040"/>
        <w:gridCol w:w="1088"/>
        <w:gridCol w:w="14"/>
      </w:tblGrid>
      <w:tr>
        <w:trPr>
          <w:gridAfter w:val="1"/>
          <w:wAfter w:w="14" w:type="dxa"/>
          <w:cantSplit/>
          <w:tblHeader/>
        </w:trPr>
        <w:tc>
          <w:tcPr>
            <w:tcW w:w="518" w:type="dxa"/>
            <w:gridSpan w:val="2"/>
            <w:tcBorders>
              <w:top w:val="single" w:sz="4" w:space="0" w:color="auto"/>
              <w:bottom w:val="single" w:sz="4" w:space="0" w:color="auto"/>
            </w:tcBorders>
          </w:tcPr>
          <w:p>
            <w:pPr>
              <w:pStyle w:val="yTable"/>
              <w:ind w:right="-108" w:hanging="80"/>
              <w:jc w:val="center"/>
              <w:rPr>
                <w:b/>
                <w:sz w:val="20"/>
              </w:rPr>
            </w:pPr>
            <w:r>
              <w:rPr>
                <w:b/>
                <w:sz w:val="20"/>
              </w:rPr>
              <w:t>Item</w:t>
            </w:r>
          </w:p>
        </w:tc>
        <w:tc>
          <w:tcPr>
            <w:tcW w:w="5454" w:type="dxa"/>
            <w:gridSpan w:val="2"/>
            <w:tcBorders>
              <w:top w:val="single" w:sz="4" w:space="0" w:color="auto"/>
              <w:bottom w:val="single" w:sz="4" w:space="0" w:color="auto"/>
            </w:tcBorders>
          </w:tcPr>
          <w:p>
            <w:pPr>
              <w:pStyle w:val="yTable"/>
              <w:jc w:val="center"/>
              <w:rPr>
                <w:b/>
                <w:sz w:val="20"/>
              </w:rPr>
            </w:pPr>
            <w:r>
              <w:rPr>
                <w:b/>
                <w:sz w:val="20"/>
              </w:rPr>
              <w:t>Matter</w:t>
            </w:r>
          </w:p>
        </w:tc>
        <w:tc>
          <w:tcPr>
            <w:tcW w:w="1088" w:type="dxa"/>
            <w:tcBorders>
              <w:top w:val="single" w:sz="4" w:space="0" w:color="auto"/>
              <w:bottom w:val="single" w:sz="4" w:space="0" w:color="auto"/>
            </w:tcBorders>
          </w:tcPr>
          <w:p>
            <w:pPr>
              <w:pStyle w:val="yTable"/>
              <w:ind w:left="-250"/>
              <w:jc w:val="center"/>
              <w:rPr>
                <w:b/>
                <w:sz w:val="20"/>
              </w:rPr>
            </w:pPr>
            <w:r>
              <w:rPr>
                <w:b/>
                <w:sz w:val="20"/>
              </w:rPr>
              <w:t>$</w:t>
            </w:r>
          </w:p>
        </w:tc>
      </w:tr>
      <w:tr>
        <w:trPr>
          <w:gridBefore w:val="1"/>
          <w:gridAfter w:val="1"/>
          <w:wBefore w:w="212" w:type="dxa"/>
          <w:wAfter w:w="14" w:type="dxa"/>
        </w:trPr>
        <w:tc>
          <w:tcPr>
            <w:tcW w:w="720" w:type="dxa"/>
            <w:gridSpan w:val="2"/>
          </w:tcPr>
          <w:p>
            <w:pPr>
              <w:pStyle w:val="yTable"/>
            </w:pPr>
            <w:r>
              <w:rPr>
                <w:sz w:val="20"/>
              </w:rPr>
              <w:t>1.</w:t>
            </w:r>
          </w:p>
        </w:tc>
        <w:tc>
          <w:tcPr>
            <w:tcW w:w="5040"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1088" w:type="dxa"/>
          </w:tcPr>
          <w:p>
            <w:pPr>
              <w:pStyle w:val="yTable"/>
            </w:pPr>
            <w:r>
              <w:rPr>
                <w:sz w:val="20"/>
              </w:rPr>
              <w:br/>
              <w:t>74.50</w:t>
            </w:r>
          </w:p>
        </w:tc>
      </w:tr>
      <w:tr>
        <w:trPr>
          <w:gridBefore w:val="1"/>
          <w:gridAfter w:val="1"/>
          <w:wBefore w:w="212" w:type="dxa"/>
          <w:wAfter w:w="14" w:type="dxa"/>
        </w:trPr>
        <w:tc>
          <w:tcPr>
            <w:tcW w:w="720" w:type="dxa"/>
            <w:gridSpan w:val="2"/>
          </w:tcPr>
          <w:p>
            <w:pPr>
              <w:pStyle w:val="yTable"/>
            </w:pPr>
            <w:r>
              <w:rPr>
                <w:sz w:val="20"/>
              </w:rPr>
              <w:t>2.</w:t>
            </w:r>
          </w:p>
        </w:tc>
        <w:tc>
          <w:tcPr>
            <w:tcW w:w="5040" w:type="dxa"/>
          </w:tcPr>
          <w:p>
            <w:pPr>
              <w:pStyle w:val="yTable"/>
            </w:pPr>
            <w:r>
              <w:rPr>
                <w:sz w:val="20"/>
              </w:rPr>
              <w:t xml:space="preserve">On the execution of an arrest warrant of any kind — </w:t>
            </w:r>
          </w:p>
        </w:tc>
        <w:tc>
          <w:tcPr>
            <w:tcW w:w="1088" w:type="dxa"/>
          </w:tcPr>
          <w:p>
            <w:pPr>
              <w:pStyle w:val="yTable"/>
            </w:pP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(a)</w:t>
            </w:r>
            <w:r>
              <w:rPr>
                <w:sz w:val="20"/>
              </w:rPr>
              <w:tab/>
              <w:t>for arresting the person ...............................................</w:t>
            </w:r>
          </w:p>
        </w:tc>
        <w:tc>
          <w:tcPr>
            <w:tcW w:w="1088" w:type="dxa"/>
          </w:tcPr>
          <w:p>
            <w:pPr>
              <w:pStyle w:val="yTable"/>
            </w:pPr>
            <w:r>
              <w:rPr>
                <w:sz w:val="20"/>
              </w:rPr>
              <w:t>81.50</w:t>
            </w: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1088" w:type="dxa"/>
          </w:tcPr>
          <w:p>
            <w:pPr>
              <w:pStyle w:val="yTable"/>
            </w:pPr>
            <w:r>
              <w:rPr>
                <w:sz w:val="20"/>
              </w:rPr>
              <w:br/>
              <w:t>81.50</w:t>
            </w: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1088" w:type="dxa"/>
          </w:tcPr>
          <w:p>
            <w:pPr>
              <w:pStyle w:val="yTable"/>
            </w:pPr>
            <w:r>
              <w:rPr>
                <w:sz w:val="20"/>
              </w:rPr>
              <w:br/>
            </w:r>
            <w:r>
              <w:rPr>
                <w:sz w:val="20"/>
              </w:rPr>
              <w:br/>
            </w:r>
            <w:r>
              <w:rPr>
                <w:sz w:val="20"/>
              </w:rPr>
              <w:br/>
              <w:t>21.50</w:t>
            </w:r>
          </w:p>
        </w:tc>
      </w:tr>
      <w:tr>
        <w:trPr>
          <w:gridBefore w:val="1"/>
          <w:gridAfter w:val="1"/>
          <w:wBefore w:w="212" w:type="dxa"/>
          <w:wAfter w:w="14" w:type="dxa"/>
          <w:cantSplit/>
        </w:trPr>
        <w:tc>
          <w:tcPr>
            <w:tcW w:w="6848" w:type="dxa"/>
            <w:gridSpan w:val="4"/>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Before w:val="1"/>
          <w:gridAfter w:val="1"/>
          <w:wBefore w:w="212" w:type="dxa"/>
          <w:wAfter w:w="14" w:type="dxa"/>
          <w:cantSplit/>
        </w:trPr>
        <w:tc>
          <w:tcPr>
            <w:tcW w:w="6848" w:type="dxa"/>
            <w:gridSpan w:val="4"/>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gridBefore w:val="1"/>
          <w:wBefore w:w="212" w:type="dxa"/>
          <w:cantSplit/>
        </w:trPr>
        <w:tc>
          <w:tcPr>
            <w:tcW w:w="720" w:type="dxa"/>
            <w:gridSpan w:val="2"/>
            <w:tcBorders>
              <w:bottom w:val="single" w:sz="4" w:space="0" w:color="auto"/>
            </w:tcBorders>
          </w:tcPr>
          <w:p>
            <w:pPr>
              <w:pStyle w:val="yTable"/>
              <w:rPr>
                <w:sz w:val="20"/>
              </w:rPr>
            </w:pPr>
            <w:r>
              <w:rPr>
                <w:sz w:val="20"/>
              </w:rPr>
              <w:t>3.</w:t>
            </w:r>
          </w:p>
        </w:tc>
        <w:tc>
          <w:tcPr>
            <w:tcW w:w="5040" w:type="dxa"/>
            <w:tcBorders>
              <w:bottom w:val="single" w:sz="4" w:space="0" w:color="auto"/>
            </w:tcBorders>
          </w:tcPr>
          <w:p>
            <w:pPr>
              <w:pStyle w:val="yTable"/>
              <w:spacing w:after="20"/>
              <w:ind w:right="-28"/>
              <w:rPr>
                <w:sz w:val="20"/>
              </w:rPr>
            </w:pPr>
            <w:r>
              <w:rPr>
                <w:sz w:val="20"/>
              </w:rPr>
              <w:t>For an application for an extraordinary drivers licence .........</w:t>
            </w:r>
          </w:p>
        </w:tc>
        <w:tc>
          <w:tcPr>
            <w:tcW w:w="1102" w:type="dxa"/>
            <w:gridSpan w:val="2"/>
            <w:tcBorders>
              <w:bottom w:val="single" w:sz="4" w:space="0" w:color="auto"/>
            </w:tcBorders>
          </w:tcPr>
          <w:p>
            <w:pPr>
              <w:pStyle w:val="yTable"/>
              <w:jc w:val="center"/>
              <w:rPr>
                <w:sz w:val="20"/>
              </w:rPr>
            </w:pPr>
            <w:r>
              <w:rPr>
                <w:sz w:val="20"/>
              </w:rPr>
              <w:t>155.00</w:t>
            </w:r>
          </w:p>
        </w:tc>
      </w:tr>
    </w:tbl>
    <w:p>
      <w:pPr>
        <w:pStyle w:val="yFootnotesection"/>
      </w:pPr>
      <w:bookmarkStart w:id="139" w:name="_Toc96756239"/>
      <w:bookmarkStart w:id="140" w:name="_Toc100634725"/>
      <w:r>
        <w:tab/>
        <w:t>[Division 2 amended in Gazette 30 Aug 2005 p. 4054; 23 Jun 2006 p. 2183; 26 Jun 2007 p. 3041; 27 Jun 2008 p. 3071; 9 Jun 2009 p. 1925; 4 Sep 2009 p. 3484-5.]</w:t>
      </w:r>
    </w:p>
    <w:p>
      <w:pPr>
        <w:pStyle w:val="yHeading3"/>
        <w:keepLines/>
        <w:pageBreakBefore/>
        <w:spacing w:after="240"/>
      </w:pPr>
      <w:bookmarkStart w:id="141" w:name="_Toc138836664"/>
      <w:bookmarkStart w:id="142" w:name="_Toc138836732"/>
      <w:bookmarkStart w:id="143" w:name="_Toc139270569"/>
      <w:bookmarkStart w:id="144" w:name="_Toc171051336"/>
      <w:bookmarkStart w:id="145" w:name="_Toc193167426"/>
      <w:bookmarkStart w:id="146" w:name="_Toc202585852"/>
      <w:bookmarkStart w:id="147" w:name="_Toc203278493"/>
      <w:bookmarkStart w:id="148" w:name="_Toc203278682"/>
      <w:bookmarkStart w:id="149" w:name="_Toc207427464"/>
      <w:bookmarkStart w:id="150" w:name="_Toc207512135"/>
      <w:bookmarkStart w:id="151" w:name="_Toc207513780"/>
      <w:bookmarkStart w:id="152" w:name="_Toc209501441"/>
      <w:bookmarkStart w:id="153" w:name="_Toc232308351"/>
      <w:bookmarkStart w:id="154" w:name="_Toc239753843"/>
      <w:r>
        <w:rPr>
          <w:rStyle w:val="CharSDivNo"/>
        </w:rPr>
        <w:t>Division 3</w:t>
      </w:r>
      <w:r>
        <w:rPr>
          <w:b w:val="0"/>
        </w:rPr>
        <w:t> — </w:t>
      </w:r>
      <w:r>
        <w:rPr>
          <w:rStyle w:val="CharSDivText"/>
        </w:rPr>
        <w:t>Criminal jurisdiction</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tbl>
      <w:tblPr>
        <w:tblW w:w="0" w:type="auto"/>
        <w:tblInd w:w="392" w:type="dxa"/>
        <w:tblLayout w:type="fixed"/>
        <w:tblLook w:val="0000" w:firstRow="0" w:lastRow="0" w:firstColumn="0" w:lastColumn="0" w:noHBand="0" w:noVBand="0"/>
      </w:tblPr>
      <w:tblGrid>
        <w:gridCol w:w="850"/>
        <w:gridCol w:w="4866"/>
        <w:gridCol w:w="1088"/>
      </w:tblGrid>
      <w:tr>
        <w:trPr>
          <w:cantSplit/>
          <w:tblHeader/>
        </w:trPr>
        <w:tc>
          <w:tcPr>
            <w:tcW w:w="850"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4866" w:type="dxa"/>
            <w:tcBorders>
              <w:top w:val="single" w:sz="4" w:space="0" w:color="auto"/>
              <w:bottom w:val="single" w:sz="4" w:space="0" w:color="auto"/>
            </w:tcBorders>
          </w:tcPr>
          <w:p>
            <w:pPr>
              <w:pStyle w:val="yTable"/>
              <w:keepNext/>
              <w:keepLines/>
              <w:jc w:val="center"/>
              <w:rPr>
                <w:b/>
                <w:sz w:val="20"/>
              </w:rPr>
            </w:pPr>
            <w:r>
              <w:rPr>
                <w:b/>
                <w:sz w:val="20"/>
              </w:rPr>
              <w:t>Matter</w:t>
            </w:r>
          </w:p>
        </w:tc>
        <w:tc>
          <w:tcPr>
            <w:tcW w:w="1088"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866" w:type="dxa"/>
          </w:tcPr>
          <w:p>
            <w:pPr>
              <w:pStyle w:val="yTable"/>
              <w:keepNext/>
              <w:keepLines/>
              <w:rPr>
                <w:sz w:val="20"/>
              </w:rPr>
            </w:pPr>
            <w:r>
              <w:rPr>
                <w:sz w:val="20"/>
              </w:rPr>
              <w:t xml:space="preserve">On filing — </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(a)</w:t>
            </w:r>
            <w:r>
              <w:rPr>
                <w:sz w:val="20"/>
              </w:rPr>
              <w:tab/>
              <w:t>a prosecution notice;</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088" w:type="dxa"/>
          </w:tcPr>
          <w:p>
            <w:pPr>
              <w:pStyle w:val="yTable"/>
              <w:keepNext/>
              <w:keepLines/>
              <w:jc w:val="center"/>
              <w:rPr>
                <w:sz w:val="20"/>
              </w:rPr>
            </w:pPr>
            <w:r>
              <w:rPr>
                <w:sz w:val="20"/>
              </w:rPr>
              <w:br/>
              <w:t>62.50</w:t>
            </w:r>
          </w:p>
        </w:tc>
      </w:tr>
      <w:tr>
        <w:trPr>
          <w:cantSplit/>
        </w:trPr>
        <w:tc>
          <w:tcPr>
            <w:tcW w:w="850" w:type="dxa"/>
          </w:tcPr>
          <w:p>
            <w:pPr>
              <w:pStyle w:val="yTable"/>
              <w:jc w:val="center"/>
              <w:rPr>
                <w:sz w:val="20"/>
              </w:rPr>
            </w:pPr>
            <w:r>
              <w:rPr>
                <w:sz w:val="20"/>
              </w:rPr>
              <w:t>2.</w:t>
            </w:r>
          </w:p>
        </w:tc>
        <w:tc>
          <w:tcPr>
            <w:tcW w:w="4866" w:type="dxa"/>
          </w:tcPr>
          <w:p>
            <w:pPr>
              <w:pStyle w:val="yTable"/>
              <w:rPr>
                <w:sz w:val="20"/>
              </w:rPr>
            </w:pPr>
            <w:r>
              <w:rPr>
                <w:sz w:val="20"/>
              </w:rPr>
              <w:t>For the issue of a summons or court hearing notice to an accused ...............................................................................</w:t>
            </w:r>
          </w:p>
        </w:tc>
        <w:tc>
          <w:tcPr>
            <w:tcW w:w="1088" w:type="dxa"/>
          </w:tcPr>
          <w:p>
            <w:pPr>
              <w:pStyle w:val="yTable"/>
              <w:jc w:val="center"/>
              <w:rPr>
                <w:sz w:val="20"/>
              </w:rPr>
            </w:pPr>
            <w:r>
              <w:rPr>
                <w:sz w:val="20"/>
              </w:rPr>
              <w:br/>
              <w:t>12.00</w:t>
            </w:r>
          </w:p>
        </w:tc>
      </w:tr>
      <w:tr>
        <w:trPr>
          <w:cantSplit/>
        </w:trPr>
        <w:tc>
          <w:tcPr>
            <w:tcW w:w="850" w:type="dxa"/>
            <w:tcBorders>
              <w:bottom w:val="single" w:sz="4" w:space="0" w:color="auto"/>
            </w:tcBorders>
          </w:tcPr>
          <w:p>
            <w:pPr>
              <w:pStyle w:val="yTable"/>
              <w:jc w:val="center"/>
              <w:rPr>
                <w:sz w:val="20"/>
              </w:rPr>
            </w:pPr>
            <w:r>
              <w:rPr>
                <w:sz w:val="20"/>
              </w:rPr>
              <w:t>3.</w:t>
            </w:r>
          </w:p>
        </w:tc>
        <w:tc>
          <w:tcPr>
            <w:tcW w:w="4866"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088" w:type="dxa"/>
            <w:tcBorders>
              <w:bottom w:val="single" w:sz="4" w:space="0" w:color="auto"/>
            </w:tcBorders>
          </w:tcPr>
          <w:p>
            <w:pPr>
              <w:pStyle w:val="yTable"/>
              <w:jc w:val="center"/>
              <w:rPr>
                <w:sz w:val="20"/>
              </w:rPr>
            </w:pPr>
          </w:p>
          <w:p>
            <w:pPr>
              <w:pStyle w:val="yTable"/>
              <w:jc w:val="center"/>
              <w:rPr>
                <w:sz w:val="20"/>
              </w:rPr>
            </w:pPr>
            <w:r>
              <w:rPr>
                <w:sz w:val="20"/>
              </w:rPr>
              <w:t>62.50</w:t>
            </w:r>
          </w:p>
          <w:p>
            <w:pPr>
              <w:pStyle w:val="yTable"/>
              <w:jc w:val="center"/>
              <w:rPr>
                <w:sz w:val="20"/>
              </w:rPr>
            </w:pPr>
            <w:r>
              <w:rPr>
                <w:sz w:val="20"/>
              </w:rPr>
              <w:t>81.50</w:t>
            </w:r>
          </w:p>
        </w:tc>
      </w:tr>
    </w:tbl>
    <w:p>
      <w:pPr>
        <w:pStyle w:val="yFootnotesection"/>
      </w:pPr>
      <w:bookmarkStart w:id="155" w:name="_Toc100634726"/>
      <w:r>
        <w:tab/>
        <w:t>[Division 3 amended in Gazette 23 Jun 2006 p. 2183; 26 Jun 2007 p. 3041; 27 Jun 2008 p. 3072; 4 Sep 2009 p. 3484</w:t>
      </w:r>
      <w:r>
        <w:noBreakHyphen/>
        <w:t>5.]</w:t>
      </w:r>
    </w:p>
    <w:p>
      <w:pPr>
        <w:pStyle w:val="yScheduleHeading"/>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156" w:name="_Toc138836665"/>
      <w:bookmarkStart w:id="157" w:name="_Toc138836733"/>
      <w:bookmarkStart w:id="158" w:name="_Toc139270570"/>
      <w:bookmarkStart w:id="159" w:name="_Toc171051337"/>
    </w:p>
    <w:p>
      <w:pPr>
        <w:pStyle w:val="yScheduleHeading"/>
      </w:pPr>
      <w:bookmarkStart w:id="160" w:name="_Toc193167427"/>
      <w:bookmarkStart w:id="161" w:name="_Toc202585853"/>
      <w:bookmarkStart w:id="162" w:name="_Toc203278494"/>
      <w:bookmarkStart w:id="163" w:name="_Toc203278683"/>
      <w:bookmarkStart w:id="164" w:name="_Toc207427465"/>
      <w:bookmarkStart w:id="165" w:name="_Toc207512136"/>
      <w:bookmarkStart w:id="166" w:name="_Toc207513781"/>
      <w:bookmarkStart w:id="167" w:name="_Toc209501442"/>
      <w:bookmarkStart w:id="168" w:name="_Toc232308352"/>
      <w:bookmarkStart w:id="169" w:name="_Toc239753844"/>
      <w:r>
        <w:rPr>
          <w:rStyle w:val="CharSchNo"/>
        </w:rPr>
        <w:t>Schedule 2</w:t>
      </w:r>
      <w:r>
        <w:rPr>
          <w:rStyle w:val="CharSDivNo"/>
        </w:rPr>
        <w:t> </w:t>
      </w:r>
      <w:r>
        <w:t>—</w:t>
      </w:r>
      <w:r>
        <w:rPr>
          <w:rStyle w:val="CharSDivText"/>
        </w:rPr>
        <w:t> </w:t>
      </w:r>
      <w:r>
        <w:rPr>
          <w:rStyle w:val="CharSchText"/>
        </w:rPr>
        <w:t>Forms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yShoulderClause"/>
      </w:pPr>
      <w:r>
        <w:t>[r. 8(6), 10(2)]</w:t>
      </w:r>
    </w:p>
    <w:p>
      <w:pPr>
        <w:pStyle w:val="yHeading5"/>
        <w:spacing w:after="120"/>
      </w:pPr>
      <w:bookmarkStart w:id="170" w:name="_Toc96398511"/>
      <w:bookmarkStart w:id="171" w:name="_Toc100634727"/>
      <w:bookmarkStart w:id="172" w:name="_Toc138836666"/>
      <w:bookmarkStart w:id="173" w:name="_Toc207512137"/>
      <w:bookmarkStart w:id="174" w:name="_Toc239753845"/>
      <w:r>
        <w:t>1.</w:t>
      </w:r>
      <w:r>
        <w:tab/>
        <w:t>Application to remit fees</w:t>
      </w:r>
      <w:bookmarkEnd w:id="170"/>
      <w:bookmarkEnd w:id="171"/>
      <w:bookmarkEnd w:id="172"/>
      <w:bookmarkEnd w:id="173"/>
      <w:bookmarkEnd w:id="17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6804" w:type="dxa"/>
            <w:gridSpan w:val="7"/>
          </w:tcPr>
          <w:p>
            <w:pPr>
              <w:pStyle w:val="yTable"/>
            </w:pPr>
            <w:r>
              <w:t>I am unemployed/ a pensioner* and registered with the Department of Social Security at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keepNext/>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175" w:name="_Toc97609776"/>
      <w:bookmarkStart w:id="176" w:name="_Toc100634728"/>
      <w:bookmarkStart w:id="177" w:name="_Toc138836667"/>
      <w:bookmarkStart w:id="178" w:name="_Toc207512138"/>
      <w:bookmarkStart w:id="179" w:name="_Toc239753846"/>
      <w:r>
        <w:t>2.</w:t>
      </w:r>
      <w:r>
        <w:tab/>
        <w:t>Application for determination of dispute about fees</w:t>
      </w:r>
      <w:bookmarkEnd w:id="175"/>
      <w:bookmarkEnd w:id="176"/>
      <w:bookmarkEnd w:id="177"/>
      <w:bookmarkEnd w:id="178"/>
      <w:bookmarkEnd w:id="17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r>
              <w:rPr>
                <w:b/>
                <w:bCs/>
              </w:rPr>
              <w:t>Respondent:</w:t>
            </w:r>
            <w:r>
              <w:t xml:space="preserve"> ..............................................................................................</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180" w:name="_Toc102453637"/>
      <w:bookmarkStart w:id="181" w:name="_Toc102453907"/>
      <w:bookmarkStart w:id="182" w:name="_Toc113162208"/>
      <w:bookmarkStart w:id="183" w:name="_Toc138836668"/>
      <w:bookmarkStart w:id="184" w:name="_Toc138836736"/>
      <w:bookmarkStart w:id="185" w:name="_Toc139270573"/>
      <w:bookmarkStart w:id="186" w:name="_Toc171051340"/>
      <w:bookmarkStart w:id="187" w:name="_Toc193167430"/>
      <w:bookmarkStart w:id="188" w:name="_Toc202585856"/>
      <w:bookmarkStart w:id="189" w:name="_Toc203278497"/>
      <w:bookmarkStart w:id="190" w:name="_Toc203278686"/>
      <w:bookmarkStart w:id="191" w:name="_Toc207427468"/>
      <w:bookmarkStart w:id="192" w:name="_Toc207512139"/>
      <w:bookmarkStart w:id="193" w:name="_Toc207513784"/>
      <w:bookmarkStart w:id="194" w:name="_Toc209501445"/>
      <w:bookmarkStart w:id="195" w:name="_Toc232308355"/>
      <w:bookmarkStart w:id="196" w:name="_Toc239753847"/>
      <w:r>
        <w:t>Notes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97" w:name="_Toc239753848"/>
      <w:r>
        <w:t>Compilation table</w:t>
      </w:r>
      <w:bookmarkEnd w:id="1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Children’s Court (Fees) Regulations 2005</w:t>
            </w:r>
          </w:p>
        </w:tc>
        <w:tc>
          <w:tcPr>
            <w:tcW w:w="1276" w:type="dxa"/>
            <w:tcBorders>
              <w:top w:val="single" w:sz="8" w:space="0" w:color="auto"/>
            </w:tcBorders>
          </w:tcPr>
          <w:p>
            <w:pPr>
              <w:pStyle w:val="nTable"/>
              <w:spacing w:after="40"/>
              <w:rPr>
                <w:sz w:val="19"/>
              </w:rPr>
            </w:pPr>
            <w:r>
              <w:rPr>
                <w:sz w:val="19"/>
              </w:rPr>
              <w:t>28 Apr 2005 p. 1415</w:t>
            </w:r>
            <w:r>
              <w:rPr>
                <w:sz w:val="19"/>
              </w:rPr>
              <w:noBreakHyphen/>
              <w:t>33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spacing w:after="40"/>
              <w:rPr>
                <w:i/>
                <w:sz w:val="19"/>
              </w:rPr>
            </w:pPr>
            <w:r>
              <w:rPr>
                <w:i/>
                <w:sz w:val="19"/>
              </w:rPr>
              <w:t>Children’s Court (Fees) Amendment Regulations 2005</w:t>
            </w:r>
          </w:p>
        </w:tc>
        <w:tc>
          <w:tcPr>
            <w:tcW w:w="1276" w:type="dxa"/>
          </w:tcPr>
          <w:p>
            <w:pPr>
              <w:pStyle w:val="nTable"/>
              <w:spacing w:after="40"/>
              <w:rPr>
                <w:sz w:val="19"/>
              </w:rPr>
            </w:pPr>
            <w:r>
              <w:rPr>
                <w:sz w:val="19"/>
              </w:rPr>
              <w:t>30 Aug 2005 p. 4054</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Children’s Court (Fees) Amendment Regulations 2006</w:t>
            </w:r>
          </w:p>
        </w:tc>
        <w:tc>
          <w:tcPr>
            <w:tcW w:w="1276" w:type="dxa"/>
          </w:tcPr>
          <w:p>
            <w:pPr>
              <w:pStyle w:val="nTable"/>
              <w:spacing w:after="40"/>
              <w:rPr>
                <w:sz w:val="19"/>
              </w:rPr>
            </w:pPr>
            <w:r>
              <w:rPr>
                <w:sz w:val="19"/>
              </w:rPr>
              <w:t>23 Jun 2006 p. 2181</w:t>
            </w:r>
            <w:r>
              <w:rPr>
                <w:sz w:val="19"/>
              </w:rPr>
              <w:noBreakHyphen/>
              <w:t>3</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Children’s Court (Fees) Amendment Regulations 2007</w:t>
            </w:r>
          </w:p>
        </w:tc>
        <w:tc>
          <w:tcPr>
            <w:tcW w:w="1276" w:type="dxa"/>
          </w:tcPr>
          <w:p>
            <w:pPr>
              <w:pStyle w:val="nTable"/>
              <w:spacing w:after="40"/>
              <w:rPr>
                <w:sz w:val="19"/>
              </w:rPr>
            </w:pPr>
            <w:r>
              <w:rPr>
                <w:sz w:val="19"/>
              </w:rPr>
              <w:t>26 Jun 2007 p. 3040</w:t>
            </w:r>
            <w:r>
              <w:rPr>
                <w:sz w:val="19"/>
              </w:rPr>
              <w:noBreakHyphen/>
              <w:t>1</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Children’s Court (Fees) Amendment Regulations 2008</w:t>
            </w:r>
          </w:p>
        </w:tc>
        <w:tc>
          <w:tcPr>
            <w:tcW w:w="1276" w:type="dxa"/>
          </w:tcPr>
          <w:p>
            <w:pPr>
              <w:pStyle w:val="nTable"/>
              <w:spacing w:after="40"/>
              <w:rPr>
                <w:sz w:val="19"/>
              </w:rPr>
            </w:pPr>
            <w:r>
              <w:rPr>
                <w:sz w:val="19"/>
              </w:rPr>
              <w:t>11 Mar 2008 p. 817</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c>
          <w:tcPr>
            <w:tcW w:w="3118" w:type="dxa"/>
          </w:tcPr>
          <w:p>
            <w:pPr>
              <w:pStyle w:val="nTable"/>
              <w:spacing w:after="40"/>
              <w:rPr>
                <w:i/>
                <w:sz w:val="19"/>
              </w:rPr>
            </w:pPr>
            <w:r>
              <w:rPr>
                <w:i/>
                <w:sz w:val="19"/>
              </w:rPr>
              <w:t>Children’s Court (Fees) Amendment Regulations (No. 2) 2008</w:t>
            </w:r>
          </w:p>
        </w:tc>
        <w:tc>
          <w:tcPr>
            <w:tcW w:w="1276" w:type="dxa"/>
          </w:tcPr>
          <w:p>
            <w:pPr>
              <w:pStyle w:val="nTable"/>
              <w:spacing w:after="40"/>
              <w:rPr>
                <w:sz w:val="19"/>
              </w:rPr>
            </w:pPr>
            <w:r>
              <w:rPr>
                <w:sz w:val="19"/>
              </w:rPr>
              <w:t>27 Jun 2008 p. 3070</w:t>
            </w:r>
            <w:r>
              <w:rPr>
                <w:sz w:val="19"/>
              </w:rPr>
              <w:noBreakHyphen/>
              <w:t>2</w:t>
            </w:r>
          </w:p>
        </w:tc>
        <w:tc>
          <w:tcPr>
            <w:tcW w:w="2693" w:type="dxa"/>
          </w:tcPr>
          <w:p>
            <w:pPr>
              <w:pStyle w:val="nTable"/>
              <w:spacing w:after="40"/>
              <w:rPr>
                <w:snapToGrid w:val="0"/>
                <w:sz w:val="19"/>
                <w:lang w:val="en-US"/>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Children’s Court (Fees) Regulations 2005</w:t>
            </w:r>
            <w:r>
              <w:rPr>
                <w:b/>
                <w:bCs/>
                <w:snapToGrid w:val="0"/>
                <w:sz w:val="19"/>
                <w:lang w:val="en-US"/>
              </w:rPr>
              <w:t xml:space="preserve"> as at 5 Sep 2008</w:t>
            </w:r>
            <w:r>
              <w:rPr>
                <w:b/>
                <w:bCs/>
                <w:snapToGrid w:val="0"/>
                <w:sz w:val="19"/>
                <w:lang w:val="en-US"/>
              </w:rPr>
              <w:br/>
            </w:r>
            <w:r>
              <w:rPr>
                <w:snapToGrid w:val="0"/>
                <w:sz w:val="19"/>
                <w:lang w:val="en-US"/>
              </w:rPr>
              <w:t>(includes amendments listed above)</w:t>
            </w:r>
          </w:p>
        </w:tc>
      </w:tr>
      <w:tr>
        <w:tc>
          <w:tcPr>
            <w:tcW w:w="3118" w:type="dxa"/>
          </w:tcPr>
          <w:p>
            <w:pPr>
              <w:pStyle w:val="nTable"/>
              <w:spacing w:after="40"/>
              <w:rPr>
                <w:i/>
                <w:sz w:val="19"/>
              </w:rPr>
            </w:pPr>
            <w:r>
              <w:rPr>
                <w:i/>
                <w:sz w:val="19"/>
              </w:rPr>
              <w:t>Children’s Court (Fees) Amendment Regulations 2009</w:t>
            </w:r>
          </w:p>
        </w:tc>
        <w:tc>
          <w:tcPr>
            <w:tcW w:w="1276" w:type="dxa"/>
          </w:tcPr>
          <w:p>
            <w:pPr>
              <w:pStyle w:val="nTable"/>
              <w:spacing w:after="40"/>
              <w:rPr>
                <w:sz w:val="19"/>
              </w:rPr>
            </w:pPr>
            <w:r>
              <w:rPr>
                <w:sz w:val="19"/>
              </w:rPr>
              <w:t>9 Jun 2009 p. 1925</w:t>
            </w:r>
          </w:p>
        </w:tc>
        <w:tc>
          <w:tcPr>
            <w:tcW w:w="2693" w:type="dxa"/>
          </w:tcPr>
          <w:p>
            <w:pPr>
              <w:pStyle w:val="nTable"/>
              <w:spacing w:after="40"/>
              <w:rPr>
                <w:sz w:val="19"/>
              </w:rPr>
            </w:pPr>
            <w:r>
              <w:rPr>
                <w:snapToGrid w:val="0"/>
                <w:sz w:val="19"/>
                <w:lang w:val="en-US"/>
              </w:rPr>
              <w:t>r. 1 and 2: 9 Jun 2009 (see r. 2(a));</w:t>
            </w:r>
            <w:r>
              <w:rPr>
                <w:snapToGrid w:val="0"/>
                <w:sz w:val="19"/>
                <w:lang w:val="en-US"/>
              </w:rPr>
              <w:br/>
              <w:t>Regulations other than r. 1 and 2: 10 Jun 2009 (see r. 2(b))</w:t>
            </w:r>
          </w:p>
        </w:tc>
      </w:tr>
      <w:tr>
        <w:tc>
          <w:tcPr>
            <w:tcW w:w="3118" w:type="dxa"/>
            <w:tcBorders>
              <w:bottom w:val="single" w:sz="4" w:space="0" w:color="auto"/>
            </w:tcBorders>
          </w:tcPr>
          <w:p>
            <w:pPr>
              <w:pStyle w:val="nTable"/>
              <w:spacing w:after="40"/>
              <w:rPr>
                <w:i/>
                <w:sz w:val="19"/>
              </w:rPr>
            </w:pPr>
            <w:r>
              <w:rPr>
                <w:i/>
                <w:sz w:val="19"/>
              </w:rPr>
              <w:t>Children’s Court (Fees) Amendment Regulations (No. 2) 2009</w:t>
            </w:r>
          </w:p>
        </w:tc>
        <w:tc>
          <w:tcPr>
            <w:tcW w:w="1276" w:type="dxa"/>
            <w:tcBorders>
              <w:bottom w:val="single" w:sz="4" w:space="0" w:color="auto"/>
            </w:tcBorders>
          </w:tcPr>
          <w:p>
            <w:pPr>
              <w:pStyle w:val="nTable"/>
              <w:spacing w:after="40"/>
              <w:rPr>
                <w:sz w:val="19"/>
              </w:rPr>
            </w:pPr>
            <w:r>
              <w:rPr>
                <w:sz w:val="19"/>
              </w:rPr>
              <w:t>4 Sep 2009 p. 3483-5</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98" w:name="_Toc203278688"/>
      <w:bookmarkStart w:id="199" w:name="_Toc207427470"/>
      <w:bookmarkStart w:id="200" w:name="_Toc207512141"/>
      <w:bookmarkStart w:id="201" w:name="_Toc207513786"/>
      <w:bookmarkStart w:id="202" w:name="_Toc209501447"/>
      <w:bookmarkStart w:id="203" w:name="_Toc232308357"/>
      <w:bookmarkStart w:id="204" w:name="_Toc239753849"/>
      <w:r>
        <w:rPr>
          <w:sz w:val="28"/>
        </w:rPr>
        <w:t>Defined Terms</w:t>
      </w:r>
      <w:bookmarkEnd w:id="198"/>
      <w:bookmarkEnd w:id="199"/>
      <w:bookmarkEnd w:id="200"/>
      <w:bookmarkEnd w:id="201"/>
      <w:bookmarkEnd w:id="202"/>
      <w:bookmarkEnd w:id="203"/>
      <w:bookmarkEnd w:id="2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5" w:name="DefinedTerms"/>
      <w:bookmarkEnd w:id="205"/>
      <w:r>
        <w:t>civil jurisdiction</w:t>
      </w:r>
      <w:r>
        <w:tab/>
        <w:t>3</w:t>
      </w:r>
    </w:p>
    <w:p>
      <w:pPr>
        <w:pStyle w:val="DefinedTerms"/>
      </w:pPr>
      <w:r>
        <w:t>criminal jurisdiction</w:t>
      </w:r>
      <w:r>
        <w:tab/>
        <w:t>3</w:t>
      </w:r>
    </w:p>
    <w:p>
      <w:pPr>
        <w:pStyle w:val="DefinedTerms"/>
      </w:pPr>
      <w:r>
        <w:t>deputy registrar</w:t>
      </w:r>
      <w:r>
        <w:tab/>
        <w:t>3</w:t>
      </w:r>
    </w:p>
    <w:p>
      <w:pPr>
        <w:pStyle w:val="DefinedTerms"/>
      </w:pPr>
      <w:r>
        <w:t>enforcement officer</w:t>
      </w:r>
      <w:r>
        <w:tab/>
        <w:t>3</w:t>
      </w:r>
    </w:p>
    <w:p>
      <w:pPr>
        <w:pStyle w:val="DefinedTerms"/>
      </w:pPr>
      <w:r>
        <w:t>Form</w:t>
      </w:r>
      <w:r>
        <w:tab/>
        <w:t>3</w:t>
      </w:r>
    </w:p>
    <w:p>
      <w:pPr>
        <w:pStyle w:val="DefinedTerms"/>
      </w:pPr>
      <w:r>
        <w:t>prosecution notice</w:t>
      </w:r>
      <w:r>
        <w:tab/>
        <w:t>3</w:t>
      </w:r>
    </w:p>
    <w:p>
      <w:pPr>
        <w:pStyle w:val="DefinedTerms"/>
      </w:pPr>
      <w:r>
        <w:t>respondent</w:t>
      </w:r>
      <w:r>
        <w:tab/>
        <w:t>6(2)</w:t>
      </w:r>
    </w:p>
    <w:p>
      <w:pPr>
        <w:pStyle w:val="DefinedTerms"/>
      </w:pPr>
    </w:p>
    <w:p>
      <w:pPr>
        <w:pStyle w:val="DefinedTerms"/>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bookmarkStart w:id="206" w:name="UpToHere"/>
      <w:bookmarkEnd w:id="206"/>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E645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9E1F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0761C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E40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F09E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0833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360FF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F904D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2629E4"/>
    <w:lvl w:ilvl="0">
      <w:start w:val="1"/>
      <w:numFmt w:val="decimal"/>
      <w:pStyle w:val="ListNumber"/>
      <w:lvlText w:val="%1."/>
      <w:lvlJc w:val="left"/>
      <w:pPr>
        <w:tabs>
          <w:tab w:val="num" w:pos="360"/>
        </w:tabs>
        <w:ind w:left="360" w:hanging="360"/>
      </w:pPr>
    </w:lvl>
  </w:abstractNum>
  <w:abstractNum w:abstractNumId="9">
    <w:nsid w:val="FFFFFF89"/>
    <w:multiLevelType w:val="singleLevel"/>
    <w:tmpl w:val="EFE840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678B3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E643F2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3605</Words>
  <Characters>20807</Characters>
  <Application>Microsoft Office Word</Application>
  <DocSecurity>0</DocSecurity>
  <Lines>800</Lines>
  <Paragraphs>508</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Childrens Court (Fees) Regulations 2005</vt:lpstr>
      <vt:lpstr>Western Australia</vt:lpstr>
      <vt:lpstr>Children’s Court (Fees) Regulations 2005</vt:lpstr>
      <vt:lpstr>    Schedule 1 — Fees</vt:lpstr>
      <vt:lpstr>        Division 1 — General</vt:lpstr>
      <vt:lpstr>        Division 2 — Civil jurisdiction</vt:lpstr>
      <vt:lpstr>        Division 3 — Criminal jurisdiction</vt:lpstr>
      <vt:lpstr>    </vt:lpstr>
      <vt:lpstr>    Schedule 2 — Forms</vt:lpstr>
      <vt:lpstr>    Notes</vt:lpstr>
      <vt:lpstr>    Defined Terms</vt:lpstr>
    </vt:vector>
  </TitlesOfParts>
  <Manager/>
  <Company/>
  <LinksUpToDate>false</LinksUpToDate>
  <CharactersWithSpaces>23904</CharactersWithSpaces>
  <SharedDoc>false</SharedDoc>
  <HLinks>
    <vt:vector size="12" baseType="variant">
      <vt:variant>
        <vt:i4>5439608</vt:i4>
      </vt:variant>
      <vt:variant>
        <vt:i4>23840</vt:i4>
      </vt:variant>
      <vt:variant>
        <vt:i4>1025</vt:i4>
      </vt:variant>
      <vt:variant>
        <vt:i4>1</vt:i4>
      </vt:variant>
      <vt:variant>
        <vt:lpwstr>A:\dline.gif</vt:lpwstr>
      </vt:variant>
      <vt:variant>
        <vt:lpwstr/>
      </vt:variant>
      <vt:variant>
        <vt:i4>3014716</vt:i4>
      </vt:variant>
      <vt:variant>
        <vt:i4>-1</vt:i4>
      </vt:variant>
      <vt:variant>
        <vt:i4>2075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2005 - 01-c0-01</dc:title>
  <dc:subject/>
  <dc:creator/>
  <cp:keywords/>
  <dc:description/>
  <cp:lastModifiedBy>svcMRProcess</cp:lastModifiedBy>
  <cp:revision>4</cp:revision>
  <cp:lastPrinted>2008-08-28T00:50:00Z</cp:lastPrinted>
  <dcterms:created xsi:type="dcterms:W3CDTF">2018-09-10T06:04:00Z</dcterms:created>
  <dcterms:modified xsi:type="dcterms:W3CDTF">2018-09-10T06:04:00Z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20090905</vt:lpwstr>
  </property>
  <property fmtid="{D5CDD505-2E9C-101B-9397-08002B2CF9AE}" pid="4" name="DocumentType">
    <vt:lpwstr>Reg</vt:lpwstr>
  </property>
  <property fmtid="{D5CDD505-2E9C-101B-9397-08002B2CF9AE}" pid="5" name="OwlsUID">
    <vt:i4>34705</vt:i4>
  </property>
  <property fmtid="{D5CDD505-2E9C-101B-9397-08002B2CF9AE}" pid="6" name="AsAtDate">
    <vt:lpwstr>05 Sep 2009</vt:lpwstr>
  </property>
  <property fmtid="{D5CDD505-2E9C-101B-9397-08002B2CF9AE}" pid="7" name="Suffix">
    <vt:lpwstr>01-c0-01</vt:lpwstr>
  </property>
  <property fmtid="{D5CDD505-2E9C-101B-9397-08002B2CF9AE}" pid="8" name="ReprintNo">
    <vt:lpwstr>1</vt:lpwstr>
  </property>
</Properties>
</file>