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pos="7086"/>
        </w:tabs>
        <w:rPr>
          <w:b w:val="0"/>
          <w:sz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_Toc124140564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_Toc124140565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_Toc124140566 \h </w:instrText>
      </w:r>
      <w:r>
        <w:fldChar w:fldCharType="separate"/>
      </w:r>
      <w:r>
        <w:t>2</w:t>
      </w:r>
      <w:r>
        <w:fldChar w:fldCharType="end"/>
      </w:r>
    </w:p>
    <w:p>
      <w:pPr>
        <w:pStyle w:val="TOC8"/>
        <w:rPr>
          <w:sz w:val="24"/>
        </w:rPr>
      </w:pPr>
      <w:r>
        <w:t>4</w:t>
      </w:r>
      <w:r>
        <w:rPr>
          <w:snapToGrid w:val="0"/>
        </w:rPr>
        <w:t>.</w:t>
      </w:r>
      <w:r>
        <w:rPr>
          <w:snapToGrid w:val="0"/>
        </w:rPr>
        <w:tab/>
        <w:t>Relationship to other Acts, etc.</w:t>
      </w:r>
      <w:r>
        <w:tab/>
      </w:r>
      <w:r>
        <w:fldChar w:fldCharType="begin"/>
      </w:r>
      <w:r>
        <w:instrText xml:space="preserve"> PAGEREF _Toc124140567 \h </w:instrText>
      </w:r>
      <w:r>
        <w:fldChar w:fldCharType="separate"/>
      </w:r>
      <w:r>
        <w:t>5</w:t>
      </w:r>
      <w:r>
        <w:fldChar w:fldCharType="end"/>
      </w:r>
    </w:p>
    <w:p>
      <w:pPr>
        <w:pStyle w:val="TOC2"/>
        <w:tabs>
          <w:tab w:val="right" w:pos="7086"/>
        </w:tabs>
        <w:rPr>
          <w:b w:val="0"/>
          <w:sz w:val="24"/>
        </w:rPr>
      </w:pPr>
      <w:r>
        <w:t>Part II — Administration</w:t>
      </w:r>
    </w:p>
    <w:p>
      <w:pPr>
        <w:pStyle w:val="TOC8"/>
        <w:rPr>
          <w:sz w:val="24"/>
        </w:rPr>
      </w:pPr>
      <w:r>
        <w:t>5</w:t>
      </w:r>
      <w:r>
        <w:rPr>
          <w:snapToGrid w:val="0"/>
        </w:rPr>
        <w:t>.</w:t>
      </w:r>
      <w:r>
        <w:rPr>
          <w:snapToGrid w:val="0"/>
        </w:rPr>
        <w:tab/>
        <w:t>Prices Commissioner and other officers</w:t>
      </w:r>
      <w:r>
        <w:tab/>
      </w:r>
      <w:r>
        <w:fldChar w:fldCharType="begin"/>
      </w:r>
      <w:r>
        <w:instrText xml:space="preserve"> PAGEREF _Toc124140569 \h </w:instrText>
      </w:r>
      <w:r>
        <w:fldChar w:fldCharType="separate"/>
      </w:r>
      <w:r>
        <w:t>6</w:t>
      </w:r>
      <w:r>
        <w:fldChar w:fldCharType="end"/>
      </w:r>
    </w:p>
    <w:p>
      <w:pPr>
        <w:pStyle w:val="TOC8"/>
        <w:rPr>
          <w:sz w:val="24"/>
        </w:rPr>
      </w:pPr>
      <w:r>
        <w:t>6</w:t>
      </w:r>
      <w:r>
        <w:rPr>
          <w:snapToGrid w:val="0"/>
        </w:rPr>
        <w:t>.</w:t>
      </w:r>
      <w:r>
        <w:rPr>
          <w:snapToGrid w:val="0"/>
        </w:rPr>
        <w:tab/>
        <w:t>Object and purposes</w:t>
      </w:r>
      <w:r>
        <w:tab/>
      </w:r>
      <w:r>
        <w:fldChar w:fldCharType="begin"/>
      </w:r>
      <w:r>
        <w:instrText xml:space="preserve"> PAGEREF _Toc124140570 \h </w:instrText>
      </w:r>
      <w:r>
        <w:fldChar w:fldCharType="separate"/>
      </w:r>
      <w:r>
        <w:t>6</w:t>
      </w:r>
      <w:r>
        <w:fldChar w:fldCharType="end"/>
      </w:r>
    </w:p>
    <w:p>
      <w:pPr>
        <w:pStyle w:val="TOC8"/>
        <w:rPr>
          <w:sz w:val="24"/>
        </w:rPr>
      </w:pPr>
      <w:r>
        <w:t>7</w:t>
      </w:r>
      <w:r>
        <w:rPr>
          <w:snapToGrid w:val="0"/>
        </w:rPr>
        <w:t>.</w:t>
      </w:r>
      <w:r>
        <w:rPr>
          <w:snapToGrid w:val="0"/>
        </w:rPr>
        <w:tab/>
        <w:t>General administration, and the powers and duties of the Commissioner</w:t>
      </w:r>
      <w:r>
        <w:tab/>
      </w:r>
      <w:r>
        <w:fldChar w:fldCharType="begin"/>
      </w:r>
      <w:r>
        <w:instrText xml:space="preserve"> PAGEREF _Toc124140571 \h </w:instrText>
      </w:r>
      <w:r>
        <w:fldChar w:fldCharType="separate"/>
      </w:r>
      <w:r>
        <w:t>7</w:t>
      </w:r>
      <w:r>
        <w:fldChar w:fldCharType="end"/>
      </w:r>
    </w:p>
    <w:p>
      <w:pPr>
        <w:pStyle w:val="TOC8"/>
        <w:rPr>
          <w:sz w:val="24"/>
        </w:rPr>
      </w:pPr>
      <w:r>
        <w:t>8</w:t>
      </w:r>
      <w:r>
        <w:rPr>
          <w:snapToGrid w:val="0"/>
        </w:rPr>
        <w:t>.</w:t>
      </w:r>
      <w:r>
        <w:rPr>
          <w:snapToGrid w:val="0"/>
        </w:rPr>
        <w:tab/>
        <w:t>Prices advisory committees</w:t>
      </w:r>
      <w:r>
        <w:tab/>
      </w:r>
      <w:r>
        <w:fldChar w:fldCharType="begin"/>
      </w:r>
      <w:r>
        <w:instrText xml:space="preserve"> PAGEREF _Toc124140572 \h </w:instrText>
      </w:r>
      <w:r>
        <w:fldChar w:fldCharType="separate"/>
      </w:r>
      <w:r>
        <w:t>9</w:t>
      </w:r>
      <w:r>
        <w:fldChar w:fldCharType="end"/>
      </w:r>
    </w:p>
    <w:p>
      <w:pPr>
        <w:pStyle w:val="TOC8"/>
        <w:rPr>
          <w:sz w:val="24"/>
        </w:rPr>
      </w:pPr>
      <w:r>
        <w:t>9</w:t>
      </w:r>
      <w:r>
        <w:rPr>
          <w:snapToGrid w:val="0"/>
        </w:rPr>
        <w:t>.</w:t>
      </w:r>
      <w:r>
        <w:rPr>
          <w:snapToGrid w:val="0"/>
        </w:rPr>
        <w:tab/>
        <w:t>Terms of office of members of committees</w:t>
      </w:r>
      <w:r>
        <w:tab/>
      </w:r>
      <w:r>
        <w:fldChar w:fldCharType="begin"/>
      </w:r>
      <w:r>
        <w:instrText xml:space="preserve"> PAGEREF _Toc124140573 \h </w:instrText>
      </w:r>
      <w:r>
        <w:fldChar w:fldCharType="separate"/>
      </w:r>
      <w:r>
        <w:t>10</w:t>
      </w:r>
      <w:r>
        <w:fldChar w:fldCharType="end"/>
      </w:r>
    </w:p>
    <w:p>
      <w:pPr>
        <w:pStyle w:val="TOC2"/>
        <w:tabs>
          <w:tab w:val="right" w:pos="7086"/>
        </w:tabs>
        <w:rPr>
          <w:b w:val="0"/>
          <w:sz w:val="24"/>
        </w:rPr>
      </w:pPr>
      <w:r>
        <w:t>Part III — Regulation of prices and rates</w:t>
      </w:r>
    </w:p>
    <w:p>
      <w:pPr>
        <w:pStyle w:val="TOC4"/>
        <w:tabs>
          <w:tab w:val="right" w:pos="7086"/>
        </w:tabs>
        <w:rPr>
          <w:b w:val="0"/>
          <w:sz w:val="24"/>
        </w:rPr>
      </w:pPr>
      <w:r>
        <w:t>Division 1</w:t>
      </w:r>
      <w:r>
        <w:rPr>
          <w:snapToGrid w:val="0"/>
        </w:rPr>
        <w:t> — </w:t>
      </w:r>
      <w:r>
        <w:t>Declaration of goods and services</w:t>
      </w:r>
    </w:p>
    <w:p>
      <w:pPr>
        <w:pStyle w:val="TOC8"/>
        <w:rPr>
          <w:sz w:val="24"/>
        </w:rPr>
      </w:pPr>
      <w:r>
        <w:t>10</w:t>
      </w:r>
      <w:r>
        <w:rPr>
          <w:snapToGrid w:val="0"/>
        </w:rPr>
        <w:t>.</w:t>
      </w:r>
      <w:r>
        <w:rPr>
          <w:snapToGrid w:val="0"/>
        </w:rPr>
        <w:tab/>
        <w:t>Declaration of goods and services</w:t>
      </w:r>
      <w:r>
        <w:tab/>
      </w:r>
      <w:r>
        <w:fldChar w:fldCharType="begin"/>
      </w:r>
      <w:r>
        <w:instrText xml:space="preserve"> PAGEREF _Toc124140576 \h </w:instrText>
      </w:r>
      <w:r>
        <w:fldChar w:fldCharType="separate"/>
      </w:r>
      <w:r>
        <w:t>12</w:t>
      </w:r>
      <w:r>
        <w:fldChar w:fldCharType="end"/>
      </w:r>
    </w:p>
    <w:p>
      <w:pPr>
        <w:pStyle w:val="TOC8"/>
        <w:rPr>
          <w:sz w:val="24"/>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_Toc124140577 \h </w:instrText>
      </w:r>
      <w:r>
        <w:fldChar w:fldCharType="separate"/>
      </w:r>
      <w:r>
        <w:t>13</w:t>
      </w:r>
      <w:r>
        <w:fldChar w:fldCharType="end"/>
      </w:r>
    </w:p>
    <w:p>
      <w:pPr>
        <w:pStyle w:val="TOC4"/>
        <w:tabs>
          <w:tab w:val="right" w:pos="7086"/>
        </w:tabs>
        <w:rPr>
          <w:b w:val="0"/>
          <w:sz w:val="24"/>
        </w:rPr>
      </w:pPr>
      <w:r>
        <w:t>Division 2</w:t>
      </w:r>
      <w:r>
        <w:rPr>
          <w:snapToGrid w:val="0"/>
        </w:rPr>
        <w:t> — </w:t>
      </w:r>
      <w:r>
        <w:t>Determination of maximum prices and rates for goods and services</w:t>
      </w:r>
    </w:p>
    <w:p>
      <w:pPr>
        <w:pStyle w:val="TOC8"/>
        <w:rPr>
          <w:sz w:val="24"/>
        </w:rPr>
      </w:pPr>
      <w:r>
        <w:t>12</w:t>
      </w:r>
      <w:r>
        <w:rPr>
          <w:snapToGrid w:val="0"/>
        </w:rPr>
        <w:t>.</w:t>
      </w:r>
      <w:r>
        <w:rPr>
          <w:snapToGrid w:val="0"/>
        </w:rPr>
        <w:tab/>
        <w:t>Determination of maximum prices and rates</w:t>
      </w:r>
      <w:r>
        <w:tab/>
      </w:r>
      <w:r>
        <w:fldChar w:fldCharType="begin"/>
      </w:r>
      <w:r>
        <w:instrText xml:space="preserve"> PAGEREF _Toc124140579 \h </w:instrText>
      </w:r>
      <w:r>
        <w:fldChar w:fldCharType="separate"/>
      </w:r>
      <w:r>
        <w:t>14</w:t>
      </w:r>
      <w:r>
        <w:fldChar w:fldCharType="end"/>
      </w:r>
    </w:p>
    <w:p>
      <w:pPr>
        <w:pStyle w:val="TOC8"/>
        <w:rPr>
          <w:sz w:val="24"/>
        </w:rPr>
      </w:pPr>
      <w:r>
        <w:t>13</w:t>
      </w:r>
      <w:r>
        <w:rPr>
          <w:snapToGrid w:val="0"/>
        </w:rPr>
        <w:t>.</w:t>
      </w:r>
      <w:r>
        <w:rPr>
          <w:snapToGrid w:val="0"/>
        </w:rPr>
        <w:tab/>
        <w:t>Power of Minister to suspend order</w:t>
      </w:r>
      <w:r>
        <w:tab/>
      </w:r>
      <w:r>
        <w:fldChar w:fldCharType="begin"/>
      </w:r>
      <w:r>
        <w:instrText xml:space="preserve"> PAGEREF _Toc124140580 \h </w:instrText>
      </w:r>
      <w:r>
        <w:fldChar w:fldCharType="separate"/>
      </w:r>
      <w:r>
        <w:t>18</w:t>
      </w:r>
      <w:r>
        <w:fldChar w:fldCharType="end"/>
      </w:r>
    </w:p>
    <w:p>
      <w:pPr>
        <w:pStyle w:val="TOC4"/>
        <w:tabs>
          <w:tab w:val="right" w:pos="7086"/>
        </w:tabs>
        <w:rPr>
          <w:b w:val="0"/>
          <w:sz w:val="24"/>
        </w:rPr>
      </w:pPr>
      <w:r>
        <w:t>Division 3</w:t>
      </w:r>
      <w:r>
        <w:rPr>
          <w:snapToGrid w:val="0"/>
        </w:rPr>
        <w:t> — </w:t>
      </w:r>
      <w:r>
        <w:t>Enforcement of maximum prices and rates</w:t>
      </w:r>
    </w:p>
    <w:p>
      <w:pPr>
        <w:pStyle w:val="TOC8"/>
        <w:rPr>
          <w:sz w:val="24"/>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_Toc124140582 \h </w:instrText>
      </w:r>
      <w:r>
        <w:fldChar w:fldCharType="separate"/>
      </w:r>
      <w:r>
        <w:t>18</w:t>
      </w:r>
      <w:r>
        <w:fldChar w:fldCharType="end"/>
      </w:r>
    </w:p>
    <w:p>
      <w:pPr>
        <w:pStyle w:val="TOC8"/>
        <w:rPr>
          <w:sz w:val="24"/>
        </w:rPr>
      </w:pPr>
      <w:r>
        <w:t>15</w:t>
      </w:r>
      <w:r>
        <w:rPr>
          <w:snapToGrid w:val="0"/>
        </w:rPr>
        <w:t>.</w:t>
      </w:r>
      <w:r>
        <w:rPr>
          <w:snapToGrid w:val="0"/>
        </w:rPr>
        <w:tab/>
        <w:t>Delivery of goods less in quantity than, or of inferior quality to, those sold</w:t>
      </w:r>
      <w:r>
        <w:tab/>
      </w:r>
      <w:r>
        <w:fldChar w:fldCharType="begin"/>
      </w:r>
      <w:r>
        <w:instrText xml:space="preserve"> PAGEREF _Toc124140583 \h </w:instrText>
      </w:r>
      <w:r>
        <w:fldChar w:fldCharType="separate"/>
      </w:r>
      <w:r>
        <w:t>19</w:t>
      </w:r>
      <w:r>
        <w:fldChar w:fldCharType="end"/>
      </w:r>
    </w:p>
    <w:p>
      <w:pPr>
        <w:pStyle w:val="TOC8"/>
        <w:rPr>
          <w:sz w:val="24"/>
        </w:rPr>
      </w:pPr>
      <w:r>
        <w:t>16</w:t>
      </w:r>
      <w:r>
        <w:rPr>
          <w:snapToGrid w:val="0"/>
        </w:rPr>
        <w:t>.</w:t>
      </w:r>
      <w:r>
        <w:rPr>
          <w:snapToGrid w:val="0"/>
        </w:rPr>
        <w:tab/>
        <w:t>Alterations in mode of packing or recipe or formula</w:t>
      </w:r>
      <w:r>
        <w:tab/>
      </w:r>
      <w:r>
        <w:fldChar w:fldCharType="begin"/>
      </w:r>
      <w:r>
        <w:instrText xml:space="preserve"> PAGEREF _Toc124140584 \h </w:instrText>
      </w:r>
      <w:r>
        <w:fldChar w:fldCharType="separate"/>
      </w:r>
      <w:r>
        <w:t>20</w:t>
      </w:r>
      <w:r>
        <w:fldChar w:fldCharType="end"/>
      </w:r>
    </w:p>
    <w:p>
      <w:pPr>
        <w:pStyle w:val="TOC8"/>
        <w:rPr>
          <w:sz w:val="24"/>
        </w:rPr>
      </w:pPr>
      <w:r>
        <w:t>17</w:t>
      </w:r>
      <w:r>
        <w:rPr>
          <w:snapToGrid w:val="0"/>
        </w:rPr>
        <w:t>.</w:t>
      </w:r>
      <w:r>
        <w:rPr>
          <w:snapToGrid w:val="0"/>
        </w:rPr>
        <w:tab/>
        <w:t>Price or rate of controlled goods or service to be specified separately</w:t>
      </w:r>
      <w:r>
        <w:tab/>
      </w:r>
      <w:r>
        <w:fldChar w:fldCharType="begin"/>
      </w:r>
      <w:r>
        <w:instrText xml:space="preserve"> PAGEREF _Toc124140585 \h </w:instrText>
      </w:r>
      <w:r>
        <w:fldChar w:fldCharType="separate"/>
      </w:r>
      <w:r>
        <w:t>22</w:t>
      </w:r>
      <w:r>
        <w:fldChar w:fldCharType="end"/>
      </w:r>
    </w:p>
    <w:p>
      <w:pPr>
        <w:pStyle w:val="TOC8"/>
        <w:rPr>
          <w:sz w:val="24"/>
        </w:rPr>
      </w:pPr>
      <w:r>
        <w:t>18</w:t>
      </w:r>
      <w:r>
        <w:rPr>
          <w:snapToGrid w:val="0"/>
        </w:rPr>
        <w:t>.</w:t>
      </w:r>
      <w:r>
        <w:rPr>
          <w:snapToGrid w:val="0"/>
        </w:rPr>
        <w:tab/>
        <w:t>Power of Commissioner to prohibit certain transactions</w:t>
      </w:r>
      <w:r>
        <w:tab/>
      </w:r>
      <w:r>
        <w:fldChar w:fldCharType="begin"/>
      </w:r>
      <w:r>
        <w:instrText xml:space="preserve"> PAGEREF _Toc124140586 \h </w:instrText>
      </w:r>
      <w:r>
        <w:fldChar w:fldCharType="separate"/>
      </w:r>
      <w:r>
        <w:t>22</w:t>
      </w:r>
      <w:r>
        <w:fldChar w:fldCharType="end"/>
      </w:r>
    </w:p>
    <w:p>
      <w:pPr>
        <w:pStyle w:val="TOC8"/>
        <w:rPr>
          <w:sz w:val="24"/>
        </w:rPr>
      </w:pPr>
      <w:r>
        <w:t>19</w:t>
      </w:r>
      <w:r>
        <w:rPr>
          <w:snapToGrid w:val="0"/>
        </w:rPr>
        <w:t>.</w:t>
      </w:r>
      <w:r>
        <w:rPr>
          <w:snapToGrid w:val="0"/>
        </w:rPr>
        <w:tab/>
        <w:t>Refusal to sell goods at fixed price</w:t>
      </w:r>
      <w:r>
        <w:tab/>
      </w:r>
      <w:r>
        <w:fldChar w:fldCharType="begin"/>
      </w:r>
      <w:r>
        <w:instrText xml:space="preserve"> PAGEREF _Toc124140587 \h </w:instrText>
      </w:r>
      <w:r>
        <w:fldChar w:fldCharType="separate"/>
      </w:r>
      <w:r>
        <w:t>24</w:t>
      </w:r>
      <w:r>
        <w:fldChar w:fldCharType="end"/>
      </w:r>
    </w:p>
    <w:p>
      <w:pPr>
        <w:pStyle w:val="TOC8"/>
        <w:rPr>
          <w:sz w:val="24"/>
        </w:rPr>
      </w:pPr>
      <w:r>
        <w:t>20</w:t>
      </w:r>
      <w:r>
        <w:rPr>
          <w:snapToGrid w:val="0"/>
        </w:rPr>
        <w:t>.</w:t>
      </w:r>
      <w:r>
        <w:rPr>
          <w:snapToGrid w:val="0"/>
        </w:rPr>
        <w:tab/>
        <w:t>Refusal to supply service at fixed rate</w:t>
      </w:r>
      <w:r>
        <w:tab/>
      </w:r>
      <w:r>
        <w:fldChar w:fldCharType="begin"/>
      </w:r>
      <w:r>
        <w:instrText xml:space="preserve"> PAGEREF _Toc124140588 \h </w:instrText>
      </w:r>
      <w:r>
        <w:fldChar w:fldCharType="separate"/>
      </w:r>
      <w:r>
        <w:t>26</w:t>
      </w:r>
      <w:r>
        <w:fldChar w:fldCharType="end"/>
      </w:r>
    </w:p>
    <w:p>
      <w:pPr>
        <w:pStyle w:val="TOC8"/>
        <w:rPr>
          <w:sz w:val="24"/>
        </w:rPr>
      </w:pPr>
      <w:r>
        <w:t>21</w:t>
      </w:r>
      <w:r>
        <w:rPr>
          <w:snapToGrid w:val="0"/>
        </w:rPr>
        <w:t>.</w:t>
      </w:r>
      <w:r>
        <w:rPr>
          <w:snapToGrid w:val="0"/>
        </w:rPr>
        <w:tab/>
        <w:t>Refusal to sell or supply unless other goods or services are also purchased</w:t>
      </w:r>
      <w:r>
        <w:tab/>
      </w:r>
      <w:r>
        <w:fldChar w:fldCharType="begin"/>
      </w:r>
      <w:r>
        <w:instrText xml:space="preserve"> PAGEREF _Toc124140589 \h </w:instrText>
      </w:r>
      <w:r>
        <w:fldChar w:fldCharType="separate"/>
      </w:r>
      <w:r>
        <w:t>27</w:t>
      </w:r>
      <w:r>
        <w:fldChar w:fldCharType="end"/>
      </w:r>
    </w:p>
    <w:p>
      <w:pPr>
        <w:pStyle w:val="TOC8"/>
        <w:rPr>
          <w:sz w:val="24"/>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_Toc124140590 \h </w:instrText>
      </w:r>
      <w:r>
        <w:fldChar w:fldCharType="separate"/>
      </w:r>
      <w:r>
        <w:t>27</w:t>
      </w:r>
      <w:r>
        <w:fldChar w:fldCharType="end"/>
      </w:r>
    </w:p>
    <w:p>
      <w:pPr>
        <w:pStyle w:val="TOC2"/>
        <w:tabs>
          <w:tab w:val="right" w:pos="7086"/>
        </w:tabs>
        <w:rPr>
          <w:b w:val="0"/>
          <w:sz w:val="24"/>
        </w:rPr>
      </w:pPr>
      <w:r>
        <w:t>Part IIIA — Special provisions about motor fuel</w:t>
      </w:r>
    </w:p>
    <w:p>
      <w:pPr>
        <w:pStyle w:val="TOC4"/>
        <w:tabs>
          <w:tab w:val="right" w:pos="7086"/>
        </w:tabs>
        <w:rPr>
          <w:b w:val="0"/>
          <w:sz w:val="24"/>
        </w:rPr>
      </w:pPr>
      <w:r>
        <w:t>Division 1 — Before retail sale</w:t>
      </w:r>
    </w:p>
    <w:p>
      <w:pPr>
        <w:pStyle w:val="TOC8"/>
        <w:rPr>
          <w:sz w:val="24"/>
        </w:rPr>
      </w:pPr>
      <w:r>
        <w:t>22A.</w:t>
      </w:r>
      <w:r>
        <w:tab/>
        <w:t>Definitions</w:t>
      </w:r>
      <w:r>
        <w:tab/>
      </w:r>
      <w:r>
        <w:fldChar w:fldCharType="begin"/>
      </w:r>
      <w:r>
        <w:instrText xml:space="preserve"> PAGEREF _Toc124140593 \h </w:instrText>
      </w:r>
      <w:r>
        <w:fldChar w:fldCharType="separate"/>
      </w:r>
      <w:r>
        <w:t>29</w:t>
      </w:r>
      <w:r>
        <w:fldChar w:fldCharType="end"/>
      </w:r>
    </w:p>
    <w:p>
      <w:pPr>
        <w:pStyle w:val="TOC8"/>
        <w:rPr>
          <w:sz w:val="24"/>
        </w:rPr>
      </w:pPr>
      <w:r>
        <w:t>22B.</w:t>
      </w:r>
      <w:r>
        <w:tab/>
        <w:t>Price at terminal to be displayed and Commissioner to be notified of changes</w:t>
      </w:r>
      <w:r>
        <w:tab/>
      </w:r>
      <w:r>
        <w:fldChar w:fldCharType="begin"/>
      </w:r>
      <w:r>
        <w:instrText xml:space="preserve"> PAGEREF _Toc124140594 \h </w:instrText>
      </w:r>
      <w:r>
        <w:fldChar w:fldCharType="separate"/>
      </w:r>
      <w:r>
        <w:t>30</w:t>
      </w:r>
      <w:r>
        <w:fldChar w:fldCharType="end"/>
      </w:r>
    </w:p>
    <w:p>
      <w:pPr>
        <w:pStyle w:val="TOC8"/>
        <w:rPr>
          <w:sz w:val="24"/>
        </w:rPr>
      </w:pPr>
      <w:r>
        <w:t>22C.</w:t>
      </w:r>
      <w:r>
        <w:tab/>
        <w:t>Previous month’s average price to be displayed</w:t>
      </w:r>
      <w:r>
        <w:tab/>
      </w:r>
      <w:r>
        <w:fldChar w:fldCharType="begin"/>
      </w:r>
      <w:r>
        <w:instrText xml:space="preserve"> PAGEREF _Toc124140595 \h </w:instrText>
      </w:r>
      <w:r>
        <w:fldChar w:fldCharType="separate"/>
      </w:r>
      <w:r>
        <w:t>30</w:t>
      </w:r>
      <w:r>
        <w:fldChar w:fldCharType="end"/>
      </w:r>
    </w:p>
    <w:p>
      <w:pPr>
        <w:pStyle w:val="TOC8"/>
        <w:rPr>
          <w:sz w:val="24"/>
        </w:rPr>
      </w:pPr>
      <w:r>
        <w:t>22D.</w:t>
      </w:r>
      <w:r>
        <w:tab/>
        <w:t>Maximum price to be displayed</w:t>
      </w:r>
      <w:r>
        <w:tab/>
      </w:r>
      <w:r>
        <w:fldChar w:fldCharType="begin"/>
      </w:r>
      <w:r>
        <w:instrText xml:space="preserve"> PAGEREF _Toc124140596 \h </w:instrText>
      </w:r>
      <w:r>
        <w:fldChar w:fldCharType="separate"/>
      </w:r>
      <w:r>
        <w:t>31</w:t>
      </w:r>
      <w:r>
        <w:fldChar w:fldCharType="end"/>
      </w:r>
    </w:p>
    <w:p>
      <w:pPr>
        <w:pStyle w:val="TOC8"/>
        <w:rPr>
          <w:sz w:val="24"/>
        </w:rPr>
      </w:pPr>
      <w:r>
        <w:t>22E.</w:t>
      </w:r>
      <w:r>
        <w:tab/>
        <w:t>Price to be compared to maximum price fixed</w:t>
      </w:r>
      <w:r>
        <w:tab/>
      </w:r>
      <w:r>
        <w:fldChar w:fldCharType="begin"/>
      </w:r>
      <w:r>
        <w:instrText xml:space="preserve"> PAGEREF _Toc124140597 \h </w:instrText>
      </w:r>
      <w:r>
        <w:fldChar w:fldCharType="separate"/>
      </w:r>
      <w:r>
        <w:t>31</w:t>
      </w:r>
      <w:r>
        <w:fldChar w:fldCharType="end"/>
      </w:r>
    </w:p>
    <w:p>
      <w:pPr>
        <w:pStyle w:val="TOC8"/>
        <w:rPr>
          <w:sz w:val="24"/>
        </w:rPr>
      </w:pPr>
      <w:r>
        <w:t>22F.</w:t>
      </w:r>
      <w:r>
        <w:tab/>
        <w:t>Information that supplier is to provide</w:t>
      </w:r>
      <w:r>
        <w:tab/>
      </w:r>
      <w:r>
        <w:fldChar w:fldCharType="begin"/>
      </w:r>
      <w:r>
        <w:instrText xml:space="preserve"> PAGEREF _Toc124140598 \h </w:instrText>
      </w:r>
      <w:r>
        <w:fldChar w:fldCharType="separate"/>
      </w:r>
      <w:r>
        <w:t>32</w:t>
      </w:r>
      <w:r>
        <w:fldChar w:fldCharType="end"/>
      </w:r>
    </w:p>
    <w:p>
      <w:pPr>
        <w:pStyle w:val="TOC8"/>
        <w:rPr>
          <w:sz w:val="24"/>
        </w:rPr>
      </w:pPr>
      <w:r>
        <w:t>22G.</w:t>
      </w:r>
      <w:r>
        <w:tab/>
        <w:t>Obligation to supply from declared terminal</w:t>
      </w:r>
      <w:r>
        <w:tab/>
      </w:r>
      <w:r>
        <w:fldChar w:fldCharType="begin"/>
      </w:r>
      <w:r>
        <w:instrText xml:space="preserve"> PAGEREF _Toc124140599 \h </w:instrText>
      </w:r>
      <w:r>
        <w:fldChar w:fldCharType="separate"/>
      </w:r>
      <w:r>
        <w:t>33</w:t>
      </w:r>
      <w:r>
        <w:fldChar w:fldCharType="end"/>
      </w:r>
    </w:p>
    <w:p>
      <w:pPr>
        <w:pStyle w:val="TOC4"/>
        <w:tabs>
          <w:tab w:val="right" w:pos="7086"/>
        </w:tabs>
        <w:rPr>
          <w:b w:val="0"/>
          <w:sz w:val="24"/>
        </w:rPr>
      </w:pPr>
      <w:r>
        <w:t>Division 2 — Retail sale</w:t>
      </w:r>
    </w:p>
    <w:p>
      <w:pPr>
        <w:pStyle w:val="TOC8"/>
        <w:rPr>
          <w:sz w:val="24"/>
        </w:rPr>
      </w:pPr>
      <w:r>
        <w:t>22H.</w:t>
      </w:r>
      <w:r>
        <w:tab/>
        <w:t>Definitions</w:t>
      </w:r>
      <w:r>
        <w:tab/>
      </w:r>
      <w:r>
        <w:fldChar w:fldCharType="begin"/>
      </w:r>
      <w:r>
        <w:instrText xml:space="preserve"> PAGEREF _Toc124140601 \h </w:instrText>
      </w:r>
      <w:r>
        <w:fldChar w:fldCharType="separate"/>
      </w:r>
      <w:r>
        <w:t>34</w:t>
      </w:r>
      <w:r>
        <w:fldChar w:fldCharType="end"/>
      </w:r>
    </w:p>
    <w:p>
      <w:pPr>
        <w:pStyle w:val="TOC8"/>
        <w:rPr>
          <w:sz w:val="24"/>
        </w:rPr>
      </w:pPr>
      <w:r>
        <w:t>22I.</w:t>
      </w:r>
      <w:r>
        <w:tab/>
        <w:t>Regulations to require retailers to display prices</w:t>
      </w:r>
      <w:r>
        <w:tab/>
      </w:r>
      <w:r>
        <w:fldChar w:fldCharType="begin"/>
      </w:r>
      <w:r>
        <w:instrText xml:space="preserve"> PAGEREF _Toc124140602 \h </w:instrText>
      </w:r>
      <w:r>
        <w:fldChar w:fldCharType="separate"/>
      </w:r>
      <w:r>
        <w:t>34</w:t>
      </w:r>
      <w:r>
        <w:fldChar w:fldCharType="end"/>
      </w:r>
    </w:p>
    <w:p>
      <w:pPr>
        <w:pStyle w:val="TOC8"/>
        <w:rPr>
          <w:sz w:val="24"/>
        </w:rPr>
      </w:pPr>
      <w:r>
        <w:t>22J.</w:t>
      </w:r>
      <w:r>
        <w:tab/>
        <w:t>Regulations requiring notification of, and restricting change of, price</w:t>
      </w:r>
      <w:r>
        <w:tab/>
      </w:r>
      <w:r>
        <w:fldChar w:fldCharType="begin"/>
      </w:r>
      <w:r>
        <w:instrText xml:space="preserve"> PAGEREF _Toc124140603 \h </w:instrText>
      </w:r>
      <w:r>
        <w:fldChar w:fldCharType="separate"/>
      </w:r>
      <w:r>
        <w:t>35</w:t>
      </w:r>
      <w:r>
        <w:fldChar w:fldCharType="end"/>
      </w:r>
    </w:p>
    <w:p>
      <w:pPr>
        <w:pStyle w:val="TOC2"/>
        <w:tabs>
          <w:tab w:val="right" w:pos="7086"/>
        </w:tabs>
        <w:rPr>
          <w:b w:val="0"/>
          <w:sz w:val="24"/>
        </w:rPr>
      </w:pPr>
      <w:r>
        <w:t>Part IV — Obtaining information</w:t>
      </w:r>
    </w:p>
    <w:p>
      <w:pPr>
        <w:pStyle w:val="TOC8"/>
        <w:rPr>
          <w:sz w:val="24"/>
        </w:rPr>
      </w:pPr>
      <w:r>
        <w:t>23</w:t>
      </w:r>
      <w:r>
        <w:rPr>
          <w:snapToGrid w:val="0"/>
        </w:rPr>
        <w:t>.</w:t>
      </w:r>
      <w:r>
        <w:rPr>
          <w:snapToGrid w:val="0"/>
        </w:rPr>
        <w:tab/>
        <w:t>Power of Commissioner to inquire, investigate, and obtain information</w:t>
      </w:r>
      <w:r>
        <w:tab/>
      </w:r>
      <w:r>
        <w:fldChar w:fldCharType="begin"/>
      </w:r>
      <w:r>
        <w:instrText xml:space="preserve"> PAGEREF _Toc124140605 \h </w:instrText>
      </w:r>
      <w:r>
        <w:fldChar w:fldCharType="separate"/>
      </w:r>
      <w:r>
        <w:t>36</w:t>
      </w:r>
      <w:r>
        <w:fldChar w:fldCharType="end"/>
      </w:r>
    </w:p>
    <w:p>
      <w:pPr>
        <w:pStyle w:val="TOC8"/>
        <w:rPr>
          <w:sz w:val="24"/>
        </w:rPr>
      </w:pPr>
      <w:r>
        <w:t>24</w:t>
      </w:r>
      <w:r>
        <w:rPr>
          <w:snapToGrid w:val="0"/>
        </w:rPr>
        <w:t>.</w:t>
      </w:r>
      <w:r>
        <w:rPr>
          <w:snapToGrid w:val="0"/>
        </w:rPr>
        <w:tab/>
        <w:t>Sufficient notice to be given to enable questions, etc. to be answered</w:t>
      </w:r>
      <w:r>
        <w:tab/>
      </w:r>
      <w:r>
        <w:fldChar w:fldCharType="begin"/>
      </w:r>
      <w:r>
        <w:instrText xml:space="preserve"> PAGEREF _Toc124140606 \h </w:instrText>
      </w:r>
      <w:r>
        <w:fldChar w:fldCharType="separate"/>
      </w:r>
      <w:r>
        <w:t>37</w:t>
      </w:r>
      <w:r>
        <w:fldChar w:fldCharType="end"/>
      </w:r>
    </w:p>
    <w:p>
      <w:pPr>
        <w:pStyle w:val="TOC8"/>
        <w:rPr>
          <w:sz w:val="24"/>
        </w:rPr>
      </w:pPr>
      <w:r>
        <w:t>25</w:t>
      </w:r>
      <w:r>
        <w:rPr>
          <w:snapToGrid w:val="0"/>
        </w:rPr>
        <w:t>.</w:t>
      </w:r>
      <w:r>
        <w:rPr>
          <w:snapToGrid w:val="0"/>
        </w:rPr>
        <w:tab/>
        <w:t>Failure to supply information</w:t>
      </w:r>
      <w:r>
        <w:tab/>
      </w:r>
      <w:r>
        <w:fldChar w:fldCharType="begin"/>
      </w:r>
      <w:r>
        <w:instrText xml:space="preserve"> PAGEREF _Toc124140607 \h </w:instrText>
      </w:r>
      <w:r>
        <w:fldChar w:fldCharType="separate"/>
      </w:r>
      <w:r>
        <w:t>38</w:t>
      </w:r>
      <w:r>
        <w:fldChar w:fldCharType="end"/>
      </w:r>
    </w:p>
    <w:p>
      <w:pPr>
        <w:pStyle w:val="TOC8"/>
        <w:rPr>
          <w:sz w:val="24"/>
        </w:rPr>
      </w:pPr>
      <w:r>
        <w:t>26</w:t>
      </w:r>
      <w:r>
        <w:rPr>
          <w:snapToGrid w:val="0"/>
        </w:rPr>
        <w:t>.</w:t>
      </w:r>
      <w:r>
        <w:rPr>
          <w:snapToGrid w:val="0"/>
        </w:rPr>
        <w:tab/>
        <w:t>Obstructing Commissioner</w:t>
      </w:r>
      <w:r>
        <w:tab/>
      </w:r>
      <w:r>
        <w:fldChar w:fldCharType="begin"/>
      </w:r>
      <w:r>
        <w:instrText xml:space="preserve"> PAGEREF _Toc124140608 \h </w:instrText>
      </w:r>
      <w:r>
        <w:fldChar w:fldCharType="separate"/>
      </w:r>
      <w:r>
        <w:t>39</w:t>
      </w:r>
      <w:r>
        <w:fldChar w:fldCharType="end"/>
      </w:r>
    </w:p>
    <w:p>
      <w:pPr>
        <w:pStyle w:val="TOC8"/>
        <w:rPr>
          <w:sz w:val="24"/>
        </w:rPr>
      </w:pPr>
      <w:r>
        <w:t>27</w:t>
      </w:r>
      <w:r>
        <w:rPr>
          <w:snapToGrid w:val="0"/>
        </w:rPr>
        <w:t>.</w:t>
      </w:r>
      <w:r>
        <w:rPr>
          <w:snapToGrid w:val="0"/>
        </w:rPr>
        <w:tab/>
        <w:t>Power of Commissioner to require returns</w:t>
      </w:r>
      <w:r>
        <w:tab/>
      </w:r>
      <w:r>
        <w:fldChar w:fldCharType="begin"/>
      </w:r>
      <w:r>
        <w:instrText xml:space="preserve"> PAGEREF _Toc124140609 \h </w:instrText>
      </w:r>
      <w:r>
        <w:fldChar w:fldCharType="separate"/>
      </w:r>
      <w:r>
        <w:t>39</w:t>
      </w:r>
      <w:r>
        <w:fldChar w:fldCharType="end"/>
      </w:r>
    </w:p>
    <w:p>
      <w:pPr>
        <w:pStyle w:val="TOC8"/>
        <w:rPr>
          <w:sz w:val="24"/>
        </w:rPr>
      </w:pPr>
      <w:r>
        <w:t>27A.</w:t>
      </w:r>
      <w:r>
        <w:tab/>
        <w:t>Further powers of Commissioner to obtain information</w:t>
      </w:r>
      <w:r>
        <w:tab/>
      </w:r>
      <w:r>
        <w:fldChar w:fldCharType="begin"/>
      </w:r>
      <w:r>
        <w:instrText xml:space="preserve"> PAGEREF _Toc124140610 \h </w:instrText>
      </w:r>
      <w:r>
        <w:fldChar w:fldCharType="separate"/>
      </w:r>
      <w:r>
        <w:t>40</w:t>
      </w:r>
      <w:r>
        <w:fldChar w:fldCharType="end"/>
      </w:r>
    </w:p>
    <w:p>
      <w:pPr>
        <w:pStyle w:val="TOC8"/>
        <w:rPr>
          <w:sz w:val="24"/>
        </w:rPr>
      </w:pPr>
      <w:r>
        <w:t>27B.</w:t>
      </w:r>
      <w:r>
        <w:tab/>
        <w:t>Publication by Commissioner of information</w:t>
      </w:r>
      <w:r>
        <w:tab/>
      </w:r>
      <w:r>
        <w:fldChar w:fldCharType="begin"/>
      </w:r>
      <w:r>
        <w:instrText xml:space="preserve"> PAGEREF _Toc124140611 \h </w:instrText>
      </w:r>
      <w:r>
        <w:fldChar w:fldCharType="separate"/>
      </w:r>
      <w:r>
        <w:t>41</w:t>
      </w:r>
      <w:r>
        <w:fldChar w:fldCharType="end"/>
      </w:r>
    </w:p>
    <w:p>
      <w:pPr>
        <w:pStyle w:val="TOC8"/>
        <w:rPr>
          <w:sz w:val="24"/>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_Toc124140612 \h </w:instrText>
      </w:r>
      <w:r>
        <w:fldChar w:fldCharType="separate"/>
      </w:r>
      <w:r>
        <w:t>41</w:t>
      </w:r>
      <w:r>
        <w:fldChar w:fldCharType="end"/>
      </w:r>
    </w:p>
    <w:p>
      <w:pPr>
        <w:pStyle w:val="TOC2"/>
        <w:tabs>
          <w:tab w:val="right" w:pos="7086"/>
        </w:tabs>
        <w:rPr>
          <w:b w:val="0"/>
          <w:sz w:val="24"/>
        </w:rPr>
      </w:pPr>
      <w:r>
        <w:t>Part V — Offences and penalties</w:t>
      </w:r>
    </w:p>
    <w:p>
      <w:pPr>
        <w:pStyle w:val="TOC4"/>
        <w:tabs>
          <w:tab w:val="right" w:pos="7086"/>
        </w:tabs>
        <w:rPr>
          <w:b w:val="0"/>
          <w:sz w:val="24"/>
        </w:rPr>
      </w:pPr>
      <w:r>
        <w:t>Division 1</w:t>
      </w:r>
      <w:r>
        <w:rPr>
          <w:b w:val="0"/>
        </w:rPr>
        <w:t> — </w:t>
      </w:r>
      <w:r>
        <w:t>General provisions</w:t>
      </w:r>
    </w:p>
    <w:p>
      <w:pPr>
        <w:pStyle w:val="TOC8"/>
        <w:rPr>
          <w:sz w:val="24"/>
        </w:rPr>
      </w:pPr>
      <w:r>
        <w:t>29</w:t>
      </w:r>
      <w:r>
        <w:rPr>
          <w:snapToGrid w:val="0"/>
        </w:rPr>
        <w:t>.</w:t>
      </w:r>
      <w:r>
        <w:rPr>
          <w:snapToGrid w:val="0"/>
        </w:rPr>
        <w:tab/>
        <w:t>Liability of officers etc., of body corporate</w:t>
      </w:r>
      <w:r>
        <w:tab/>
      </w:r>
      <w:r>
        <w:fldChar w:fldCharType="begin"/>
      </w:r>
      <w:r>
        <w:instrText xml:space="preserve"> PAGEREF _Toc124140615 \h </w:instrText>
      </w:r>
      <w:r>
        <w:fldChar w:fldCharType="separate"/>
      </w:r>
      <w:r>
        <w:t>43</w:t>
      </w:r>
      <w:r>
        <w:fldChar w:fldCharType="end"/>
      </w:r>
    </w:p>
    <w:p>
      <w:pPr>
        <w:pStyle w:val="TOC8"/>
        <w:rPr>
          <w:sz w:val="24"/>
        </w:rPr>
      </w:pPr>
      <w:r>
        <w:t>30</w:t>
      </w:r>
      <w:r>
        <w:rPr>
          <w:snapToGrid w:val="0"/>
        </w:rPr>
        <w:t>.</w:t>
      </w:r>
      <w:r>
        <w:rPr>
          <w:snapToGrid w:val="0"/>
        </w:rPr>
        <w:tab/>
        <w:t>Court may order refund of amount paid in excess of maximum price or rate</w:t>
      </w:r>
      <w:r>
        <w:tab/>
      </w:r>
      <w:r>
        <w:fldChar w:fldCharType="begin"/>
      </w:r>
      <w:r>
        <w:instrText xml:space="preserve"> PAGEREF _Toc124140616 \h </w:instrText>
      </w:r>
      <w:r>
        <w:fldChar w:fldCharType="separate"/>
      </w:r>
      <w:r>
        <w:t>43</w:t>
      </w:r>
      <w:r>
        <w:fldChar w:fldCharType="end"/>
      </w:r>
    </w:p>
    <w:p>
      <w:pPr>
        <w:pStyle w:val="TOC8"/>
        <w:rPr>
          <w:sz w:val="24"/>
        </w:rPr>
      </w:pPr>
      <w:r>
        <w:t>31.</w:t>
      </w:r>
      <w:r>
        <w:tab/>
        <w:t>Limitation period for prosecutions</w:t>
      </w:r>
      <w:r>
        <w:tab/>
      </w:r>
      <w:r>
        <w:fldChar w:fldCharType="begin"/>
      </w:r>
      <w:r>
        <w:instrText xml:space="preserve"> PAGEREF _Toc124140617 \h </w:instrText>
      </w:r>
      <w:r>
        <w:fldChar w:fldCharType="separate"/>
      </w:r>
      <w:r>
        <w:t>44</w:t>
      </w:r>
      <w:r>
        <w:fldChar w:fldCharType="end"/>
      </w:r>
    </w:p>
    <w:p>
      <w:pPr>
        <w:pStyle w:val="TOC4"/>
        <w:tabs>
          <w:tab w:val="right" w:pos="7086"/>
        </w:tabs>
        <w:rPr>
          <w:b w:val="0"/>
          <w:sz w:val="24"/>
        </w:rPr>
      </w:pPr>
      <w:r>
        <w:t>Division 2 — Infringement notices</w:t>
      </w:r>
    </w:p>
    <w:p>
      <w:pPr>
        <w:pStyle w:val="TOC8"/>
        <w:rPr>
          <w:sz w:val="24"/>
        </w:rPr>
      </w:pPr>
      <w:r>
        <w:t>31A.</w:t>
      </w:r>
      <w:r>
        <w:tab/>
        <w:t>Infringement notices</w:t>
      </w:r>
      <w:r>
        <w:tab/>
      </w:r>
      <w:r>
        <w:fldChar w:fldCharType="begin"/>
      </w:r>
      <w:r>
        <w:instrText xml:space="preserve"> PAGEREF _Toc124140619 \h </w:instrText>
      </w:r>
      <w:r>
        <w:fldChar w:fldCharType="separate"/>
      </w:r>
      <w:r>
        <w:t>44</w:t>
      </w:r>
      <w:r>
        <w:fldChar w:fldCharType="end"/>
      </w:r>
    </w:p>
    <w:p>
      <w:pPr>
        <w:pStyle w:val="TOC8"/>
        <w:rPr>
          <w:sz w:val="24"/>
        </w:rPr>
      </w:pPr>
      <w:r>
        <w:t>31B.</w:t>
      </w:r>
      <w:r>
        <w:tab/>
        <w:t>Giving of notice</w:t>
      </w:r>
      <w:r>
        <w:tab/>
      </w:r>
      <w:r>
        <w:fldChar w:fldCharType="begin"/>
      </w:r>
      <w:r>
        <w:instrText xml:space="preserve"> PAGEREF _Toc124140620 \h </w:instrText>
      </w:r>
      <w:r>
        <w:fldChar w:fldCharType="separate"/>
      </w:r>
      <w:r>
        <w:t>44</w:t>
      </w:r>
      <w:r>
        <w:fldChar w:fldCharType="end"/>
      </w:r>
    </w:p>
    <w:p>
      <w:pPr>
        <w:pStyle w:val="TOC8"/>
        <w:rPr>
          <w:sz w:val="24"/>
        </w:rPr>
      </w:pPr>
      <w:r>
        <w:t>31C.</w:t>
      </w:r>
      <w:r>
        <w:tab/>
        <w:t>Content of notice</w:t>
      </w:r>
      <w:r>
        <w:tab/>
      </w:r>
      <w:r>
        <w:fldChar w:fldCharType="begin"/>
      </w:r>
      <w:r>
        <w:instrText xml:space="preserve"> PAGEREF _Toc124140621 \h </w:instrText>
      </w:r>
      <w:r>
        <w:fldChar w:fldCharType="separate"/>
      </w:r>
      <w:r>
        <w:t>44</w:t>
      </w:r>
      <w:r>
        <w:fldChar w:fldCharType="end"/>
      </w:r>
    </w:p>
    <w:p>
      <w:pPr>
        <w:pStyle w:val="TOC8"/>
        <w:rPr>
          <w:sz w:val="24"/>
        </w:rPr>
      </w:pPr>
      <w:r>
        <w:t>31D.</w:t>
      </w:r>
      <w:r>
        <w:tab/>
        <w:t>Extension of time</w:t>
      </w:r>
      <w:r>
        <w:tab/>
      </w:r>
      <w:r>
        <w:fldChar w:fldCharType="begin"/>
      </w:r>
      <w:r>
        <w:instrText xml:space="preserve"> PAGEREF _Toc124140622 \h </w:instrText>
      </w:r>
      <w:r>
        <w:fldChar w:fldCharType="separate"/>
      </w:r>
      <w:r>
        <w:t>45</w:t>
      </w:r>
      <w:r>
        <w:fldChar w:fldCharType="end"/>
      </w:r>
    </w:p>
    <w:p>
      <w:pPr>
        <w:pStyle w:val="TOC8"/>
        <w:rPr>
          <w:sz w:val="24"/>
        </w:rPr>
      </w:pPr>
      <w:r>
        <w:t>31E.</w:t>
      </w:r>
      <w:r>
        <w:tab/>
        <w:t>Withdrawal of notice</w:t>
      </w:r>
      <w:r>
        <w:tab/>
      </w:r>
      <w:r>
        <w:fldChar w:fldCharType="begin"/>
      </w:r>
      <w:r>
        <w:instrText xml:space="preserve"> PAGEREF _Toc124140623 \h </w:instrText>
      </w:r>
      <w:r>
        <w:fldChar w:fldCharType="separate"/>
      </w:r>
      <w:r>
        <w:t>45</w:t>
      </w:r>
      <w:r>
        <w:fldChar w:fldCharType="end"/>
      </w:r>
    </w:p>
    <w:p>
      <w:pPr>
        <w:pStyle w:val="TOC8"/>
        <w:rPr>
          <w:sz w:val="24"/>
        </w:rPr>
      </w:pPr>
      <w:r>
        <w:t>31F.</w:t>
      </w:r>
      <w:r>
        <w:tab/>
        <w:t>Benefit of paying modified penalty</w:t>
      </w:r>
      <w:r>
        <w:tab/>
      </w:r>
      <w:r>
        <w:fldChar w:fldCharType="begin"/>
      </w:r>
      <w:r>
        <w:instrText xml:space="preserve"> PAGEREF _Toc124140624 \h </w:instrText>
      </w:r>
      <w:r>
        <w:fldChar w:fldCharType="separate"/>
      </w:r>
      <w:r>
        <w:t>46</w:t>
      </w:r>
      <w:r>
        <w:fldChar w:fldCharType="end"/>
      </w:r>
    </w:p>
    <w:p>
      <w:pPr>
        <w:pStyle w:val="TOC8"/>
        <w:rPr>
          <w:sz w:val="24"/>
        </w:rPr>
      </w:pPr>
      <w:r>
        <w:t>31G.</w:t>
      </w:r>
      <w:r>
        <w:tab/>
        <w:t>Application of penalties collected</w:t>
      </w:r>
      <w:r>
        <w:tab/>
      </w:r>
      <w:r>
        <w:fldChar w:fldCharType="begin"/>
      </w:r>
      <w:r>
        <w:instrText xml:space="preserve"> PAGEREF _Toc124140625 \h </w:instrText>
      </w:r>
      <w:r>
        <w:fldChar w:fldCharType="separate"/>
      </w:r>
      <w:r>
        <w:t>46</w:t>
      </w:r>
      <w:r>
        <w:fldChar w:fldCharType="end"/>
      </w:r>
    </w:p>
    <w:p>
      <w:pPr>
        <w:pStyle w:val="TOC8"/>
        <w:rPr>
          <w:sz w:val="24"/>
        </w:rPr>
      </w:pPr>
      <w:r>
        <w:t>31H.</w:t>
      </w:r>
      <w:r>
        <w:tab/>
        <w:t>Appointment of authorised persons</w:t>
      </w:r>
      <w:r>
        <w:tab/>
      </w:r>
      <w:r>
        <w:fldChar w:fldCharType="begin"/>
      </w:r>
      <w:r>
        <w:instrText xml:space="preserve"> PAGEREF _Toc124140626 \h </w:instrText>
      </w:r>
      <w:r>
        <w:fldChar w:fldCharType="separate"/>
      </w:r>
      <w:r>
        <w:t>46</w:t>
      </w:r>
      <w:r>
        <w:fldChar w:fldCharType="end"/>
      </w:r>
    </w:p>
    <w:p>
      <w:pPr>
        <w:pStyle w:val="TOC2"/>
        <w:tabs>
          <w:tab w:val="right" w:pos="7086"/>
        </w:tabs>
        <w:rPr>
          <w:b w:val="0"/>
          <w:sz w:val="24"/>
        </w:rPr>
      </w:pPr>
      <w:r>
        <w:t>Part VI — Miscellaneous</w:t>
      </w:r>
    </w:p>
    <w:p>
      <w:pPr>
        <w:pStyle w:val="TOC8"/>
        <w:rPr>
          <w:sz w:val="24"/>
        </w:rPr>
      </w:pPr>
      <w:r>
        <w:t>32</w:t>
      </w:r>
      <w:r>
        <w:rPr>
          <w:snapToGrid w:val="0"/>
        </w:rPr>
        <w:t>.</w:t>
      </w:r>
      <w:r>
        <w:rPr>
          <w:snapToGrid w:val="0"/>
        </w:rPr>
        <w:tab/>
        <w:t>Application of orders and notices</w:t>
      </w:r>
      <w:r>
        <w:tab/>
      </w:r>
      <w:r>
        <w:fldChar w:fldCharType="begin"/>
      </w:r>
      <w:r>
        <w:instrText xml:space="preserve"> PAGEREF _Toc124140628 \h </w:instrText>
      </w:r>
      <w:r>
        <w:fldChar w:fldCharType="separate"/>
      </w:r>
      <w:r>
        <w:t>48</w:t>
      </w:r>
      <w:r>
        <w:fldChar w:fldCharType="end"/>
      </w:r>
    </w:p>
    <w:p>
      <w:pPr>
        <w:pStyle w:val="TOC8"/>
        <w:rPr>
          <w:sz w:val="24"/>
        </w:rPr>
      </w:pPr>
      <w:r>
        <w:t>33</w:t>
      </w:r>
      <w:r>
        <w:rPr>
          <w:snapToGrid w:val="0"/>
        </w:rPr>
        <w:t>.</w:t>
      </w:r>
      <w:r>
        <w:rPr>
          <w:snapToGrid w:val="0"/>
        </w:rPr>
        <w:tab/>
        <w:t>Secrecy</w:t>
      </w:r>
      <w:r>
        <w:tab/>
      </w:r>
      <w:r>
        <w:fldChar w:fldCharType="begin"/>
      </w:r>
      <w:r>
        <w:instrText xml:space="preserve"> PAGEREF _Toc124140629 \h </w:instrText>
      </w:r>
      <w:r>
        <w:fldChar w:fldCharType="separate"/>
      </w:r>
      <w:r>
        <w:t>48</w:t>
      </w:r>
      <w:r>
        <w:fldChar w:fldCharType="end"/>
      </w:r>
    </w:p>
    <w:p>
      <w:pPr>
        <w:pStyle w:val="TOC8"/>
        <w:rPr>
          <w:sz w:val="24"/>
        </w:rPr>
      </w:pPr>
      <w:r>
        <w:t>34</w:t>
      </w:r>
      <w:r>
        <w:rPr>
          <w:snapToGrid w:val="0"/>
        </w:rPr>
        <w:t>.</w:t>
      </w:r>
      <w:r>
        <w:rPr>
          <w:snapToGrid w:val="0"/>
        </w:rPr>
        <w:tab/>
        <w:t>Regulations</w:t>
      </w:r>
      <w:r>
        <w:tab/>
      </w:r>
      <w:r>
        <w:fldChar w:fldCharType="begin"/>
      </w:r>
      <w:r>
        <w:instrText xml:space="preserve"> PAGEREF _Toc124140630 \h </w:instrText>
      </w:r>
      <w:r>
        <w:fldChar w:fldCharType="separate"/>
      </w:r>
      <w:r>
        <w:t>49</w:t>
      </w:r>
      <w:r>
        <w:fldChar w:fldCharType="end"/>
      </w:r>
    </w:p>
    <w:p>
      <w:pPr>
        <w:pStyle w:val="TOC2"/>
        <w:tabs>
          <w:tab w:val="right" w:pos="7086"/>
        </w:tabs>
        <w:rPr>
          <w:b w:val="0"/>
          <w:sz w:val="24"/>
        </w:rPr>
      </w:pPr>
      <w:r>
        <w:t>Schedule 1 — Certain exclusions from definition of “petroleum product”</w:t>
      </w:r>
    </w:p>
    <w:p>
      <w:pPr>
        <w:pStyle w:val="TOC2"/>
        <w:tabs>
          <w:tab w:val="right" w:pos="7086"/>
        </w:tabs>
        <w:rPr>
          <w:b w:val="0"/>
          <w:sz w:val="24"/>
        </w:rPr>
      </w:pPr>
      <w:r>
        <w:t>Notes</w:t>
      </w:r>
    </w:p>
    <w:p>
      <w:pPr>
        <w:pStyle w:val="TOC8"/>
        <w:rPr>
          <w:sz w:val="24"/>
        </w:rPr>
      </w:pPr>
      <w:r>
        <w:rPr>
          <w:snapToGrid w:val="0"/>
        </w:rPr>
        <w:tab/>
        <w:t>Compilation table</w:t>
      </w:r>
      <w:r>
        <w:tab/>
      </w:r>
      <w:r>
        <w:fldChar w:fldCharType="begin"/>
      </w:r>
      <w:r>
        <w:instrText xml:space="preserve"> PAGEREF _Toc124140633 \h </w:instrText>
      </w:r>
      <w:r>
        <w:fldChar w:fldCharType="separate"/>
      </w:r>
      <w:r>
        <w:t>57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3206294"/>
      <w:bookmarkStart w:id="9" w:name="_Toc525352674"/>
      <w:bookmarkStart w:id="10" w:name="_Toc530906996"/>
      <w:bookmarkStart w:id="11" w:name="_Toc535210293"/>
      <w:bookmarkStart w:id="12" w:name="_Toc124064814"/>
      <w:bookmarkStart w:id="13" w:name="_Toc124140564"/>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4" w:name="_Toc523206295"/>
      <w:bookmarkStart w:id="15" w:name="_Toc525352675"/>
      <w:bookmarkStart w:id="16" w:name="_Toc530906997"/>
      <w:bookmarkStart w:id="17" w:name="_Toc535210294"/>
      <w:bookmarkStart w:id="18" w:name="_Toc124064815"/>
      <w:bookmarkStart w:id="19" w:name="_Toc124140565"/>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0" w:name="_Toc523206296"/>
      <w:bookmarkStart w:id="21" w:name="_Toc525352676"/>
      <w:bookmarkStart w:id="22" w:name="_Toc530906998"/>
      <w:bookmarkStart w:id="23" w:name="_Toc535210295"/>
      <w:bookmarkStart w:id="24" w:name="_Toc124064816"/>
      <w:bookmarkStart w:id="25" w:name="_Toc124140566"/>
      <w:r>
        <w:rPr>
          <w:rStyle w:val="CharSectno"/>
        </w:rPr>
        <w:t>3</w:t>
      </w:r>
      <w:r>
        <w:rPr>
          <w:snapToGrid w:val="0"/>
        </w:rPr>
        <w:t>.</w:t>
      </w:r>
      <w:r>
        <w:rPr>
          <w:snapToGrid w:val="0"/>
        </w:rPr>
        <w:tab/>
        <w:t>Definitions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Commissioner</w:t>
      </w:r>
      <w:r>
        <w:rPr>
          <w:b/>
        </w:rPr>
        <w:t>”</w:t>
      </w:r>
      <w:r>
        <w:t xml:space="preserve"> means the Prices Commissioner referred to in section 5(1);</w:t>
      </w:r>
    </w:p>
    <w:p>
      <w:pPr>
        <w:pStyle w:val="Defstart"/>
        <w:spacing w:before="60"/>
      </w:pPr>
      <w:r>
        <w:rPr>
          <w:b/>
        </w:rPr>
        <w:tab/>
        <w:t>“</w:t>
      </w:r>
      <w:r>
        <w:rPr>
          <w:rStyle w:val="CharDefText"/>
        </w:rPr>
        <w:t>committee</w:t>
      </w:r>
      <w:r>
        <w:rPr>
          <w:b/>
        </w:rPr>
        <w:t>”</w:t>
      </w:r>
      <w:r>
        <w:t xml:space="preserve"> means prices advisory committee established under section 8;</w:t>
      </w:r>
    </w:p>
    <w:p>
      <w:pPr>
        <w:pStyle w:val="Defstart"/>
        <w:spacing w:before="60"/>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spacing w:before="60"/>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spacing w:before="60"/>
      </w:pPr>
      <w:r>
        <w:rPr>
          <w:b/>
        </w:rPr>
        <w:tab/>
        <w:t>“</w:t>
      </w:r>
      <w:r>
        <w:rPr>
          <w:rStyle w:val="CharDefText"/>
        </w:rPr>
        <w:t>declared petroleum product</w:t>
      </w:r>
      <w:r>
        <w:rPr>
          <w:b/>
        </w:rPr>
        <w:t>”</w:t>
      </w:r>
      <w:r>
        <w:t xml:space="preserve"> means petroleum product for the time being declared under section 10;</w:t>
      </w:r>
    </w:p>
    <w:p>
      <w:pPr>
        <w:pStyle w:val="Defstart"/>
        <w:spacing w:before="60"/>
      </w:pPr>
      <w:r>
        <w:rPr>
          <w:b/>
        </w:rPr>
        <w:tab/>
        <w:t>“</w:t>
      </w:r>
      <w:r>
        <w:rPr>
          <w:rStyle w:val="CharDefText"/>
        </w:rPr>
        <w:t>declared petroleum service</w:t>
      </w:r>
      <w:r>
        <w:rPr>
          <w:b/>
        </w:rPr>
        <w:t>”</w:t>
      </w:r>
      <w:r>
        <w:t xml:space="preserve"> means petroleum service for the time being declared under section 10;</w:t>
      </w:r>
    </w:p>
    <w:p>
      <w:pPr>
        <w:pStyle w:val="Defstart"/>
        <w:spacing w:before="60"/>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spacing w:before="60"/>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0"/>
      </w:pPr>
      <w:r>
        <w:rPr>
          <w:b/>
        </w:rPr>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motor fuel</w:t>
      </w:r>
      <w:r>
        <w:rPr>
          <w:b/>
        </w:rPr>
        <w:t>”</w:t>
      </w:r>
      <w:r>
        <w:t xml:space="preserve"> means petrol, LPG, or diesel fuel intended for use in propelling motor vehicles;</w:t>
      </w:r>
    </w:p>
    <w:p>
      <w:pPr>
        <w:pStyle w:val="Defstart"/>
      </w:pPr>
      <w:r>
        <w:rPr>
          <w:b/>
        </w:rPr>
        <w:tab/>
        <w:t>“</w:t>
      </w:r>
      <w:r>
        <w:rPr>
          <w:rStyle w:val="CharDefText"/>
        </w:rPr>
        <w:t>motor vehicle</w:t>
      </w:r>
      <w:r>
        <w:rPr>
          <w:b/>
        </w:rPr>
        <w:t>”</w:t>
      </w:r>
      <w:r>
        <w:t xml:space="preserve"> has the meaning given by section 5 of the </w:t>
      </w:r>
      <w:r>
        <w:rPr>
          <w:i/>
        </w:rPr>
        <w:t>Road Traffic Act 1974</w:t>
      </w:r>
      <w:r>
        <w:t>;</w:t>
      </w:r>
    </w:p>
    <w:p>
      <w:pPr>
        <w:pStyle w:val="Defstart"/>
      </w:pPr>
      <w:r>
        <w:rPr>
          <w:b/>
        </w:rPr>
        <w:tab/>
        <w:t>“</w:t>
      </w:r>
      <w:r>
        <w:rPr>
          <w:rStyle w:val="CharDefText"/>
        </w:rPr>
        <w:t>order</w:t>
      </w:r>
      <w:r>
        <w:rPr>
          <w:b/>
        </w:rPr>
        <w:t>”</w:t>
      </w:r>
      <w:r>
        <w:t xml:space="preserve"> means order made under section 12;</w:t>
      </w:r>
    </w:p>
    <w:p>
      <w:pPr>
        <w:pStyle w:val="Defstart"/>
      </w:pPr>
      <w:r>
        <w:rPr>
          <w:b/>
        </w:rPr>
        <w:tab/>
        <w:t>“</w:t>
      </w:r>
      <w:r>
        <w:rPr>
          <w:rStyle w:val="CharDefText"/>
        </w:rPr>
        <w:t>paragraph</w:t>
      </w:r>
      <w:r>
        <w:rPr>
          <w:b/>
        </w:rPr>
        <w:t>”</w:t>
      </w:r>
      <w:r>
        <w:t xml:space="preserve"> means paragraph of the section or subsection in which the term appears;</w:t>
      </w:r>
    </w:p>
    <w:p>
      <w:pPr>
        <w:pStyle w:val="Defstart"/>
      </w:pPr>
      <w:r>
        <w:rPr>
          <w:b/>
        </w:rPr>
        <w:tab/>
        <w:t>“</w:t>
      </w:r>
      <w:r>
        <w:rPr>
          <w:rStyle w:val="CharDefText"/>
        </w:rPr>
        <w:t>Part</w:t>
      </w:r>
      <w:r>
        <w:rPr>
          <w:b/>
        </w:rPr>
        <w:t>”</w:t>
      </w:r>
      <w:r>
        <w:t xml:space="preserve"> means Part of this Act;</w:t>
      </w:r>
    </w:p>
    <w:p>
      <w:pPr>
        <w:pStyle w:val="Defstart"/>
      </w:pPr>
      <w:r>
        <w:tab/>
      </w:r>
      <w:r>
        <w:rPr>
          <w:b/>
        </w:rPr>
        <w:t>“</w:t>
      </w:r>
      <w:r>
        <w:rPr>
          <w:rStyle w:val="CharDefText"/>
        </w:rPr>
        <w:t>petroleum</w:t>
      </w:r>
      <w:r>
        <w:rPr>
          <w:b/>
        </w:rPr>
        <w:t xml:space="preserve">” </w:t>
      </w:r>
      <w:r>
        <w:t>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pPr>
      <w:r>
        <w:tab/>
        <w:t>(a)</w:t>
      </w:r>
      <w:r>
        <w:tab/>
        <w:t>a product listed in Schedule 1; or</w:t>
      </w:r>
    </w:p>
    <w:p>
      <w:pPr>
        <w:pStyle w:val="Defpara"/>
      </w:pPr>
      <w:r>
        <w:tab/>
        <w:t>(b)</w:t>
      </w:r>
      <w:r>
        <w:tab/>
        <w:t>a product that is excluded from this definition by an order under subsection (4),</w:t>
      </w:r>
    </w:p>
    <w:p>
      <w:pPr>
        <w:pStyle w:val="Defstart"/>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w:t>
      </w:r>
    </w:p>
    <w:p>
      <w:pPr>
        <w:pStyle w:val="Heading5"/>
        <w:rPr>
          <w:snapToGrid w:val="0"/>
        </w:rPr>
      </w:pPr>
      <w:bookmarkStart w:id="26" w:name="_Toc523206297"/>
      <w:bookmarkStart w:id="27" w:name="_Toc525352677"/>
      <w:bookmarkStart w:id="28" w:name="_Toc530906999"/>
      <w:bookmarkStart w:id="29" w:name="_Toc535210296"/>
      <w:bookmarkStart w:id="30" w:name="_Toc124064817"/>
      <w:bookmarkStart w:id="31" w:name="_Toc124140567"/>
      <w:r>
        <w:rPr>
          <w:rStyle w:val="CharSectno"/>
        </w:rPr>
        <w:t>4</w:t>
      </w:r>
      <w:r>
        <w:rPr>
          <w:snapToGrid w:val="0"/>
        </w:rPr>
        <w:t>.</w:t>
      </w:r>
      <w:r>
        <w:rPr>
          <w:snapToGrid w:val="0"/>
        </w:rPr>
        <w:tab/>
        <w:t>Relationship to other Acts, etc.</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32" w:name="_Toc89491044"/>
      <w:bookmarkStart w:id="33" w:name="_Toc89576899"/>
      <w:bookmarkStart w:id="34" w:name="_Toc97002568"/>
      <w:bookmarkStart w:id="35" w:name="_Toc102907352"/>
      <w:bookmarkStart w:id="36" w:name="_Toc121565905"/>
      <w:bookmarkStart w:id="37" w:name="_Toc124064818"/>
      <w:bookmarkStart w:id="38" w:name="_Toc124140568"/>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3206298"/>
      <w:bookmarkStart w:id="40" w:name="_Toc525352678"/>
      <w:bookmarkStart w:id="41" w:name="_Toc530907000"/>
      <w:bookmarkStart w:id="42" w:name="_Toc535210297"/>
      <w:bookmarkStart w:id="43" w:name="_Toc124064819"/>
      <w:bookmarkStart w:id="44" w:name="_Toc124140569"/>
      <w:r>
        <w:rPr>
          <w:rStyle w:val="CharSectno"/>
        </w:rPr>
        <w:t>5</w:t>
      </w:r>
      <w:r>
        <w:rPr>
          <w:snapToGrid w:val="0"/>
        </w:rPr>
        <w:t>.</w:t>
      </w:r>
      <w:r>
        <w:rPr>
          <w:snapToGrid w:val="0"/>
        </w:rPr>
        <w:tab/>
        <w:t>Prices Commissioner and other officers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person for the time being holding or acting in the office of </w:t>
      </w:r>
      <w:r>
        <w:t xml:space="preserve">Commissioner for Fair Trading </w:t>
      </w:r>
      <w:r>
        <w:rPr>
          <w:snapToGrid w:val="0"/>
        </w:rPr>
        <w:t xml:space="preserve">under the </w:t>
      </w:r>
      <w:r>
        <w:rPr>
          <w:i/>
          <w:snapToGrid w:val="0"/>
        </w:rPr>
        <w:t>Consumer Affairs Act 1971</w:t>
      </w:r>
      <w:r>
        <w:rPr>
          <w:snapToGrid w:val="0"/>
        </w:rPr>
        <w:t xml:space="preserve"> is the Prices Commissioner for the purposes of this Act.</w:t>
      </w:r>
    </w:p>
    <w:p>
      <w:pPr>
        <w:pStyle w:val="Subsection"/>
        <w:rPr>
          <w:snapToGrid w:val="0"/>
        </w:rPr>
      </w:pPr>
      <w:r>
        <w:rPr>
          <w:snapToGrid w:val="0"/>
        </w:rPr>
        <w:tab/>
        <w:t>(2)</w:t>
      </w:r>
      <w:r>
        <w:rPr>
          <w:snapToGrid w:val="0"/>
        </w:rPr>
        <w:tab/>
        <w:t>The Commissioner shall be assisted in the administration of this Act by — </w:t>
      </w:r>
    </w:p>
    <w:p>
      <w:pPr>
        <w:pStyle w:val="Indenta"/>
        <w:rPr>
          <w:snapToGrid w:val="0"/>
        </w:rPr>
      </w:pPr>
      <w:r>
        <w:rPr>
          <w:snapToGrid w:val="0"/>
        </w:rPr>
        <w:tab/>
        <w:t>(a)</w:t>
      </w:r>
      <w:r>
        <w:rPr>
          <w:snapToGrid w:val="0"/>
        </w:rPr>
        <w:tab/>
        <w:t xml:space="preserve">the officers appointed under section 15(1) of the </w:t>
      </w:r>
      <w:r>
        <w:rPr>
          <w:i/>
          <w:snapToGrid w:val="0"/>
        </w:rPr>
        <w:t>Consumer Affairs Act 1971</w:t>
      </w:r>
      <w:r>
        <w:rPr>
          <w:snapToGrid w:val="0"/>
        </w:rPr>
        <w:t xml:space="preserve"> to assist the</w:t>
      </w:r>
      <w:r>
        <w:t xml:space="preserve"> Commissioner for Fair Trading</w:t>
      </w:r>
      <w:r>
        <w:rPr>
          <w:snapToGrid w:val="0"/>
        </w:rPr>
        <w:t>; and</w:t>
      </w:r>
    </w:p>
    <w:p>
      <w:pPr>
        <w:pStyle w:val="Indenta"/>
        <w:rPr>
          <w:snapToGrid w:val="0"/>
        </w:rPr>
      </w:pPr>
      <w:r>
        <w:rPr>
          <w:snapToGrid w:val="0"/>
        </w:rPr>
        <w:tab/>
        <w:t>(b)</w:t>
      </w:r>
      <w:r>
        <w:rPr>
          <w:snapToGrid w:val="0"/>
        </w:rPr>
        <w:tab/>
        <w:t xml:space="preserve">such officers, other than those referred to in paragraph (a), appointed under and subject to Part 3 of the </w:t>
      </w:r>
      <w:r>
        <w:rPr>
          <w:i/>
          <w:snapToGrid w:val="0"/>
        </w:rPr>
        <w:t>Public Sector Management Act 1994</w:t>
      </w:r>
      <w:r>
        <w:rPr>
          <w:snapToGrid w:val="0"/>
        </w:rPr>
        <w:t xml:space="preserve"> as may be necessary to assist the Commissioner in that administration.</w:t>
      </w:r>
    </w:p>
    <w:p>
      <w:pPr>
        <w:pStyle w:val="Footnotesection"/>
      </w:pPr>
      <w:r>
        <w:tab/>
        <w:t xml:space="preserve">[Section 5 amended by No. 32 of 1994 s. 3(2); No. 57 of 1997 s. 39(10).] </w:t>
      </w:r>
    </w:p>
    <w:p>
      <w:pPr>
        <w:pStyle w:val="Heading5"/>
        <w:rPr>
          <w:snapToGrid w:val="0"/>
        </w:rPr>
      </w:pPr>
      <w:bookmarkStart w:id="45" w:name="_Toc523206299"/>
      <w:bookmarkStart w:id="46" w:name="_Toc525352679"/>
      <w:bookmarkStart w:id="47" w:name="_Toc530907001"/>
      <w:bookmarkStart w:id="48" w:name="_Toc535210298"/>
      <w:bookmarkStart w:id="49" w:name="_Toc124064820"/>
      <w:bookmarkStart w:id="50" w:name="_Toc124140570"/>
      <w:r>
        <w:rPr>
          <w:rStyle w:val="CharSectno"/>
        </w:rPr>
        <w:t>6</w:t>
      </w:r>
      <w:r>
        <w:rPr>
          <w:snapToGrid w:val="0"/>
        </w:rPr>
        <w:t>.</w:t>
      </w:r>
      <w:r>
        <w:rPr>
          <w:snapToGrid w:val="0"/>
        </w:rPr>
        <w:tab/>
        <w:t>Object and purposes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51" w:name="_Toc523206300"/>
      <w:bookmarkStart w:id="52" w:name="_Toc525352680"/>
      <w:bookmarkStart w:id="53" w:name="_Toc530907002"/>
      <w:bookmarkStart w:id="54" w:name="_Toc535210299"/>
      <w:bookmarkStart w:id="55" w:name="_Toc124064821"/>
      <w:bookmarkStart w:id="56" w:name="_Toc124140571"/>
      <w:r>
        <w:rPr>
          <w:rStyle w:val="CharSectno"/>
        </w:rPr>
        <w:t>7</w:t>
      </w:r>
      <w:r>
        <w:rPr>
          <w:snapToGrid w:val="0"/>
        </w:rPr>
        <w:t>.</w:t>
      </w:r>
      <w:r>
        <w:rPr>
          <w:snapToGrid w:val="0"/>
        </w:rPr>
        <w:tab/>
        <w:t>General administration, and the powers and duties of the Commissioner</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functions of the Commissioner under this Act are — </w:t>
      </w:r>
    </w:p>
    <w:p>
      <w:pPr>
        <w:pStyle w:val="Indenta"/>
        <w:rPr>
          <w:snapToGrid w:val="0"/>
        </w:rPr>
      </w:pPr>
      <w:r>
        <w:rPr>
          <w:snapToGrid w:val="0"/>
        </w:rPr>
        <w:tab/>
        <w:t>(a)</w:t>
      </w:r>
      <w:r>
        <w:rPr>
          <w:snapToGrid w:val="0"/>
        </w:rPr>
        <w:tab/>
        <w:t>to advise the Minister as to the administration of this Act, generally in relation to particular matters; and</w:t>
      </w:r>
    </w:p>
    <w:p>
      <w:pPr>
        <w:pStyle w:val="Indenta"/>
        <w:rPr>
          <w:snapToGrid w:val="0"/>
        </w:rPr>
      </w:pPr>
      <w:r>
        <w:rPr>
          <w:snapToGrid w:val="0"/>
        </w:rPr>
        <w:tab/>
        <w:t>(b)</w:t>
      </w:r>
      <w:r>
        <w:rPr>
          <w:snapToGrid w:val="0"/>
        </w:rPr>
        <w:tab/>
        <w:t>to administer this Act 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rPr>
          <w:snapToGrid w:val="0"/>
        </w:rPr>
      </w:pPr>
      <w:r>
        <w:rPr>
          <w:snapToGrid w:val="0"/>
        </w:rPr>
        <w:tab/>
        <w:t>(d)</w:t>
      </w:r>
      <w:r>
        <w:rPr>
          <w:snapToGrid w:val="0"/>
        </w:rPr>
        <w:tab/>
        <w:t>may, in respect of any investigation, determine the extent, if any, to which — </w:t>
      </w:r>
    </w:p>
    <w:p>
      <w:pPr>
        <w:pStyle w:val="Indenti"/>
        <w:rPr>
          <w:snapToGrid w:val="0"/>
        </w:rPr>
      </w:pPr>
      <w:r>
        <w:rPr>
          <w:snapToGrid w:val="0"/>
        </w:rPr>
        <w:tab/>
        <w:t>(i)</w:t>
      </w:r>
      <w:r>
        <w:rPr>
          <w:snapToGrid w:val="0"/>
        </w:rPr>
        <w:tab/>
        <w:t>he will hold proceedings in public; and</w:t>
      </w:r>
    </w:p>
    <w:p>
      <w:pPr>
        <w:pStyle w:val="Indenti"/>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unless otherwise directed by the Minister, determine the procedure to be used in relation to any investigation.</w:t>
      </w:r>
    </w:p>
    <w:p>
      <w:pPr>
        <w:pStyle w:val="Subsection"/>
        <w:rPr>
          <w:snapToGrid w:val="0"/>
        </w:rPr>
      </w:pPr>
      <w:r>
        <w:rPr>
          <w:snapToGrid w:val="0"/>
        </w:rPr>
        <w:tab/>
        <w:t>(5)</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Consumer Affairs</w:t>
      </w:r>
      <w:r>
        <w:rPr>
          <w:snapToGrid w:val="0"/>
          <w:vertAlign w:val="superscript"/>
        </w:rPr>
        <w:t xml:space="preserve"> 2</w:t>
      </w:r>
      <w:r>
        <w:rPr>
          <w:snapToGrid w:val="0"/>
        </w:rPr>
        <w:t xml:space="preserve"> and its operations under this Act.</w:t>
      </w:r>
    </w:p>
    <w:p>
      <w:pPr>
        <w:pStyle w:val="Footnotesection"/>
      </w:pPr>
      <w:r>
        <w:tab/>
        <w:t xml:space="preserve">[Section 7 amended by No. 72 of 1983 s. 8 and 15; No. 98 of 1985 s. 3; No. 73 of 2000 s. 5.] </w:t>
      </w:r>
    </w:p>
    <w:p>
      <w:pPr>
        <w:pStyle w:val="Heading5"/>
        <w:rPr>
          <w:snapToGrid w:val="0"/>
        </w:rPr>
      </w:pPr>
      <w:bookmarkStart w:id="57" w:name="_Toc523206301"/>
      <w:bookmarkStart w:id="58" w:name="_Toc525352681"/>
      <w:bookmarkStart w:id="59" w:name="_Toc530907003"/>
      <w:bookmarkStart w:id="60" w:name="_Toc535210300"/>
      <w:bookmarkStart w:id="61" w:name="_Toc124064822"/>
      <w:bookmarkStart w:id="62" w:name="_Toc124140572"/>
      <w:r>
        <w:rPr>
          <w:rStyle w:val="CharSectno"/>
        </w:rPr>
        <w:t>8</w:t>
      </w:r>
      <w:r>
        <w:rPr>
          <w:snapToGrid w:val="0"/>
        </w:rPr>
        <w:t>.</w:t>
      </w:r>
      <w:r>
        <w:rPr>
          <w:snapToGrid w:val="0"/>
        </w:rPr>
        <w:tab/>
        <w:t>Prices advisory committees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may appoint one or more prices advisory committees to advise — </w:t>
      </w:r>
    </w:p>
    <w:p>
      <w:pPr>
        <w:pStyle w:val="Indenta"/>
        <w:rPr>
          <w:snapToGrid w:val="0"/>
        </w:rPr>
      </w:pPr>
      <w:r>
        <w:rPr>
          <w:snapToGrid w:val="0"/>
        </w:rPr>
        <w:tab/>
        <w:t>(a)</w:t>
      </w:r>
      <w:r>
        <w:rPr>
          <w:snapToGrid w:val="0"/>
        </w:rPr>
        <w:tab/>
        <w:t>whether or not particular petroleum products or petroleum services should be declared under section 10; or</w:t>
      </w:r>
    </w:p>
    <w:p>
      <w:pPr>
        <w:pStyle w:val="Indenta"/>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63" w:name="_Toc523206302"/>
      <w:bookmarkStart w:id="64" w:name="_Toc525352682"/>
      <w:bookmarkStart w:id="65" w:name="_Toc530907004"/>
      <w:bookmarkStart w:id="66" w:name="_Toc535210301"/>
      <w:bookmarkStart w:id="67" w:name="_Toc124064823"/>
      <w:bookmarkStart w:id="68" w:name="_Toc124140573"/>
      <w:r>
        <w:rPr>
          <w:rStyle w:val="CharSectno"/>
        </w:rPr>
        <w:t>9</w:t>
      </w:r>
      <w:r>
        <w:rPr>
          <w:snapToGrid w:val="0"/>
        </w:rPr>
        <w:t>.</w:t>
      </w:r>
      <w:r>
        <w:rPr>
          <w:snapToGrid w:val="0"/>
        </w:rPr>
        <w:tab/>
        <w:t>Terms of office of members of committees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69" w:name="_Toc89491050"/>
      <w:bookmarkStart w:id="70" w:name="_Toc89576905"/>
      <w:bookmarkStart w:id="71" w:name="_Toc97002574"/>
      <w:bookmarkStart w:id="72" w:name="_Toc102907358"/>
      <w:bookmarkStart w:id="73" w:name="_Toc121565911"/>
      <w:bookmarkStart w:id="74" w:name="_Toc124064824"/>
      <w:bookmarkStart w:id="75" w:name="_Toc124140574"/>
      <w:r>
        <w:rPr>
          <w:rStyle w:val="CharPartNo"/>
        </w:rPr>
        <w:t>Part III</w:t>
      </w:r>
      <w:r>
        <w:t> — </w:t>
      </w:r>
      <w:r>
        <w:rPr>
          <w:rStyle w:val="CharPartText"/>
        </w:rPr>
        <w:t>Regulation of prices and rates</w:t>
      </w:r>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89491051"/>
      <w:bookmarkStart w:id="77" w:name="_Toc89576906"/>
      <w:bookmarkStart w:id="78" w:name="_Toc97002575"/>
      <w:bookmarkStart w:id="79" w:name="_Toc102907359"/>
      <w:bookmarkStart w:id="80" w:name="_Toc121565912"/>
      <w:bookmarkStart w:id="81" w:name="_Toc124064825"/>
      <w:bookmarkStart w:id="82" w:name="_Toc124140575"/>
      <w:r>
        <w:rPr>
          <w:rStyle w:val="CharDivNo"/>
        </w:rPr>
        <w:t>Division 1</w:t>
      </w:r>
      <w:r>
        <w:rPr>
          <w:snapToGrid w:val="0"/>
        </w:rPr>
        <w:t> — </w:t>
      </w:r>
      <w:r>
        <w:rPr>
          <w:rStyle w:val="CharDivText"/>
        </w:rPr>
        <w:t>Declaration of goods and services</w:t>
      </w:r>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523206303"/>
      <w:bookmarkStart w:id="84" w:name="_Toc525352683"/>
      <w:bookmarkStart w:id="85" w:name="_Toc530907005"/>
      <w:bookmarkStart w:id="86" w:name="_Toc535210302"/>
      <w:bookmarkStart w:id="87" w:name="_Toc124064826"/>
      <w:bookmarkStart w:id="88" w:name="_Toc124140576"/>
      <w:r>
        <w:rPr>
          <w:rStyle w:val="CharSectno"/>
        </w:rPr>
        <w:t>10</w:t>
      </w:r>
      <w:r>
        <w:rPr>
          <w:snapToGrid w:val="0"/>
        </w:rPr>
        <w:t>.</w:t>
      </w:r>
      <w:r>
        <w:rPr>
          <w:snapToGrid w:val="0"/>
        </w:rPr>
        <w:tab/>
        <w:t>Declaration of goods and services</w:t>
      </w:r>
      <w:bookmarkEnd w:id="83"/>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spacing w:before="80"/>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spacing w:before="140"/>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spacing w:before="140"/>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spacing w:before="140"/>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89" w:name="_Toc523206304"/>
      <w:bookmarkStart w:id="90" w:name="_Toc525352684"/>
      <w:bookmarkStart w:id="91" w:name="_Toc530907006"/>
      <w:bookmarkStart w:id="92" w:name="_Toc535210303"/>
      <w:bookmarkStart w:id="93" w:name="_Toc124064827"/>
      <w:bookmarkStart w:id="94" w:name="_Toc124140577"/>
      <w:r>
        <w:rPr>
          <w:rStyle w:val="CharSectno"/>
        </w:rPr>
        <w:t>11</w:t>
      </w:r>
      <w:r>
        <w:rPr>
          <w:snapToGrid w:val="0"/>
        </w:rPr>
        <w:t>.</w:t>
      </w:r>
      <w:r>
        <w:rPr>
          <w:snapToGrid w:val="0"/>
        </w:rPr>
        <w:tab/>
        <w:t>Procedure when increase in price or rate of declared goods or declared service proposed</w:t>
      </w:r>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 notice under section 10 may require that — </w:t>
      </w:r>
    </w:p>
    <w:p>
      <w:pPr>
        <w:pStyle w:val="Indenta"/>
        <w:spacing w:before="60"/>
        <w:rPr>
          <w:snapToGrid w:val="0"/>
        </w:rPr>
      </w:pPr>
      <w:r>
        <w:rPr>
          <w:snapToGrid w:val="0"/>
        </w:rPr>
        <w:tab/>
        <w:t>(a)</w:t>
      </w:r>
      <w:r>
        <w:rPr>
          <w:snapToGrid w:val="0"/>
        </w:rPr>
        <w:tab/>
        <w:t>any person generally;</w:t>
      </w:r>
    </w:p>
    <w:p>
      <w:pPr>
        <w:pStyle w:val="Indenta"/>
        <w:spacing w:before="60"/>
        <w:rPr>
          <w:snapToGrid w:val="0"/>
        </w:rPr>
      </w:pPr>
      <w:r>
        <w:rPr>
          <w:snapToGrid w:val="0"/>
        </w:rPr>
        <w:tab/>
        <w:t>(b)</w:t>
      </w:r>
      <w:r>
        <w:rPr>
          <w:snapToGrid w:val="0"/>
        </w:rPr>
        <w:tab/>
        <w:t>any person included in a class of persons;</w:t>
      </w:r>
    </w:p>
    <w:p>
      <w:pPr>
        <w:pStyle w:val="Indenta"/>
        <w:spacing w:before="60"/>
        <w:rPr>
          <w:snapToGrid w:val="0"/>
        </w:rPr>
      </w:pPr>
      <w:r>
        <w:rPr>
          <w:snapToGrid w:val="0"/>
        </w:rPr>
        <w:tab/>
        <w:t>(c)</w:t>
      </w:r>
      <w:r>
        <w:rPr>
          <w:snapToGrid w:val="0"/>
        </w:rPr>
        <w:tab/>
        <w:t>any person to whom a notice is given in pursuance of the declaration; or</w:t>
      </w:r>
    </w:p>
    <w:p>
      <w:pPr>
        <w:pStyle w:val="Indenta"/>
        <w:spacing w:before="60"/>
        <w:rPr>
          <w:snapToGrid w:val="0"/>
        </w:rPr>
      </w:pPr>
      <w:r>
        <w:rPr>
          <w:snapToGrid w:val="0"/>
        </w:rPr>
        <w:tab/>
        <w:t>(d)</w:t>
      </w:r>
      <w:r>
        <w:rPr>
          <w:snapToGrid w:val="0"/>
        </w:rPr>
        <w:tab/>
        <w:t>any particular person,</w:t>
      </w:r>
    </w:p>
    <w:p>
      <w:pPr>
        <w:pStyle w:val="Subsection"/>
        <w:spacing w:before="80"/>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spacing w:before="120"/>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spacing w:before="60"/>
        <w:rPr>
          <w:snapToGrid w:val="0"/>
        </w:rPr>
      </w:pPr>
      <w:r>
        <w:rPr>
          <w:snapToGrid w:val="0"/>
        </w:rPr>
        <w:tab/>
        <w:t>(a)</w:t>
      </w:r>
      <w:r>
        <w:rPr>
          <w:snapToGrid w:val="0"/>
        </w:rPr>
        <w:tab/>
        <w:t>the cost to the manufacturer, seller or supplier of the declared petroleum products or declared petroleum service concerned;</w:t>
      </w:r>
    </w:p>
    <w:p>
      <w:pPr>
        <w:pStyle w:val="Indenta"/>
        <w:spacing w:before="60"/>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spacing w:before="60"/>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95" w:name="_Toc89491054"/>
      <w:bookmarkStart w:id="96" w:name="_Toc89576909"/>
      <w:bookmarkStart w:id="97" w:name="_Toc97002578"/>
      <w:bookmarkStart w:id="98" w:name="_Toc102907362"/>
      <w:bookmarkStart w:id="99" w:name="_Toc121565915"/>
      <w:bookmarkStart w:id="100" w:name="_Toc124064828"/>
      <w:bookmarkStart w:id="101" w:name="_Toc124140578"/>
      <w:r>
        <w:rPr>
          <w:rStyle w:val="CharDivNo"/>
        </w:rPr>
        <w:t>Division 2</w:t>
      </w:r>
      <w:r>
        <w:rPr>
          <w:snapToGrid w:val="0"/>
        </w:rPr>
        <w:t> — </w:t>
      </w:r>
      <w:r>
        <w:rPr>
          <w:rStyle w:val="CharDivText"/>
        </w:rPr>
        <w:t>Determination of maximum prices and rates for goods and services</w:t>
      </w:r>
      <w:bookmarkEnd w:id="95"/>
      <w:bookmarkEnd w:id="96"/>
      <w:bookmarkEnd w:id="97"/>
      <w:bookmarkEnd w:id="98"/>
      <w:bookmarkEnd w:id="99"/>
      <w:bookmarkEnd w:id="100"/>
      <w:bookmarkEnd w:id="101"/>
    </w:p>
    <w:p>
      <w:pPr>
        <w:pStyle w:val="Heading5"/>
        <w:rPr>
          <w:snapToGrid w:val="0"/>
        </w:rPr>
      </w:pPr>
      <w:bookmarkStart w:id="102" w:name="_Toc523206305"/>
      <w:bookmarkStart w:id="103" w:name="_Toc525352685"/>
      <w:bookmarkStart w:id="104" w:name="_Toc530907007"/>
      <w:bookmarkStart w:id="105" w:name="_Toc535210304"/>
      <w:bookmarkStart w:id="106" w:name="_Toc124064829"/>
      <w:bookmarkStart w:id="107" w:name="_Toc124140579"/>
      <w:r>
        <w:rPr>
          <w:rStyle w:val="CharSectno"/>
        </w:rPr>
        <w:t>12</w:t>
      </w:r>
      <w:r>
        <w:rPr>
          <w:snapToGrid w:val="0"/>
        </w:rPr>
        <w:t>.</w:t>
      </w:r>
      <w:r>
        <w:rPr>
          <w:snapToGrid w:val="0"/>
        </w:rPr>
        <w:tab/>
        <w:t>Determination of maximum prices and rates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spacing w:before="80"/>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pPr>
      <w:r>
        <w:tab/>
        <w:t>(2a)</w:t>
      </w:r>
      <w:r>
        <w:tab/>
        <w:t>An order fixing a maximum price for the sale of motor fuel may apply to a particular terminal, as defined in Part IIIA.</w:t>
      </w:r>
    </w:p>
    <w:p>
      <w:pPr>
        <w:pStyle w:val="Subsection"/>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spacing w:before="80"/>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08" w:name="_Toc523206306"/>
      <w:bookmarkStart w:id="109" w:name="_Toc525352686"/>
      <w:bookmarkStart w:id="110" w:name="_Toc530907008"/>
      <w:bookmarkStart w:id="111" w:name="_Toc535210305"/>
      <w:bookmarkStart w:id="112" w:name="_Toc124064830"/>
      <w:bookmarkStart w:id="113" w:name="_Toc124140580"/>
      <w:r>
        <w:rPr>
          <w:rStyle w:val="CharSectno"/>
        </w:rPr>
        <w:t>13</w:t>
      </w:r>
      <w:r>
        <w:rPr>
          <w:snapToGrid w:val="0"/>
        </w:rPr>
        <w:t>.</w:t>
      </w:r>
      <w:r>
        <w:rPr>
          <w:snapToGrid w:val="0"/>
        </w:rPr>
        <w:tab/>
        <w:t>Power of Minister to suspend order</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14" w:name="_Toc89491057"/>
      <w:bookmarkStart w:id="115" w:name="_Toc89576912"/>
      <w:bookmarkStart w:id="116" w:name="_Toc97002581"/>
      <w:bookmarkStart w:id="117" w:name="_Toc102907365"/>
      <w:bookmarkStart w:id="118" w:name="_Toc121565918"/>
      <w:bookmarkStart w:id="119" w:name="_Toc124064831"/>
      <w:bookmarkStart w:id="120" w:name="_Toc124140581"/>
      <w:r>
        <w:rPr>
          <w:rStyle w:val="CharDivNo"/>
        </w:rPr>
        <w:t>Division 3</w:t>
      </w:r>
      <w:r>
        <w:rPr>
          <w:snapToGrid w:val="0"/>
        </w:rPr>
        <w:t> — </w:t>
      </w:r>
      <w:r>
        <w:rPr>
          <w:rStyle w:val="CharDivText"/>
        </w:rPr>
        <w:t>Enforcement of maximum prices and rates</w:t>
      </w:r>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3206307"/>
      <w:bookmarkStart w:id="122" w:name="_Toc525352687"/>
      <w:bookmarkStart w:id="123" w:name="_Toc530907009"/>
      <w:bookmarkStart w:id="124" w:name="_Toc535210306"/>
      <w:bookmarkStart w:id="125" w:name="_Toc124064832"/>
      <w:bookmarkStart w:id="126" w:name="_Toc124140582"/>
      <w:r>
        <w:rPr>
          <w:rStyle w:val="CharSectno"/>
        </w:rPr>
        <w:t>14</w:t>
      </w:r>
      <w:r>
        <w:rPr>
          <w:snapToGrid w:val="0"/>
        </w:rPr>
        <w:t>.</w:t>
      </w:r>
      <w:r>
        <w:rPr>
          <w:snapToGrid w:val="0"/>
        </w:rPr>
        <w:tab/>
        <w:t>Offence to sell goods at price higher than maximum price or supply service at rate higher than maximum rate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spacing w:before="60"/>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spacing w:before="60"/>
        <w:rPr>
          <w:snapToGrid w:val="0"/>
        </w:rPr>
      </w:pPr>
      <w:r>
        <w:rPr>
          <w:snapToGrid w:val="0"/>
        </w:rPr>
        <w:tab/>
        <w:t>(b)</w:t>
      </w:r>
      <w:r>
        <w:rPr>
          <w:snapToGrid w:val="0"/>
        </w:rPr>
        <w:tab/>
        <w:t>in any other manner to the advantage of that person.</w:t>
      </w:r>
    </w:p>
    <w:p>
      <w:pPr>
        <w:pStyle w:val="Penstart"/>
        <w:spacing w:before="60"/>
        <w:rPr>
          <w:snapToGrid w:val="0"/>
        </w:rPr>
      </w:pPr>
      <w:r>
        <w:rPr>
          <w:snapToGrid w:val="0"/>
        </w:rPr>
        <w:tab/>
        <w:t>Penalty: $20 000.</w:t>
      </w:r>
    </w:p>
    <w:p>
      <w:pPr>
        <w:pStyle w:val="Subsection"/>
        <w:spacing w:before="140"/>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spacing w:before="100"/>
        <w:ind w:left="890" w:hanging="890"/>
      </w:pPr>
      <w:r>
        <w:tab/>
        <w:t xml:space="preserve">[Section 14 amended by No. 72 of 1983 s. 15; No. 73 of 2000 s. 14(1); No. 11 of 2001 s. 21(1).] </w:t>
      </w:r>
    </w:p>
    <w:p>
      <w:pPr>
        <w:pStyle w:val="Heading5"/>
        <w:spacing w:before="180"/>
        <w:rPr>
          <w:snapToGrid w:val="0"/>
        </w:rPr>
      </w:pPr>
      <w:bookmarkStart w:id="127" w:name="_Toc523206308"/>
      <w:bookmarkStart w:id="128" w:name="_Toc525352688"/>
      <w:bookmarkStart w:id="129" w:name="_Toc530907010"/>
      <w:bookmarkStart w:id="130" w:name="_Toc535210307"/>
      <w:bookmarkStart w:id="131" w:name="_Toc124064833"/>
      <w:bookmarkStart w:id="132" w:name="_Toc124140583"/>
      <w:r>
        <w:rPr>
          <w:rStyle w:val="CharSectno"/>
        </w:rPr>
        <w:t>15</w:t>
      </w:r>
      <w:r>
        <w:rPr>
          <w:snapToGrid w:val="0"/>
        </w:rPr>
        <w:t>.</w:t>
      </w:r>
      <w:r>
        <w:rPr>
          <w:snapToGrid w:val="0"/>
        </w:rPr>
        <w:tab/>
        <w:t>Delivery of goods less in quantity than, or of inferior quality to, those sold</w:t>
      </w:r>
      <w:bookmarkEnd w:id="127"/>
      <w:bookmarkEnd w:id="128"/>
      <w:bookmarkEnd w:id="129"/>
      <w:bookmarkEnd w:id="130"/>
      <w:bookmarkEnd w:id="131"/>
      <w:bookmarkEnd w:id="132"/>
      <w:r>
        <w:rPr>
          <w:snapToGrid w:val="0"/>
        </w:rPr>
        <w:t xml:space="preserve"> </w:t>
      </w:r>
    </w:p>
    <w:p>
      <w:pPr>
        <w:pStyle w:val="Subsection"/>
        <w:spacing w:before="140"/>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33" w:name="_Toc523206309"/>
      <w:bookmarkStart w:id="134" w:name="_Toc525352689"/>
      <w:bookmarkStart w:id="135" w:name="_Toc530907011"/>
      <w:bookmarkStart w:id="136" w:name="_Toc535210308"/>
      <w:bookmarkStart w:id="137" w:name="_Toc124064834"/>
      <w:bookmarkStart w:id="138" w:name="_Toc124140584"/>
      <w:r>
        <w:rPr>
          <w:rStyle w:val="CharSectno"/>
        </w:rPr>
        <w:t>16</w:t>
      </w:r>
      <w:r>
        <w:rPr>
          <w:snapToGrid w:val="0"/>
        </w:rPr>
        <w:t>.</w:t>
      </w:r>
      <w:r>
        <w:rPr>
          <w:snapToGrid w:val="0"/>
        </w:rPr>
        <w:tab/>
        <w:t>Alterations in mode of packing or recipe or formula</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keepNext/>
        <w:keepLines/>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spacing w:before="60"/>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spacing w:before="60"/>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spacing w:before="60"/>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spacing w:before="60"/>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40"/>
        <w:rPr>
          <w:snapToGrid w:val="0"/>
        </w:rPr>
      </w:pPr>
      <w:r>
        <w:rPr>
          <w:snapToGrid w:val="0"/>
        </w:rPr>
        <w:tab/>
        <w:t>(4)</w:t>
      </w:r>
      <w:r>
        <w:rPr>
          <w:snapToGrid w:val="0"/>
        </w:rPr>
        <w:tab/>
        <w:t>In this section — </w:t>
      </w:r>
    </w:p>
    <w:p>
      <w:pPr>
        <w:pStyle w:val="Defstart"/>
        <w:spacing w:before="60"/>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pPr>
      <w:r>
        <w:tab/>
        <w:t xml:space="preserve">[Section 16 amended by No. 72 of 1983 s. 12 and 15; No. 73 of 2000 s. 14(1); No. 11 of 2001 s. 21(1); No. 84 of 2004 s. 82.] </w:t>
      </w:r>
    </w:p>
    <w:p>
      <w:pPr>
        <w:pStyle w:val="Heading5"/>
        <w:rPr>
          <w:snapToGrid w:val="0"/>
        </w:rPr>
      </w:pPr>
      <w:bookmarkStart w:id="139" w:name="_Toc523206310"/>
      <w:bookmarkStart w:id="140" w:name="_Toc525352690"/>
      <w:bookmarkStart w:id="141" w:name="_Toc530907012"/>
      <w:bookmarkStart w:id="142" w:name="_Toc535210309"/>
      <w:bookmarkStart w:id="143" w:name="_Toc124064835"/>
      <w:bookmarkStart w:id="144" w:name="_Toc124140585"/>
      <w:r>
        <w:rPr>
          <w:rStyle w:val="CharSectno"/>
        </w:rPr>
        <w:t>17</w:t>
      </w:r>
      <w:r>
        <w:rPr>
          <w:snapToGrid w:val="0"/>
        </w:rPr>
        <w:t>.</w:t>
      </w:r>
      <w:r>
        <w:rPr>
          <w:snapToGrid w:val="0"/>
        </w:rPr>
        <w:tab/>
        <w:t>Price or rate of controlled goods or service to be specified separately</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45" w:name="_Toc523206311"/>
      <w:bookmarkStart w:id="146" w:name="_Toc525352691"/>
      <w:bookmarkStart w:id="147" w:name="_Toc530907013"/>
      <w:bookmarkStart w:id="148" w:name="_Toc535210310"/>
      <w:bookmarkStart w:id="149" w:name="_Toc124064836"/>
      <w:bookmarkStart w:id="150" w:name="_Toc124140586"/>
      <w:r>
        <w:rPr>
          <w:rStyle w:val="CharSectno"/>
        </w:rPr>
        <w:t>18</w:t>
      </w:r>
      <w:r>
        <w:rPr>
          <w:snapToGrid w:val="0"/>
        </w:rPr>
        <w:t>.</w:t>
      </w:r>
      <w:r>
        <w:rPr>
          <w:snapToGrid w:val="0"/>
        </w:rPr>
        <w:tab/>
        <w:t>Power of Commissioner to prohibit certain transactions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spacing w:before="80"/>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spacing w:before="60"/>
        <w:rPr>
          <w:snapToGrid w:val="0"/>
        </w:rPr>
      </w:pPr>
      <w:r>
        <w:rPr>
          <w:snapToGrid w:val="0"/>
        </w:rPr>
        <w:tab/>
        <w:t>Penalty: $20 000.</w:t>
      </w:r>
    </w:p>
    <w:p>
      <w:pPr>
        <w:pStyle w:val="Subsection"/>
        <w:spacing w:before="120"/>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2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spacing w:before="80"/>
        <w:ind w:left="890" w:hanging="890"/>
      </w:pPr>
      <w:r>
        <w:tab/>
        <w:t>[Section 18 amended by No. 72 of 1983 s. 15; No. 73 of 2000 s. 14(1); No. 11 of 2001 s. 21(1).]</w:t>
      </w:r>
    </w:p>
    <w:p>
      <w:pPr>
        <w:pStyle w:val="Heading5"/>
        <w:spacing w:before="180"/>
        <w:rPr>
          <w:snapToGrid w:val="0"/>
        </w:rPr>
      </w:pPr>
      <w:bookmarkStart w:id="151" w:name="_Toc523206312"/>
      <w:bookmarkStart w:id="152" w:name="_Toc525352692"/>
      <w:bookmarkStart w:id="153" w:name="_Toc530907014"/>
      <w:bookmarkStart w:id="154" w:name="_Toc535210311"/>
      <w:bookmarkStart w:id="155" w:name="_Toc124064837"/>
      <w:bookmarkStart w:id="156" w:name="_Toc124140587"/>
      <w:r>
        <w:rPr>
          <w:rStyle w:val="CharSectno"/>
        </w:rPr>
        <w:t>19</w:t>
      </w:r>
      <w:r>
        <w:rPr>
          <w:snapToGrid w:val="0"/>
        </w:rPr>
        <w:t>.</w:t>
      </w:r>
      <w:r>
        <w:rPr>
          <w:snapToGrid w:val="0"/>
        </w:rPr>
        <w:tab/>
        <w:t>Refusal to sell goods at fixed price</w:t>
      </w:r>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person who has in his custody or under his control any controlled petroleum products for sale shall not refuse or fail — </w:t>
      </w:r>
    </w:p>
    <w:p>
      <w:pPr>
        <w:pStyle w:val="Indenta"/>
        <w:spacing w:before="60"/>
        <w:rPr>
          <w:snapToGrid w:val="0"/>
        </w:rPr>
      </w:pPr>
      <w:r>
        <w:rPr>
          <w:snapToGrid w:val="0"/>
        </w:rPr>
        <w:tab/>
        <w:t>(a)</w:t>
      </w:r>
      <w:r>
        <w:rPr>
          <w:snapToGrid w:val="0"/>
        </w:rPr>
        <w:tab/>
        <w:t>on demand for a quantity of those controlled petroleum products; and</w:t>
      </w:r>
    </w:p>
    <w:p>
      <w:pPr>
        <w:pStyle w:val="Indenta"/>
        <w:spacing w:before="60"/>
        <w:rPr>
          <w:snapToGrid w:val="0"/>
        </w:rPr>
      </w:pPr>
      <w:r>
        <w:rPr>
          <w:snapToGrid w:val="0"/>
        </w:rPr>
        <w:tab/>
        <w:t>(b)</w:t>
      </w:r>
      <w:r>
        <w:rPr>
          <w:snapToGrid w:val="0"/>
        </w:rPr>
        <w:tab/>
        <w:t>on tender of payment at the maximum price fixed under this Act for that quantity of those controlled petroleum products,</w:t>
      </w:r>
    </w:p>
    <w:p>
      <w:pPr>
        <w:pStyle w:val="Subsection"/>
        <w:spacing w:before="60"/>
        <w:rPr>
          <w:snapToGrid w:val="0"/>
        </w:rPr>
      </w:pPr>
      <w:r>
        <w:rPr>
          <w:snapToGrid w:val="0"/>
        </w:rPr>
        <w:tab/>
      </w:r>
      <w:r>
        <w:rPr>
          <w:snapToGrid w:val="0"/>
        </w:rPr>
        <w:tab/>
        <w:t>to sell those controlled petroleum products in the quantity demanded.</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In proceedings in respect of an offence against subsection (1) it is a defence to show that, on the occasion in question — </w:t>
      </w:r>
    </w:p>
    <w:p>
      <w:pPr>
        <w:pStyle w:val="Indenta"/>
        <w:spacing w:before="60"/>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spacing w:before="60"/>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60"/>
        <w:rPr>
          <w:snapToGrid w:val="0"/>
        </w:rPr>
      </w:pPr>
      <w:r>
        <w:rPr>
          <w:snapToGrid w:val="0"/>
        </w:rPr>
        <w:tab/>
        <w:t>(ii)</w:t>
      </w:r>
      <w:r>
        <w:rPr>
          <w:snapToGrid w:val="0"/>
        </w:rPr>
        <w:tab/>
        <w:t>the ordinary requirements of his business;</w:t>
      </w:r>
    </w:p>
    <w:p>
      <w:pPr>
        <w:pStyle w:val="Indenta"/>
        <w:spacing w:before="60"/>
      </w:pPr>
      <w:r>
        <w:tab/>
        <w:t>(b)</w:t>
      </w:r>
      <w:r>
        <w:tab/>
        <w:t xml:space="preserve">either — </w:t>
      </w:r>
    </w:p>
    <w:p>
      <w:pPr>
        <w:pStyle w:val="Indenti"/>
        <w:spacing w:before="6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6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 the accused — </w:t>
      </w:r>
    </w:p>
    <w:p>
      <w:pPr>
        <w:pStyle w:val="Indenti"/>
        <w:spacing w:before="6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6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6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157" w:name="_Toc523206313"/>
      <w:bookmarkStart w:id="158" w:name="_Toc525352693"/>
      <w:bookmarkStart w:id="159" w:name="_Toc530907015"/>
      <w:bookmarkStart w:id="160" w:name="_Toc535210312"/>
      <w:bookmarkStart w:id="161" w:name="_Toc124064838"/>
      <w:bookmarkStart w:id="162" w:name="_Toc124140588"/>
      <w:r>
        <w:rPr>
          <w:rStyle w:val="CharSectno"/>
        </w:rPr>
        <w:t>20</w:t>
      </w:r>
      <w:r>
        <w:rPr>
          <w:snapToGrid w:val="0"/>
        </w:rPr>
        <w:t>.</w:t>
      </w:r>
      <w:r>
        <w:rPr>
          <w:snapToGrid w:val="0"/>
        </w:rPr>
        <w:tab/>
        <w:t>Refusal to supply service at fixed rate</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163" w:name="_Toc523206314"/>
      <w:bookmarkStart w:id="164" w:name="_Toc525352694"/>
      <w:bookmarkStart w:id="165" w:name="_Toc530907016"/>
      <w:bookmarkStart w:id="166" w:name="_Toc535210313"/>
      <w:bookmarkStart w:id="167" w:name="_Toc124064839"/>
      <w:bookmarkStart w:id="168" w:name="_Toc124140589"/>
      <w:r>
        <w:rPr>
          <w:rStyle w:val="CharSectno"/>
        </w:rPr>
        <w:t>21</w:t>
      </w:r>
      <w:r>
        <w:rPr>
          <w:snapToGrid w:val="0"/>
        </w:rPr>
        <w:t>.</w:t>
      </w:r>
      <w:r>
        <w:rPr>
          <w:snapToGrid w:val="0"/>
        </w:rPr>
        <w:tab/>
        <w:t>Refusal to sell or supply unless other goods or services are also purchased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169" w:name="_Toc523206315"/>
      <w:bookmarkStart w:id="170" w:name="_Toc525352695"/>
      <w:bookmarkStart w:id="171" w:name="_Toc530907017"/>
      <w:bookmarkStart w:id="172" w:name="_Toc535210314"/>
      <w:bookmarkStart w:id="173" w:name="_Toc124064840"/>
      <w:bookmarkStart w:id="174" w:name="_Toc124140590"/>
      <w:r>
        <w:rPr>
          <w:rStyle w:val="CharSectno"/>
        </w:rPr>
        <w:t>22</w:t>
      </w:r>
      <w:r>
        <w:rPr>
          <w:snapToGrid w:val="0"/>
        </w:rPr>
        <w:t>.</w:t>
      </w:r>
      <w:r>
        <w:rPr>
          <w:snapToGrid w:val="0"/>
        </w:rPr>
        <w:tab/>
        <w:t>“</w:t>
      </w:r>
      <w:r>
        <w:rPr>
          <w:rStyle w:val="CharDefText"/>
          <w:b/>
        </w:rPr>
        <w:t>Offer</w:t>
      </w:r>
      <w:r>
        <w:rPr>
          <w:snapToGrid w:val="0"/>
        </w:rPr>
        <w:t>” includes notification of price or rate</w:t>
      </w:r>
      <w:bookmarkEnd w:id="169"/>
      <w:bookmarkEnd w:id="170"/>
      <w:bookmarkEnd w:id="171"/>
      <w:bookmarkEnd w:id="172"/>
      <w:bookmarkEnd w:id="173"/>
      <w:bookmarkEnd w:id="174"/>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175" w:name="_Toc89491067"/>
      <w:bookmarkStart w:id="176" w:name="_Toc89576922"/>
      <w:bookmarkStart w:id="177" w:name="_Toc97002591"/>
      <w:bookmarkStart w:id="178" w:name="_Toc102907375"/>
      <w:bookmarkStart w:id="179" w:name="_Toc121565928"/>
      <w:bookmarkStart w:id="180" w:name="_Toc124064841"/>
      <w:bookmarkStart w:id="181" w:name="_Toc124140591"/>
      <w:r>
        <w:rPr>
          <w:rStyle w:val="CharPartNo"/>
        </w:rPr>
        <w:t>Part IIIA</w:t>
      </w:r>
      <w:r>
        <w:t> — </w:t>
      </w:r>
      <w:r>
        <w:rPr>
          <w:rStyle w:val="CharPartText"/>
        </w:rPr>
        <w:t>Special provisions about motor fuel</w:t>
      </w:r>
      <w:bookmarkEnd w:id="175"/>
      <w:bookmarkEnd w:id="176"/>
      <w:bookmarkEnd w:id="177"/>
      <w:bookmarkEnd w:id="178"/>
      <w:bookmarkEnd w:id="179"/>
      <w:bookmarkEnd w:id="180"/>
      <w:bookmarkEnd w:id="181"/>
      <w:r>
        <w:rPr>
          <w:rStyle w:val="CharPartText"/>
        </w:rPr>
        <w:t> </w:t>
      </w:r>
    </w:p>
    <w:p>
      <w:pPr>
        <w:pStyle w:val="Footnoteheading"/>
        <w:ind w:left="890"/>
      </w:pPr>
      <w:r>
        <w:tab/>
        <w:t>[Heading inserted by No. 73 of 2000 s. 8.]</w:t>
      </w:r>
    </w:p>
    <w:p>
      <w:pPr>
        <w:pStyle w:val="Heading3"/>
      </w:pPr>
      <w:bookmarkStart w:id="182" w:name="_Toc89491068"/>
      <w:bookmarkStart w:id="183" w:name="_Toc89576923"/>
      <w:bookmarkStart w:id="184" w:name="_Toc97002592"/>
      <w:bookmarkStart w:id="185" w:name="_Toc102907376"/>
      <w:bookmarkStart w:id="186" w:name="_Toc121565929"/>
      <w:bookmarkStart w:id="187" w:name="_Toc124064842"/>
      <w:bookmarkStart w:id="188" w:name="_Toc124140592"/>
      <w:r>
        <w:rPr>
          <w:rStyle w:val="CharDivNo"/>
        </w:rPr>
        <w:t>Division 1</w:t>
      </w:r>
      <w:r>
        <w:t> — </w:t>
      </w:r>
      <w:r>
        <w:rPr>
          <w:rStyle w:val="CharDivText"/>
        </w:rPr>
        <w:t>Before retail sale</w:t>
      </w:r>
      <w:bookmarkEnd w:id="182"/>
      <w:bookmarkEnd w:id="183"/>
      <w:bookmarkEnd w:id="184"/>
      <w:bookmarkEnd w:id="185"/>
      <w:bookmarkEnd w:id="186"/>
      <w:bookmarkEnd w:id="187"/>
      <w:bookmarkEnd w:id="188"/>
      <w:r>
        <w:rPr>
          <w:rStyle w:val="CharDivText"/>
        </w:rPr>
        <w:t> </w:t>
      </w:r>
    </w:p>
    <w:p>
      <w:pPr>
        <w:pStyle w:val="Footnoteheading"/>
        <w:ind w:left="890"/>
      </w:pPr>
      <w:r>
        <w:tab/>
        <w:t>[Heading inserted by No. 73 of 2000 s. 8.]</w:t>
      </w:r>
    </w:p>
    <w:p>
      <w:pPr>
        <w:pStyle w:val="Heading5"/>
      </w:pPr>
      <w:bookmarkStart w:id="189" w:name="_Toc523206316"/>
      <w:bookmarkStart w:id="190" w:name="_Toc525352696"/>
      <w:bookmarkStart w:id="191" w:name="_Toc530907018"/>
      <w:bookmarkStart w:id="192" w:name="_Toc535210315"/>
      <w:bookmarkStart w:id="193" w:name="_Toc124064843"/>
      <w:bookmarkStart w:id="194" w:name="_Toc124140593"/>
      <w:r>
        <w:rPr>
          <w:rStyle w:val="CharSectno"/>
        </w:rPr>
        <w:t>22A</w:t>
      </w:r>
      <w:r>
        <w:t>.</w:t>
      </w:r>
      <w:r>
        <w:tab/>
        <w:t>Definitions</w:t>
      </w:r>
      <w:bookmarkEnd w:id="189"/>
      <w:bookmarkEnd w:id="190"/>
      <w:bookmarkEnd w:id="191"/>
      <w:bookmarkEnd w:id="192"/>
      <w:bookmarkEnd w:id="193"/>
      <w:bookmarkEnd w:id="194"/>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195" w:name="_Toc523206317"/>
      <w:bookmarkStart w:id="196" w:name="_Toc525352697"/>
      <w:bookmarkStart w:id="197" w:name="_Toc530907019"/>
      <w:bookmarkStart w:id="198" w:name="_Toc535210316"/>
      <w:bookmarkStart w:id="199" w:name="_Toc124064844"/>
      <w:bookmarkStart w:id="200" w:name="_Toc124140594"/>
      <w:r>
        <w:rPr>
          <w:rStyle w:val="CharSectno"/>
        </w:rPr>
        <w:t>22B</w:t>
      </w:r>
      <w:r>
        <w:t>.</w:t>
      </w:r>
      <w:r>
        <w:tab/>
        <w:t>Price at terminal to be displayed and Commissioner to be notified of changes</w:t>
      </w:r>
      <w:bookmarkEnd w:id="195"/>
      <w:bookmarkEnd w:id="196"/>
      <w:bookmarkEnd w:id="197"/>
      <w:bookmarkEnd w:id="198"/>
      <w:bookmarkEnd w:id="199"/>
      <w:bookmarkEnd w:id="200"/>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01" w:name="_Toc523206318"/>
      <w:bookmarkStart w:id="202" w:name="_Toc525352698"/>
      <w:bookmarkStart w:id="203" w:name="_Toc530907020"/>
      <w:bookmarkStart w:id="204" w:name="_Toc535210317"/>
      <w:bookmarkStart w:id="205" w:name="_Toc124064845"/>
      <w:bookmarkStart w:id="206" w:name="_Toc124140595"/>
      <w:r>
        <w:rPr>
          <w:rStyle w:val="CharSectno"/>
        </w:rPr>
        <w:t>22C</w:t>
      </w:r>
      <w:r>
        <w:t>.</w:t>
      </w:r>
      <w:r>
        <w:tab/>
        <w:t>Previous month’s average price to be displayed</w:t>
      </w:r>
      <w:bookmarkEnd w:id="201"/>
      <w:bookmarkEnd w:id="202"/>
      <w:bookmarkEnd w:id="203"/>
      <w:bookmarkEnd w:id="204"/>
      <w:bookmarkEnd w:id="205"/>
      <w:bookmarkEnd w:id="206"/>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pPr>
      <w:r>
        <w:tab/>
      </w:r>
      <w:r>
        <w:rPr>
          <w:b/>
        </w:rPr>
        <w:t>“</w:t>
      </w:r>
      <w:r>
        <w:rPr>
          <w:rStyle w:val="CharDefText"/>
        </w:rPr>
        <w:t>previous month</w:t>
      </w:r>
      <w:r>
        <w:rPr>
          <w:b/>
        </w:rPr>
        <w:t>”</w:t>
      </w:r>
      <w:r>
        <w:t xml:space="preserve"> means, unless the regulations provide otherwise, the most recent calendar month that has been expired for at least 7 days;</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07" w:name="_Toc523206319"/>
      <w:bookmarkStart w:id="208" w:name="_Toc525352699"/>
      <w:bookmarkStart w:id="209" w:name="_Toc530907021"/>
      <w:bookmarkStart w:id="210" w:name="_Toc535210318"/>
      <w:bookmarkStart w:id="211" w:name="_Toc124064846"/>
      <w:bookmarkStart w:id="212" w:name="_Toc124140596"/>
      <w:r>
        <w:rPr>
          <w:rStyle w:val="CharSectno"/>
        </w:rPr>
        <w:t>22D</w:t>
      </w:r>
      <w:r>
        <w:t>.</w:t>
      </w:r>
      <w:r>
        <w:tab/>
        <w:t>Maximum price to be displayed</w:t>
      </w:r>
      <w:bookmarkEnd w:id="207"/>
      <w:bookmarkEnd w:id="208"/>
      <w:bookmarkEnd w:id="209"/>
      <w:bookmarkEnd w:id="210"/>
      <w:bookmarkEnd w:id="211"/>
      <w:bookmarkEnd w:id="212"/>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13" w:name="_Toc523206320"/>
      <w:bookmarkStart w:id="214" w:name="_Toc525352700"/>
      <w:bookmarkStart w:id="215" w:name="_Toc530907022"/>
      <w:bookmarkStart w:id="216" w:name="_Toc535210319"/>
      <w:bookmarkStart w:id="217" w:name="_Toc124064847"/>
      <w:bookmarkStart w:id="218" w:name="_Toc124140597"/>
      <w:r>
        <w:rPr>
          <w:rStyle w:val="CharSectno"/>
        </w:rPr>
        <w:t>22E</w:t>
      </w:r>
      <w:r>
        <w:t>.</w:t>
      </w:r>
      <w:r>
        <w:tab/>
        <w:t>Price to be compared to maximum price fixed</w:t>
      </w:r>
      <w:bookmarkEnd w:id="213"/>
      <w:bookmarkEnd w:id="214"/>
      <w:bookmarkEnd w:id="215"/>
      <w:bookmarkEnd w:id="216"/>
      <w:bookmarkEnd w:id="217"/>
      <w:bookmarkEnd w:id="218"/>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pPr>
      <w:bookmarkStart w:id="219" w:name="_Toc523206321"/>
      <w:bookmarkStart w:id="220" w:name="_Toc525352701"/>
      <w:bookmarkStart w:id="221" w:name="_Toc530907023"/>
      <w:bookmarkStart w:id="222" w:name="_Toc535210320"/>
      <w:bookmarkStart w:id="223" w:name="_Toc124064848"/>
      <w:bookmarkStart w:id="224" w:name="_Toc124140598"/>
      <w:r>
        <w:rPr>
          <w:rStyle w:val="CharSectno"/>
        </w:rPr>
        <w:t>22F</w:t>
      </w:r>
      <w:r>
        <w:t>.</w:t>
      </w:r>
      <w:r>
        <w:tab/>
        <w:t>Information that supplier is to provide</w:t>
      </w:r>
      <w:bookmarkEnd w:id="219"/>
      <w:bookmarkEnd w:id="220"/>
      <w:bookmarkEnd w:id="221"/>
      <w:bookmarkEnd w:id="222"/>
      <w:bookmarkEnd w:id="223"/>
      <w:bookmarkEnd w:id="224"/>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8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25" w:name="_Toc523206322"/>
      <w:bookmarkStart w:id="226" w:name="_Toc525352702"/>
      <w:bookmarkStart w:id="227" w:name="_Toc530907024"/>
      <w:bookmarkStart w:id="228" w:name="_Toc535210321"/>
      <w:bookmarkStart w:id="229" w:name="_Toc124064849"/>
      <w:bookmarkStart w:id="230" w:name="_Toc124140599"/>
      <w:r>
        <w:rPr>
          <w:rStyle w:val="CharSectno"/>
        </w:rPr>
        <w:t>22G</w:t>
      </w:r>
      <w:r>
        <w:t>.</w:t>
      </w:r>
      <w:r>
        <w:tab/>
        <w:t>Obligation to supply from declared terminal</w:t>
      </w:r>
      <w:bookmarkEnd w:id="225"/>
      <w:bookmarkEnd w:id="226"/>
      <w:bookmarkEnd w:id="227"/>
      <w:bookmarkEnd w:id="228"/>
      <w:bookmarkEnd w:id="229"/>
      <w:bookmarkEnd w:id="230"/>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spacing w:before="80"/>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rPr>
          <w:spacing w:val="-4"/>
        </w:rPr>
      </w:pPr>
      <w:r>
        <w:rPr>
          <w:spacing w:val="-4"/>
        </w:rPr>
        <w:tab/>
        <w:t>(3)</w:t>
      </w:r>
      <w:r>
        <w:rPr>
          <w:spacing w:val="-4"/>
        </w:rP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231" w:name="_Toc89491076"/>
      <w:bookmarkStart w:id="232" w:name="_Toc89576931"/>
      <w:bookmarkStart w:id="233" w:name="_Toc97002600"/>
      <w:bookmarkStart w:id="234" w:name="_Toc102907384"/>
      <w:bookmarkStart w:id="235" w:name="_Toc121565937"/>
      <w:bookmarkStart w:id="236" w:name="_Toc124064850"/>
      <w:bookmarkStart w:id="237" w:name="_Toc124140600"/>
      <w:r>
        <w:rPr>
          <w:rStyle w:val="CharDivNo"/>
        </w:rPr>
        <w:t>Division 2</w:t>
      </w:r>
      <w:r>
        <w:t xml:space="preserve"> — </w:t>
      </w:r>
      <w:r>
        <w:rPr>
          <w:rStyle w:val="CharDivText"/>
        </w:rPr>
        <w:t>Retail sale</w:t>
      </w:r>
      <w:bookmarkEnd w:id="231"/>
      <w:bookmarkEnd w:id="232"/>
      <w:bookmarkEnd w:id="233"/>
      <w:bookmarkEnd w:id="234"/>
      <w:bookmarkEnd w:id="235"/>
      <w:bookmarkEnd w:id="236"/>
      <w:bookmarkEnd w:id="237"/>
      <w:r>
        <w:t xml:space="preserve"> </w:t>
      </w:r>
    </w:p>
    <w:p>
      <w:pPr>
        <w:pStyle w:val="Footnoteheading"/>
        <w:ind w:left="890"/>
      </w:pPr>
      <w:r>
        <w:tab/>
        <w:t>[Heading inserted by No. 73 of 2000 s. 8.]</w:t>
      </w:r>
    </w:p>
    <w:p>
      <w:pPr>
        <w:pStyle w:val="Heading5"/>
      </w:pPr>
      <w:bookmarkStart w:id="238" w:name="_Toc523206323"/>
      <w:bookmarkStart w:id="239" w:name="_Toc525352703"/>
      <w:bookmarkStart w:id="240" w:name="_Toc530907025"/>
      <w:bookmarkStart w:id="241" w:name="_Toc535210322"/>
      <w:bookmarkStart w:id="242" w:name="_Toc124064851"/>
      <w:bookmarkStart w:id="243" w:name="_Toc124140601"/>
      <w:r>
        <w:rPr>
          <w:rStyle w:val="CharSectno"/>
        </w:rPr>
        <w:t>22H</w:t>
      </w:r>
      <w:r>
        <w:t>.</w:t>
      </w:r>
      <w:r>
        <w:tab/>
        <w:t>Definitions</w:t>
      </w:r>
      <w:bookmarkEnd w:id="238"/>
      <w:bookmarkEnd w:id="239"/>
      <w:bookmarkEnd w:id="240"/>
      <w:bookmarkEnd w:id="241"/>
      <w:bookmarkEnd w:id="242"/>
      <w:bookmarkEnd w:id="243"/>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rPr>
          <w:spacing w:val="-4"/>
        </w:rPr>
      </w:pPr>
      <w:r>
        <w:rPr>
          <w:spacing w:val="-4"/>
        </w:rPr>
        <w:tab/>
      </w:r>
      <w:r>
        <w:rPr>
          <w:b/>
          <w:spacing w:val="-4"/>
        </w:rPr>
        <w:t>“</w:t>
      </w:r>
      <w:r>
        <w:rPr>
          <w:rStyle w:val="CharDefText"/>
          <w:spacing w:val="-4"/>
        </w:rPr>
        <w:t>standard retail price</w:t>
      </w:r>
      <w:r>
        <w:rPr>
          <w:b/>
          <w:spacing w:val="-4"/>
        </w:rPr>
        <w:t>”</w:t>
      </w:r>
      <w:r>
        <w:rPr>
          <w:spacing w:val="-4"/>
        </w:rP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244" w:name="_Toc523206324"/>
      <w:bookmarkStart w:id="245" w:name="_Toc525352704"/>
      <w:bookmarkStart w:id="246" w:name="_Toc530907026"/>
      <w:bookmarkStart w:id="247" w:name="_Toc535210323"/>
      <w:bookmarkStart w:id="248" w:name="_Toc124064852"/>
      <w:bookmarkStart w:id="249" w:name="_Toc124140602"/>
      <w:r>
        <w:rPr>
          <w:rStyle w:val="CharSectno"/>
        </w:rPr>
        <w:t>22I</w:t>
      </w:r>
      <w:r>
        <w:t>.</w:t>
      </w:r>
      <w:r>
        <w:tab/>
        <w:t>Regulations to require retailers to display prices</w:t>
      </w:r>
      <w:bookmarkEnd w:id="244"/>
      <w:bookmarkEnd w:id="245"/>
      <w:bookmarkEnd w:id="246"/>
      <w:bookmarkEnd w:id="247"/>
      <w:bookmarkEnd w:id="248"/>
      <w:bookmarkEnd w:id="249"/>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250" w:name="_Toc523206325"/>
      <w:bookmarkStart w:id="251" w:name="_Toc525352705"/>
      <w:bookmarkStart w:id="252" w:name="_Toc530907027"/>
      <w:bookmarkStart w:id="253" w:name="_Toc535210324"/>
      <w:bookmarkStart w:id="254" w:name="_Toc124064853"/>
      <w:bookmarkStart w:id="255" w:name="_Toc124140603"/>
      <w:r>
        <w:rPr>
          <w:rStyle w:val="CharSectno"/>
        </w:rPr>
        <w:t>22J</w:t>
      </w:r>
      <w:r>
        <w:t>.</w:t>
      </w:r>
      <w:r>
        <w:tab/>
        <w:t>Regulations requiring notification of, and restricting change of, price</w:t>
      </w:r>
      <w:bookmarkEnd w:id="250"/>
      <w:bookmarkEnd w:id="251"/>
      <w:bookmarkEnd w:id="252"/>
      <w:bookmarkEnd w:id="253"/>
      <w:bookmarkEnd w:id="254"/>
      <w:bookmarkEnd w:id="25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256" w:name="_Toc89491080"/>
      <w:bookmarkStart w:id="257" w:name="_Toc89576935"/>
      <w:bookmarkStart w:id="258" w:name="_Toc97002604"/>
      <w:bookmarkStart w:id="259" w:name="_Toc102907388"/>
      <w:bookmarkStart w:id="260" w:name="_Toc121565941"/>
      <w:bookmarkStart w:id="261" w:name="_Toc124064854"/>
      <w:bookmarkStart w:id="262" w:name="_Toc124140604"/>
      <w:r>
        <w:rPr>
          <w:rStyle w:val="CharPartNo"/>
        </w:rPr>
        <w:t>Part IV</w:t>
      </w:r>
      <w:r>
        <w:rPr>
          <w:rStyle w:val="CharDivNo"/>
        </w:rPr>
        <w:t> </w:t>
      </w:r>
      <w:r>
        <w:t>—</w:t>
      </w:r>
      <w:r>
        <w:rPr>
          <w:rStyle w:val="CharDivText"/>
        </w:rPr>
        <w:t> </w:t>
      </w:r>
      <w:r>
        <w:rPr>
          <w:rStyle w:val="CharPartText"/>
        </w:rPr>
        <w:t>Obtaining information</w:t>
      </w:r>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523206326"/>
      <w:bookmarkStart w:id="264" w:name="_Toc525352706"/>
      <w:bookmarkStart w:id="265" w:name="_Toc530907028"/>
      <w:bookmarkStart w:id="266" w:name="_Toc535210325"/>
      <w:bookmarkStart w:id="267" w:name="_Toc124064855"/>
      <w:bookmarkStart w:id="268" w:name="_Toc124140605"/>
      <w:r>
        <w:rPr>
          <w:rStyle w:val="CharSectno"/>
        </w:rPr>
        <w:t>23</w:t>
      </w:r>
      <w:r>
        <w:rPr>
          <w:snapToGrid w:val="0"/>
        </w:rPr>
        <w:t>.</w:t>
      </w:r>
      <w:r>
        <w:rPr>
          <w:snapToGrid w:val="0"/>
        </w:rPr>
        <w:tab/>
        <w:t>Power of Commissioner to inquire, investigate, and obtain information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(2)</w:t>
      </w:r>
      <w:r>
        <w:rPr>
          <w:snapToGrid w:val="0"/>
        </w:rPr>
        <w:tab/>
        <w:t>Before entering any premises for the purposes of this Act,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 issue that warrant to the Commissioner or that person, as the case requires.</w:t>
      </w:r>
    </w:p>
    <w:p>
      <w:pPr>
        <w:pStyle w:val="Footnotesection"/>
      </w:pPr>
      <w:r>
        <w:tab/>
        <w:t xml:space="preserve">[Section 23 amended by No. 72 of 1983 s. 15; No. 59 of 2004 s. 141; No. 24 of 2005 s. 63.] </w:t>
      </w:r>
    </w:p>
    <w:p>
      <w:pPr>
        <w:pStyle w:val="Heading5"/>
        <w:rPr>
          <w:snapToGrid w:val="0"/>
        </w:rPr>
      </w:pPr>
      <w:bookmarkStart w:id="269" w:name="_Toc523206327"/>
      <w:bookmarkStart w:id="270" w:name="_Toc525352707"/>
      <w:bookmarkStart w:id="271" w:name="_Toc530907029"/>
      <w:bookmarkStart w:id="272" w:name="_Toc535210326"/>
      <w:bookmarkStart w:id="273" w:name="_Toc124064856"/>
      <w:bookmarkStart w:id="274" w:name="_Toc124140606"/>
      <w:r>
        <w:rPr>
          <w:rStyle w:val="CharSectno"/>
        </w:rPr>
        <w:t>24</w:t>
      </w:r>
      <w:r>
        <w:rPr>
          <w:snapToGrid w:val="0"/>
        </w:rPr>
        <w:t>.</w:t>
      </w:r>
      <w:r>
        <w:rPr>
          <w:snapToGrid w:val="0"/>
        </w:rPr>
        <w:tab/>
        <w:t>Sufficient notice to be given to enable questions, etc. to be answered</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p>
    <w:p>
      <w:pPr>
        <w:pStyle w:val="Heading5"/>
        <w:rPr>
          <w:snapToGrid w:val="0"/>
        </w:rPr>
      </w:pPr>
      <w:bookmarkStart w:id="275" w:name="_Toc523206328"/>
      <w:bookmarkStart w:id="276" w:name="_Toc525352708"/>
      <w:bookmarkStart w:id="277" w:name="_Toc530907030"/>
      <w:bookmarkStart w:id="278" w:name="_Toc535210327"/>
      <w:bookmarkStart w:id="279" w:name="_Toc124064857"/>
      <w:bookmarkStart w:id="280" w:name="_Toc124140607"/>
      <w:r>
        <w:rPr>
          <w:rStyle w:val="CharSectno"/>
        </w:rPr>
        <w:t>25</w:t>
      </w:r>
      <w:r>
        <w:rPr>
          <w:snapToGrid w:val="0"/>
        </w:rPr>
        <w:t>.</w:t>
      </w:r>
      <w:r>
        <w:rPr>
          <w:snapToGrid w:val="0"/>
        </w:rPr>
        <w:tab/>
        <w:t>Failure to supply information</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281" w:name="_Toc523206329"/>
      <w:bookmarkStart w:id="282" w:name="_Toc525352709"/>
      <w:bookmarkStart w:id="283" w:name="_Toc530907031"/>
      <w:bookmarkStart w:id="284" w:name="_Toc535210328"/>
      <w:bookmarkStart w:id="285" w:name="_Toc124064858"/>
      <w:bookmarkStart w:id="286" w:name="_Toc124140608"/>
      <w:r>
        <w:rPr>
          <w:rStyle w:val="CharSectno"/>
        </w:rPr>
        <w:t>26</w:t>
      </w:r>
      <w:r>
        <w:rPr>
          <w:snapToGrid w:val="0"/>
        </w:rPr>
        <w:t>.</w:t>
      </w:r>
      <w:r>
        <w:rPr>
          <w:snapToGrid w:val="0"/>
        </w:rPr>
        <w:tab/>
        <w:t>Obstructing Commissioner</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p>
    <w:p>
      <w:pPr>
        <w:pStyle w:val="Penstart"/>
        <w:rPr>
          <w:snapToGrid w:val="0"/>
        </w:rPr>
      </w:pPr>
      <w:r>
        <w:rPr>
          <w:snapToGrid w:val="0"/>
        </w:rPr>
        <w:tab/>
        <w:t>Penalty: $20 000.</w:t>
      </w:r>
    </w:p>
    <w:p>
      <w:pPr>
        <w:pStyle w:val="Footnotesection"/>
      </w:pPr>
      <w:r>
        <w:tab/>
        <w:t>[Section 26 amended by No. 73 of 2000 s. 14(2); No. 11 of 2001 s. 21(2).]</w:t>
      </w:r>
    </w:p>
    <w:p>
      <w:pPr>
        <w:pStyle w:val="Heading5"/>
        <w:rPr>
          <w:snapToGrid w:val="0"/>
        </w:rPr>
      </w:pPr>
      <w:bookmarkStart w:id="287" w:name="_Toc523206330"/>
      <w:bookmarkStart w:id="288" w:name="_Toc525352710"/>
      <w:bookmarkStart w:id="289" w:name="_Toc530907032"/>
      <w:bookmarkStart w:id="290" w:name="_Toc535210329"/>
      <w:bookmarkStart w:id="291" w:name="_Toc124064859"/>
      <w:bookmarkStart w:id="292" w:name="_Toc124140609"/>
      <w:r>
        <w:rPr>
          <w:rStyle w:val="CharSectno"/>
        </w:rPr>
        <w:t>27</w:t>
      </w:r>
      <w:r>
        <w:rPr>
          <w:snapToGrid w:val="0"/>
        </w:rPr>
        <w:t>.</w:t>
      </w:r>
      <w:r>
        <w:rPr>
          <w:snapToGrid w:val="0"/>
        </w:rPr>
        <w:tab/>
        <w:t>Power of Commissioner to require returns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293" w:name="_Toc523206331"/>
      <w:bookmarkStart w:id="294" w:name="_Toc525352711"/>
      <w:bookmarkStart w:id="295" w:name="_Toc530907033"/>
      <w:bookmarkStart w:id="296" w:name="_Toc535210330"/>
      <w:bookmarkStart w:id="297" w:name="_Toc124064860"/>
      <w:bookmarkStart w:id="298" w:name="_Toc124140610"/>
      <w:r>
        <w:rPr>
          <w:rStyle w:val="CharSectno"/>
        </w:rPr>
        <w:t>27A</w:t>
      </w:r>
      <w:r>
        <w:t>.</w:t>
      </w:r>
      <w:r>
        <w:tab/>
        <w:t>Further powers of Commissioner to obtain information</w:t>
      </w:r>
      <w:bookmarkEnd w:id="293"/>
      <w:bookmarkEnd w:id="294"/>
      <w:bookmarkEnd w:id="295"/>
      <w:bookmarkEnd w:id="296"/>
      <w:bookmarkEnd w:id="297"/>
      <w:bookmarkEnd w:id="298"/>
    </w:p>
    <w:p>
      <w:pPr>
        <w:pStyle w:val="Subsection"/>
      </w:pPr>
      <w:r>
        <w:tab/>
        <w:t>(1)</w:t>
      </w:r>
      <w:r>
        <w:tab/>
        <w:t>This section applies if the Commissioner requires information for any of the objects or purposes of this Act other than for the purposes of an inquiry or investigation under this Act.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A return furnished by a person under this section is not admissible in evidence in any proceedings against the person other than proceedings in respect of an offence against this Act.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w:t>
      </w:r>
    </w:p>
    <w:p>
      <w:pPr>
        <w:pStyle w:val="Heading5"/>
      </w:pPr>
      <w:bookmarkStart w:id="299" w:name="_Toc523206332"/>
      <w:bookmarkStart w:id="300" w:name="_Toc525352712"/>
      <w:bookmarkStart w:id="301" w:name="_Toc530907034"/>
      <w:bookmarkStart w:id="302" w:name="_Toc535210331"/>
      <w:bookmarkStart w:id="303" w:name="_Toc124064861"/>
      <w:bookmarkStart w:id="304" w:name="_Toc124140611"/>
      <w:r>
        <w:rPr>
          <w:rStyle w:val="CharSectno"/>
        </w:rPr>
        <w:t>27B</w:t>
      </w:r>
      <w:r>
        <w:t>.</w:t>
      </w:r>
      <w:r>
        <w:tab/>
        <w:t>Publication by Commissioner of information</w:t>
      </w:r>
      <w:bookmarkEnd w:id="299"/>
      <w:bookmarkEnd w:id="300"/>
      <w:bookmarkEnd w:id="301"/>
      <w:bookmarkEnd w:id="302"/>
      <w:bookmarkEnd w:id="303"/>
      <w:bookmarkEnd w:id="304"/>
    </w:p>
    <w:p>
      <w:pPr>
        <w:pStyle w:val="Subsection"/>
      </w:pPr>
      <w:r>
        <w:tab/>
      </w:r>
      <w:r>
        <w:tab/>
        <w:t>If the Commissioner considers that it will assist in achieving the objects and purposes of this Act, the Commissioner may publish, as the Commissioner considers appropriate, any information obtained under, or in the course of the administration of, this Act.</w:t>
      </w:r>
    </w:p>
    <w:p>
      <w:pPr>
        <w:pStyle w:val="Footnotesection"/>
      </w:pPr>
      <w:r>
        <w:tab/>
        <w:t>[Section 27B inserted by No. 73 of 2000 s. 10.]</w:t>
      </w:r>
    </w:p>
    <w:p>
      <w:pPr>
        <w:pStyle w:val="Heading5"/>
        <w:rPr>
          <w:snapToGrid w:val="0"/>
        </w:rPr>
      </w:pPr>
      <w:bookmarkStart w:id="305" w:name="_Toc523206333"/>
      <w:bookmarkStart w:id="306" w:name="_Toc525352713"/>
      <w:bookmarkStart w:id="307" w:name="_Toc530907035"/>
      <w:bookmarkStart w:id="308" w:name="_Toc535210332"/>
      <w:bookmarkStart w:id="309" w:name="_Toc124064862"/>
      <w:bookmarkStart w:id="310" w:name="_Toc124140612"/>
      <w:r>
        <w:rPr>
          <w:rStyle w:val="CharSectno"/>
        </w:rPr>
        <w:t>28</w:t>
      </w:r>
      <w:r>
        <w:rPr>
          <w:snapToGrid w:val="0"/>
        </w:rPr>
        <w:t>.</w:t>
      </w:r>
      <w:r>
        <w:rPr>
          <w:snapToGrid w:val="0"/>
        </w:rPr>
        <w:tab/>
        <w:t>“</w:t>
      </w:r>
      <w:r>
        <w:rPr>
          <w:rStyle w:val="CharDefText"/>
          <w:b/>
        </w:rPr>
        <w:t>Commissioner</w:t>
      </w:r>
      <w:r>
        <w:rPr>
          <w:snapToGrid w:val="0"/>
        </w:rPr>
        <w:t>” includes other officers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 xml:space="preserve">approved by the Minister or the chief executive officer of the Department within the meaning of the </w:t>
      </w:r>
      <w:r>
        <w:rPr>
          <w:i/>
          <w:snapToGrid w:val="0"/>
        </w:rPr>
        <w:t>Consumer Affairs Act 1971</w:t>
      </w:r>
      <w:r>
        <w:rPr>
          <w:snapToGrid w:val="0"/>
        </w:rPr>
        <w: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p>
    <w:p>
      <w:pPr>
        <w:pStyle w:val="Footnotesection"/>
      </w:pPr>
      <w:r>
        <w:tab/>
        <w:t xml:space="preserve">[Section 28 amended by No. 1 of 1985 s. 28; No. 57 of 1997 s. 93.] </w:t>
      </w:r>
    </w:p>
    <w:p>
      <w:pPr>
        <w:pStyle w:val="Heading2"/>
      </w:pPr>
      <w:bookmarkStart w:id="311" w:name="_Toc89491089"/>
      <w:bookmarkStart w:id="312" w:name="_Toc89576944"/>
      <w:bookmarkStart w:id="313" w:name="_Toc97002613"/>
      <w:bookmarkStart w:id="314" w:name="_Toc102907397"/>
      <w:bookmarkStart w:id="315" w:name="_Toc121565950"/>
      <w:bookmarkStart w:id="316" w:name="_Toc124064863"/>
      <w:bookmarkStart w:id="317" w:name="_Toc124140613"/>
      <w:r>
        <w:rPr>
          <w:rStyle w:val="CharPartNo"/>
        </w:rPr>
        <w:t>Part V</w:t>
      </w:r>
      <w:r>
        <w:t> — </w:t>
      </w:r>
      <w:r>
        <w:rPr>
          <w:rStyle w:val="CharPartText"/>
        </w:rPr>
        <w:t>Offences and penalties</w:t>
      </w:r>
      <w:bookmarkEnd w:id="311"/>
      <w:bookmarkEnd w:id="312"/>
      <w:bookmarkEnd w:id="313"/>
      <w:bookmarkEnd w:id="314"/>
      <w:bookmarkEnd w:id="315"/>
      <w:bookmarkEnd w:id="316"/>
      <w:bookmarkEnd w:id="317"/>
      <w:r>
        <w:rPr>
          <w:rStyle w:val="CharPartText"/>
        </w:rPr>
        <w:t xml:space="preserve"> </w:t>
      </w:r>
    </w:p>
    <w:p>
      <w:pPr>
        <w:pStyle w:val="Heading3"/>
        <w:spacing w:before="200"/>
        <w:rPr>
          <w:b w:val="0"/>
        </w:rPr>
      </w:pPr>
      <w:bookmarkStart w:id="318" w:name="_Toc89491090"/>
      <w:bookmarkStart w:id="319" w:name="_Toc89576945"/>
      <w:bookmarkStart w:id="320" w:name="_Toc97002614"/>
      <w:bookmarkStart w:id="321" w:name="_Toc102907398"/>
      <w:bookmarkStart w:id="322" w:name="_Toc121565951"/>
      <w:bookmarkStart w:id="323" w:name="_Toc124064864"/>
      <w:bookmarkStart w:id="324" w:name="_Toc124140614"/>
      <w:r>
        <w:rPr>
          <w:rStyle w:val="CharDivNo"/>
        </w:rPr>
        <w:t>Division 1</w:t>
      </w:r>
      <w:r>
        <w:rPr>
          <w:b w:val="0"/>
        </w:rPr>
        <w:t> — </w:t>
      </w:r>
      <w:r>
        <w:rPr>
          <w:rStyle w:val="CharDivText"/>
        </w:rPr>
        <w:t>General provisions</w:t>
      </w:r>
      <w:bookmarkEnd w:id="318"/>
      <w:bookmarkEnd w:id="319"/>
      <w:bookmarkEnd w:id="320"/>
      <w:bookmarkEnd w:id="321"/>
      <w:bookmarkEnd w:id="322"/>
      <w:bookmarkEnd w:id="323"/>
      <w:bookmarkEnd w:id="324"/>
      <w:r>
        <w:rPr>
          <w:b w:val="0"/>
        </w:rPr>
        <w:t> </w:t>
      </w:r>
    </w:p>
    <w:p>
      <w:pPr>
        <w:pStyle w:val="Footnoteheading"/>
        <w:ind w:left="890"/>
      </w:pPr>
      <w:r>
        <w:tab/>
        <w:t>[Heading inserted by No. 73 of 2000 s. 11(1).]</w:t>
      </w:r>
    </w:p>
    <w:p>
      <w:pPr>
        <w:pStyle w:val="Heading5"/>
        <w:spacing w:before="180"/>
        <w:rPr>
          <w:snapToGrid w:val="0"/>
        </w:rPr>
      </w:pPr>
      <w:bookmarkStart w:id="325" w:name="_Toc523206334"/>
      <w:bookmarkStart w:id="326" w:name="_Toc525352714"/>
      <w:bookmarkStart w:id="327" w:name="_Toc530907036"/>
      <w:bookmarkStart w:id="328" w:name="_Toc535210333"/>
      <w:bookmarkStart w:id="329" w:name="_Toc124064865"/>
      <w:bookmarkStart w:id="330" w:name="_Toc124140615"/>
      <w:r>
        <w:rPr>
          <w:rStyle w:val="CharSectno"/>
        </w:rPr>
        <w:t>29</w:t>
      </w:r>
      <w:r>
        <w:rPr>
          <w:snapToGrid w:val="0"/>
        </w:rPr>
        <w:t>.</w:t>
      </w:r>
      <w:r>
        <w:rPr>
          <w:snapToGrid w:val="0"/>
        </w:rPr>
        <w:tab/>
        <w:t>Liability of officers etc., of body corporate</w:t>
      </w:r>
      <w:bookmarkEnd w:id="325"/>
      <w:bookmarkEnd w:id="326"/>
      <w:bookmarkEnd w:id="327"/>
      <w:bookmarkEnd w:id="328"/>
      <w:bookmarkEnd w:id="329"/>
      <w:bookmarkEnd w:id="330"/>
      <w:r>
        <w:rPr>
          <w:snapToGrid w:val="0"/>
        </w:rPr>
        <w:t xml:space="preserve"> </w:t>
      </w:r>
    </w:p>
    <w:p>
      <w:pPr>
        <w:pStyle w:val="Subsection"/>
        <w:spacing w:before="140"/>
        <w:rPr>
          <w:snapToGrid w:val="0"/>
          <w:spacing w:val="-2"/>
        </w:rPr>
      </w:pPr>
      <w:r>
        <w:rPr>
          <w:snapToGrid w:val="0"/>
          <w:spacing w:val="-2"/>
        </w:rPr>
        <w:tab/>
      </w:r>
      <w:r>
        <w:rPr>
          <w:snapToGrid w:val="0"/>
          <w:spacing w:val="-2"/>
        </w:rPr>
        <w:tab/>
        <w:t>If any chairman, member of the governing body, director, manager, secretary, or officer of a body corporate knowingly authorises or permits the commission of an offence against this Act by the body corporate, he shall be deemed to have committed that offence and be punishable as an individual accordingly.</w:t>
      </w:r>
    </w:p>
    <w:p>
      <w:pPr>
        <w:pStyle w:val="Heading5"/>
        <w:rPr>
          <w:snapToGrid w:val="0"/>
        </w:rPr>
      </w:pPr>
      <w:bookmarkStart w:id="331" w:name="_Toc523206335"/>
      <w:bookmarkStart w:id="332" w:name="_Toc525352715"/>
      <w:bookmarkStart w:id="333" w:name="_Toc530907037"/>
      <w:bookmarkStart w:id="334" w:name="_Toc535210334"/>
      <w:bookmarkStart w:id="335" w:name="_Toc124064866"/>
      <w:bookmarkStart w:id="336" w:name="_Toc124140616"/>
      <w:r>
        <w:rPr>
          <w:rStyle w:val="CharSectno"/>
        </w:rPr>
        <w:t>30</w:t>
      </w:r>
      <w:r>
        <w:rPr>
          <w:snapToGrid w:val="0"/>
        </w:rPr>
        <w:t>.</w:t>
      </w:r>
      <w:r>
        <w:rPr>
          <w:snapToGrid w:val="0"/>
        </w:rPr>
        <w:tab/>
        <w:t>Court may order refund of amount paid in excess of maximum price or rate</w:t>
      </w:r>
      <w:bookmarkEnd w:id="331"/>
      <w:bookmarkEnd w:id="332"/>
      <w:bookmarkEnd w:id="333"/>
      <w:bookmarkEnd w:id="334"/>
      <w:bookmarkEnd w:id="335"/>
      <w:bookmarkEnd w:id="336"/>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337" w:name="_Toc124064867"/>
      <w:bookmarkStart w:id="338" w:name="_Toc124140617"/>
      <w:bookmarkStart w:id="339" w:name="_Toc89491094"/>
      <w:bookmarkStart w:id="340" w:name="_Toc89576949"/>
      <w:bookmarkStart w:id="341" w:name="_Toc97002618"/>
      <w:r>
        <w:rPr>
          <w:rStyle w:val="CharSectno"/>
        </w:rPr>
        <w:t>31</w:t>
      </w:r>
      <w:r>
        <w:t>.</w:t>
      </w:r>
      <w:r>
        <w:tab/>
        <w:t>Limitation period for prosecutions</w:t>
      </w:r>
      <w:bookmarkEnd w:id="337"/>
      <w:bookmarkEnd w:id="338"/>
    </w:p>
    <w:p>
      <w:pPr>
        <w:pStyle w:val="Subsection"/>
      </w:pPr>
      <w:r>
        <w:tab/>
      </w:r>
      <w:r>
        <w:tab/>
        <w:t>A prosecution for an offence against this Act must be commenced within 12 months after the date on which the offence was allegedly committed.</w:t>
      </w:r>
    </w:p>
    <w:p>
      <w:pPr>
        <w:pStyle w:val="Footnotesection"/>
      </w:pPr>
      <w:r>
        <w:tab/>
        <w:t xml:space="preserve">[Section 31 inserted by No. 84 of 2004 s. 80.] </w:t>
      </w:r>
    </w:p>
    <w:p>
      <w:pPr>
        <w:pStyle w:val="Heading3"/>
      </w:pPr>
      <w:bookmarkStart w:id="342" w:name="_Toc102907402"/>
      <w:bookmarkStart w:id="343" w:name="_Toc121565955"/>
      <w:bookmarkStart w:id="344" w:name="_Toc124064868"/>
      <w:bookmarkStart w:id="345" w:name="_Toc124140618"/>
      <w:r>
        <w:rPr>
          <w:rStyle w:val="CharDivNo"/>
        </w:rPr>
        <w:t>Division 2</w:t>
      </w:r>
      <w:r>
        <w:t> — </w:t>
      </w:r>
      <w:r>
        <w:rPr>
          <w:rStyle w:val="CharDivText"/>
        </w:rPr>
        <w:t>Infringement notices</w:t>
      </w:r>
      <w:bookmarkEnd w:id="339"/>
      <w:bookmarkEnd w:id="340"/>
      <w:bookmarkEnd w:id="341"/>
      <w:bookmarkEnd w:id="342"/>
      <w:bookmarkEnd w:id="343"/>
      <w:bookmarkEnd w:id="344"/>
      <w:bookmarkEnd w:id="345"/>
      <w:r>
        <w:t> </w:t>
      </w:r>
    </w:p>
    <w:p>
      <w:pPr>
        <w:pStyle w:val="Footnoteheading"/>
        <w:ind w:left="890"/>
      </w:pPr>
      <w:r>
        <w:tab/>
        <w:t>[Heading inserted by No. 73 of 2000 s. 11(2).]</w:t>
      </w:r>
    </w:p>
    <w:p>
      <w:pPr>
        <w:pStyle w:val="Heading5"/>
      </w:pPr>
      <w:bookmarkStart w:id="346" w:name="_Toc523206337"/>
      <w:bookmarkStart w:id="347" w:name="_Toc525352717"/>
      <w:bookmarkStart w:id="348" w:name="_Toc530907039"/>
      <w:bookmarkStart w:id="349" w:name="_Toc535210336"/>
      <w:bookmarkStart w:id="350" w:name="_Toc124064869"/>
      <w:bookmarkStart w:id="351" w:name="_Toc124140619"/>
      <w:r>
        <w:rPr>
          <w:rStyle w:val="CharSectno"/>
        </w:rPr>
        <w:t>31A</w:t>
      </w:r>
      <w:r>
        <w:t>.</w:t>
      </w:r>
      <w:r>
        <w:tab/>
        <w:t>Infringement notices</w:t>
      </w:r>
      <w:bookmarkEnd w:id="346"/>
      <w:bookmarkEnd w:id="347"/>
      <w:bookmarkEnd w:id="348"/>
      <w:bookmarkEnd w:id="349"/>
      <w:bookmarkEnd w:id="350"/>
      <w:bookmarkEnd w:id="351"/>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352" w:name="_Hlt497554042"/>
      <w:r>
        <w:t>31C</w:t>
      </w:r>
      <w:bookmarkEnd w:id="352"/>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353" w:name="_Hlt460129742"/>
      <w:bookmarkEnd w:id="353"/>
      <w:r>
        <w:tab/>
        <w:t>[Section 31A inserted by No. 73 of 2000 s. 11(2).]</w:t>
      </w:r>
    </w:p>
    <w:p>
      <w:pPr>
        <w:pStyle w:val="Heading5"/>
      </w:pPr>
      <w:bookmarkStart w:id="354" w:name="_Toc523206338"/>
      <w:bookmarkStart w:id="355" w:name="_Toc525352718"/>
      <w:bookmarkStart w:id="356" w:name="_Toc530907040"/>
      <w:bookmarkStart w:id="357" w:name="_Toc535210337"/>
      <w:bookmarkStart w:id="358" w:name="_Toc124064870"/>
      <w:bookmarkStart w:id="359" w:name="_Toc124140620"/>
      <w:r>
        <w:rPr>
          <w:rStyle w:val="CharSectno"/>
        </w:rPr>
        <w:t>31B</w:t>
      </w:r>
      <w:r>
        <w:t>.</w:t>
      </w:r>
      <w:r>
        <w:tab/>
        <w:t>Giving of notice</w:t>
      </w:r>
      <w:bookmarkEnd w:id="354"/>
      <w:bookmarkEnd w:id="355"/>
      <w:bookmarkEnd w:id="356"/>
      <w:bookmarkEnd w:id="357"/>
      <w:bookmarkEnd w:id="358"/>
      <w:bookmarkEnd w:id="359"/>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360" w:name="_Hlt460129766"/>
      <w:bookmarkEnd w:id="360"/>
      <w:r>
        <w:tab/>
        <w:t>(2)</w:t>
      </w:r>
      <w:r>
        <w:tab/>
        <w:t>An offence under section 15, 16, 19, or 20 cannot be prescribed under this section.</w:t>
      </w:r>
    </w:p>
    <w:p>
      <w:pPr>
        <w:pStyle w:val="Footnotesection"/>
      </w:pPr>
      <w:bookmarkStart w:id="361" w:name="_Hlt497554045"/>
      <w:bookmarkEnd w:id="361"/>
      <w:r>
        <w:tab/>
        <w:t>[Section 31B inserted by No. 73 of 2000 s. 11(2).]</w:t>
      </w:r>
    </w:p>
    <w:p>
      <w:pPr>
        <w:pStyle w:val="Heading5"/>
      </w:pPr>
      <w:bookmarkStart w:id="362" w:name="_Toc523206339"/>
      <w:bookmarkStart w:id="363" w:name="_Toc525352719"/>
      <w:bookmarkStart w:id="364" w:name="_Toc530907041"/>
      <w:bookmarkStart w:id="365" w:name="_Toc535210338"/>
      <w:bookmarkStart w:id="366" w:name="_Toc124064871"/>
      <w:bookmarkStart w:id="367" w:name="_Toc124140621"/>
      <w:r>
        <w:rPr>
          <w:rStyle w:val="CharSectno"/>
        </w:rPr>
        <w:t>31C</w:t>
      </w:r>
      <w:r>
        <w:t>.</w:t>
      </w:r>
      <w:r>
        <w:tab/>
        <w:t>Content of notice</w:t>
      </w:r>
      <w:bookmarkEnd w:id="362"/>
      <w:bookmarkEnd w:id="363"/>
      <w:bookmarkEnd w:id="364"/>
      <w:bookmarkEnd w:id="365"/>
      <w:bookmarkEnd w:id="366"/>
      <w:bookmarkEnd w:id="367"/>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368" w:name="_Toc523206340"/>
      <w:bookmarkStart w:id="369" w:name="_Toc525352720"/>
      <w:bookmarkStart w:id="370" w:name="_Toc530907042"/>
      <w:bookmarkStart w:id="371" w:name="_Toc535210339"/>
      <w:bookmarkStart w:id="372" w:name="_Toc124064872"/>
      <w:bookmarkStart w:id="373" w:name="_Toc124140622"/>
      <w:r>
        <w:rPr>
          <w:rStyle w:val="CharSectno"/>
        </w:rPr>
        <w:t>31D</w:t>
      </w:r>
      <w:r>
        <w:t>.</w:t>
      </w:r>
      <w:r>
        <w:tab/>
        <w:t>Extension of time</w:t>
      </w:r>
      <w:bookmarkEnd w:id="368"/>
      <w:bookmarkEnd w:id="369"/>
      <w:bookmarkEnd w:id="370"/>
      <w:bookmarkEnd w:id="371"/>
      <w:bookmarkEnd w:id="372"/>
      <w:bookmarkEnd w:id="373"/>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374" w:name="_Toc523206341"/>
      <w:bookmarkStart w:id="375" w:name="_Toc525352721"/>
      <w:bookmarkStart w:id="376" w:name="_Toc530907043"/>
      <w:bookmarkStart w:id="377" w:name="_Toc535210340"/>
      <w:bookmarkStart w:id="378" w:name="_Toc124064873"/>
      <w:bookmarkStart w:id="379" w:name="_Toc124140623"/>
      <w:r>
        <w:rPr>
          <w:rStyle w:val="CharSectno"/>
        </w:rPr>
        <w:t>31E</w:t>
      </w:r>
      <w:r>
        <w:t>.</w:t>
      </w:r>
      <w:r>
        <w:tab/>
        <w:t>Withdrawal of notice</w:t>
      </w:r>
      <w:bookmarkEnd w:id="374"/>
      <w:bookmarkEnd w:id="375"/>
      <w:bookmarkEnd w:id="376"/>
      <w:bookmarkEnd w:id="377"/>
      <w:bookmarkEnd w:id="378"/>
      <w:bookmarkEnd w:id="379"/>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380" w:name="_Hlt461868722"/>
      <w:bookmarkEnd w:id="380"/>
      <w:r>
        <w:t>(2)</w:t>
      </w:r>
      <w:r>
        <w:tab/>
        <w:t>If an infringement notice is withdrawn after the modified penalty has been paid, the amount is to be refunded.</w:t>
      </w:r>
    </w:p>
    <w:p>
      <w:pPr>
        <w:pStyle w:val="Footnotesection"/>
      </w:pPr>
      <w:bookmarkStart w:id="381" w:name="_Hlt461866431"/>
      <w:bookmarkEnd w:id="381"/>
      <w:r>
        <w:tab/>
        <w:t>[Section 31E inserted by No. 73 of 2000 s. 11(2).]</w:t>
      </w:r>
    </w:p>
    <w:p>
      <w:pPr>
        <w:pStyle w:val="Heading5"/>
      </w:pPr>
      <w:bookmarkStart w:id="382" w:name="_Toc523206342"/>
      <w:bookmarkStart w:id="383" w:name="_Toc525352722"/>
      <w:bookmarkStart w:id="384" w:name="_Toc530907044"/>
      <w:bookmarkStart w:id="385" w:name="_Toc535210341"/>
      <w:bookmarkStart w:id="386" w:name="_Toc124064874"/>
      <w:bookmarkStart w:id="387" w:name="_Toc124140624"/>
      <w:r>
        <w:rPr>
          <w:rStyle w:val="CharSectno"/>
        </w:rPr>
        <w:t>31F</w:t>
      </w:r>
      <w:r>
        <w:t>.</w:t>
      </w:r>
      <w:r>
        <w:tab/>
        <w:t>Benefit of paying modified penalty</w:t>
      </w:r>
      <w:bookmarkEnd w:id="382"/>
      <w:bookmarkEnd w:id="383"/>
      <w:bookmarkEnd w:id="384"/>
      <w:bookmarkEnd w:id="385"/>
      <w:bookmarkEnd w:id="386"/>
      <w:bookmarkEnd w:id="387"/>
    </w:p>
    <w:p>
      <w:pPr>
        <w:pStyle w:val="Subsection"/>
      </w:pPr>
      <w:r>
        <w:tab/>
        <w:t>(1)</w:t>
      </w:r>
      <w:r>
        <w:tab/>
        <w:t xml:space="preserve">Subsection (2) applies if the modified penalty specified in an infringement notice has been paid within 28 days </w:t>
      </w:r>
      <w:bookmarkStart w:id="388" w:name="_Hlt497555968"/>
      <w:bookmarkEnd w:id="388"/>
      <w:r>
        <w:t>or such further time as is allowed and the notice has not been withdrawn.</w:t>
      </w:r>
    </w:p>
    <w:p>
      <w:pPr>
        <w:pStyle w:val="Subsection"/>
      </w:pPr>
      <w:r>
        <w:tab/>
        <w:t>(2)</w:t>
      </w:r>
      <w:r>
        <w:tab/>
        <w:t xml:space="preserve">If this subsection applies it prevents the bringing of </w:t>
      </w:r>
      <w:bookmarkStart w:id="389" w:name="_Hlt497555944"/>
      <w:bookmarkEnd w:id="389"/>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390" w:name="_Toc523206343"/>
      <w:bookmarkStart w:id="391" w:name="_Toc525352723"/>
      <w:bookmarkStart w:id="392" w:name="_Toc530907045"/>
      <w:bookmarkStart w:id="393" w:name="_Toc535210342"/>
      <w:bookmarkStart w:id="394" w:name="_Toc124064875"/>
      <w:bookmarkStart w:id="395" w:name="_Toc124140625"/>
      <w:r>
        <w:rPr>
          <w:rStyle w:val="CharSectno"/>
        </w:rPr>
        <w:t>31G</w:t>
      </w:r>
      <w:r>
        <w:t>.</w:t>
      </w:r>
      <w:r>
        <w:tab/>
        <w:t>Application of penalties collected</w:t>
      </w:r>
      <w:bookmarkEnd w:id="390"/>
      <w:bookmarkEnd w:id="391"/>
      <w:bookmarkEnd w:id="392"/>
      <w:bookmarkEnd w:id="393"/>
      <w:bookmarkEnd w:id="394"/>
      <w:bookmarkEnd w:id="395"/>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396" w:name="_Toc523206344"/>
      <w:bookmarkStart w:id="397" w:name="_Toc525352724"/>
      <w:bookmarkStart w:id="398" w:name="_Toc530907046"/>
      <w:bookmarkStart w:id="399" w:name="_Toc535210343"/>
      <w:bookmarkStart w:id="400" w:name="_Toc124064876"/>
      <w:bookmarkStart w:id="401" w:name="_Toc124140626"/>
      <w:r>
        <w:rPr>
          <w:rStyle w:val="CharSectno"/>
        </w:rPr>
        <w:t>31H</w:t>
      </w:r>
      <w:r>
        <w:t>.</w:t>
      </w:r>
      <w:r>
        <w:tab/>
        <w:t>Appointment of authorised persons</w:t>
      </w:r>
      <w:bookmarkEnd w:id="396"/>
      <w:bookmarkEnd w:id="397"/>
      <w:bookmarkEnd w:id="398"/>
      <w:bookmarkEnd w:id="399"/>
      <w:bookmarkEnd w:id="400"/>
      <w:bookmarkEnd w:id="401"/>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referred to in section 5(2)(a) or (b).</w:t>
      </w:r>
    </w:p>
    <w:p>
      <w:pPr>
        <w:pStyle w:val="Footnotesection"/>
      </w:pPr>
      <w:r>
        <w:tab/>
        <w:t>[Section 31H inserted by No. 73 of 2000 s. 11(2).]</w:t>
      </w:r>
    </w:p>
    <w:p>
      <w:pPr>
        <w:pStyle w:val="Heading2"/>
      </w:pPr>
      <w:bookmarkStart w:id="402" w:name="_Toc89491103"/>
      <w:bookmarkStart w:id="403" w:name="_Toc89576958"/>
      <w:bookmarkStart w:id="404" w:name="_Toc97002627"/>
      <w:bookmarkStart w:id="405" w:name="_Toc102907411"/>
      <w:bookmarkStart w:id="406" w:name="_Toc121565964"/>
      <w:bookmarkStart w:id="407" w:name="_Toc124064877"/>
      <w:bookmarkStart w:id="408" w:name="_Toc124140627"/>
      <w:r>
        <w:rPr>
          <w:rStyle w:val="CharPartNo"/>
        </w:rPr>
        <w:t>Part VI</w:t>
      </w:r>
      <w:r>
        <w:rPr>
          <w:rStyle w:val="CharDivNo"/>
        </w:rPr>
        <w:t> </w:t>
      </w:r>
      <w:r>
        <w:t>—</w:t>
      </w:r>
      <w:r>
        <w:rPr>
          <w:rStyle w:val="CharDivText"/>
        </w:rPr>
        <w:t> </w:t>
      </w:r>
      <w:r>
        <w:rPr>
          <w:rStyle w:val="CharPartText"/>
        </w:rPr>
        <w:t>Miscellaneous</w:t>
      </w:r>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523206345"/>
      <w:bookmarkStart w:id="410" w:name="_Toc525352725"/>
      <w:bookmarkStart w:id="411" w:name="_Toc530907047"/>
      <w:bookmarkStart w:id="412" w:name="_Toc535210344"/>
      <w:bookmarkStart w:id="413" w:name="_Toc124064878"/>
      <w:bookmarkStart w:id="414" w:name="_Toc124140628"/>
      <w:r>
        <w:rPr>
          <w:rStyle w:val="CharSectno"/>
        </w:rPr>
        <w:t>32</w:t>
      </w:r>
      <w:r>
        <w:rPr>
          <w:snapToGrid w:val="0"/>
        </w:rPr>
        <w:t>.</w:t>
      </w:r>
      <w:r>
        <w:rPr>
          <w:snapToGrid w:val="0"/>
        </w:rPr>
        <w:tab/>
        <w:t>Application of orders and notices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rPr>
          <w:snapToGrid w:val="0"/>
        </w:rPr>
      </w:pPr>
      <w:bookmarkStart w:id="415" w:name="_Toc523206346"/>
      <w:bookmarkStart w:id="416" w:name="_Toc525352726"/>
      <w:bookmarkStart w:id="417" w:name="_Toc530907048"/>
      <w:bookmarkStart w:id="418" w:name="_Toc535210345"/>
      <w:bookmarkStart w:id="419" w:name="_Toc124064879"/>
      <w:bookmarkStart w:id="420" w:name="_Toc124140629"/>
      <w:r>
        <w:rPr>
          <w:rStyle w:val="CharSectno"/>
        </w:rPr>
        <w:t>33</w:t>
      </w:r>
      <w:r>
        <w:rPr>
          <w:snapToGrid w:val="0"/>
        </w:rPr>
        <w:t>.</w:t>
      </w:r>
      <w:r>
        <w:rPr>
          <w:snapToGrid w:val="0"/>
        </w:rPr>
        <w:tab/>
        <w:t>Secrecy</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subsection (2), the Minister, the Commissioner, an officer referred to in section 5(2),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 or any proceedings under this Act;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 xml:space="preserve">in the case of a person who also exercises powers or performs duties or functions under the </w:t>
      </w:r>
      <w:r>
        <w:rPr>
          <w:i/>
          <w:snapToGrid w:val="0"/>
        </w:rPr>
        <w:t>Consumer Affairs Act 1971</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w:t>
      </w:r>
    </w:p>
    <w:p>
      <w:pPr>
        <w:pStyle w:val="Heading5"/>
        <w:rPr>
          <w:snapToGrid w:val="0"/>
        </w:rPr>
      </w:pPr>
      <w:bookmarkStart w:id="421" w:name="_Toc523206347"/>
      <w:bookmarkStart w:id="422" w:name="_Toc525352727"/>
      <w:bookmarkStart w:id="423" w:name="_Toc530907049"/>
      <w:bookmarkStart w:id="424" w:name="_Toc535210346"/>
      <w:bookmarkStart w:id="425" w:name="_Toc124064880"/>
      <w:bookmarkStart w:id="426" w:name="_Toc124140630"/>
      <w:r>
        <w:rPr>
          <w:rStyle w:val="CharSectno"/>
        </w:rPr>
        <w:t>34</w:t>
      </w:r>
      <w:r>
        <w:rPr>
          <w:snapToGrid w:val="0"/>
        </w:rPr>
        <w:t>.</w:t>
      </w:r>
      <w:r>
        <w:rPr>
          <w:snapToGrid w:val="0"/>
        </w:rPr>
        <w:tab/>
        <w:t>Regulations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27" w:name="_Toc530907050"/>
      <w:bookmarkStart w:id="428" w:name="_Toc535210347"/>
      <w:bookmarkStart w:id="429" w:name="_Toc121565968"/>
      <w:bookmarkStart w:id="430" w:name="_Toc124064881"/>
      <w:bookmarkStart w:id="431" w:name="_Toc124140631"/>
      <w:r>
        <w:rPr>
          <w:rStyle w:val="CharSchNo"/>
        </w:rPr>
        <w:t>Schedule 1</w:t>
      </w:r>
      <w:r>
        <w:t xml:space="preserve"> — </w:t>
      </w:r>
      <w:r>
        <w:rPr>
          <w:rStyle w:val="CharSchText"/>
        </w:rPr>
        <w:t>Certain exclusions from definition of “petroleum product”</w:t>
      </w:r>
      <w:bookmarkEnd w:id="427"/>
      <w:bookmarkEnd w:id="428"/>
      <w:bookmarkEnd w:id="429"/>
      <w:bookmarkEnd w:id="430"/>
      <w:bookmarkEnd w:id="431"/>
      <w:r>
        <w:rPr>
          <w:rStyle w:val="CharSchText"/>
          <w:color w:val="000000"/>
        </w:rPr>
        <w:t xml:space="preserve"> </w:t>
      </w:r>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432" w:name="_Toc89491108"/>
      <w:bookmarkStart w:id="433" w:name="_Toc89576963"/>
      <w:bookmarkStart w:id="434" w:name="_Toc97002632"/>
      <w:bookmarkStart w:id="435" w:name="_Toc102907416"/>
      <w:bookmarkStart w:id="436" w:name="_Toc121565969"/>
      <w:bookmarkStart w:id="437" w:name="_Toc124064882"/>
      <w:bookmarkStart w:id="438" w:name="_Toc124140632"/>
      <w:r>
        <w:t>Notes</w:t>
      </w:r>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530907051"/>
      <w:bookmarkStart w:id="440" w:name="_Toc535210348"/>
      <w:bookmarkStart w:id="441" w:name="_Toc124064883"/>
      <w:bookmarkStart w:id="442" w:name="_Toc124140633"/>
      <w:r>
        <w:rPr>
          <w:snapToGrid w:val="0"/>
        </w:rPr>
        <w:t>Compilation table</w:t>
      </w:r>
      <w:bookmarkEnd w:id="439"/>
      <w:bookmarkEnd w:id="440"/>
      <w:bookmarkEnd w:id="441"/>
      <w:bookmarkEnd w:id="442"/>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304"/>
        <w:gridCol w:w="2410"/>
        <w:gridCol w:w="52"/>
      </w:tblGrid>
      <w:tr>
        <w:trPr>
          <w:gridAfter w:val="1"/>
          <w:wAfter w:w="52"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304" w:type="dxa"/>
            <w:tcBorders>
              <w:top w:val="single" w:sz="8" w:space="0" w:color="auto"/>
              <w:bottom w:val="single" w:sz="8" w:space="0" w:color="auto"/>
            </w:tcBorders>
          </w:tcPr>
          <w:p>
            <w:pPr>
              <w:pStyle w:val="nTable"/>
              <w:spacing w:before="60" w:after="60"/>
              <w:rPr>
                <w:b/>
                <w:sz w:val="19"/>
              </w:rPr>
            </w:pPr>
            <w:r>
              <w:rPr>
                <w:b/>
                <w:sz w:val="19"/>
              </w:rPr>
              <w:t>Assent</w:t>
            </w:r>
          </w:p>
        </w:tc>
        <w:tc>
          <w:tcPr>
            <w:tcW w:w="241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52" w:type="dxa"/>
          <w:cantSplit/>
        </w:trPr>
        <w:tc>
          <w:tcPr>
            <w:tcW w:w="2268" w:type="dxa"/>
          </w:tcPr>
          <w:p>
            <w:pPr>
              <w:pStyle w:val="nTable"/>
              <w:spacing w:before="120"/>
              <w:ind w:right="113"/>
              <w:rPr>
                <w:sz w:val="19"/>
                <w:vertAlign w:val="superscript"/>
              </w:rPr>
            </w:pPr>
            <w:r>
              <w:rPr>
                <w:i/>
                <w:sz w:val="19"/>
              </w:rPr>
              <w:t>Prevention of Excessive Prices Act 1983</w:t>
            </w:r>
            <w:r>
              <w:rPr>
                <w:i/>
                <w:sz w:val="19"/>
                <w:vertAlign w:val="superscript"/>
              </w:rPr>
              <w:t> </w:t>
            </w:r>
            <w:r>
              <w:rPr>
                <w:sz w:val="19"/>
                <w:vertAlign w:val="superscript"/>
              </w:rPr>
              <w:t>3</w:t>
            </w:r>
          </w:p>
        </w:tc>
        <w:tc>
          <w:tcPr>
            <w:tcW w:w="1134" w:type="dxa"/>
          </w:tcPr>
          <w:p>
            <w:pPr>
              <w:pStyle w:val="nTable"/>
              <w:spacing w:before="120"/>
              <w:rPr>
                <w:sz w:val="19"/>
              </w:rPr>
            </w:pPr>
            <w:r>
              <w:rPr>
                <w:sz w:val="19"/>
              </w:rPr>
              <w:t>1 of 1983</w:t>
            </w:r>
          </w:p>
        </w:tc>
        <w:tc>
          <w:tcPr>
            <w:tcW w:w="1304" w:type="dxa"/>
          </w:tcPr>
          <w:p>
            <w:pPr>
              <w:pStyle w:val="nTable"/>
              <w:spacing w:before="120"/>
              <w:rPr>
                <w:sz w:val="19"/>
              </w:rPr>
            </w:pPr>
            <w:r>
              <w:rPr>
                <w:sz w:val="19"/>
              </w:rPr>
              <w:t>25 Mar 1983</w:t>
            </w:r>
          </w:p>
        </w:tc>
        <w:tc>
          <w:tcPr>
            <w:tcW w:w="2410" w:type="dxa"/>
          </w:tcPr>
          <w:p>
            <w:pPr>
              <w:pStyle w:val="nTable"/>
              <w:spacing w:before="120"/>
              <w:rPr>
                <w:sz w:val="19"/>
              </w:rPr>
            </w:pPr>
            <w:r>
              <w:rPr>
                <w:sz w:val="19"/>
              </w:rPr>
              <w:t xml:space="preserve">25 Mar 1983 (see s. 2 and </w:t>
            </w:r>
            <w:r>
              <w:rPr>
                <w:i/>
                <w:sz w:val="19"/>
              </w:rPr>
              <w:t>Gazette</w:t>
            </w:r>
            <w:r>
              <w:rPr>
                <w:sz w:val="19"/>
              </w:rPr>
              <w:t xml:space="preserve"> 25 Mar 1983 p. 1059)</w:t>
            </w:r>
          </w:p>
        </w:tc>
      </w:tr>
      <w:tr>
        <w:trPr>
          <w:gridAfter w:val="1"/>
          <w:wAfter w:w="52" w:type="dxa"/>
          <w:cantSplit/>
        </w:trPr>
        <w:tc>
          <w:tcPr>
            <w:tcW w:w="2268" w:type="dxa"/>
          </w:tcPr>
          <w:p>
            <w:pPr>
              <w:pStyle w:val="nTable"/>
              <w:spacing w:before="120"/>
              <w:ind w:right="113"/>
              <w:rPr>
                <w:sz w:val="19"/>
              </w:rPr>
            </w:pPr>
            <w:r>
              <w:rPr>
                <w:i/>
                <w:sz w:val="19"/>
              </w:rPr>
              <w:t xml:space="preserve">Acts Amendment (Prevention of Excessive Prices) Act (No. 2) 1983 </w:t>
            </w:r>
            <w:r>
              <w:rPr>
                <w:sz w:val="19"/>
              </w:rPr>
              <w:t>Pt. III</w:t>
            </w:r>
          </w:p>
        </w:tc>
        <w:tc>
          <w:tcPr>
            <w:tcW w:w="1134" w:type="dxa"/>
          </w:tcPr>
          <w:p>
            <w:pPr>
              <w:pStyle w:val="nTable"/>
              <w:spacing w:before="120"/>
              <w:rPr>
                <w:sz w:val="19"/>
              </w:rPr>
            </w:pPr>
            <w:r>
              <w:rPr>
                <w:sz w:val="19"/>
              </w:rPr>
              <w:t>72 of 1983</w:t>
            </w:r>
          </w:p>
        </w:tc>
        <w:tc>
          <w:tcPr>
            <w:tcW w:w="1304" w:type="dxa"/>
          </w:tcPr>
          <w:p>
            <w:pPr>
              <w:pStyle w:val="nTable"/>
              <w:spacing w:before="120"/>
              <w:rPr>
                <w:sz w:val="19"/>
              </w:rPr>
            </w:pPr>
            <w:r>
              <w:rPr>
                <w:sz w:val="19"/>
              </w:rPr>
              <w:t>22 Dec 1983</w:t>
            </w:r>
          </w:p>
        </w:tc>
        <w:tc>
          <w:tcPr>
            <w:tcW w:w="2410" w:type="dxa"/>
          </w:tcPr>
          <w:p>
            <w:pPr>
              <w:pStyle w:val="nTable"/>
              <w:spacing w:before="120"/>
              <w:rPr>
                <w:sz w:val="19"/>
              </w:rPr>
            </w:pPr>
            <w:r>
              <w:rPr>
                <w:sz w:val="19"/>
              </w:rPr>
              <w:t>30 Dec 1983 (see s. 2(b))</w:t>
            </w:r>
          </w:p>
        </w:tc>
      </w:tr>
      <w:tr>
        <w:trPr>
          <w:gridAfter w:val="1"/>
          <w:wAfter w:w="52" w:type="dxa"/>
          <w:cantSplit/>
        </w:trPr>
        <w:tc>
          <w:tcPr>
            <w:tcW w:w="2268" w:type="dxa"/>
          </w:tcPr>
          <w:p>
            <w:pPr>
              <w:pStyle w:val="nTable"/>
              <w:spacing w:before="120"/>
              <w:ind w:right="113"/>
              <w:rPr>
                <w:sz w:val="19"/>
              </w:rPr>
            </w:pPr>
            <w:r>
              <w:rPr>
                <w:i/>
                <w:sz w:val="19"/>
              </w:rPr>
              <w:t xml:space="preserve">Acts Amendment (Consumer Affairs) Act 1985 </w:t>
            </w:r>
            <w:r>
              <w:rPr>
                <w:sz w:val="19"/>
              </w:rPr>
              <w:t>Pt. VI</w:t>
            </w:r>
          </w:p>
        </w:tc>
        <w:tc>
          <w:tcPr>
            <w:tcW w:w="1134" w:type="dxa"/>
          </w:tcPr>
          <w:p>
            <w:pPr>
              <w:pStyle w:val="nTable"/>
              <w:spacing w:before="120"/>
              <w:rPr>
                <w:sz w:val="19"/>
              </w:rPr>
            </w:pPr>
            <w:r>
              <w:rPr>
                <w:sz w:val="19"/>
              </w:rPr>
              <w:t>1 of 1985</w:t>
            </w:r>
          </w:p>
        </w:tc>
        <w:tc>
          <w:tcPr>
            <w:tcW w:w="1304" w:type="dxa"/>
          </w:tcPr>
          <w:p>
            <w:pPr>
              <w:pStyle w:val="nTable"/>
              <w:spacing w:before="120"/>
              <w:rPr>
                <w:sz w:val="19"/>
              </w:rPr>
            </w:pPr>
            <w:r>
              <w:rPr>
                <w:sz w:val="19"/>
              </w:rPr>
              <w:t>8 Mar 1985</w:t>
            </w:r>
          </w:p>
        </w:tc>
        <w:tc>
          <w:tcPr>
            <w:tcW w:w="2410" w:type="dxa"/>
          </w:tcPr>
          <w:p>
            <w:pPr>
              <w:pStyle w:val="nTable"/>
              <w:spacing w:before="120"/>
              <w:rPr>
                <w:sz w:val="19"/>
              </w:rPr>
            </w:pPr>
            <w:r>
              <w:rPr>
                <w:sz w:val="19"/>
              </w:rPr>
              <w:t>8 Mar 1985 (see s. 2(3))</w:t>
            </w:r>
          </w:p>
        </w:tc>
      </w:tr>
      <w:tr>
        <w:trPr>
          <w:gridAfter w:val="1"/>
          <w:wAfter w:w="52" w:type="dxa"/>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tcPr>
          <w:p>
            <w:pPr>
              <w:pStyle w:val="nTable"/>
              <w:spacing w:before="120"/>
              <w:rPr>
                <w:sz w:val="19"/>
              </w:rPr>
            </w:pPr>
            <w:r>
              <w:rPr>
                <w:sz w:val="19"/>
              </w:rPr>
              <w:t>4 Dec 1985</w:t>
            </w:r>
          </w:p>
        </w:tc>
        <w:tc>
          <w:tcPr>
            <w:tcW w:w="2410"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52" w:type="dxa"/>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tcPr>
          <w:p>
            <w:pPr>
              <w:pStyle w:val="nTable"/>
              <w:spacing w:before="120"/>
              <w:rPr>
                <w:sz w:val="19"/>
              </w:rPr>
            </w:pPr>
            <w:r>
              <w:rPr>
                <w:sz w:val="19"/>
              </w:rPr>
              <w:t>29 Jun 1994</w:t>
            </w:r>
          </w:p>
        </w:tc>
        <w:tc>
          <w:tcPr>
            <w:tcW w:w="241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52" w:type="dxa"/>
          <w:cantSplit/>
        </w:trPr>
        <w:tc>
          <w:tcPr>
            <w:tcW w:w="2268" w:type="dxa"/>
          </w:tcPr>
          <w:p>
            <w:pPr>
              <w:pStyle w:val="nTable"/>
              <w:spacing w:before="120"/>
              <w:ind w:right="113"/>
              <w:rPr>
                <w:sz w:val="19"/>
              </w:rPr>
            </w:pPr>
            <w:r>
              <w:rPr>
                <w:i/>
                <w:sz w:val="19"/>
              </w:rPr>
              <w:t>Industrial Relations Legislation Amendment and Repeal Act 1995</w:t>
            </w:r>
            <w:r>
              <w:rPr>
                <w:sz w:val="19"/>
              </w:rPr>
              <w:br/>
              <w:t>s. 69(2)</w:t>
            </w:r>
          </w:p>
        </w:tc>
        <w:tc>
          <w:tcPr>
            <w:tcW w:w="1134" w:type="dxa"/>
          </w:tcPr>
          <w:p>
            <w:pPr>
              <w:pStyle w:val="nTable"/>
              <w:spacing w:before="120"/>
              <w:rPr>
                <w:sz w:val="19"/>
              </w:rPr>
            </w:pPr>
            <w:r>
              <w:rPr>
                <w:sz w:val="19"/>
              </w:rPr>
              <w:t>79 of 1995</w:t>
            </w:r>
          </w:p>
        </w:tc>
        <w:tc>
          <w:tcPr>
            <w:tcW w:w="1304" w:type="dxa"/>
          </w:tcPr>
          <w:p>
            <w:pPr>
              <w:pStyle w:val="nTable"/>
              <w:spacing w:before="120"/>
              <w:rPr>
                <w:sz w:val="19"/>
              </w:rPr>
            </w:pPr>
            <w:r>
              <w:rPr>
                <w:sz w:val="19"/>
              </w:rPr>
              <w:t>16 Jan 1996</w:t>
            </w:r>
          </w:p>
        </w:tc>
        <w:tc>
          <w:tcPr>
            <w:tcW w:w="2410" w:type="dxa"/>
          </w:tcPr>
          <w:p>
            <w:pPr>
              <w:pStyle w:val="nTable"/>
              <w:spacing w:before="120"/>
              <w:rPr>
                <w:sz w:val="19"/>
              </w:rPr>
            </w:pPr>
            <w:r>
              <w:rPr>
                <w:sz w:val="19"/>
              </w:rPr>
              <w:t>16 Jan 1996 (see s. 3(1))</w:t>
            </w:r>
          </w:p>
        </w:tc>
      </w:tr>
      <w:tr>
        <w:trPr>
          <w:gridAfter w:val="1"/>
          <w:wAfter w:w="52" w:type="dxa"/>
          <w:cantSplit/>
        </w:trPr>
        <w:tc>
          <w:tcPr>
            <w:tcW w:w="2268" w:type="dxa"/>
          </w:tcPr>
          <w:p>
            <w:pPr>
              <w:pStyle w:val="nTable"/>
              <w:spacing w:before="120"/>
              <w:ind w:right="113"/>
              <w:rPr>
                <w:sz w:val="19"/>
              </w:rPr>
            </w:pPr>
            <w:r>
              <w:rPr>
                <w:i/>
                <w:sz w:val="19"/>
              </w:rPr>
              <w:t>Local Government (Consequential Amendments) Act 1996</w:t>
            </w:r>
            <w:r>
              <w:rPr>
                <w:sz w:val="19"/>
              </w:rPr>
              <w:br/>
              <w:t>s. 4</w:t>
            </w:r>
          </w:p>
        </w:tc>
        <w:tc>
          <w:tcPr>
            <w:tcW w:w="1134" w:type="dxa"/>
          </w:tcPr>
          <w:p>
            <w:pPr>
              <w:pStyle w:val="nTable"/>
              <w:spacing w:before="120"/>
              <w:rPr>
                <w:sz w:val="19"/>
              </w:rPr>
            </w:pPr>
            <w:r>
              <w:rPr>
                <w:sz w:val="19"/>
              </w:rPr>
              <w:t>14 of 1996</w:t>
            </w:r>
          </w:p>
        </w:tc>
        <w:tc>
          <w:tcPr>
            <w:tcW w:w="1304" w:type="dxa"/>
          </w:tcPr>
          <w:p>
            <w:pPr>
              <w:pStyle w:val="nTable"/>
              <w:spacing w:before="120"/>
              <w:rPr>
                <w:sz w:val="19"/>
              </w:rPr>
            </w:pPr>
            <w:r>
              <w:rPr>
                <w:sz w:val="19"/>
              </w:rPr>
              <w:t>28 Jun 1996</w:t>
            </w:r>
          </w:p>
        </w:tc>
        <w:tc>
          <w:tcPr>
            <w:tcW w:w="2410" w:type="dxa"/>
          </w:tcPr>
          <w:p>
            <w:pPr>
              <w:pStyle w:val="nTable"/>
              <w:spacing w:before="120"/>
              <w:rPr>
                <w:sz w:val="19"/>
              </w:rPr>
            </w:pPr>
            <w:r>
              <w:rPr>
                <w:sz w:val="19"/>
              </w:rPr>
              <w:t>1 Jul 1996 (see s. 2)</w:t>
            </w:r>
          </w:p>
        </w:tc>
      </w:tr>
      <w:tr>
        <w:trPr>
          <w:gridAfter w:val="1"/>
          <w:wAfter w:w="52" w:type="dxa"/>
          <w:cantSplit/>
        </w:trPr>
        <w:tc>
          <w:tcPr>
            <w:tcW w:w="2268" w:type="dxa"/>
          </w:tcPr>
          <w:p>
            <w:pPr>
              <w:pStyle w:val="nTable"/>
              <w:keepNext/>
              <w:keepLines/>
              <w:spacing w:before="12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before="120"/>
              <w:rPr>
                <w:sz w:val="19"/>
              </w:rPr>
            </w:pPr>
            <w:r>
              <w:rPr>
                <w:sz w:val="19"/>
              </w:rPr>
              <w:t>57 of 1997</w:t>
            </w:r>
          </w:p>
        </w:tc>
        <w:tc>
          <w:tcPr>
            <w:tcW w:w="1304" w:type="dxa"/>
          </w:tcPr>
          <w:p>
            <w:pPr>
              <w:pStyle w:val="nTable"/>
              <w:keepNext/>
              <w:keepLines/>
              <w:spacing w:before="120"/>
              <w:rPr>
                <w:sz w:val="19"/>
              </w:rPr>
            </w:pPr>
            <w:r>
              <w:rPr>
                <w:sz w:val="19"/>
              </w:rPr>
              <w:t>15 Dec 1997</w:t>
            </w:r>
          </w:p>
        </w:tc>
        <w:tc>
          <w:tcPr>
            <w:tcW w:w="2410" w:type="dxa"/>
          </w:tcPr>
          <w:p>
            <w:pPr>
              <w:pStyle w:val="nTable"/>
              <w:keepNext/>
              <w:keepLines/>
              <w:spacing w:before="120"/>
              <w:rPr>
                <w:sz w:val="19"/>
              </w:rPr>
            </w:pPr>
            <w:r>
              <w:rPr>
                <w:sz w:val="19"/>
              </w:rPr>
              <w:t>15 Dec 1997 (see s. 2)</w:t>
            </w:r>
          </w:p>
        </w:tc>
      </w:tr>
      <w:tr>
        <w:trPr>
          <w:gridAfter w:val="1"/>
          <w:wAfter w:w="52" w:type="dxa"/>
          <w:cantSplit/>
        </w:trPr>
        <w:tc>
          <w:tcPr>
            <w:tcW w:w="2268" w:type="dxa"/>
          </w:tcPr>
          <w:p>
            <w:pPr>
              <w:pStyle w:val="nTable"/>
              <w:spacing w:before="120"/>
              <w:ind w:right="113"/>
              <w:rPr>
                <w:i/>
                <w:sz w:val="19"/>
              </w:rPr>
            </w:pPr>
            <w:r>
              <w:rPr>
                <w:i/>
                <w:sz w:val="19"/>
              </w:rPr>
              <w:t>Petroleum Products Pricing Amendment Act 2000</w:t>
            </w:r>
          </w:p>
        </w:tc>
        <w:tc>
          <w:tcPr>
            <w:tcW w:w="1134" w:type="dxa"/>
          </w:tcPr>
          <w:p>
            <w:pPr>
              <w:pStyle w:val="nTable"/>
              <w:spacing w:before="120"/>
              <w:rPr>
                <w:sz w:val="19"/>
              </w:rPr>
            </w:pPr>
            <w:r>
              <w:rPr>
                <w:sz w:val="19"/>
              </w:rPr>
              <w:t>73 of 2000</w:t>
            </w:r>
          </w:p>
        </w:tc>
        <w:tc>
          <w:tcPr>
            <w:tcW w:w="1304" w:type="dxa"/>
          </w:tcPr>
          <w:p>
            <w:pPr>
              <w:pStyle w:val="nTable"/>
              <w:spacing w:before="120"/>
              <w:rPr>
                <w:sz w:val="19"/>
              </w:rPr>
            </w:pPr>
            <w:r>
              <w:rPr>
                <w:sz w:val="19"/>
              </w:rPr>
              <w:t>4 Dec 2000</w:t>
            </w:r>
          </w:p>
        </w:tc>
        <w:tc>
          <w:tcPr>
            <w:tcW w:w="2410" w:type="dxa"/>
          </w:tcPr>
          <w:p>
            <w:pPr>
              <w:pStyle w:val="nTable"/>
              <w:spacing w:before="120"/>
              <w:rPr>
                <w:sz w:val="19"/>
              </w:rPr>
            </w:pPr>
            <w:r>
              <w:rPr>
                <w:sz w:val="19"/>
              </w:rPr>
              <w:t>1 Jan 2001</w:t>
            </w:r>
          </w:p>
        </w:tc>
      </w:tr>
      <w:tr>
        <w:trPr>
          <w:gridAfter w:val="1"/>
          <w:wAfter w:w="52" w:type="dxa"/>
          <w:cantSplit/>
        </w:trPr>
        <w:tc>
          <w:tcPr>
            <w:tcW w:w="2268" w:type="dxa"/>
          </w:tcPr>
          <w:p>
            <w:pPr>
              <w:pStyle w:val="nTable"/>
              <w:keepNext/>
              <w:keepLines/>
              <w:spacing w:before="120"/>
              <w:ind w:right="113"/>
              <w:rPr>
                <w:sz w:val="19"/>
              </w:rPr>
            </w:pPr>
            <w:r>
              <w:rPr>
                <w:i/>
                <w:sz w:val="19"/>
              </w:rPr>
              <w:t>Petroleum Legislation Amendment Act 2001</w:t>
            </w:r>
            <w:r>
              <w:rPr>
                <w:sz w:val="19"/>
              </w:rPr>
              <w:t xml:space="preserve"> s. 18-21</w:t>
            </w:r>
          </w:p>
        </w:tc>
        <w:tc>
          <w:tcPr>
            <w:tcW w:w="1134" w:type="dxa"/>
          </w:tcPr>
          <w:p>
            <w:pPr>
              <w:pStyle w:val="nTable"/>
              <w:keepNext/>
              <w:keepLines/>
              <w:spacing w:before="120"/>
              <w:rPr>
                <w:sz w:val="19"/>
              </w:rPr>
            </w:pPr>
            <w:r>
              <w:rPr>
                <w:sz w:val="19"/>
              </w:rPr>
              <w:t>11 of 2001</w:t>
            </w:r>
          </w:p>
        </w:tc>
        <w:tc>
          <w:tcPr>
            <w:tcW w:w="1304" w:type="dxa"/>
          </w:tcPr>
          <w:p>
            <w:pPr>
              <w:pStyle w:val="nTable"/>
              <w:keepNext/>
              <w:keepLines/>
              <w:spacing w:before="120"/>
              <w:rPr>
                <w:sz w:val="19"/>
              </w:rPr>
            </w:pPr>
            <w:r>
              <w:rPr>
                <w:sz w:val="19"/>
              </w:rPr>
              <w:t>13 Jul 2001</w:t>
            </w:r>
          </w:p>
        </w:tc>
        <w:tc>
          <w:tcPr>
            <w:tcW w:w="2410" w:type="dxa"/>
          </w:tcPr>
          <w:p>
            <w:pPr>
              <w:pStyle w:val="nTable"/>
              <w:keepNext/>
              <w:keepLines/>
              <w:spacing w:before="120"/>
              <w:rPr>
                <w:sz w:val="19"/>
                <w:vertAlign w:val="superscript"/>
              </w:rPr>
            </w:pPr>
            <w:r>
              <w:rPr>
                <w:sz w:val="19"/>
              </w:rPr>
              <w:t xml:space="preserve">s. 20: 24 Aug 2001 (see s. 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After w:val="1"/>
          <w:wAfter w:w="52" w:type="dxa"/>
          <w:cantSplit/>
        </w:trPr>
        <w:tc>
          <w:tcPr>
            <w:tcW w:w="7116" w:type="dxa"/>
            <w:gridSpan w:val="4"/>
          </w:tcPr>
          <w:p>
            <w:pPr>
              <w:pStyle w:val="nTable"/>
              <w:keepNext/>
              <w:keepLines/>
              <w:spacing w:before="12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(includes amendments listed above)  (</w:t>
            </w:r>
            <w:r>
              <w:t xml:space="preserve">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rPr>
                <w:snapToGrid w:val="0"/>
                <w:sz w:val="19"/>
                <w:lang w:val="en-US"/>
              </w:rPr>
            </w:pPr>
            <w:r>
              <w:rPr>
                <w:snapToGrid w:val="0"/>
                <w:sz w:val="19"/>
                <w:lang w:val="en-US"/>
              </w:rPr>
              <w:t>84 of 2004</w:t>
            </w:r>
          </w:p>
        </w:tc>
        <w:tc>
          <w:tcPr>
            <w:tcW w:w="1304" w:type="dxa"/>
            <w:tcBorders>
              <w:top w:val="nil"/>
              <w:bottom w:val="nil"/>
            </w:tcBorders>
          </w:tcPr>
          <w:p>
            <w:pPr>
              <w:pStyle w:val="nTable"/>
              <w:rPr>
                <w:sz w:val="19"/>
              </w:rPr>
            </w:pPr>
            <w:r>
              <w:rPr>
                <w:sz w:val="19"/>
              </w:rPr>
              <w:t>16 Dec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single" w:sz="4" w:space="0" w:color="auto"/>
            </w:tcBorders>
          </w:tcPr>
          <w:p>
            <w:pPr>
              <w:pStyle w:val="nTable"/>
              <w:rPr>
                <w:snapToGrid w:val="0"/>
                <w:sz w:val="19"/>
                <w:lang w:val="en-US"/>
              </w:rPr>
            </w:pPr>
            <w:r>
              <w:rPr>
                <w:sz w:val="19"/>
              </w:rPr>
              <w:t>24 of 2005</w:t>
            </w:r>
          </w:p>
        </w:tc>
        <w:tc>
          <w:tcPr>
            <w:tcW w:w="1304" w:type="dxa"/>
            <w:tcBorders>
              <w:top w:val="nil"/>
              <w:bottom w:val="single" w:sz="4" w:space="0" w:color="auto"/>
            </w:tcBorders>
          </w:tcPr>
          <w:p>
            <w:pPr>
              <w:pStyle w:val="nTable"/>
              <w:rPr>
                <w:sz w:val="19"/>
              </w:rPr>
            </w:pPr>
            <w:r>
              <w:rPr>
                <w:sz w:val="19"/>
              </w:rPr>
              <w:t>2 Dec 2005</w:t>
            </w:r>
          </w:p>
        </w:tc>
        <w:tc>
          <w:tcPr>
            <w:tcW w:w="2462" w:type="dxa"/>
            <w:gridSpan w:val="2"/>
            <w:tcBorders>
              <w:top w:val="nil"/>
              <w:bottom w:val="single" w:sz="4" w:space="0" w:color="auto"/>
            </w:tcBorders>
          </w:tcPr>
          <w:p>
            <w:pPr>
              <w:pStyle w:val="nTable"/>
              <w:rPr>
                <w:snapToGrid w:val="0"/>
                <w:sz w:val="19"/>
                <w:lang w:val="en-US"/>
              </w:rPr>
            </w:pPr>
            <w:r>
              <w:rPr>
                <w:sz w:val="19"/>
              </w:rPr>
              <w:t xml:space="preserve">1 Jan 2006 (see s. 2 and </w:t>
            </w:r>
            <w:r>
              <w:rPr>
                <w:i/>
                <w:sz w:val="19"/>
              </w:rPr>
              <w:t>Gazette</w:t>
            </w:r>
            <w:r>
              <w:rPr>
                <w:sz w:val="19"/>
              </w:rPr>
              <w:t xml:space="preserve"> 23 Dec 2005 p. 6244)</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Order (No. 2) 2001</w:t>
      </w:r>
      <w:r>
        <w:t xml:space="preserve"> a reference in any law to the Department of Consumer Affairs or to the Ministry of Consumer Affairs or the Ministry of Fair Trading is to be read and construed as a reference to the Department of Consumer and Employment Protection.</w:t>
      </w:r>
    </w:p>
    <w:p>
      <w:pPr>
        <w:pStyle w:val="nSubsection"/>
      </w:pPr>
      <w:r>
        <w:rPr>
          <w:vertAlign w:val="superscript"/>
        </w:rPr>
        <w:t>3</w:t>
      </w:r>
      <w:r>
        <w:tab/>
        <w:t xml:space="preserve">Now known as the </w:t>
      </w:r>
      <w:r>
        <w:rPr>
          <w:i/>
        </w:rPr>
        <w:t>Petroleum Products Pricing Act 1983</w:t>
      </w:r>
      <w:r>
        <w:t>; short title changed (see note under s. 1).</w:t>
      </w:r>
    </w:p>
    <w:p>
      <w:pPr>
        <w:rPr>
          <w:sz w:val="20"/>
        </w:rPr>
      </w:pPr>
      <w:bookmarkStart w:id="443" w:name="UpToHere"/>
      <w:bookmarkEnd w:id="443"/>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BA7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464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4C2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3AEB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1874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D4AB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621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30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94D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E8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64A3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00266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14059</Words>
  <Characters>68188</Characters>
  <Application>Microsoft Office Word</Application>
  <DocSecurity>0</DocSecurity>
  <Lines>2005</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1983 - 01-d0-02</dc:title>
  <dc:subject/>
  <dc:creator/>
  <cp:keywords/>
  <dc:description/>
  <cp:lastModifiedBy>svcMRProcess</cp:lastModifiedBy>
  <cp:revision>4</cp:revision>
  <cp:lastPrinted>2002-01-21T07:57:00Z</cp:lastPrinted>
  <dcterms:created xsi:type="dcterms:W3CDTF">2018-09-06T05:07:00Z</dcterms:created>
  <dcterms:modified xsi:type="dcterms:W3CDTF">2018-09-06T05:07:00Z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598</vt:i4>
  </property>
  <property fmtid="{D5CDD505-2E9C-101B-9397-08002B2CF9AE}" pid="6" name="AsAtDate">
    <vt:lpwstr>01 Jan 2006</vt:lpwstr>
  </property>
  <property fmtid="{D5CDD505-2E9C-101B-9397-08002B2CF9AE}" pid="7" name="Suffix">
    <vt:lpwstr>01-d0-02</vt:lpwstr>
  </property>
</Properties>
</file>