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_Toc241051478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_Toc241051479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_Toc241051480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_Toc241051481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Construction Industry Long Service Leave Payments Board established</w:t>
      </w:r>
      <w:r>
        <w:tab/>
      </w:r>
      <w:r>
        <w:fldChar w:fldCharType="begin"/>
      </w:r>
      <w:r>
        <w:instrText xml:space="preserve"> PAGEREF _Toc241051483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Membership of the Board</w:t>
      </w:r>
      <w:r>
        <w:tab/>
      </w:r>
      <w:r>
        <w:fldChar w:fldCharType="begin"/>
      </w:r>
      <w:r>
        <w:instrText xml:space="preserve"> PAGEREF _Toc241051484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_Toc241051485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_Toc241051486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Fees and allowances</w:t>
      </w:r>
      <w:r>
        <w:tab/>
      </w:r>
      <w:r>
        <w:fldChar w:fldCharType="begin"/>
      </w:r>
      <w:r>
        <w:instrText xml:space="preserve"> PAGEREF _Toc241051487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Meetings of the Board and disclosure of interest</w:t>
      </w:r>
      <w:r>
        <w:tab/>
      </w:r>
      <w:r>
        <w:fldChar w:fldCharType="begin"/>
      </w:r>
      <w:r>
        <w:instrText xml:space="preserve"> PAGEREF _Toc241051488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may require Board to give information</w:t>
      </w:r>
      <w:r>
        <w:tab/>
      </w:r>
      <w:r>
        <w:fldChar w:fldCharType="begin"/>
      </w:r>
      <w:r>
        <w:instrText xml:space="preserve"> PAGEREF _Toc241051489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Indemnity</w:t>
      </w:r>
      <w:r>
        <w:tab/>
      </w:r>
      <w:r>
        <w:fldChar w:fldCharType="begin"/>
      </w:r>
      <w:r>
        <w:instrText xml:space="preserve"> PAGEREF _Toc241051490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Staff</w:t>
      </w:r>
      <w:r>
        <w:tab/>
      </w:r>
      <w:r>
        <w:fldChar w:fldCharType="begin"/>
      </w:r>
      <w:r>
        <w:instrText xml:space="preserve"> PAGEREF _Toc241051491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Functions of the Board</w:t>
      </w:r>
      <w:r>
        <w:tab/>
      </w:r>
      <w:r>
        <w:fldChar w:fldCharType="begin"/>
      </w:r>
      <w:r>
        <w:instrText xml:space="preserve"> PAGEREF _Toc241051492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Funds of the Board</w:t>
      </w:r>
      <w:r>
        <w:tab/>
      </w:r>
      <w:r>
        <w:fldChar w:fldCharType="begin"/>
      </w:r>
      <w:r>
        <w:instrText xml:space="preserve"> PAGEREF _Toc241051493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Power to borrow and guarantee</w:t>
      </w:r>
      <w:r>
        <w:tab/>
      </w:r>
      <w:r>
        <w:fldChar w:fldCharType="begin"/>
      </w:r>
      <w:r>
        <w:instrText xml:space="preserve"> PAGEREF _Toc241051494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Notification of certain contracts to be given to Minister</w:t>
      </w:r>
      <w:r>
        <w:tab/>
      </w:r>
      <w:r>
        <w:fldChar w:fldCharType="begin"/>
      </w:r>
      <w:r>
        <w:instrText xml:space="preserve"> PAGEREF _Toc241051495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 xml:space="preserve">Application of </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_Toc241051496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Investigations by actuary</w:t>
      </w:r>
      <w:r>
        <w:tab/>
      </w:r>
      <w:r>
        <w:fldChar w:fldCharType="begin"/>
      </w:r>
      <w:r>
        <w:instrText xml:space="preserve"> PAGEREF _Toc241051497 \h </w:instrText>
      </w:r>
      <w:r>
        <w:fldChar w:fldCharType="separate"/>
      </w:r>
      <w:r>
        <w:t>14</w:t>
      </w:r>
      <w:r>
        <w:fldChar w:fldCharType="end"/>
      </w:r>
    </w:p>
    <w:p>
      <w:pPr>
        <w:pStyle w:val="TOC2"/>
        <w:tabs>
          <w:tab w:val="right" w:leader="dot" w:pos="7086"/>
        </w:tabs>
        <w:rPr>
          <w:b w:val="0"/>
          <w:sz w:val="24"/>
          <w:szCs w:val="24"/>
        </w:rPr>
      </w:pPr>
      <w:r>
        <w:rPr>
          <w:szCs w:val="30"/>
        </w:rPr>
        <w:t>Part III — Entitlement to long service leave and pay</w:t>
      </w:r>
    </w:p>
    <w:p>
      <w:pPr>
        <w:pStyle w:val="TOC8"/>
        <w:rPr>
          <w:sz w:val="24"/>
          <w:szCs w:val="24"/>
        </w:rPr>
      </w:pPr>
      <w:r>
        <w:rPr>
          <w:szCs w:val="24"/>
        </w:rPr>
        <w:t>21</w:t>
      </w:r>
      <w:r>
        <w:rPr>
          <w:snapToGrid w:val="0"/>
          <w:szCs w:val="24"/>
        </w:rPr>
        <w:t>.</w:t>
      </w:r>
      <w:r>
        <w:rPr>
          <w:snapToGrid w:val="0"/>
          <w:szCs w:val="24"/>
        </w:rPr>
        <w:tab/>
        <w:t>Entitlement to paid long service leave and pay</w:t>
      </w:r>
      <w:r>
        <w:tab/>
      </w:r>
      <w:r>
        <w:fldChar w:fldCharType="begin"/>
      </w:r>
      <w:r>
        <w:instrText xml:space="preserve"> PAGEREF _Toc241051499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Lump sum payments</w:t>
      </w:r>
      <w:r>
        <w:tab/>
      </w:r>
      <w:r>
        <w:fldChar w:fldCharType="begin"/>
      </w:r>
      <w:r>
        <w:instrText xml:space="preserve"> PAGEREF _Toc241051500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Cessation of continuous service entitlement</w:t>
      </w:r>
      <w:r>
        <w:tab/>
      </w:r>
      <w:r>
        <w:fldChar w:fldCharType="begin"/>
      </w:r>
      <w:r>
        <w:instrText xml:space="preserve"> PAGEREF _Toc241051501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Taking of leave</w:t>
      </w:r>
      <w:r>
        <w:tab/>
      </w:r>
      <w:r>
        <w:fldChar w:fldCharType="begin"/>
      </w:r>
      <w:r>
        <w:instrText xml:space="preserve"> PAGEREF _Toc241051502 \h </w:instrText>
      </w:r>
      <w:r>
        <w:fldChar w:fldCharType="separate"/>
      </w:r>
      <w:r>
        <w:t>19</w:t>
      </w:r>
      <w:r>
        <w:fldChar w:fldCharType="end"/>
      </w:r>
    </w:p>
    <w:p>
      <w:pPr>
        <w:pStyle w:val="TOC8"/>
        <w:rPr>
          <w:sz w:val="24"/>
          <w:szCs w:val="24"/>
        </w:rPr>
      </w:pPr>
      <w:r>
        <w:rPr>
          <w:szCs w:val="24"/>
        </w:rPr>
        <w:t>24A</w:t>
      </w:r>
      <w:r>
        <w:rPr>
          <w:snapToGrid w:val="0"/>
          <w:szCs w:val="24"/>
        </w:rPr>
        <w:t xml:space="preserve">. </w:t>
      </w:r>
      <w:r>
        <w:rPr>
          <w:snapToGrid w:val="0"/>
          <w:szCs w:val="24"/>
        </w:rPr>
        <w:tab/>
        <w:t>Proportional leave in advance after 7 years service</w:t>
      </w:r>
      <w:r>
        <w:tab/>
      </w:r>
      <w:r>
        <w:fldChar w:fldCharType="begin"/>
      </w:r>
      <w:r>
        <w:instrText xml:space="preserve"> PAGEREF _Toc241051503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Payment when due</w:t>
      </w:r>
      <w:r>
        <w:tab/>
      </w:r>
      <w:r>
        <w:fldChar w:fldCharType="begin"/>
      </w:r>
      <w:r>
        <w:instrText xml:space="preserve"> PAGEREF _Toc241051504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Prohibition on other employment</w:t>
      </w:r>
      <w:r>
        <w:tab/>
      </w:r>
      <w:r>
        <w:fldChar w:fldCharType="begin"/>
      </w:r>
      <w:r>
        <w:instrText xml:space="preserve"> PAGEREF _Toc241051505 \h </w:instrText>
      </w:r>
      <w:r>
        <w:fldChar w:fldCharType="separate"/>
      </w:r>
      <w:r>
        <w:t>20</w:t>
      </w:r>
      <w:r>
        <w:fldChar w:fldCharType="end"/>
      </w:r>
    </w:p>
    <w:p>
      <w:pPr>
        <w:pStyle w:val="TOC8"/>
        <w:rPr>
          <w:sz w:val="24"/>
          <w:szCs w:val="24"/>
        </w:rPr>
      </w:pPr>
      <w:r>
        <w:rPr>
          <w:szCs w:val="24"/>
        </w:rPr>
        <w:t>29.</w:t>
      </w:r>
      <w:r>
        <w:rPr>
          <w:szCs w:val="24"/>
        </w:rPr>
        <w:tab/>
        <w:t>Public holidays</w:t>
      </w:r>
      <w:r>
        <w:tab/>
      </w:r>
      <w:r>
        <w:fldChar w:fldCharType="begin"/>
      </w:r>
      <w:r>
        <w:instrText xml:space="preserve"> PAGEREF _Toc241051506 \h </w:instrText>
      </w:r>
      <w:r>
        <w:fldChar w:fldCharType="separate"/>
      </w:r>
      <w:r>
        <w:t>21</w:t>
      </w:r>
      <w:r>
        <w:fldChar w:fldCharType="end"/>
      </w:r>
    </w:p>
    <w:p>
      <w:pPr>
        <w:pStyle w:val="TOC8"/>
        <w:rPr>
          <w:sz w:val="24"/>
          <w:szCs w:val="24"/>
        </w:rPr>
      </w:pPr>
      <w:r>
        <w:rPr>
          <w:szCs w:val="24"/>
        </w:rPr>
        <w:t>29A</w:t>
      </w:r>
      <w:r>
        <w:rPr>
          <w:snapToGrid w:val="0"/>
          <w:szCs w:val="24"/>
        </w:rPr>
        <w:t xml:space="preserve">. </w:t>
      </w:r>
      <w:r>
        <w:rPr>
          <w:snapToGrid w:val="0"/>
          <w:szCs w:val="24"/>
        </w:rPr>
        <w:tab/>
        <w:t>Reciprocal arrangements</w:t>
      </w:r>
      <w:r>
        <w:tab/>
      </w:r>
      <w:r>
        <w:fldChar w:fldCharType="begin"/>
      </w:r>
      <w:r>
        <w:instrText xml:space="preserve"> PAGEREF _Toc241051507 \h </w:instrText>
      </w:r>
      <w:r>
        <w:fldChar w:fldCharType="separate"/>
      </w:r>
      <w:r>
        <w:t>21</w:t>
      </w:r>
      <w:r>
        <w:fldChar w:fldCharType="end"/>
      </w:r>
    </w:p>
    <w:p>
      <w:pPr>
        <w:pStyle w:val="TOC2"/>
        <w:tabs>
          <w:tab w:val="right" w:leader="dot" w:pos="7086"/>
        </w:tabs>
        <w:rPr>
          <w:b w:val="0"/>
          <w:sz w:val="24"/>
          <w:szCs w:val="24"/>
        </w:rPr>
      </w:pPr>
      <w:r>
        <w:rPr>
          <w:szCs w:val="30"/>
        </w:rPr>
        <w:t>Part IV — Registration</w:t>
      </w:r>
    </w:p>
    <w:p>
      <w:pPr>
        <w:pStyle w:val="TOC8"/>
        <w:rPr>
          <w:sz w:val="24"/>
          <w:szCs w:val="24"/>
        </w:rPr>
      </w:pPr>
      <w:r>
        <w:rPr>
          <w:szCs w:val="24"/>
        </w:rPr>
        <w:t>30</w:t>
      </w:r>
      <w:r>
        <w:rPr>
          <w:snapToGrid w:val="0"/>
          <w:szCs w:val="24"/>
        </w:rPr>
        <w:t>.</w:t>
      </w:r>
      <w:r>
        <w:rPr>
          <w:snapToGrid w:val="0"/>
          <w:szCs w:val="24"/>
        </w:rPr>
        <w:tab/>
        <w:t>Registration of employers and employees</w:t>
      </w:r>
      <w:r>
        <w:tab/>
      </w:r>
      <w:r>
        <w:fldChar w:fldCharType="begin"/>
      </w:r>
      <w:r>
        <w:instrText xml:space="preserve"> PAGEREF _Toc241051509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Return to be made by employer</w:t>
      </w:r>
      <w:r>
        <w:tab/>
      </w:r>
      <w:r>
        <w:fldChar w:fldCharType="begin"/>
      </w:r>
      <w:r>
        <w:instrText xml:space="preserve"> PAGEREF _Toc241051510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Employer to maintain record of employees</w:t>
      </w:r>
      <w:r>
        <w:tab/>
      </w:r>
      <w:r>
        <w:fldChar w:fldCharType="begin"/>
      </w:r>
      <w:r>
        <w:instrText xml:space="preserve"> PAGEREF _Toc241051511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Exempt employer</w:t>
      </w:r>
      <w:r>
        <w:tab/>
      </w:r>
      <w:r>
        <w:fldChar w:fldCharType="begin"/>
      </w:r>
      <w:r>
        <w:instrText xml:space="preserve"> PAGEREF _Toc241051512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Contribution by employer and assessment by the Board</w:t>
      </w:r>
      <w:r>
        <w:tab/>
      </w:r>
      <w:r>
        <w:fldChar w:fldCharType="begin"/>
      </w:r>
      <w:r>
        <w:instrText xml:space="preserve"> PAGEREF _Toc241051513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Register of Employers and Register of Employees</w:t>
      </w:r>
      <w:r>
        <w:tab/>
      </w:r>
      <w:r>
        <w:fldChar w:fldCharType="begin"/>
      </w:r>
      <w:r>
        <w:instrText xml:space="preserve"> PAGEREF _Toc241051514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Employer leaving Western Australia</w:t>
      </w:r>
      <w:r>
        <w:tab/>
      </w:r>
      <w:r>
        <w:fldChar w:fldCharType="begin"/>
      </w:r>
      <w:r>
        <w:instrText xml:space="preserve"> PAGEREF _Toc241051515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Recovery of long service leave contribution</w:t>
      </w:r>
      <w:r>
        <w:tab/>
      </w:r>
      <w:r>
        <w:fldChar w:fldCharType="begin"/>
      </w:r>
      <w:r>
        <w:instrText xml:space="preserve"> PAGEREF _Toc241051516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Liquidator to give notice</w:t>
      </w:r>
      <w:r>
        <w:tab/>
      </w:r>
      <w:r>
        <w:fldChar w:fldCharType="begin"/>
      </w:r>
      <w:r>
        <w:instrText xml:space="preserve"> PAGEREF _Toc241051517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Agent for absentee principal winding up business</w:t>
      </w:r>
      <w:r>
        <w:tab/>
      </w:r>
      <w:r>
        <w:fldChar w:fldCharType="begin"/>
      </w:r>
      <w:r>
        <w:instrText xml:space="preserve"> PAGEREF _Toc241051518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Where long service leave charges are not paid during lifetime</w:t>
      </w:r>
      <w:r>
        <w:tab/>
      </w:r>
      <w:r>
        <w:fldChar w:fldCharType="begin"/>
      </w:r>
      <w:r>
        <w:instrText xml:space="preserve"> PAGEREF _Toc241051519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Provisions for payment of long service leave charges by executors or administrators</w:t>
      </w:r>
      <w:r>
        <w:tab/>
      </w:r>
      <w:r>
        <w:fldChar w:fldCharType="begin"/>
      </w:r>
      <w:r>
        <w:instrText xml:space="preserve"> PAGEREF _Toc241051520 \h </w:instrText>
      </w:r>
      <w:r>
        <w:fldChar w:fldCharType="separate"/>
      </w:r>
      <w:r>
        <w:t>31</w:t>
      </w:r>
      <w:r>
        <w:fldChar w:fldCharType="end"/>
      </w:r>
    </w:p>
    <w:p>
      <w:pPr>
        <w:pStyle w:val="TOC8"/>
        <w:rPr>
          <w:sz w:val="24"/>
          <w:szCs w:val="24"/>
        </w:rPr>
      </w:pPr>
      <w:r>
        <w:rPr>
          <w:szCs w:val="24"/>
        </w:rPr>
        <w:t>42</w:t>
      </w:r>
      <w:r>
        <w:rPr>
          <w:snapToGrid w:val="0"/>
          <w:szCs w:val="24"/>
        </w:rPr>
        <w:t>.</w:t>
      </w:r>
      <w:r>
        <w:rPr>
          <w:snapToGrid w:val="0"/>
          <w:szCs w:val="24"/>
        </w:rPr>
        <w:tab/>
        <w:t>Contributions by joint employers</w:t>
      </w:r>
      <w:r>
        <w:tab/>
      </w:r>
      <w:r>
        <w:fldChar w:fldCharType="begin"/>
      </w:r>
      <w:r>
        <w:instrText xml:space="preserve"> PAGEREF _Toc241051521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Payment of penalties no relief from contributions</w:t>
      </w:r>
      <w:r>
        <w:tab/>
      </w:r>
      <w:r>
        <w:fldChar w:fldCharType="begin"/>
      </w:r>
      <w:r>
        <w:instrText xml:space="preserve"> PAGEREF _Toc241051522 \h </w:instrText>
      </w:r>
      <w:r>
        <w:fldChar w:fldCharType="separate"/>
      </w:r>
      <w:r>
        <w:t>33</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44</w:t>
      </w:r>
      <w:r>
        <w:rPr>
          <w:snapToGrid w:val="0"/>
          <w:szCs w:val="24"/>
        </w:rPr>
        <w:t>.</w:t>
      </w:r>
      <w:r>
        <w:rPr>
          <w:snapToGrid w:val="0"/>
          <w:szCs w:val="24"/>
        </w:rPr>
        <w:tab/>
        <w:t>Inspectors</w:t>
      </w:r>
      <w:r>
        <w:tab/>
      </w:r>
      <w:r>
        <w:fldChar w:fldCharType="begin"/>
      </w:r>
      <w:r>
        <w:instrText xml:space="preserve"> PAGEREF _Toc241051524 \h </w:instrText>
      </w:r>
      <w:r>
        <w:fldChar w:fldCharType="separate"/>
      </w:r>
      <w:r>
        <w:t>34</w:t>
      </w:r>
      <w:r>
        <w:fldChar w:fldCharType="end"/>
      </w:r>
    </w:p>
    <w:p>
      <w:pPr>
        <w:pStyle w:val="TOC8"/>
        <w:rPr>
          <w:sz w:val="24"/>
          <w:szCs w:val="24"/>
        </w:rPr>
      </w:pPr>
      <w:r>
        <w:rPr>
          <w:szCs w:val="24"/>
        </w:rPr>
        <w:t>45</w:t>
      </w:r>
      <w:r>
        <w:rPr>
          <w:snapToGrid w:val="0"/>
          <w:szCs w:val="24"/>
        </w:rPr>
        <w:t>.</w:t>
      </w:r>
      <w:r>
        <w:rPr>
          <w:snapToGrid w:val="0"/>
          <w:szCs w:val="24"/>
        </w:rPr>
        <w:tab/>
        <w:t>Power to obtain information and evidence</w:t>
      </w:r>
      <w:r>
        <w:tab/>
      </w:r>
      <w:r>
        <w:fldChar w:fldCharType="begin"/>
      </w:r>
      <w:r>
        <w:instrText xml:space="preserve"> PAGEREF _Toc241051525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Access to books etc.</w:t>
      </w:r>
      <w:r>
        <w:tab/>
      </w:r>
      <w:r>
        <w:fldChar w:fldCharType="begin"/>
      </w:r>
      <w:r>
        <w:instrText xml:space="preserve"> PAGEREF _Toc241051526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Proceedings for offences against this Act</w:t>
      </w:r>
      <w:r>
        <w:tab/>
      </w:r>
      <w:r>
        <w:fldChar w:fldCharType="begin"/>
      </w:r>
      <w:r>
        <w:instrText xml:space="preserve"> PAGEREF _Toc241051527 \h </w:instrText>
      </w:r>
      <w:r>
        <w:fldChar w:fldCharType="separate"/>
      </w:r>
      <w:r>
        <w:t>35</w:t>
      </w:r>
      <w:r>
        <w:fldChar w:fldCharType="end"/>
      </w:r>
    </w:p>
    <w:p>
      <w:pPr>
        <w:pStyle w:val="TOC8"/>
        <w:rPr>
          <w:sz w:val="24"/>
          <w:szCs w:val="24"/>
        </w:rPr>
      </w:pPr>
      <w:r>
        <w:rPr>
          <w:szCs w:val="24"/>
        </w:rPr>
        <w:t>48</w:t>
      </w:r>
      <w:r>
        <w:rPr>
          <w:snapToGrid w:val="0"/>
          <w:szCs w:val="24"/>
        </w:rPr>
        <w:t>.</w:t>
      </w:r>
      <w:r>
        <w:rPr>
          <w:snapToGrid w:val="0"/>
          <w:szCs w:val="24"/>
        </w:rPr>
        <w:tab/>
        <w:t>Institution of proceedings</w:t>
      </w:r>
      <w:r>
        <w:tab/>
      </w:r>
      <w:r>
        <w:fldChar w:fldCharType="begin"/>
      </w:r>
      <w:r>
        <w:instrText xml:space="preserve"> PAGEREF _Toc241051528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Evidence</w:t>
      </w:r>
      <w:r>
        <w:tab/>
      </w:r>
      <w:r>
        <w:fldChar w:fldCharType="begin"/>
      </w:r>
      <w:r>
        <w:instrText xml:space="preserve"> PAGEREF _Toc241051529 \h </w:instrText>
      </w:r>
      <w:r>
        <w:fldChar w:fldCharType="separate"/>
      </w:r>
      <w:r>
        <w:t>35</w:t>
      </w:r>
      <w:r>
        <w:fldChar w:fldCharType="end"/>
      </w:r>
    </w:p>
    <w:p>
      <w:pPr>
        <w:pStyle w:val="TOC8"/>
        <w:rPr>
          <w:sz w:val="24"/>
          <w:szCs w:val="24"/>
        </w:rPr>
      </w:pPr>
      <w:r>
        <w:rPr>
          <w:szCs w:val="24"/>
        </w:rPr>
        <w:t>50</w:t>
      </w:r>
      <w:r>
        <w:rPr>
          <w:snapToGrid w:val="0"/>
          <w:szCs w:val="24"/>
        </w:rPr>
        <w:t>.</w:t>
      </w:r>
      <w:r>
        <w:rPr>
          <w:snapToGrid w:val="0"/>
          <w:szCs w:val="24"/>
        </w:rPr>
        <w:tab/>
        <w:t>Appeals</w:t>
      </w:r>
      <w:r>
        <w:tab/>
      </w:r>
      <w:r>
        <w:fldChar w:fldCharType="begin"/>
      </w:r>
      <w:r>
        <w:instrText xml:space="preserve"> PAGEREF _Toc241051530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Employee accumulating continuous service in more than one capacity</w:t>
      </w:r>
      <w:r>
        <w:tab/>
      </w:r>
      <w:r>
        <w:fldChar w:fldCharType="begin"/>
      </w:r>
      <w:r>
        <w:instrText xml:space="preserve"> PAGEREF _Toc241051531 \h </w:instrText>
      </w:r>
      <w:r>
        <w:fldChar w:fldCharType="separate"/>
      </w:r>
      <w:r>
        <w:t>37</w:t>
      </w:r>
      <w:r>
        <w:fldChar w:fldCharType="end"/>
      </w:r>
    </w:p>
    <w:p>
      <w:pPr>
        <w:pStyle w:val="TOC8"/>
        <w:rPr>
          <w:sz w:val="24"/>
          <w:szCs w:val="24"/>
        </w:rPr>
      </w:pPr>
      <w:r>
        <w:rPr>
          <w:szCs w:val="24"/>
        </w:rPr>
        <w:t>52</w:t>
      </w:r>
      <w:r>
        <w:rPr>
          <w:snapToGrid w:val="0"/>
          <w:szCs w:val="24"/>
        </w:rPr>
        <w:t>.</w:t>
      </w:r>
      <w:r>
        <w:rPr>
          <w:snapToGrid w:val="0"/>
          <w:szCs w:val="24"/>
        </w:rPr>
        <w:tab/>
        <w:t>Obstructing an inspector or other persons</w:t>
      </w:r>
      <w:r>
        <w:tab/>
      </w:r>
      <w:r>
        <w:fldChar w:fldCharType="begin"/>
      </w:r>
      <w:r>
        <w:instrText xml:space="preserve"> PAGEREF _Toc241051532 \h </w:instrText>
      </w:r>
      <w:r>
        <w:fldChar w:fldCharType="separate"/>
      </w:r>
      <w:r>
        <w:t>38</w:t>
      </w:r>
      <w:r>
        <w:fldChar w:fldCharType="end"/>
      </w:r>
    </w:p>
    <w:p>
      <w:pPr>
        <w:pStyle w:val="TOC8"/>
        <w:rPr>
          <w:sz w:val="24"/>
          <w:szCs w:val="24"/>
        </w:rPr>
      </w:pPr>
      <w:r>
        <w:rPr>
          <w:szCs w:val="24"/>
        </w:rPr>
        <w:t>53</w:t>
      </w:r>
      <w:r>
        <w:rPr>
          <w:snapToGrid w:val="0"/>
          <w:szCs w:val="24"/>
        </w:rPr>
        <w:t>.</w:t>
      </w:r>
      <w:r>
        <w:rPr>
          <w:snapToGrid w:val="0"/>
          <w:szCs w:val="24"/>
        </w:rPr>
        <w:tab/>
        <w:t>Protection of persons giving information under this Act</w:t>
      </w:r>
      <w:r>
        <w:tab/>
      </w:r>
      <w:r>
        <w:fldChar w:fldCharType="begin"/>
      </w:r>
      <w:r>
        <w:instrText xml:space="preserve"> PAGEREF _Toc241051533 \h </w:instrText>
      </w:r>
      <w:r>
        <w:fldChar w:fldCharType="separate"/>
      </w:r>
      <w:r>
        <w:t>38</w:t>
      </w:r>
      <w:r>
        <w:fldChar w:fldCharType="end"/>
      </w:r>
    </w:p>
    <w:p>
      <w:pPr>
        <w:pStyle w:val="TOC8"/>
        <w:rPr>
          <w:sz w:val="24"/>
          <w:szCs w:val="24"/>
        </w:rPr>
      </w:pPr>
      <w:r>
        <w:rPr>
          <w:szCs w:val="24"/>
        </w:rPr>
        <w:t>54</w:t>
      </w:r>
      <w:r>
        <w:rPr>
          <w:snapToGrid w:val="0"/>
          <w:szCs w:val="24"/>
        </w:rPr>
        <w:t>.</w:t>
      </w:r>
      <w:r>
        <w:rPr>
          <w:snapToGrid w:val="0"/>
          <w:szCs w:val="24"/>
        </w:rPr>
        <w:tab/>
        <w:t>Secrecy</w:t>
      </w:r>
      <w:r>
        <w:tab/>
      </w:r>
      <w:r>
        <w:fldChar w:fldCharType="begin"/>
      </w:r>
      <w:r>
        <w:instrText xml:space="preserve"> PAGEREF _Toc241051534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Effect of other awards or agreements</w:t>
      </w:r>
      <w:r>
        <w:tab/>
      </w:r>
      <w:r>
        <w:fldChar w:fldCharType="begin"/>
      </w:r>
      <w:r>
        <w:instrText xml:space="preserve"> PAGEREF _Toc241051535 \h </w:instrText>
      </w:r>
      <w:r>
        <w:fldChar w:fldCharType="separate"/>
      </w:r>
      <w:r>
        <w:t>39</w:t>
      </w:r>
      <w:r>
        <w:fldChar w:fldCharType="end"/>
      </w:r>
    </w:p>
    <w:p>
      <w:pPr>
        <w:pStyle w:val="TOC8"/>
        <w:rPr>
          <w:sz w:val="24"/>
          <w:szCs w:val="24"/>
        </w:rPr>
      </w:pPr>
      <w:r>
        <w:rPr>
          <w:szCs w:val="24"/>
        </w:rPr>
        <w:t>56.</w:t>
      </w:r>
      <w:r>
        <w:rPr>
          <w:szCs w:val="24"/>
        </w:rPr>
        <w:tab/>
        <w:t>Transitional provisions</w:t>
      </w:r>
      <w:r>
        <w:tab/>
      </w:r>
      <w:r>
        <w:fldChar w:fldCharType="begin"/>
      </w:r>
      <w:r>
        <w:instrText xml:space="preserve"> PAGEREF _Toc241051536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_Toc241051537 \h </w:instrText>
      </w:r>
      <w:r>
        <w:fldChar w:fldCharType="separate"/>
      </w:r>
      <w:r>
        <w:t>39</w:t>
      </w:r>
      <w:r>
        <w:fldChar w:fldCharType="end"/>
      </w:r>
    </w:p>
    <w:p>
      <w:pPr>
        <w:pStyle w:val="TOC2"/>
        <w:tabs>
          <w:tab w:val="right" w:leader="dot" w:pos="7086"/>
        </w:tabs>
        <w:rPr>
          <w:b w:val="0"/>
          <w:sz w:val="24"/>
          <w:szCs w:val="24"/>
        </w:rPr>
      </w:pPr>
      <w:r>
        <w:rPr>
          <w:szCs w:val="28"/>
        </w:rPr>
        <w:t>Schedule</w:t>
      </w:r>
      <w:r>
        <w:rPr>
          <w:b w:val="0"/>
          <w:bCs/>
          <w:szCs w:val="28"/>
        </w:rPr>
        <w:t xml:space="preserve"> — </w:t>
      </w:r>
      <w:r>
        <w:rPr>
          <w:szCs w:val="28"/>
        </w:rPr>
        <w:t>Transitional provisions</w:t>
      </w:r>
    </w:p>
    <w:p>
      <w:pPr>
        <w:pStyle w:val="TOC2"/>
        <w:tabs>
          <w:tab w:val="right" w:leader="dot" w:pos="7086"/>
        </w:tabs>
        <w:rPr>
          <w:b w:val="0"/>
          <w:sz w:val="24"/>
          <w:szCs w:val="24"/>
        </w:rPr>
      </w:pPr>
      <w:r>
        <w:rPr>
          <w:sz w:val="24"/>
          <w:szCs w:val="28"/>
        </w:rPr>
        <w:t>Division 1</w:t>
      </w:r>
      <w:r>
        <w:rPr>
          <w:szCs w:val="28"/>
        </w:rPr>
        <w:t> — </w:t>
      </w:r>
      <w:r>
        <w:rPr>
          <w:sz w:val="24"/>
          <w:szCs w:val="28"/>
        </w:rPr>
        <w:t>The appointed day</w:t>
      </w:r>
    </w:p>
    <w:p>
      <w:pPr>
        <w:pStyle w:val="TOC8"/>
        <w:rPr>
          <w:sz w:val="24"/>
          <w:szCs w:val="24"/>
        </w:rPr>
      </w:pPr>
      <w:r>
        <w:rPr>
          <w:snapToGrid w:val="0"/>
          <w:szCs w:val="22"/>
        </w:rPr>
        <w:tab/>
        <w:t>1.</w:t>
      </w:r>
      <w:r>
        <w:tab/>
      </w:r>
      <w:r>
        <w:fldChar w:fldCharType="begin"/>
      </w:r>
      <w:r>
        <w:instrText xml:space="preserve"> PAGEREF _Toc241051540 \h </w:instrText>
      </w:r>
      <w:r>
        <w:fldChar w:fldCharType="separate"/>
      </w:r>
      <w:r>
        <w:t>41</w:t>
      </w:r>
      <w:r>
        <w:fldChar w:fldCharType="end"/>
      </w:r>
    </w:p>
    <w:p>
      <w:pPr>
        <w:pStyle w:val="TOC8"/>
        <w:rPr>
          <w:sz w:val="24"/>
          <w:szCs w:val="24"/>
        </w:rPr>
      </w:pPr>
      <w:r>
        <w:rPr>
          <w:snapToGrid w:val="0"/>
          <w:szCs w:val="22"/>
        </w:rPr>
        <w:tab/>
        <w:t>2.</w:t>
      </w:r>
      <w:r>
        <w:tab/>
      </w:r>
      <w:r>
        <w:fldChar w:fldCharType="begin"/>
      </w:r>
      <w:r>
        <w:instrText xml:space="preserve"> PAGEREF _Toc241051541 \h </w:instrText>
      </w:r>
      <w:r>
        <w:fldChar w:fldCharType="separate"/>
      </w:r>
      <w:r>
        <w:t>41</w:t>
      </w:r>
      <w:r>
        <w:fldChar w:fldCharType="end"/>
      </w:r>
    </w:p>
    <w:p>
      <w:pPr>
        <w:pStyle w:val="TOC4"/>
        <w:tabs>
          <w:tab w:val="right" w:leader="dot" w:pos="7086"/>
        </w:tabs>
        <w:rPr>
          <w:b w:val="0"/>
          <w:sz w:val="24"/>
          <w:szCs w:val="24"/>
        </w:rPr>
      </w:pPr>
      <w:r>
        <w:rPr>
          <w:szCs w:val="24"/>
        </w:rPr>
        <w:t>Division 2</w:t>
      </w:r>
      <w:r>
        <w:rPr>
          <w:sz w:val="28"/>
          <w:szCs w:val="24"/>
        </w:rPr>
        <w:t> — </w:t>
      </w:r>
      <w:r>
        <w:rPr>
          <w:snapToGrid w:val="0"/>
          <w:szCs w:val="24"/>
        </w:rPr>
        <w:t>The Labour Relations Legislation Amendment Act 2006</w:t>
      </w:r>
    </w:p>
    <w:p>
      <w:pPr>
        <w:pStyle w:val="TOC8"/>
        <w:rPr>
          <w:sz w:val="24"/>
          <w:szCs w:val="24"/>
        </w:rPr>
      </w:pPr>
      <w:r>
        <w:rPr>
          <w:szCs w:val="22"/>
        </w:rPr>
        <w:t>3.</w:t>
      </w:r>
      <w:r>
        <w:rPr>
          <w:szCs w:val="22"/>
        </w:rPr>
        <w:tab/>
        <w:t>Service prior to commencement day</w:t>
      </w:r>
      <w:r>
        <w:tab/>
      </w:r>
      <w:r>
        <w:fldChar w:fldCharType="begin"/>
      </w:r>
      <w:r>
        <w:instrText xml:space="preserve"> PAGEREF _Toc241051543 \h </w:instrText>
      </w:r>
      <w:r>
        <w:fldChar w:fldCharType="separate"/>
      </w:r>
      <w:r>
        <w:t>41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_Toc241051545 \h </w:instrText>
      </w:r>
      <w:r>
        <w:fldChar w:fldCharType="separate"/>
      </w:r>
      <w:r>
        <w:t>43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00" w:after="14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bookmarkStart w:id="22" w:name="_Toc157844269"/>
      <w:bookmarkStart w:id="23" w:name="_Toc24105147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spacing w:before="180"/>
        <w:rPr>
          <w:snapToGrid w:val="0"/>
        </w:rPr>
      </w:pPr>
      <w:bookmarkStart w:id="24" w:name="_Toc95730140"/>
      <w:bookmarkStart w:id="25" w:name="_Toc147630768"/>
      <w:bookmarkStart w:id="26" w:name="_Toc241051478"/>
      <w:r>
        <w:rPr>
          <w:rStyle w:val="CharSectno"/>
        </w:rPr>
        <w:t>1</w:t>
      </w:r>
      <w:r>
        <w:rPr>
          <w:snapToGrid w:val="0"/>
        </w:rPr>
        <w:t>.</w:t>
      </w:r>
      <w:r>
        <w:rPr>
          <w:snapToGrid w:val="0"/>
        </w:rPr>
        <w:tab/>
        <w:t>Short title</w:t>
      </w:r>
      <w:bookmarkEnd w:id="24"/>
      <w:bookmarkEnd w:id="25"/>
      <w:bookmarkEnd w:id="26"/>
    </w:p>
    <w:p>
      <w:pPr>
        <w:pStyle w:val="Subsection"/>
        <w:spacing w:before="140"/>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spacing w:before="200"/>
        <w:rPr>
          <w:snapToGrid w:val="0"/>
        </w:rPr>
      </w:pPr>
      <w:bookmarkStart w:id="27" w:name="_Toc95730141"/>
      <w:bookmarkStart w:id="28" w:name="_Toc147630769"/>
      <w:bookmarkStart w:id="29" w:name="_Toc241051479"/>
      <w:r>
        <w:rPr>
          <w:rStyle w:val="CharSectno"/>
        </w:rPr>
        <w:t>2</w:t>
      </w:r>
      <w:r>
        <w:rPr>
          <w:snapToGrid w:val="0"/>
        </w:rPr>
        <w:t>.</w:t>
      </w:r>
      <w:r>
        <w:rPr>
          <w:snapToGrid w:val="0"/>
        </w:rPr>
        <w:tab/>
        <w:t>Commencement</w:t>
      </w:r>
      <w:bookmarkEnd w:id="27"/>
      <w:bookmarkEnd w:id="28"/>
      <w:bookmarkEnd w:id="29"/>
    </w:p>
    <w:p>
      <w:pPr>
        <w:pStyle w:val="Subsection"/>
        <w:spacing w:before="140"/>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30" w:name="_Toc95730142"/>
      <w:bookmarkStart w:id="31" w:name="_Toc147630770"/>
      <w:bookmarkStart w:id="32" w:name="_Toc241051480"/>
      <w:r>
        <w:rPr>
          <w:rStyle w:val="CharSectno"/>
        </w:rPr>
        <w:t>3</w:t>
      </w:r>
      <w:r>
        <w:rPr>
          <w:snapToGrid w:val="0"/>
        </w:rPr>
        <w:t>.</w:t>
      </w:r>
      <w:r>
        <w:rPr>
          <w:snapToGrid w:val="0"/>
        </w:rPr>
        <w:tab/>
        <w:t>Interpretation</w:t>
      </w:r>
      <w:bookmarkEnd w:id="30"/>
      <w:bookmarkEnd w:id="31"/>
      <w:bookmarkEnd w:id="32"/>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appointed day</w:t>
      </w:r>
      <w:r>
        <w:t xml:space="preserve"> means the day fixed by the Minister under subsection (2);</w:t>
      </w:r>
    </w:p>
    <w:p>
      <w:pPr>
        <w:pStyle w:val="Defstart"/>
        <w:spacing w:before="60"/>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spacing w:before="60"/>
      </w:pPr>
      <w:r>
        <w:rPr>
          <w:b/>
        </w:rPr>
        <w:tab/>
      </w:r>
      <w:r>
        <w:rPr>
          <w:rStyle w:val="CharDefText"/>
        </w:rPr>
        <w:t>Board</w:t>
      </w:r>
      <w:r>
        <w:t xml:space="preserve"> means the Construction Industry Long Service Leave Payments Board established under section 5;</w:t>
      </w:r>
    </w:p>
    <w:p>
      <w:pPr>
        <w:pStyle w:val="Defstart"/>
        <w:spacing w:before="60"/>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spacing w:before="60"/>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spacing w:before="60"/>
      </w:pPr>
      <w:r>
        <w:rPr>
          <w:b/>
        </w:rPr>
        <w:tab/>
      </w:r>
      <w:r>
        <w:rPr>
          <w:rStyle w:val="CharDefText"/>
        </w:rPr>
        <w:t>construction industry</w:t>
      </w:r>
      <w:r>
        <w:t xml:space="preserve"> means the industry —</w:t>
      </w:r>
    </w:p>
    <w:p>
      <w:pPr>
        <w:pStyle w:val="Defpara"/>
        <w:spacing w:before="60"/>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spacing w:before="60"/>
        <w:rPr>
          <w:snapToGrid w:val="0"/>
        </w:rPr>
      </w:pPr>
      <w:r>
        <w:rPr>
          <w:snapToGrid w:val="0"/>
        </w:rPr>
        <w:tab/>
        <w:t>(i)</w:t>
      </w:r>
      <w:r>
        <w:rPr>
          <w:snapToGrid w:val="0"/>
        </w:rPr>
        <w:tab/>
        <w:t>buildings;</w:t>
      </w:r>
    </w:p>
    <w:p>
      <w:pPr>
        <w:pStyle w:val="Defsubpara"/>
        <w:spacing w:before="60"/>
        <w:rPr>
          <w:snapToGrid w:val="0"/>
        </w:rPr>
      </w:pPr>
      <w:r>
        <w:rPr>
          <w:snapToGrid w:val="0"/>
        </w:rPr>
        <w:tab/>
        <w:t>(ii)</w:t>
      </w:r>
      <w:r>
        <w:rPr>
          <w:snapToGrid w:val="0"/>
        </w:rPr>
        <w:tab/>
        <w:t>roads, railways, airfields or other works for the passage of persons, animals or vehicles;</w:t>
      </w:r>
    </w:p>
    <w:p>
      <w:pPr>
        <w:pStyle w:val="Defsubpara"/>
        <w:spacing w:before="6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spacing w:before="60"/>
        <w:rPr>
          <w:snapToGrid w:val="0"/>
        </w:rPr>
      </w:pPr>
      <w:r>
        <w:rPr>
          <w:snapToGrid w:val="0"/>
        </w:rPr>
        <w:tab/>
        <w:t>(iv)</w:t>
      </w:r>
      <w:r>
        <w:rPr>
          <w:snapToGrid w:val="0"/>
        </w:rPr>
        <w:tab/>
        <w:t>works for the storage or supply of water or for the irrigation of land;</w:t>
      </w:r>
    </w:p>
    <w:p>
      <w:pPr>
        <w:pStyle w:val="Defsubpara"/>
        <w:spacing w:before="60"/>
        <w:rPr>
          <w:snapToGrid w:val="0"/>
        </w:rPr>
      </w:pPr>
      <w:r>
        <w:rPr>
          <w:snapToGrid w:val="0"/>
        </w:rPr>
        <w:tab/>
        <w:t>(v)</w:t>
      </w:r>
      <w:r>
        <w:rPr>
          <w:snapToGrid w:val="0"/>
        </w:rPr>
        <w:tab/>
        <w:t>works for the conveyance, treatment or disposal of sewage or of the effluent from any premises;</w:t>
      </w:r>
    </w:p>
    <w:p>
      <w:pPr>
        <w:pStyle w:val="Defsubpara"/>
        <w:spacing w:before="6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spacing w:before="60"/>
        <w:rPr>
          <w:snapToGrid w:val="0"/>
        </w:rPr>
      </w:pPr>
      <w:r>
        <w:rPr>
          <w:snapToGrid w:val="0"/>
        </w:rPr>
        <w:tab/>
        <w:t>(vii)</w:t>
      </w:r>
      <w:r>
        <w:rPr>
          <w:snapToGrid w:val="0"/>
        </w:rPr>
        <w:tab/>
        <w:t>bridges, viaducts, aqueducts or tunnels;</w:t>
      </w:r>
    </w:p>
    <w:p>
      <w:pPr>
        <w:pStyle w:val="Defsubpara"/>
        <w:spacing w:before="60"/>
        <w:rPr>
          <w:snapToGrid w:val="0"/>
        </w:rPr>
      </w:pPr>
      <w:r>
        <w:rPr>
          <w:snapToGrid w:val="0"/>
        </w:rPr>
        <w:tab/>
        <w:t>(viii)</w:t>
      </w:r>
      <w:r>
        <w:rPr>
          <w:snapToGrid w:val="0"/>
        </w:rPr>
        <w:tab/>
        <w:t>chimney stacks, cooling towers, drilling rigs, gas</w:t>
      </w:r>
      <w:r>
        <w:rPr>
          <w:snapToGrid w:val="0"/>
        </w:rPr>
        <w:noBreakHyphen/>
        <w:t>holders or silos;</w:t>
      </w:r>
    </w:p>
    <w:p>
      <w:pPr>
        <w:pStyle w:val="Defsubpara"/>
        <w:spacing w:before="60"/>
        <w:rPr>
          <w:snapToGrid w:val="0"/>
        </w:rPr>
      </w:pPr>
      <w:r>
        <w:rPr>
          <w:snapToGrid w:val="0"/>
        </w:rPr>
        <w:tab/>
        <w:t>(ix)</w:t>
      </w:r>
      <w:r>
        <w:rPr>
          <w:snapToGrid w:val="0"/>
        </w:rPr>
        <w:tab/>
        <w:t>pipelines;</w:t>
      </w:r>
    </w:p>
    <w:p>
      <w:pPr>
        <w:pStyle w:val="Defsubpara"/>
        <w:spacing w:before="60"/>
        <w:rPr>
          <w:snapToGrid w:val="0"/>
        </w:rPr>
      </w:pPr>
      <w:r>
        <w:rPr>
          <w:snapToGrid w:val="0"/>
        </w:rPr>
        <w:tab/>
        <w:t>(x)</w:t>
      </w:r>
      <w:r>
        <w:rPr>
          <w:snapToGrid w:val="0"/>
        </w:rPr>
        <w:tab/>
        <w:t>navigational lights, beacons or markers;</w:t>
      </w:r>
    </w:p>
    <w:p>
      <w:pPr>
        <w:pStyle w:val="Defsubpara"/>
        <w:spacing w:before="60"/>
        <w:rPr>
          <w:snapToGrid w:val="0"/>
        </w:rPr>
      </w:pPr>
      <w:r>
        <w:rPr>
          <w:snapToGrid w:val="0"/>
        </w:rPr>
        <w:tab/>
        <w:t>(xi)</w:t>
      </w:r>
      <w:r>
        <w:rPr>
          <w:snapToGrid w:val="0"/>
        </w:rPr>
        <w:tab/>
        <w:t>works for the drainage of land;</w:t>
      </w:r>
    </w:p>
    <w:p>
      <w:pPr>
        <w:pStyle w:val="Defsubpara"/>
        <w:spacing w:before="60"/>
        <w:rPr>
          <w:snapToGrid w:val="0"/>
        </w:rPr>
      </w:pPr>
      <w:r>
        <w:rPr>
          <w:snapToGrid w:val="0"/>
        </w:rPr>
        <w:tab/>
        <w:t>(xii)</w:t>
      </w:r>
      <w:r>
        <w:rPr>
          <w:snapToGrid w:val="0"/>
        </w:rPr>
        <w:tab/>
        <w:t>works for the storage of liquids (other than water) or gases;</w:t>
      </w:r>
    </w:p>
    <w:p>
      <w:pPr>
        <w:pStyle w:val="Defsubpara"/>
        <w:spacing w:before="60"/>
        <w:rPr>
          <w:snapToGrid w:val="0"/>
        </w:rPr>
      </w:pPr>
      <w:r>
        <w:rPr>
          <w:snapToGrid w:val="0"/>
        </w:rPr>
        <w:tab/>
        <w:t>(xiii)</w:t>
      </w:r>
      <w:r>
        <w:rPr>
          <w:snapToGrid w:val="0"/>
        </w:rPr>
        <w:tab/>
        <w:t>works for the generation, supply or transmission of electric power;</w:t>
      </w:r>
    </w:p>
    <w:p>
      <w:pPr>
        <w:pStyle w:val="Defsubpara"/>
        <w:spacing w:before="60"/>
        <w:rPr>
          <w:snapToGrid w:val="0"/>
        </w:rPr>
      </w:pPr>
      <w:r>
        <w:rPr>
          <w:snapToGrid w:val="0"/>
        </w:rPr>
        <w:tab/>
        <w:t>(xiv)</w:t>
      </w:r>
      <w:r>
        <w:rPr>
          <w:snapToGrid w:val="0"/>
        </w:rPr>
        <w:tab/>
        <w:t>works for the transmission of wireless or telegraphic communications;</w:t>
      </w:r>
    </w:p>
    <w:p>
      <w:pPr>
        <w:pStyle w:val="Defsubpara"/>
        <w:spacing w:before="60"/>
        <w:rPr>
          <w:snapToGrid w:val="0"/>
        </w:rPr>
      </w:pPr>
      <w:r>
        <w:rPr>
          <w:snapToGrid w:val="0"/>
        </w:rPr>
        <w:tab/>
        <w:t>(xv)</w:t>
      </w:r>
      <w:r>
        <w:rPr>
          <w:snapToGrid w:val="0"/>
        </w:rPr>
        <w:tab/>
        <w:t>pile driving works;</w:t>
      </w:r>
    </w:p>
    <w:p>
      <w:pPr>
        <w:pStyle w:val="Defsubpara"/>
        <w:spacing w:before="60"/>
        <w:rPr>
          <w:snapToGrid w:val="0"/>
        </w:rPr>
      </w:pPr>
      <w:r>
        <w:rPr>
          <w:snapToGrid w:val="0"/>
        </w:rPr>
        <w:tab/>
        <w:t>(xvi)</w:t>
      </w:r>
      <w:r>
        <w:rPr>
          <w:snapToGrid w:val="0"/>
        </w:rPr>
        <w:tab/>
        <w:t>structures, fixtures or works for the use on any buildings or works of a kind referred to in subparagraphs (i) to (xv);</w:t>
      </w:r>
    </w:p>
    <w:p>
      <w:pPr>
        <w:pStyle w:val="Defsubpara"/>
        <w:spacing w:before="6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spacing w:before="6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pPr>
      <w:r>
        <w:tab/>
        <w:t>(3a)</w:t>
      </w:r>
      <w:r>
        <w:tab/>
        <w:t xml:space="preserve">For the purposes of the definition of </w:t>
      </w:r>
      <w:r>
        <w:rPr>
          <w:rStyle w:val="CharDefText"/>
          <w:bCs/>
          <w:snapToGrid w:val="0"/>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any classification of work referred to in a prescribed award to be a prescribed classification of work for the purposes of the definition of “employee”;</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“employer” in subsection (1).</w:t>
      </w:r>
    </w:p>
    <w:p>
      <w:pPr>
        <w:pStyle w:val="Footnotesection"/>
      </w:pPr>
      <w:r>
        <w:tab/>
        <w:t>[Section 3 amended by No. 30 of 1989 s. 4; No. 14 of 1996 s. 4; No. 57 of 1997 s. 38; No. 10 of 2001 s. 44; No. 36 of 2006 s. 44.]</w:t>
      </w:r>
    </w:p>
    <w:p>
      <w:pPr>
        <w:pStyle w:val="Heading5"/>
        <w:rPr>
          <w:snapToGrid w:val="0"/>
        </w:rPr>
      </w:pPr>
      <w:bookmarkStart w:id="33" w:name="_Toc95730143"/>
      <w:bookmarkStart w:id="34" w:name="_Toc147630771"/>
      <w:bookmarkStart w:id="35" w:name="_Toc241051481"/>
      <w:r>
        <w:rPr>
          <w:rStyle w:val="CharSectno"/>
        </w:rPr>
        <w:t>4</w:t>
      </w:r>
      <w:r>
        <w:rPr>
          <w:snapToGrid w:val="0"/>
        </w:rPr>
        <w:t>.</w:t>
      </w:r>
      <w:r>
        <w:rPr>
          <w:snapToGrid w:val="0"/>
        </w:rPr>
        <w:tab/>
        <w:t>Crown bound</w:t>
      </w:r>
      <w:bookmarkEnd w:id="33"/>
      <w:bookmarkEnd w:id="34"/>
      <w:bookmarkEnd w:id="35"/>
    </w:p>
    <w:p>
      <w:pPr>
        <w:pStyle w:val="Subsection"/>
        <w:rPr>
          <w:snapToGrid w:val="0"/>
        </w:rPr>
      </w:pPr>
      <w:r>
        <w:rPr>
          <w:snapToGrid w:val="0"/>
        </w:rPr>
        <w:tab/>
      </w:r>
      <w:r>
        <w:rPr>
          <w:snapToGrid w:val="0"/>
        </w:rPr>
        <w:tab/>
        <w:t>This Act binds the Crown in right of the State.</w:t>
      </w:r>
    </w:p>
    <w:p>
      <w:pPr>
        <w:pStyle w:val="Heading2"/>
      </w:pPr>
      <w:bookmarkStart w:id="36" w:name="_Toc95729727"/>
      <w:bookmarkStart w:id="37" w:name="_Toc95729792"/>
      <w:bookmarkStart w:id="38" w:name="_Toc95730144"/>
      <w:bookmarkStart w:id="39" w:name="_Toc95730218"/>
      <w:bookmarkStart w:id="40" w:name="_Toc97003705"/>
      <w:bookmarkStart w:id="41" w:name="_Toc102810424"/>
      <w:bookmarkStart w:id="42" w:name="_Toc116956523"/>
      <w:bookmarkStart w:id="43" w:name="_Toc116956587"/>
      <w:bookmarkStart w:id="44" w:name="_Toc116960852"/>
      <w:bookmarkStart w:id="45" w:name="_Toc118525487"/>
      <w:bookmarkStart w:id="46" w:name="_Toc118525793"/>
      <w:bookmarkStart w:id="47" w:name="_Toc120001169"/>
      <w:bookmarkStart w:id="48" w:name="_Toc139864255"/>
      <w:bookmarkStart w:id="49" w:name="_Toc140029709"/>
      <w:bookmarkStart w:id="50" w:name="_Toc140029777"/>
      <w:bookmarkStart w:id="51" w:name="_Toc147305016"/>
      <w:bookmarkStart w:id="52" w:name="_Toc147313791"/>
      <w:bookmarkStart w:id="53" w:name="_Toc147630398"/>
      <w:bookmarkStart w:id="54" w:name="_Toc147630772"/>
      <w:bookmarkStart w:id="55" w:name="_Toc147631917"/>
      <w:bookmarkStart w:id="56" w:name="_Toc147631986"/>
      <w:bookmarkStart w:id="57" w:name="_Toc157844274"/>
      <w:bookmarkStart w:id="58" w:name="_Toc241051482"/>
      <w:r>
        <w:rPr>
          <w:rStyle w:val="CharPartNo"/>
        </w:rPr>
        <w:t>Part II</w:t>
      </w:r>
      <w:r>
        <w:rPr>
          <w:rStyle w:val="CharDivNo"/>
        </w:rPr>
        <w:t> </w:t>
      </w:r>
      <w:r>
        <w:t>—</w:t>
      </w:r>
      <w:r>
        <w:rPr>
          <w:rStyle w:val="CharDivText"/>
        </w:rPr>
        <w:t> </w:t>
      </w:r>
      <w:r>
        <w:rPr>
          <w:rStyle w:val="CharPartText"/>
        </w:rPr>
        <w:t>Administration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spacing w:before="180"/>
        <w:rPr>
          <w:snapToGrid w:val="0"/>
        </w:rPr>
      </w:pPr>
      <w:bookmarkStart w:id="59" w:name="_Toc95730145"/>
      <w:bookmarkStart w:id="60" w:name="_Toc147630773"/>
      <w:bookmarkStart w:id="61" w:name="_Toc241051483"/>
      <w:r>
        <w:rPr>
          <w:rStyle w:val="CharSectno"/>
        </w:rPr>
        <w:t>5</w:t>
      </w:r>
      <w:r>
        <w:rPr>
          <w:snapToGrid w:val="0"/>
        </w:rPr>
        <w:t>.</w:t>
      </w:r>
      <w:r>
        <w:rPr>
          <w:snapToGrid w:val="0"/>
        </w:rPr>
        <w:tab/>
        <w:t>Construction Industry Long Service Leave Payments Board established</w:t>
      </w:r>
      <w:bookmarkEnd w:id="59"/>
      <w:bookmarkEnd w:id="60"/>
      <w:bookmarkEnd w:id="61"/>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Board; and</w:t>
      </w:r>
    </w:p>
    <w:p>
      <w:pPr>
        <w:pStyle w:val="Indenta"/>
        <w:spacing w:before="60"/>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62" w:name="_Toc95730146"/>
      <w:bookmarkStart w:id="63" w:name="_Toc147630774"/>
      <w:bookmarkStart w:id="64" w:name="_Toc241051484"/>
      <w:r>
        <w:rPr>
          <w:rStyle w:val="CharSectno"/>
        </w:rPr>
        <w:t>6</w:t>
      </w:r>
      <w:r>
        <w:rPr>
          <w:snapToGrid w:val="0"/>
        </w:rPr>
        <w:t>.</w:t>
      </w:r>
      <w:r>
        <w:rPr>
          <w:snapToGrid w:val="0"/>
        </w:rPr>
        <w:tab/>
        <w:t>Membership of the Board</w:t>
      </w:r>
      <w:bookmarkEnd w:id="62"/>
      <w:bookmarkEnd w:id="63"/>
      <w:bookmarkEnd w:id="64"/>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spacing w:before="60"/>
        <w:rPr>
          <w:snapToGrid w:val="0"/>
        </w:rPr>
      </w:pPr>
      <w:r>
        <w:rPr>
          <w:snapToGrid w:val="0"/>
        </w:rPr>
        <w:tab/>
        <w:t xml:space="preserve">(a) </w:t>
      </w:r>
      <w:r>
        <w:rPr>
          <w:snapToGrid w:val="0"/>
        </w:rPr>
        <w:tab/>
        <w:t>one person who shall be chairman;</w:t>
      </w:r>
    </w:p>
    <w:p>
      <w:pPr>
        <w:pStyle w:val="Indenta"/>
        <w:spacing w:before="60"/>
        <w:rPr>
          <w:snapToGrid w:val="0"/>
        </w:rPr>
      </w:pPr>
      <w:r>
        <w:rPr>
          <w:snapToGrid w:val="0"/>
        </w:rPr>
        <w:tab/>
        <w:t>(b)</w:t>
      </w:r>
      <w:r>
        <w:rPr>
          <w:snapToGrid w:val="0"/>
        </w:rPr>
        <w:tab/>
        <w:t xml:space="preserve">3 persons appointed from among persons whose names are on a panel of 6 names comprised of 3 names submitted by the body known as the Master Builders’ Association of Western Australia and 3 names submitted by the body known as </w:t>
      </w:r>
      <w:r>
        <w:t>the Chamber of Commerce and Industry of Western Australia (Inc);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Footnotesection"/>
      </w:pPr>
      <w:r>
        <w:tab/>
        <w:t>[Section 6 amended by No. 8 of 2009 s. 39.]</w:t>
      </w:r>
    </w:p>
    <w:p>
      <w:pPr>
        <w:pStyle w:val="Heading5"/>
        <w:rPr>
          <w:snapToGrid w:val="0"/>
        </w:rPr>
      </w:pPr>
      <w:bookmarkStart w:id="65" w:name="_Toc95730147"/>
      <w:bookmarkStart w:id="66" w:name="_Toc147630775"/>
      <w:bookmarkStart w:id="67" w:name="_Toc241051485"/>
      <w:r>
        <w:rPr>
          <w:rStyle w:val="CharSectno"/>
        </w:rPr>
        <w:t>7</w:t>
      </w:r>
      <w:r>
        <w:rPr>
          <w:snapToGrid w:val="0"/>
        </w:rPr>
        <w:t>.</w:t>
      </w:r>
      <w:r>
        <w:rPr>
          <w:snapToGrid w:val="0"/>
        </w:rPr>
        <w:tab/>
        <w:t>Acting members</w:t>
      </w:r>
      <w:bookmarkEnd w:id="65"/>
      <w:bookmarkEnd w:id="66"/>
      <w:bookmarkEnd w:id="67"/>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 member other than the chairman is absent or temporarily incapable of fulfilling the duties of a member; or</w:t>
      </w:r>
    </w:p>
    <w:p>
      <w:pPr>
        <w:pStyle w:val="Indenta"/>
        <w:spacing w:before="60"/>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68" w:name="_Toc95730148"/>
      <w:bookmarkStart w:id="69" w:name="_Toc147630776"/>
      <w:bookmarkStart w:id="70" w:name="_Toc241051486"/>
      <w:r>
        <w:rPr>
          <w:rStyle w:val="CharSectno"/>
        </w:rPr>
        <w:t>8</w:t>
      </w:r>
      <w:r>
        <w:rPr>
          <w:snapToGrid w:val="0"/>
        </w:rPr>
        <w:t>.</w:t>
      </w:r>
      <w:r>
        <w:rPr>
          <w:snapToGrid w:val="0"/>
        </w:rPr>
        <w:tab/>
        <w:t>Vacation of office</w:t>
      </w:r>
      <w:bookmarkEnd w:id="68"/>
      <w:bookmarkEnd w:id="69"/>
      <w:bookmarkEnd w:id="70"/>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his appointment is terminated by the Minister under subsection (1); or</w:t>
      </w:r>
    </w:p>
    <w:p>
      <w:pPr>
        <w:pStyle w:val="Indenta"/>
        <w:rPr>
          <w:snapToGrid w:val="0"/>
        </w:rPr>
      </w:pPr>
      <w:r>
        <w:rPr>
          <w:snapToGrid w:val="0"/>
        </w:rPr>
        <w:tab/>
        <w:t>(c)</w:t>
      </w:r>
      <w:r>
        <w:rPr>
          <w:snapToGrid w:val="0"/>
        </w:rPr>
        <w:tab/>
        <w:t>he is absent, except on leave duly granted by the Minister, from 3 consecutive meetings of the Board of which he has had notice; or</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w:t>
      </w:r>
    </w:p>
    <w:p>
      <w:pPr>
        <w:pStyle w:val="Heading5"/>
        <w:rPr>
          <w:snapToGrid w:val="0"/>
        </w:rPr>
      </w:pPr>
      <w:bookmarkStart w:id="71" w:name="_Toc95730149"/>
      <w:bookmarkStart w:id="72" w:name="_Toc147630777"/>
      <w:bookmarkStart w:id="73" w:name="_Toc241051487"/>
      <w:r>
        <w:rPr>
          <w:rStyle w:val="CharSectno"/>
        </w:rPr>
        <w:t>9</w:t>
      </w:r>
      <w:r>
        <w:rPr>
          <w:snapToGrid w:val="0"/>
        </w:rPr>
        <w:t>.</w:t>
      </w:r>
      <w:r>
        <w:rPr>
          <w:snapToGrid w:val="0"/>
        </w:rPr>
        <w:tab/>
        <w:t>Fees and allowances</w:t>
      </w:r>
      <w:bookmarkEnd w:id="71"/>
      <w:bookmarkEnd w:id="72"/>
      <w:bookmarkEnd w:id="73"/>
    </w:p>
    <w:p>
      <w:pPr>
        <w:pStyle w:val="Subsection"/>
        <w:rPr>
          <w:snapToGrid w:val="0"/>
        </w:rPr>
      </w:pPr>
      <w:r>
        <w:rPr>
          <w:snapToGrid w:val="0"/>
        </w:rPr>
        <w:tab/>
        <w:t>(1)</w:t>
      </w:r>
      <w:r>
        <w:rPr>
          <w:snapToGrid w:val="0"/>
        </w:rPr>
        <w:tab/>
        <w:t>A member is entitled to such fees and allowances as the Minister determines from time to time after consultation with the Minister for Public Sector Management</w:t>
      </w:r>
      <w:r>
        <w:rPr>
          <w:snapToGrid w:val="0"/>
          <w:vertAlign w:val="superscript"/>
        </w:rPr>
        <w:t> 3</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w:t>
      </w:r>
    </w:p>
    <w:p>
      <w:pPr>
        <w:pStyle w:val="Heading5"/>
        <w:rPr>
          <w:snapToGrid w:val="0"/>
        </w:rPr>
      </w:pPr>
      <w:bookmarkStart w:id="74" w:name="_Toc95730150"/>
      <w:bookmarkStart w:id="75" w:name="_Toc147630778"/>
      <w:bookmarkStart w:id="76" w:name="_Toc241051488"/>
      <w:r>
        <w:rPr>
          <w:rStyle w:val="CharSectno"/>
        </w:rPr>
        <w:t>10</w:t>
      </w:r>
      <w:r>
        <w:rPr>
          <w:snapToGrid w:val="0"/>
        </w:rPr>
        <w:t>.</w:t>
      </w:r>
      <w:r>
        <w:rPr>
          <w:snapToGrid w:val="0"/>
        </w:rPr>
        <w:tab/>
        <w:t>Meetings of the Board and disclosure of interest</w:t>
      </w:r>
      <w:bookmarkEnd w:id="74"/>
      <w:bookmarkEnd w:id="75"/>
      <w:bookmarkEnd w:id="76"/>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77" w:name="_Toc95730151"/>
      <w:bookmarkStart w:id="78" w:name="_Toc147630779"/>
      <w:bookmarkStart w:id="79" w:name="_Toc241051489"/>
      <w:r>
        <w:rPr>
          <w:rStyle w:val="CharSectno"/>
        </w:rPr>
        <w:t>11</w:t>
      </w:r>
      <w:r>
        <w:rPr>
          <w:snapToGrid w:val="0"/>
        </w:rPr>
        <w:t>.</w:t>
      </w:r>
      <w:r>
        <w:rPr>
          <w:snapToGrid w:val="0"/>
        </w:rPr>
        <w:tab/>
        <w:t>Minister may require Board to give information</w:t>
      </w:r>
      <w:bookmarkEnd w:id="77"/>
      <w:bookmarkEnd w:id="78"/>
      <w:bookmarkEnd w:id="79"/>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80" w:name="_Toc95730152"/>
      <w:bookmarkStart w:id="81" w:name="_Toc147630780"/>
      <w:bookmarkStart w:id="82" w:name="_Toc241051490"/>
      <w:r>
        <w:rPr>
          <w:rStyle w:val="CharSectno"/>
        </w:rPr>
        <w:t>12</w:t>
      </w:r>
      <w:r>
        <w:rPr>
          <w:snapToGrid w:val="0"/>
        </w:rPr>
        <w:t>.</w:t>
      </w:r>
      <w:r>
        <w:rPr>
          <w:snapToGrid w:val="0"/>
        </w:rPr>
        <w:tab/>
        <w:t>Indemnity</w:t>
      </w:r>
      <w:bookmarkEnd w:id="80"/>
      <w:bookmarkEnd w:id="81"/>
      <w:bookmarkEnd w:id="82"/>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83" w:name="_Toc95730153"/>
      <w:bookmarkStart w:id="84" w:name="_Toc147630781"/>
      <w:bookmarkStart w:id="85" w:name="_Toc241051491"/>
      <w:r>
        <w:rPr>
          <w:rStyle w:val="CharSectno"/>
        </w:rPr>
        <w:t>13</w:t>
      </w:r>
      <w:r>
        <w:rPr>
          <w:snapToGrid w:val="0"/>
        </w:rPr>
        <w:t>.</w:t>
      </w:r>
      <w:r>
        <w:rPr>
          <w:snapToGrid w:val="0"/>
        </w:rPr>
        <w:tab/>
        <w:t>Staff</w:t>
      </w:r>
      <w:bookmarkEnd w:id="83"/>
      <w:bookmarkEnd w:id="84"/>
      <w:bookmarkEnd w:id="85"/>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86" w:name="_Toc95730154"/>
      <w:bookmarkStart w:id="87" w:name="_Toc147630782"/>
      <w:bookmarkStart w:id="88" w:name="_Toc241051492"/>
      <w:r>
        <w:rPr>
          <w:rStyle w:val="CharSectno"/>
        </w:rPr>
        <w:t>14</w:t>
      </w:r>
      <w:r>
        <w:rPr>
          <w:snapToGrid w:val="0"/>
        </w:rPr>
        <w:t>.</w:t>
      </w:r>
      <w:r>
        <w:rPr>
          <w:snapToGrid w:val="0"/>
        </w:rPr>
        <w:tab/>
        <w:t>Functions of the Board</w:t>
      </w:r>
      <w:bookmarkEnd w:id="86"/>
      <w:bookmarkEnd w:id="87"/>
      <w:bookmarkEnd w:id="88"/>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89" w:name="_Toc95730155"/>
      <w:bookmarkStart w:id="90" w:name="_Toc147630783"/>
      <w:bookmarkStart w:id="91" w:name="_Toc241051493"/>
      <w:r>
        <w:rPr>
          <w:rStyle w:val="CharSectno"/>
        </w:rPr>
        <w:t>15</w:t>
      </w:r>
      <w:r>
        <w:rPr>
          <w:snapToGrid w:val="0"/>
        </w:rPr>
        <w:t>.</w:t>
      </w:r>
      <w:r>
        <w:rPr>
          <w:snapToGrid w:val="0"/>
        </w:rPr>
        <w:tab/>
        <w:t>Funds of the Board</w:t>
      </w:r>
      <w:bookmarkEnd w:id="89"/>
      <w:bookmarkEnd w:id="90"/>
      <w:bookmarkEnd w:id="91"/>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92" w:name="_Toc95730156"/>
      <w:bookmarkStart w:id="93" w:name="_Toc147630784"/>
      <w:bookmarkStart w:id="94" w:name="_Toc241051494"/>
      <w:r>
        <w:rPr>
          <w:rStyle w:val="CharSectno"/>
        </w:rPr>
        <w:t>16</w:t>
      </w:r>
      <w:r>
        <w:rPr>
          <w:snapToGrid w:val="0"/>
        </w:rPr>
        <w:t>.</w:t>
      </w:r>
      <w:r>
        <w:rPr>
          <w:snapToGrid w:val="0"/>
        </w:rPr>
        <w:tab/>
        <w:t>Power to borrow and guarantee</w:t>
      </w:r>
      <w:bookmarkEnd w:id="92"/>
      <w:bookmarkEnd w:id="93"/>
      <w:bookmarkEnd w:id="94"/>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spacing w:before="180"/>
        <w:rPr>
          <w:snapToGrid w:val="0"/>
        </w:rPr>
      </w:pPr>
      <w:bookmarkStart w:id="95" w:name="_Toc95730157"/>
      <w:bookmarkStart w:id="96" w:name="_Toc147630785"/>
      <w:bookmarkStart w:id="97" w:name="_Toc241051495"/>
      <w:r>
        <w:rPr>
          <w:rStyle w:val="CharSectno"/>
        </w:rPr>
        <w:t>17</w:t>
      </w:r>
      <w:r>
        <w:rPr>
          <w:snapToGrid w:val="0"/>
        </w:rPr>
        <w:t>.</w:t>
      </w:r>
      <w:r>
        <w:rPr>
          <w:snapToGrid w:val="0"/>
        </w:rPr>
        <w:tab/>
        <w:t>Notification of certain contracts to be given to Minister</w:t>
      </w:r>
      <w:bookmarkEnd w:id="95"/>
      <w:bookmarkEnd w:id="96"/>
      <w:bookmarkEnd w:id="97"/>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98" w:name="_Toc95730158"/>
      <w:bookmarkStart w:id="99" w:name="_Toc147630786"/>
      <w:bookmarkStart w:id="100" w:name="_Toc241051496"/>
      <w:r>
        <w:rPr>
          <w:rStyle w:val="CharSectno"/>
        </w:rPr>
        <w:t>18</w:t>
      </w:r>
      <w:r>
        <w:rPr>
          <w:snapToGrid w:val="0"/>
        </w:rPr>
        <w:t>.</w:t>
      </w:r>
      <w:r>
        <w:rPr>
          <w:snapToGrid w:val="0"/>
        </w:rPr>
        <w:tab/>
        <w:t xml:space="preserve">Application of </w:t>
      </w:r>
      <w:bookmarkEnd w:id="98"/>
      <w:bookmarkEnd w:id="99"/>
      <w:r>
        <w:rPr>
          <w:i/>
          <w:iCs/>
        </w:rPr>
        <w:t xml:space="preserve"> Financial Management Act 2006</w:t>
      </w:r>
      <w:r>
        <w:t xml:space="preserve"> and </w:t>
      </w:r>
      <w:r>
        <w:rPr>
          <w:i/>
          <w:iCs/>
        </w:rPr>
        <w:t>Auditor General Act 2006</w:t>
      </w:r>
      <w:bookmarkEnd w:id="10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 17.]</w:t>
      </w:r>
    </w:p>
    <w:p>
      <w:pPr>
        <w:pStyle w:val="Heading5"/>
        <w:rPr>
          <w:snapToGrid w:val="0"/>
        </w:rPr>
      </w:pPr>
      <w:bookmarkStart w:id="101" w:name="_Toc95730159"/>
      <w:bookmarkStart w:id="102" w:name="_Toc147630787"/>
      <w:bookmarkStart w:id="103" w:name="_Toc241051497"/>
      <w:r>
        <w:rPr>
          <w:rStyle w:val="CharSectno"/>
        </w:rPr>
        <w:t>19</w:t>
      </w:r>
      <w:r>
        <w:rPr>
          <w:snapToGrid w:val="0"/>
        </w:rPr>
        <w:t>.</w:t>
      </w:r>
      <w:r>
        <w:rPr>
          <w:snapToGrid w:val="0"/>
        </w:rPr>
        <w:tab/>
        <w:t>Investigations by actuary</w:t>
      </w:r>
      <w:bookmarkEnd w:id="101"/>
      <w:bookmarkEnd w:id="102"/>
      <w:bookmarkEnd w:id="103"/>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04" w:name="_Toc95729743"/>
      <w:bookmarkStart w:id="105" w:name="_Toc95729808"/>
      <w:bookmarkStart w:id="106" w:name="_Toc95730160"/>
      <w:bookmarkStart w:id="107" w:name="_Toc95730234"/>
      <w:bookmarkStart w:id="108" w:name="_Toc97003721"/>
      <w:bookmarkStart w:id="109" w:name="_Toc102810440"/>
      <w:bookmarkStart w:id="110" w:name="_Toc116956539"/>
      <w:bookmarkStart w:id="111" w:name="_Toc116956603"/>
      <w:bookmarkStart w:id="112" w:name="_Toc116960868"/>
      <w:bookmarkStart w:id="113" w:name="_Toc118525503"/>
      <w:bookmarkStart w:id="114" w:name="_Toc118525809"/>
      <w:bookmarkStart w:id="115" w:name="_Toc120001185"/>
      <w:bookmarkStart w:id="116" w:name="_Toc139864271"/>
      <w:bookmarkStart w:id="117" w:name="_Toc140029725"/>
      <w:bookmarkStart w:id="118" w:name="_Toc140029793"/>
      <w:bookmarkStart w:id="119" w:name="_Toc147305032"/>
      <w:bookmarkStart w:id="120" w:name="_Toc147313807"/>
      <w:bookmarkStart w:id="121" w:name="_Toc147630414"/>
      <w:bookmarkStart w:id="122" w:name="_Toc147630788"/>
      <w:bookmarkStart w:id="123" w:name="_Toc147631933"/>
      <w:bookmarkStart w:id="124" w:name="_Toc147632002"/>
      <w:bookmarkStart w:id="125" w:name="_Toc157844290"/>
      <w:bookmarkStart w:id="126" w:name="_Toc241051498"/>
      <w:r>
        <w:rPr>
          <w:rStyle w:val="CharPartNo"/>
        </w:rPr>
        <w:t>Part III</w:t>
      </w:r>
      <w:r>
        <w:rPr>
          <w:rStyle w:val="CharDivNo"/>
        </w:rPr>
        <w:t> </w:t>
      </w:r>
      <w:r>
        <w:t>—</w:t>
      </w:r>
      <w:r>
        <w:rPr>
          <w:rStyle w:val="CharDivText"/>
        </w:rPr>
        <w:t> </w:t>
      </w:r>
      <w:r>
        <w:rPr>
          <w:rStyle w:val="CharPartText"/>
        </w:rPr>
        <w:t>Entitlement to long service leave and pay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95730161"/>
      <w:bookmarkStart w:id="128" w:name="_Toc147630789"/>
      <w:bookmarkStart w:id="129" w:name="_Toc241051499"/>
      <w:r>
        <w:rPr>
          <w:rStyle w:val="CharSectno"/>
        </w:rPr>
        <w:t>21</w:t>
      </w:r>
      <w:r>
        <w:rPr>
          <w:snapToGrid w:val="0"/>
        </w:rPr>
        <w:t>.</w:t>
      </w:r>
      <w:r>
        <w:rPr>
          <w:snapToGrid w:val="0"/>
        </w:rPr>
        <w:tab/>
        <w:t>Entitlement to paid long service leave and pay</w:t>
      </w:r>
      <w:bookmarkEnd w:id="127"/>
      <w:bookmarkEnd w:id="128"/>
      <w:bookmarkEnd w:id="129"/>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spacing w:before="120"/>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spacing w:before="80"/>
        <w:ind w:left="890" w:hanging="890"/>
      </w:pPr>
      <w:r>
        <w:tab/>
        <w:t>[Section 21 amended by No. 30 of 1989 s. 6; No. 36 of 2006 s. 45.]</w:t>
      </w:r>
    </w:p>
    <w:p>
      <w:pPr>
        <w:pStyle w:val="Heading5"/>
        <w:rPr>
          <w:snapToGrid w:val="0"/>
        </w:rPr>
      </w:pPr>
      <w:bookmarkStart w:id="130" w:name="_Toc95730162"/>
      <w:bookmarkStart w:id="131" w:name="_Toc147630790"/>
      <w:bookmarkStart w:id="132" w:name="_Toc241051500"/>
      <w:r>
        <w:rPr>
          <w:rStyle w:val="CharSectno"/>
        </w:rPr>
        <w:t>22</w:t>
      </w:r>
      <w:r>
        <w:rPr>
          <w:snapToGrid w:val="0"/>
        </w:rPr>
        <w:t>.</w:t>
      </w:r>
      <w:r>
        <w:rPr>
          <w:snapToGrid w:val="0"/>
        </w:rPr>
        <w:tab/>
        <w:t>Lump sum payments</w:t>
      </w:r>
      <w:bookmarkEnd w:id="130"/>
      <w:bookmarkEnd w:id="131"/>
      <w:bookmarkEnd w:id="132"/>
    </w:p>
    <w:p>
      <w:pPr>
        <w:pStyle w:val="Subsection"/>
        <w:spacing w:before="18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spacing w:before="120"/>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spacing w:before="120"/>
        <w:rPr>
          <w:snapToGrid w:val="0"/>
        </w:rPr>
      </w:pPr>
      <w:r>
        <w:rPr>
          <w:snapToGrid w:val="0"/>
        </w:rPr>
        <w:tab/>
        <w:t>(b)</w:t>
      </w:r>
      <w:r>
        <w:rPr>
          <w:snapToGrid w:val="0"/>
        </w:rPr>
        <w:tab/>
        <w:t>where he has completed at least 10 years of service —</w:t>
      </w:r>
    </w:p>
    <w:p>
      <w:pPr>
        <w:pStyle w:val="Indenti"/>
        <w:spacing w:before="120"/>
        <w:rPr>
          <w:snapToGrid w:val="0"/>
        </w:rPr>
      </w:pPr>
      <w:r>
        <w:rPr>
          <w:snapToGrid w:val="0"/>
        </w:rPr>
        <w:tab/>
        <w:t>(i)</w:t>
      </w:r>
      <w:r>
        <w:rPr>
          <w:snapToGrid w:val="0"/>
        </w:rPr>
        <w:tab/>
        <w:t>where an accrued entitlement under section 21(1) has not been taken, the money value of that entitlement; and</w:t>
      </w:r>
    </w:p>
    <w:p>
      <w:pPr>
        <w:pStyle w:val="Indenti"/>
        <w:spacing w:before="120"/>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8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12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33" w:name="_Toc95730163"/>
      <w:bookmarkStart w:id="134" w:name="_Toc147630791"/>
      <w:bookmarkStart w:id="135" w:name="_Toc241051501"/>
      <w:r>
        <w:rPr>
          <w:rStyle w:val="CharSectno"/>
        </w:rPr>
        <w:t>23</w:t>
      </w:r>
      <w:r>
        <w:rPr>
          <w:snapToGrid w:val="0"/>
        </w:rPr>
        <w:t>.</w:t>
      </w:r>
      <w:r>
        <w:rPr>
          <w:snapToGrid w:val="0"/>
        </w:rPr>
        <w:tab/>
        <w:t>Cessation of continuous service entitlement</w:t>
      </w:r>
      <w:bookmarkEnd w:id="133"/>
      <w:bookmarkEnd w:id="134"/>
      <w:bookmarkEnd w:id="135"/>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36" w:name="_Toc95730164"/>
      <w:bookmarkStart w:id="137" w:name="_Toc147630792"/>
      <w:bookmarkStart w:id="138" w:name="_Toc241051502"/>
      <w:r>
        <w:rPr>
          <w:rStyle w:val="CharSectno"/>
        </w:rPr>
        <w:t>24</w:t>
      </w:r>
      <w:r>
        <w:rPr>
          <w:snapToGrid w:val="0"/>
        </w:rPr>
        <w:t>.</w:t>
      </w:r>
      <w:r>
        <w:rPr>
          <w:snapToGrid w:val="0"/>
        </w:rPr>
        <w:tab/>
        <w:t>Taking of leave</w:t>
      </w:r>
      <w:bookmarkEnd w:id="136"/>
      <w:bookmarkEnd w:id="137"/>
      <w:bookmarkEnd w:id="138"/>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rPr>
          <w:snapToGrid w:val="0"/>
        </w:rPr>
      </w:pPr>
      <w:bookmarkStart w:id="139" w:name="_Toc95730165"/>
      <w:bookmarkStart w:id="140" w:name="_Toc147630793"/>
      <w:bookmarkStart w:id="141" w:name="_Toc241051503"/>
      <w:r>
        <w:rPr>
          <w:rStyle w:val="CharSectno"/>
        </w:rPr>
        <w:t>24A</w:t>
      </w:r>
      <w:r>
        <w:rPr>
          <w:snapToGrid w:val="0"/>
        </w:rPr>
        <w:t xml:space="preserve">. </w:t>
      </w:r>
      <w:r>
        <w:rPr>
          <w:snapToGrid w:val="0"/>
        </w:rPr>
        <w:tab/>
        <w:t>Proportional leave in advance after 7 years service</w:t>
      </w:r>
      <w:bookmarkEnd w:id="139"/>
      <w:bookmarkEnd w:id="140"/>
      <w:bookmarkEnd w:id="141"/>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pPr>
      <w:r>
        <w:tab/>
        <w:t>[Section 24A inserted by No. 30 of 1989 s. 9; amended by No. 36 of 2006 s. 47.]</w:t>
      </w:r>
    </w:p>
    <w:p>
      <w:pPr>
        <w:pStyle w:val="Heading5"/>
        <w:rPr>
          <w:snapToGrid w:val="0"/>
        </w:rPr>
      </w:pPr>
      <w:bookmarkStart w:id="142" w:name="_Toc95730166"/>
      <w:bookmarkStart w:id="143" w:name="_Toc147630794"/>
      <w:bookmarkStart w:id="144" w:name="_Toc241051504"/>
      <w:r>
        <w:rPr>
          <w:rStyle w:val="CharSectno"/>
        </w:rPr>
        <w:t>25</w:t>
      </w:r>
      <w:r>
        <w:rPr>
          <w:snapToGrid w:val="0"/>
        </w:rPr>
        <w:t>.</w:t>
      </w:r>
      <w:r>
        <w:rPr>
          <w:snapToGrid w:val="0"/>
        </w:rPr>
        <w:tab/>
        <w:t>Payment when due</w:t>
      </w:r>
      <w:bookmarkEnd w:id="142"/>
      <w:bookmarkEnd w:id="143"/>
      <w:bookmarkEnd w:id="144"/>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145" w:name="_Toc95730168"/>
      <w:r>
        <w:t>[</w:t>
      </w:r>
      <w:r>
        <w:rPr>
          <w:b/>
        </w:rPr>
        <w:t>27.</w:t>
      </w:r>
      <w:r>
        <w:rPr>
          <w:b/>
        </w:rPr>
        <w:tab/>
      </w:r>
      <w:r>
        <w:t>Deleted by No. 36 of 2006 s. 48.]</w:t>
      </w:r>
    </w:p>
    <w:p>
      <w:pPr>
        <w:pStyle w:val="Heading5"/>
        <w:rPr>
          <w:snapToGrid w:val="0"/>
        </w:rPr>
      </w:pPr>
      <w:bookmarkStart w:id="146" w:name="_Toc147630795"/>
      <w:bookmarkStart w:id="147" w:name="_Toc241051505"/>
      <w:r>
        <w:rPr>
          <w:rStyle w:val="CharSectno"/>
        </w:rPr>
        <w:t>28</w:t>
      </w:r>
      <w:r>
        <w:rPr>
          <w:snapToGrid w:val="0"/>
        </w:rPr>
        <w:t>.</w:t>
      </w:r>
      <w:r>
        <w:rPr>
          <w:snapToGrid w:val="0"/>
        </w:rPr>
        <w:tab/>
        <w:t>Prohibition on other employment</w:t>
      </w:r>
      <w:bookmarkEnd w:id="145"/>
      <w:bookmarkEnd w:id="146"/>
      <w:bookmarkEnd w:id="147"/>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148" w:name="_Toc147630796"/>
      <w:bookmarkStart w:id="149" w:name="_Toc241051506"/>
      <w:bookmarkStart w:id="150" w:name="_Toc95730170"/>
      <w:r>
        <w:rPr>
          <w:rStyle w:val="CharSectno"/>
        </w:rPr>
        <w:t>29</w:t>
      </w:r>
      <w:r>
        <w:t>.</w:t>
      </w:r>
      <w:r>
        <w:tab/>
        <w:t>Public holidays</w:t>
      </w:r>
      <w:bookmarkEnd w:id="148"/>
      <w:bookmarkEnd w:id="149"/>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spacing w:before="120"/>
        <w:rPr>
          <w:snapToGrid w:val="0"/>
        </w:rPr>
      </w:pPr>
      <w:bookmarkStart w:id="151" w:name="_Toc147630797"/>
      <w:bookmarkStart w:id="152" w:name="_Toc241051507"/>
      <w:r>
        <w:rPr>
          <w:rStyle w:val="CharSectno"/>
        </w:rPr>
        <w:t>29A</w:t>
      </w:r>
      <w:r>
        <w:rPr>
          <w:snapToGrid w:val="0"/>
        </w:rPr>
        <w:t xml:space="preserve">. </w:t>
      </w:r>
      <w:r>
        <w:rPr>
          <w:snapToGrid w:val="0"/>
        </w:rPr>
        <w:tab/>
        <w:t>Reciprocal arrangements</w:t>
      </w:r>
      <w:bookmarkEnd w:id="150"/>
      <w:bookmarkEnd w:id="151"/>
      <w:bookmarkEnd w:id="152"/>
    </w:p>
    <w:p>
      <w:pPr>
        <w:pStyle w:val="Subsection"/>
        <w:rPr>
          <w:snapToGrid w:val="0"/>
        </w:rPr>
      </w:pPr>
      <w:r>
        <w:rPr>
          <w:snapToGrid w:val="0"/>
        </w:rPr>
        <w:tab/>
        <w:t>(1)</w:t>
      </w:r>
      <w:r>
        <w:rPr>
          <w:snapToGrid w:val="0"/>
        </w:rPr>
        <w:tab/>
        <w:t>In this section —</w:t>
      </w:r>
    </w:p>
    <w:p>
      <w:pPr>
        <w:pStyle w:val="Defstart"/>
        <w:spacing w:before="60"/>
        <w:rPr>
          <w:spacing w:val="-6"/>
        </w:rPr>
      </w:pPr>
      <w:r>
        <w:rPr>
          <w:b/>
          <w:spacing w:val="-6"/>
        </w:rPr>
        <w:tab/>
      </w:r>
      <w:r>
        <w:rPr>
          <w:rStyle w:val="CharDefText"/>
          <w:spacing w:val="-6"/>
        </w:rPr>
        <w:t>construction industry</w:t>
      </w:r>
      <w:r>
        <w:rPr>
          <w:spacing w:val="-6"/>
        </w:rPr>
        <w:t xml:space="preserve"> has the same meaning as in section 3(1);</w:t>
      </w:r>
    </w:p>
    <w:p>
      <w:pPr>
        <w:pStyle w:val="Defstart"/>
        <w:spacing w:before="60"/>
      </w:pPr>
      <w:r>
        <w:rPr>
          <w:b/>
        </w:rPr>
        <w:tab/>
      </w:r>
      <w:r>
        <w:rPr>
          <w:rStyle w:val="CharDefText"/>
        </w:rPr>
        <w:t>corresponding law</w:t>
      </w:r>
      <w:r>
        <w:t xml:space="preserve"> means a law of another State or of a Territory which —</w:t>
      </w:r>
    </w:p>
    <w:p>
      <w:pPr>
        <w:pStyle w:val="Defpara"/>
        <w:spacing w:before="60"/>
      </w:pPr>
      <w:r>
        <w:tab/>
        <w:t>(a)</w:t>
      </w:r>
      <w:r>
        <w:tab/>
        <w:t>provides for long service leave payments for persons employed in the construction industry; and</w:t>
      </w:r>
    </w:p>
    <w:p>
      <w:pPr>
        <w:pStyle w:val="Defpara"/>
        <w:spacing w:before="60"/>
      </w:pPr>
      <w:r>
        <w:tab/>
        <w:t>(b)</w:t>
      </w:r>
      <w:r>
        <w:tab/>
        <w:t>is prescribed as a corresponding law for the purposes of this section;</w:t>
      </w:r>
    </w:p>
    <w:p>
      <w:pPr>
        <w:pStyle w:val="Defstart"/>
        <w:spacing w:before="60"/>
      </w:pPr>
      <w:r>
        <w:rPr>
          <w:b/>
        </w:rPr>
        <w:tab/>
      </w:r>
      <w:r>
        <w:rPr>
          <w:rStyle w:val="CharDefText"/>
        </w:rPr>
        <w:t>corresponding public employer in this State</w:t>
      </w:r>
      <w:r>
        <w:t xml:space="preserve"> means —</w:t>
      </w:r>
    </w:p>
    <w:p>
      <w:pPr>
        <w:pStyle w:val="Defpara"/>
        <w:spacing w:before="60"/>
      </w:pPr>
      <w:r>
        <w:tab/>
        <w:t>(a)</w:t>
      </w:r>
      <w:r>
        <w:tab/>
        <w:t>a Minister in the Government;</w:t>
      </w:r>
    </w:p>
    <w:p>
      <w:pPr>
        <w:pStyle w:val="Defpara"/>
        <w:spacing w:before="60"/>
      </w:pPr>
      <w:r>
        <w:tab/>
        <w:t>(b)</w:t>
      </w:r>
      <w:r>
        <w:tab/>
        <w:t>an authority, whether a body corporate or not, constituted by a written law; or</w:t>
      </w:r>
    </w:p>
    <w:p>
      <w:pPr>
        <w:pStyle w:val="Defpara"/>
        <w:spacing w:before="60"/>
      </w:pPr>
      <w:r>
        <w:tab/>
        <w:t>(c)</w:t>
      </w:r>
      <w:r>
        <w:tab/>
        <w:t>a local government</w:t>
      </w:r>
    </w:p>
    <w:p>
      <w:pPr>
        <w:pStyle w:val="Defstart"/>
        <w:spacing w:before="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spacing w:before="60"/>
        <w:rPr>
          <w:snapToGrid w:val="0"/>
        </w:rPr>
      </w:pPr>
      <w:r>
        <w:rPr>
          <w:snapToGrid w:val="0"/>
        </w:rPr>
        <w:tab/>
        <w:t>(a)</w:t>
      </w:r>
      <w:r>
        <w:rPr>
          <w:snapToGrid w:val="0"/>
        </w:rPr>
        <w:tab/>
        <w:t>the Minister of State of another State or of a Territory responsible for the administration of a corresponding law; or</w:t>
      </w:r>
    </w:p>
    <w:p>
      <w:pPr>
        <w:pStyle w:val="Indenta"/>
        <w:spacing w:before="60"/>
        <w:rPr>
          <w:snapToGrid w:val="0"/>
        </w:rPr>
      </w:pPr>
      <w:r>
        <w:rPr>
          <w:snapToGrid w:val="0"/>
        </w:rPr>
        <w:tab/>
        <w:t>(b)</w:t>
      </w:r>
      <w:r>
        <w:rPr>
          <w:snapToGrid w:val="0"/>
        </w:rPr>
        <w:tab/>
        <w:t>a corresponding public employer in this State;</w:t>
      </w:r>
    </w:p>
    <w:p>
      <w:pPr>
        <w:pStyle w:val="Subsection"/>
        <w:spacing w:before="120"/>
        <w:rPr>
          <w:snapToGrid w:val="0"/>
        </w:rPr>
      </w:pPr>
      <w:r>
        <w:rPr>
          <w:snapToGrid w:val="0"/>
        </w:rPr>
        <w:tab/>
      </w:r>
      <w:r>
        <w:rPr>
          <w:snapToGrid w:val="0"/>
        </w:rPr>
        <w:tab/>
        <w:t>being a reciprocal arrangement relating to —</w:t>
      </w:r>
    </w:p>
    <w:p>
      <w:pPr>
        <w:pStyle w:val="Indenta"/>
        <w:spacing w:before="60"/>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53" w:name="_Toc95729754"/>
      <w:bookmarkStart w:id="154" w:name="_Toc95729819"/>
      <w:bookmarkStart w:id="155" w:name="_Toc95730171"/>
      <w:bookmarkStart w:id="156" w:name="_Toc95730245"/>
      <w:bookmarkStart w:id="157" w:name="_Toc97003732"/>
      <w:bookmarkStart w:id="158" w:name="_Toc102810451"/>
      <w:bookmarkStart w:id="159" w:name="_Toc116956550"/>
      <w:bookmarkStart w:id="160" w:name="_Toc116956614"/>
      <w:bookmarkStart w:id="161" w:name="_Toc116960879"/>
      <w:bookmarkStart w:id="162" w:name="_Toc118525514"/>
      <w:bookmarkStart w:id="163" w:name="_Toc118525820"/>
      <w:bookmarkStart w:id="164" w:name="_Toc120001196"/>
      <w:bookmarkStart w:id="165" w:name="_Toc139864282"/>
      <w:bookmarkStart w:id="166" w:name="_Toc140029736"/>
      <w:bookmarkStart w:id="167" w:name="_Toc140029804"/>
      <w:bookmarkStart w:id="168" w:name="_Toc147305044"/>
      <w:bookmarkStart w:id="169" w:name="_Toc147313819"/>
      <w:bookmarkStart w:id="170" w:name="_Toc147630424"/>
      <w:bookmarkStart w:id="171" w:name="_Toc147630798"/>
      <w:bookmarkStart w:id="172" w:name="_Toc147631943"/>
      <w:bookmarkStart w:id="173" w:name="_Toc147632012"/>
      <w:bookmarkStart w:id="174" w:name="_Toc157844300"/>
      <w:bookmarkStart w:id="175" w:name="_Toc241051508"/>
      <w:r>
        <w:rPr>
          <w:rStyle w:val="CharPartNo"/>
        </w:rPr>
        <w:t>Part IV</w:t>
      </w:r>
      <w:r>
        <w:rPr>
          <w:rStyle w:val="CharDivNo"/>
        </w:rPr>
        <w:t> </w:t>
      </w:r>
      <w:r>
        <w:t>—</w:t>
      </w:r>
      <w:r>
        <w:rPr>
          <w:rStyle w:val="CharDivText"/>
        </w:rPr>
        <w:t> </w:t>
      </w:r>
      <w:r>
        <w:rPr>
          <w:rStyle w:val="CharPartText"/>
        </w:rPr>
        <w:t>Registration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95730172"/>
      <w:bookmarkStart w:id="177" w:name="_Toc147630799"/>
      <w:bookmarkStart w:id="178" w:name="_Toc241051509"/>
      <w:r>
        <w:rPr>
          <w:rStyle w:val="CharSectno"/>
        </w:rPr>
        <w:t>30</w:t>
      </w:r>
      <w:r>
        <w:rPr>
          <w:snapToGrid w:val="0"/>
        </w:rPr>
        <w:t>.</w:t>
      </w:r>
      <w:r>
        <w:rPr>
          <w:snapToGrid w:val="0"/>
        </w:rPr>
        <w:tab/>
        <w:t>Registration of employers and employees</w:t>
      </w:r>
      <w:bookmarkEnd w:id="176"/>
      <w:bookmarkEnd w:id="177"/>
      <w:bookmarkEnd w:id="178"/>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179" w:name="_Toc95730173"/>
      <w:bookmarkStart w:id="180" w:name="_Toc147630800"/>
      <w:bookmarkStart w:id="181" w:name="_Toc241051510"/>
      <w:r>
        <w:rPr>
          <w:rStyle w:val="CharSectno"/>
        </w:rPr>
        <w:t>31</w:t>
      </w:r>
      <w:r>
        <w:rPr>
          <w:snapToGrid w:val="0"/>
        </w:rPr>
        <w:t>.</w:t>
      </w:r>
      <w:r>
        <w:rPr>
          <w:snapToGrid w:val="0"/>
        </w:rPr>
        <w:tab/>
        <w:t>Return to be made by employer</w:t>
      </w:r>
      <w:bookmarkEnd w:id="179"/>
      <w:bookmarkEnd w:id="180"/>
      <w:bookmarkEnd w:id="181"/>
    </w:p>
    <w:p>
      <w:pPr>
        <w:pStyle w:val="Subsection"/>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rPr>
          <w:snapToGrid w:val="0"/>
        </w:rPr>
      </w:pPr>
      <w:bookmarkStart w:id="182" w:name="_Toc95730174"/>
      <w:bookmarkStart w:id="183" w:name="_Toc147630801"/>
      <w:bookmarkStart w:id="184" w:name="_Toc241051511"/>
      <w:r>
        <w:rPr>
          <w:rStyle w:val="CharSectno"/>
        </w:rPr>
        <w:t>32</w:t>
      </w:r>
      <w:r>
        <w:rPr>
          <w:snapToGrid w:val="0"/>
        </w:rPr>
        <w:t>.</w:t>
      </w:r>
      <w:r>
        <w:rPr>
          <w:snapToGrid w:val="0"/>
        </w:rPr>
        <w:tab/>
        <w:t>Employer to maintain record of employees</w:t>
      </w:r>
      <w:bookmarkEnd w:id="182"/>
      <w:bookmarkEnd w:id="183"/>
      <w:bookmarkEnd w:id="184"/>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spacing w:before="120"/>
        <w:rPr>
          <w:snapToGrid w:val="0"/>
        </w:rPr>
      </w:pPr>
      <w:r>
        <w:rPr>
          <w:snapToGrid w:val="0"/>
        </w:rPr>
        <w:tab/>
        <w:t>(2)</w:t>
      </w:r>
      <w:r>
        <w:rPr>
          <w:snapToGrid w:val="0"/>
        </w:rPr>
        <w:tab/>
        <w:t>An employer shall retain any record established and maintained under subsection (1) for a period of not less than 7 years.</w:t>
      </w:r>
    </w:p>
    <w:p>
      <w:pPr>
        <w:pStyle w:val="Subsection"/>
        <w:spacing w:before="120"/>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185" w:name="_Toc95730175"/>
      <w:bookmarkStart w:id="186" w:name="_Toc147630802"/>
      <w:bookmarkStart w:id="187" w:name="_Toc241051512"/>
      <w:r>
        <w:rPr>
          <w:rStyle w:val="CharSectno"/>
        </w:rPr>
        <w:t>33</w:t>
      </w:r>
      <w:r>
        <w:rPr>
          <w:snapToGrid w:val="0"/>
        </w:rPr>
        <w:t>.</w:t>
      </w:r>
      <w:r>
        <w:rPr>
          <w:snapToGrid w:val="0"/>
        </w:rPr>
        <w:tab/>
        <w:t>Exempt employer</w:t>
      </w:r>
      <w:bookmarkEnd w:id="185"/>
      <w:bookmarkEnd w:id="186"/>
      <w:bookmarkEnd w:id="187"/>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spacing w:before="120"/>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188" w:name="_Toc95730176"/>
      <w:bookmarkStart w:id="189" w:name="_Toc147630803"/>
      <w:bookmarkStart w:id="190" w:name="_Toc241051513"/>
      <w:r>
        <w:rPr>
          <w:rStyle w:val="CharSectno"/>
        </w:rPr>
        <w:t>34</w:t>
      </w:r>
      <w:r>
        <w:rPr>
          <w:snapToGrid w:val="0"/>
        </w:rPr>
        <w:t>.</w:t>
      </w:r>
      <w:r>
        <w:rPr>
          <w:snapToGrid w:val="0"/>
        </w:rPr>
        <w:tab/>
        <w:t>Contribution by employer and assessment by the Board</w:t>
      </w:r>
      <w:bookmarkEnd w:id="188"/>
      <w:bookmarkEnd w:id="189"/>
      <w:bookmarkEnd w:id="190"/>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spacing w:before="8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spacing w:before="140"/>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spacing w:before="140"/>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191" w:name="_Toc95730177"/>
      <w:bookmarkStart w:id="192" w:name="_Toc147630804"/>
      <w:bookmarkStart w:id="193" w:name="_Toc241051514"/>
      <w:r>
        <w:rPr>
          <w:rStyle w:val="CharSectno"/>
        </w:rPr>
        <w:t>35</w:t>
      </w:r>
      <w:r>
        <w:rPr>
          <w:snapToGrid w:val="0"/>
        </w:rPr>
        <w:t>.</w:t>
      </w:r>
      <w:r>
        <w:rPr>
          <w:snapToGrid w:val="0"/>
        </w:rPr>
        <w:tab/>
        <w:t>Register of Employers and Register of Employees</w:t>
      </w:r>
      <w:bookmarkEnd w:id="191"/>
      <w:bookmarkEnd w:id="192"/>
      <w:bookmarkEnd w:id="193"/>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194" w:name="_Toc95730178"/>
      <w:bookmarkStart w:id="195" w:name="_Toc147630805"/>
      <w:bookmarkStart w:id="196" w:name="_Toc241051515"/>
      <w:r>
        <w:rPr>
          <w:rStyle w:val="CharSectno"/>
        </w:rPr>
        <w:t>36</w:t>
      </w:r>
      <w:r>
        <w:rPr>
          <w:snapToGrid w:val="0"/>
        </w:rPr>
        <w:t>.</w:t>
      </w:r>
      <w:r>
        <w:rPr>
          <w:snapToGrid w:val="0"/>
        </w:rPr>
        <w:tab/>
        <w:t>Employer leaving Western Australia</w:t>
      </w:r>
      <w:bookmarkEnd w:id="194"/>
      <w:bookmarkEnd w:id="195"/>
      <w:bookmarkEnd w:id="196"/>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197" w:name="_Toc95730179"/>
      <w:bookmarkStart w:id="198" w:name="_Toc147630806"/>
      <w:bookmarkStart w:id="199" w:name="_Toc241051516"/>
      <w:r>
        <w:rPr>
          <w:rStyle w:val="CharSectno"/>
        </w:rPr>
        <w:t>37</w:t>
      </w:r>
      <w:r>
        <w:rPr>
          <w:snapToGrid w:val="0"/>
        </w:rPr>
        <w:t>.</w:t>
      </w:r>
      <w:r>
        <w:rPr>
          <w:snapToGrid w:val="0"/>
        </w:rPr>
        <w:tab/>
        <w:t>Recovery of long service leave contribution</w:t>
      </w:r>
      <w:bookmarkEnd w:id="197"/>
      <w:bookmarkEnd w:id="198"/>
      <w:bookmarkEnd w:id="199"/>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200" w:name="_Toc95730180"/>
      <w:bookmarkStart w:id="201" w:name="_Toc147630807"/>
      <w:bookmarkStart w:id="202" w:name="_Toc241051517"/>
      <w:r>
        <w:rPr>
          <w:rStyle w:val="CharSectno"/>
        </w:rPr>
        <w:t>38</w:t>
      </w:r>
      <w:r>
        <w:rPr>
          <w:snapToGrid w:val="0"/>
        </w:rPr>
        <w:t>.</w:t>
      </w:r>
      <w:r>
        <w:rPr>
          <w:snapToGrid w:val="0"/>
        </w:rPr>
        <w:tab/>
        <w:t>Liquidator to give notice</w:t>
      </w:r>
      <w:bookmarkEnd w:id="200"/>
      <w:bookmarkEnd w:id="201"/>
      <w:bookmarkEnd w:id="202"/>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203" w:name="_Toc95730181"/>
      <w:bookmarkStart w:id="204" w:name="_Toc147630808"/>
      <w:bookmarkStart w:id="205" w:name="_Toc241051518"/>
      <w:r>
        <w:rPr>
          <w:rStyle w:val="CharSectno"/>
        </w:rPr>
        <w:t>39</w:t>
      </w:r>
      <w:r>
        <w:rPr>
          <w:snapToGrid w:val="0"/>
        </w:rPr>
        <w:t>.</w:t>
      </w:r>
      <w:r>
        <w:rPr>
          <w:snapToGrid w:val="0"/>
        </w:rPr>
        <w:tab/>
        <w:t>Agent for absentee principal winding up business</w:t>
      </w:r>
      <w:bookmarkEnd w:id="203"/>
      <w:bookmarkEnd w:id="204"/>
      <w:bookmarkEnd w:id="205"/>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rPr>
          <w:snapToGrid w:val="0"/>
        </w:rPr>
      </w:pPr>
      <w:bookmarkStart w:id="206" w:name="_Toc95730182"/>
      <w:bookmarkStart w:id="207" w:name="_Toc147630809"/>
      <w:bookmarkStart w:id="208" w:name="_Toc241051519"/>
      <w:r>
        <w:rPr>
          <w:rStyle w:val="CharSectno"/>
        </w:rPr>
        <w:t>40</w:t>
      </w:r>
      <w:r>
        <w:rPr>
          <w:snapToGrid w:val="0"/>
        </w:rPr>
        <w:t>.</w:t>
      </w:r>
      <w:r>
        <w:rPr>
          <w:snapToGrid w:val="0"/>
        </w:rPr>
        <w:tab/>
        <w:t>Where long service leave charges are not paid during lifetime</w:t>
      </w:r>
      <w:bookmarkEnd w:id="206"/>
      <w:bookmarkEnd w:id="207"/>
      <w:bookmarkEnd w:id="208"/>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09" w:name="_Toc95730183"/>
      <w:bookmarkStart w:id="210" w:name="_Toc147630810"/>
      <w:bookmarkStart w:id="211" w:name="_Toc241051520"/>
      <w:r>
        <w:rPr>
          <w:rStyle w:val="CharSectno"/>
        </w:rPr>
        <w:t>41</w:t>
      </w:r>
      <w:r>
        <w:rPr>
          <w:snapToGrid w:val="0"/>
        </w:rPr>
        <w:t>.</w:t>
      </w:r>
      <w:r>
        <w:rPr>
          <w:snapToGrid w:val="0"/>
        </w:rPr>
        <w:tab/>
        <w:t>Provisions for payment of long service leave charges by executors or administrators</w:t>
      </w:r>
      <w:bookmarkEnd w:id="209"/>
      <w:bookmarkEnd w:id="210"/>
      <w:bookmarkEnd w:id="211"/>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12" w:name="_Toc95730184"/>
      <w:bookmarkStart w:id="213" w:name="_Toc147630811"/>
      <w:bookmarkStart w:id="214" w:name="_Toc241051521"/>
      <w:r>
        <w:rPr>
          <w:rStyle w:val="CharSectno"/>
        </w:rPr>
        <w:t>42</w:t>
      </w:r>
      <w:r>
        <w:rPr>
          <w:snapToGrid w:val="0"/>
        </w:rPr>
        <w:t>.</w:t>
      </w:r>
      <w:r>
        <w:rPr>
          <w:snapToGrid w:val="0"/>
        </w:rPr>
        <w:tab/>
        <w:t>Contributions by joint employers</w:t>
      </w:r>
      <w:bookmarkEnd w:id="212"/>
      <w:bookmarkEnd w:id="213"/>
      <w:bookmarkEnd w:id="214"/>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15" w:name="_Toc95730185"/>
      <w:bookmarkStart w:id="216" w:name="_Toc147630812"/>
      <w:bookmarkStart w:id="217" w:name="_Toc241051522"/>
      <w:r>
        <w:rPr>
          <w:rStyle w:val="CharSectno"/>
        </w:rPr>
        <w:t>43</w:t>
      </w:r>
      <w:r>
        <w:rPr>
          <w:snapToGrid w:val="0"/>
        </w:rPr>
        <w:t>.</w:t>
      </w:r>
      <w:r>
        <w:rPr>
          <w:snapToGrid w:val="0"/>
        </w:rPr>
        <w:tab/>
        <w:t>Payment of penalties no relief from contributions</w:t>
      </w:r>
      <w:bookmarkEnd w:id="215"/>
      <w:bookmarkEnd w:id="216"/>
      <w:bookmarkEnd w:id="217"/>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18" w:name="_Toc95729769"/>
      <w:bookmarkStart w:id="219" w:name="_Toc95729834"/>
      <w:bookmarkStart w:id="220" w:name="_Toc95730186"/>
      <w:bookmarkStart w:id="221" w:name="_Toc95730260"/>
      <w:bookmarkStart w:id="222" w:name="_Toc97003747"/>
      <w:bookmarkStart w:id="223" w:name="_Toc102810466"/>
      <w:bookmarkStart w:id="224" w:name="_Toc116956565"/>
      <w:bookmarkStart w:id="225" w:name="_Toc116956629"/>
      <w:bookmarkStart w:id="226" w:name="_Toc116960894"/>
      <w:bookmarkStart w:id="227" w:name="_Toc118525529"/>
      <w:bookmarkStart w:id="228" w:name="_Toc118525835"/>
      <w:bookmarkStart w:id="229" w:name="_Toc120001211"/>
      <w:bookmarkStart w:id="230" w:name="_Toc139864297"/>
      <w:bookmarkStart w:id="231" w:name="_Toc140029751"/>
      <w:bookmarkStart w:id="232" w:name="_Toc140029819"/>
      <w:bookmarkStart w:id="233" w:name="_Toc147305059"/>
      <w:bookmarkStart w:id="234" w:name="_Toc147313834"/>
      <w:bookmarkStart w:id="235" w:name="_Toc147630439"/>
      <w:bookmarkStart w:id="236" w:name="_Toc147630813"/>
      <w:bookmarkStart w:id="237" w:name="_Toc147631958"/>
      <w:bookmarkStart w:id="238" w:name="_Toc147632027"/>
      <w:bookmarkStart w:id="239" w:name="_Toc157844315"/>
      <w:bookmarkStart w:id="240" w:name="_Toc241051523"/>
      <w:r>
        <w:rPr>
          <w:rStyle w:val="CharPartNo"/>
        </w:rPr>
        <w:t>Part V</w:t>
      </w:r>
      <w:r>
        <w:rPr>
          <w:rStyle w:val="CharDivNo"/>
        </w:rPr>
        <w:t> </w:t>
      </w:r>
      <w:r>
        <w:t>—</w:t>
      </w:r>
      <w:r>
        <w:rPr>
          <w:rStyle w:val="CharDivText"/>
        </w:rPr>
        <w:t> </w:t>
      </w:r>
      <w:r>
        <w:rPr>
          <w:rStyle w:val="CharPartText"/>
        </w:rPr>
        <w:t>Miscellaneous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rPr>
          <w:snapToGrid w:val="0"/>
        </w:rPr>
      </w:pPr>
      <w:bookmarkStart w:id="241" w:name="_Toc95730187"/>
      <w:bookmarkStart w:id="242" w:name="_Toc147630814"/>
      <w:bookmarkStart w:id="243" w:name="_Toc241051524"/>
      <w:r>
        <w:rPr>
          <w:rStyle w:val="CharSectno"/>
        </w:rPr>
        <w:t>44</w:t>
      </w:r>
      <w:r>
        <w:rPr>
          <w:snapToGrid w:val="0"/>
        </w:rPr>
        <w:t>.</w:t>
      </w:r>
      <w:r>
        <w:rPr>
          <w:snapToGrid w:val="0"/>
        </w:rPr>
        <w:tab/>
        <w:t>Inspectors</w:t>
      </w:r>
      <w:bookmarkEnd w:id="241"/>
      <w:bookmarkEnd w:id="242"/>
      <w:bookmarkEnd w:id="243"/>
    </w:p>
    <w:p>
      <w:pPr>
        <w:pStyle w:val="Subsection"/>
        <w:rPr>
          <w:snapToGrid w:val="0"/>
        </w:rPr>
      </w:pPr>
      <w:r>
        <w:rPr>
          <w:snapToGrid w:val="0"/>
        </w:rPr>
        <w:tab/>
        <w:t>(1)</w:t>
      </w:r>
      <w:r>
        <w:rPr>
          <w:snapToGrid w:val="0"/>
        </w:rPr>
        <w:tab/>
        <w:t>The Board may engage or appoint such inspectors as are necessary for the purposes of this Act.</w:t>
      </w:r>
    </w:p>
    <w:p>
      <w:pPr>
        <w:pStyle w:val="Subsection"/>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244" w:name="_Toc95730188"/>
      <w:bookmarkStart w:id="245" w:name="_Toc147630815"/>
      <w:bookmarkStart w:id="246" w:name="_Toc241051525"/>
      <w:r>
        <w:rPr>
          <w:rStyle w:val="CharSectno"/>
        </w:rPr>
        <w:t>45</w:t>
      </w:r>
      <w:r>
        <w:rPr>
          <w:snapToGrid w:val="0"/>
        </w:rPr>
        <w:t>.</w:t>
      </w:r>
      <w:r>
        <w:rPr>
          <w:snapToGrid w:val="0"/>
        </w:rPr>
        <w:tab/>
        <w:t>Power to obtain information and evidence</w:t>
      </w:r>
      <w:bookmarkEnd w:id="244"/>
      <w:bookmarkEnd w:id="245"/>
      <w:bookmarkEnd w:id="246"/>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247" w:name="_Toc95730189"/>
      <w:bookmarkStart w:id="248" w:name="_Toc147630816"/>
      <w:bookmarkStart w:id="249" w:name="_Toc241051526"/>
      <w:r>
        <w:rPr>
          <w:rStyle w:val="CharSectno"/>
        </w:rPr>
        <w:t>46</w:t>
      </w:r>
      <w:r>
        <w:rPr>
          <w:snapToGrid w:val="0"/>
        </w:rPr>
        <w:t>.</w:t>
      </w:r>
      <w:r>
        <w:rPr>
          <w:snapToGrid w:val="0"/>
        </w:rPr>
        <w:tab/>
        <w:t>Access to books etc.</w:t>
      </w:r>
      <w:bookmarkEnd w:id="247"/>
      <w:bookmarkEnd w:id="248"/>
      <w:bookmarkEnd w:id="249"/>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250" w:name="_Toc95730190"/>
      <w:bookmarkStart w:id="251" w:name="_Toc147630817"/>
      <w:bookmarkStart w:id="252" w:name="_Toc241051527"/>
      <w:r>
        <w:rPr>
          <w:rStyle w:val="CharSectno"/>
        </w:rPr>
        <w:t>47</w:t>
      </w:r>
      <w:r>
        <w:rPr>
          <w:snapToGrid w:val="0"/>
        </w:rPr>
        <w:t>.</w:t>
      </w:r>
      <w:r>
        <w:rPr>
          <w:snapToGrid w:val="0"/>
        </w:rPr>
        <w:tab/>
        <w:t>Proceedings for offences against this Act</w:t>
      </w:r>
      <w:bookmarkEnd w:id="250"/>
      <w:bookmarkEnd w:id="251"/>
      <w:bookmarkEnd w:id="252"/>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253" w:name="_Toc95730191"/>
      <w:bookmarkStart w:id="254" w:name="_Toc147630818"/>
      <w:bookmarkStart w:id="255" w:name="_Toc241051528"/>
      <w:r>
        <w:rPr>
          <w:rStyle w:val="CharSectno"/>
        </w:rPr>
        <w:t>48</w:t>
      </w:r>
      <w:r>
        <w:rPr>
          <w:snapToGrid w:val="0"/>
        </w:rPr>
        <w:t>.</w:t>
      </w:r>
      <w:r>
        <w:rPr>
          <w:snapToGrid w:val="0"/>
        </w:rPr>
        <w:tab/>
        <w:t>Institution of proceedings</w:t>
      </w:r>
      <w:bookmarkEnd w:id="253"/>
      <w:bookmarkEnd w:id="254"/>
      <w:bookmarkEnd w:id="255"/>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256" w:name="_Toc95730192"/>
      <w:bookmarkStart w:id="257" w:name="_Toc147630819"/>
      <w:bookmarkStart w:id="258" w:name="_Toc241051529"/>
      <w:r>
        <w:rPr>
          <w:rStyle w:val="CharSectno"/>
        </w:rPr>
        <w:t>49</w:t>
      </w:r>
      <w:r>
        <w:rPr>
          <w:snapToGrid w:val="0"/>
        </w:rPr>
        <w:t>.</w:t>
      </w:r>
      <w:r>
        <w:rPr>
          <w:snapToGrid w:val="0"/>
        </w:rPr>
        <w:tab/>
        <w:t>Evidence</w:t>
      </w:r>
      <w:bookmarkEnd w:id="256"/>
      <w:bookmarkEnd w:id="257"/>
      <w:bookmarkEnd w:id="258"/>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spacing w:before="120"/>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spacing w:before="120"/>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2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12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120"/>
        <w:rPr>
          <w:snapToGrid w:val="0"/>
        </w:rPr>
      </w:pPr>
      <w:r>
        <w:rPr>
          <w:snapToGrid w:val="0"/>
        </w:rPr>
        <w:tab/>
        <w:t>(b)</w:t>
      </w:r>
      <w:r>
        <w:rPr>
          <w:snapToGrid w:val="0"/>
        </w:rPr>
        <w:tab/>
        <w:t>the accused failed or neglected duly to furnish the information as and when required by the chief executive officer,</w:t>
      </w:r>
    </w:p>
    <w:p>
      <w:pPr>
        <w:pStyle w:val="Subsection"/>
        <w:spacing w:before="180"/>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spacing w:before="180"/>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259" w:name="_Toc95730193"/>
      <w:bookmarkStart w:id="260" w:name="_Toc147630820"/>
      <w:bookmarkStart w:id="261" w:name="_Toc241051530"/>
      <w:r>
        <w:rPr>
          <w:rStyle w:val="CharSectno"/>
        </w:rPr>
        <w:t>50</w:t>
      </w:r>
      <w:r>
        <w:rPr>
          <w:snapToGrid w:val="0"/>
        </w:rPr>
        <w:t>.</w:t>
      </w:r>
      <w:r>
        <w:rPr>
          <w:snapToGrid w:val="0"/>
        </w:rPr>
        <w:tab/>
        <w:t>Appeals</w:t>
      </w:r>
      <w:bookmarkEnd w:id="259"/>
      <w:bookmarkEnd w:id="260"/>
      <w:bookmarkEnd w:id="261"/>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262" w:name="_Toc95730194"/>
      <w:bookmarkStart w:id="263" w:name="_Toc147630821"/>
      <w:bookmarkStart w:id="264" w:name="_Toc241051531"/>
      <w:r>
        <w:rPr>
          <w:rStyle w:val="CharSectno"/>
        </w:rPr>
        <w:t>51</w:t>
      </w:r>
      <w:r>
        <w:rPr>
          <w:snapToGrid w:val="0"/>
        </w:rPr>
        <w:t>.</w:t>
      </w:r>
      <w:r>
        <w:rPr>
          <w:snapToGrid w:val="0"/>
        </w:rPr>
        <w:tab/>
        <w:t>Employee accumulating continuous service in more than one capacity</w:t>
      </w:r>
      <w:bookmarkEnd w:id="262"/>
      <w:bookmarkEnd w:id="263"/>
      <w:bookmarkEnd w:id="264"/>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265"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rPr>
          <w:snapToGrid w:val="0"/>
        </w:rPr>
      </w:pPr>
      <w:bookmarkStart w:id="266" w:name="_Toc147630822"/>
      <w:bookmarkStart w:id="267" w:name="_Toc241051532"/>
      <w:r>
        <w:rPr>
          <w:rStyle w:val="CharSectno"/>
        </w:rPr>
        <w:t>52</w:t>
      </w:r>
      <w:r>
        <w:rPr>
          <w:snapToGrid w:val="0"/>
        </w:rPr>
        <w:t>.</w:t>
      </w:r>
      <w:r>
        <w:rPr>
          <w:snapToGrid w:val="0"/>
        </w:rPr>
        <w:tab/>
        <w:t>Obstructing an inspector or other persons</w:t>
      </w:r>
      <w:bookmarkEnd w:id="265"/>
      <w:bookmarkEnd w:id="266"/>
      <w:bookmarkEnd w:id="267"/>
    </w:p>
    <w:p>
      <w:pPr>
        <w:pStyle w:val="Subsection"/>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rPr>
          <w:snapToGrid w:val="0"/>
        </w:rPr>
      </w:pPr>
      <w:bookmarkStart w:id="268" w:name="_Toc95730196"/>
      <w:bookmarkStart w:id="269" w:name="_Toc147630823"/>
      <w:bookmarkStart w:id="270" w:name="_Toc241051533"/>
      <w:r>
        <w:rPr>
          <w:rStyle w:val="CharSectno"/>
        </w:rPr>
        <w:t>53</w:t>
      </w:r>
      <w:r>
        <w:rPr>
          <w:snapToGrid w:val="0"/>
        </w:rPr>
        <w:t>.</w:t>
      </w:r>
      <w:r>
        <w:rPr>
          <w:snapToGrid w:val="0"/>
        </w:rPr>
        <w:tab/>
        <w:t>Protection of persons giving information under this Act</w:t>
      </w:r>
      <w:bookmarkEnd w:id="268"/>
      <w:bookmarkEnd w:id="269"/>
      <w:bookmarkEnd w:id="270"/>
    </w:p>
    <w:p>
      <w:pPr>
        <w:pStyle w:val="Subsection"/>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271" w:name="_Toc95730197"/>
      <w:bookmarkStart w:id="272" w:name="_Toc147630824"/>
      <w:bookmarkStart w:id="273" w:name="_Toc241051534"/>
      <w:r>
        <w:rPr>
          <w:rStyle w:val="CharSectno"/>
        </w:rPr>
        <w:t>54</w:t>
      </w:r>
      <w:r>
        <w:rPr>
          <w:snapToGrid w:val="0"/>
        </w:rPr>
        <w:t>.</w:t>
      </w:r>
      <w:r>
        <w:rPr>
          <w:snapToGrid w:val="0"/>
        </w:rPr>
        <w:tab/>
        <w:t>Secrecy</w:t>
      </w:r>
      <w:bookmarkEnd w:id="271"/>
      <w:bookmarkEnd w:id="272"/>
      <w:bookmarkEnd w:id="273"/>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274" w:name="_Toc95730198"/>
      <w:bookmarkStart w:id="275" w:name="_Toc147630825"/>
      <w:bookmarkStart w:id="276" w:name="_Toc241051535"/>
      <w:r>
        <w:rPr>
          <w:rStyle w:val="CharSectno"/>
        </w:rPr>
        <w:t>55</w:t>
      </w:r>
      <w:r>
        <w:rPr>
          <w:snapToGrid w:val="0"/>
        </w:rPr>
        <w:t>.</w:t>
      </w:r>
      <w:r>
        <w:rPr>
          <w:snapToGrid w:val="0"/>
        </w:rPr>
        <w:tab/>
        <w:t>Effect of other awards or agreements</w:t>
      </w:r>
      <w:bookmarkEnd w:id="274"/>
      <w:bookmarkEnd w:id="275"/>
      <w:bookmarkEnd w:id="276"/>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277" w:name="_Toc147630826"/>
      <w:bookmarkStart w:id="278" w:name="_Toc241051536"/>
      <w:bookmarkStart w:id="279" w:name="_Toc95730199"/>
      <w:r>
        <w:rPr>
          <w:rStyle w:val="CharSectno"/>
        </w:rPr>
        <w:t>56</w:t>
      </w:r>
      <w:r>
        <w:t>.</w:t>
      </w:r>
      <w:r>
        <w:tab/>
        <w:t>Transitional provisions</w:t>
      </w:r>
      <w:bookmarkEnd w:id="277"/>
      <w:bookmarkEnd w:id="278"/>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280" w:name="_Toc147630827"/>
      <w:bookmarkStart w:id="281" w:name="_Toc241051537"/>
      <w:r>
        <w:rPr>
          <w:rStyle w:val="CharSectno"/>
        </w:rPr>
        <w:t>57</w:t>
      </w:r>
      <w:r>
        <w:rPr>
          <w:snapToGrid w:val="0"/>
        </w:rPr>
        <w:t>.</w:t>
      </w:r>
      <w:r>
        <w:rPr>
          <w:snapToGrid w:val="0"/>
        </w:rPr>
        <w:tab/>
        <w:t>Regulations</w:t>
      </w:r>
      <w:bookmarkEnd w:id="279"/>
      <w:bookmarkEnd w:id="280"/>
      <w:bookmarkEnd w:id="281"/>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82" w:name="_Toc95729783"/>
      <w:bookmarkStart w:id="283" w:name="_Toc95729848"/>
      <w:bookmarkStart w:id="284" w:name="_Toc95730200"/>
      <w:bookmarkStart w:id="285" w:name="_Toc116956579"/>
      <w:bookmarkStart w:id="286" w:name="_Toc116956643"/>
      <w:bookmarkStart w:id="287" w:name="_Toc116960908"/>
      <w:bookmarkStart w:id="288" w:name="_Toc118525543"/>
      <w:bookmarkStart w:id="289" w:name="_Toc118525849"/>
      <w:bookmarkStart w:id="290" w:name="_Toc120001225"/>
      <w:bookmarkStart w:id="291" w:name="_Toc139864311"/>
      <w:bookmarkStart w:id="292" w:name="_Toc140029765"/>
      <w:bookmarkStart w:id="293" w:name="_Toc140029833"/>
      <w:bookmarkStart w:id="294" w:name="_Toc147305074"/>
      <w:bookmarkStart w:id="295" w:name="_Toc147313849"/>
      <w:bookmarkStart w:id="296" w:name="_Toc147630454"/>
      <w:bookmarkStart w:id="297" w:name="_Toc147630828"/>
      <w:bookmarkStart w:id="298" w:name="_Toc147631973"/>
      <w:bookmarkStart w:id="299" w:name="_Toc147632042"/>
      <w:bookmarkStart w:id="300" w:name="_Toc157844330"/>
      <w:bookmarkStart w:id="301" w:name="_Toc241051538"/>
      <w:r>
        <w:rPr>
          <w:rStyle w:val="CharSchNo"/>
        </w:rPr>
        <w:t>Schedule</w:t>
      </w:r>
      <w:bookmarkEnd w:id="282"/>
      <w:bookmarkEnd w:id="283"/>
      <w:bookmarkEnd w:id="284"/>
      <w:bookmarkEnd w:id="285"/>
      <w:bookmarkEnd w:id="286"/>
      <w:bookmarkEnd w:id="287"/>
      <w:bookmarkEnd w:id="288"/>
      <w:bookmarkEnd w:id="289"/>
      <w:bookmarkEnd w:id="290"/>
      <w:bookmarkEnd w:id="291"/>
      <w:bookmarkEnd w:id="292"/>
      <w:bookmarkEnd w:id="293"/>
      <w:r>
        <w:rPr>
          <w:b w:val="0"/>
          <w:bCs/>
        </w:rPr>
        <w:t xml:space="preserve"> — </w:t>
      </w:r>
      <w:r>
        <w:rPr>
          <w:rStyle w:val="CharSchText"/>
        </w:rPr>
        <w:t>Transitional provisions</w:t>
      </w:r>
      <w:bookmarkEnd w:id="294"/>
      <w:bookmarkEnd w:id="295"/>
      <w:bookmarkEnd w:id="296"/>
      <w:bookmarkEnd w:id="297"/>
      <w:bookmarkEnd w:id="298"/>
      <w:bookmarkEnd w:id="299"/>
      <w:bookmarkEnd w:id="300"/>
      <w:bookmarkEnd w:id="301"/>
    </w:p>
    <w:p>
      <w:pPr>
        <w:pStyle w:val="yFootnoteheading"/>
        <w:rPr>
          <w:snapToGrid w:val="0"/>
        </w:rPr>
      </w:pPr>
      <w:r>
        <w:rPr>
          <w:snapToGrid w:val="0"/>
        </w:rPr>
        <w:tab/>
        <w:t>[Heading amended by No. 36 of 2006 s. 52.]</w:t>
      </w:r>
    </w:p>
    <w:p>
      <w:pPr>
        <w:pStyle w:val="yShoulderClause"/>
        <w:rPr>
          <w:snapToGrid w:val="0"/>
        </w:rPr>
      </w:pPr>
      <w:r>
        <w:t>[s. 56]</w:t>
      </w:r>
    </w:p>
    <w:p>
      <w:pPr>
        <w:pStyle w:val="yHeading2"/>
        <w:outlineLvl w:val="9"/>
      </w:pPr>
      <w:bookmarkStart w:id="302" w:name="_Toc147305076"/>
      <w:bookmarkStart w:id="303" w:name="_Toc147313851"/>
      <w:bookmarkStart w:id="304" w:name="_Toc147630455"/>
      <w:bookmarkStart w:id="305" w:name="_Toc147630829"/>
      <w:bookmarkStart w:id="306" w:name="_Toc147631974"/>
      <w:bookmarkStart w:id="307" w:name="_Toc147632043"/>
      <w:bookmarkStart w:id="308" w:name="_Toc157844331"/>
      <w:bookmarkStart w:id="309" w:name="_Toc241051539"/>
      <w:r>
        <w:rPr>
          <w:rStyle w:val="CharSDivNo"/>
          <w:snapToGrid/>
        </w:rPr>
        <w:t>Division 1</w:t>
      </w:r>
      <w:r>
        <w:rPr>
          <w:snapToGrid/>
        </w:rPr>
        <w:t> — </w:t>
      </w:r>
      <w:r>
        <w:rPr>
          <w:rStyle w:val="CharSDivText"/>
        </w:rPr>
        <w:t>The appointed day</w:t>
      </w:r>
      <w:bookmarkEnd w:id="302"/>
      <w:bookmarkEnd w:id="303"/>
      <w:bookmarkEnd w:id="304"/>
      <w:bookmarkEnd w:id="305"/>
      <w:bookmarkEnd w:id="306"/>
      <w:bookmarkEnd w:id="307"/>
      <w:bookmarkEnd w:id="308"/>
      <w:bookmarkEnd w:id="309"/>
    </w:p>
    <w:p>
      <w:pPr>
        <w:pStyle w:val="yFootnoteheading"/>
        <w:rPr>
          <w:snapToGrid w:val="0"/>
        </w:rPr>
      </w:pPr>
      <w:r>
        <w:rPr>
          <w:snapToGrid w:val="0"/>
        </w:rPr>
        <w:tab/>
        <w:t>[Heading amended by No. 36 of 2006 s. 52.]</w:t>
      </w:r>
    </w:p>
    <w:p>
      <w:pPr>
        <w:pStyle w:val="yHeading5"/>
        <w:rPr>
          <w:snapToGrid w:val="0"/>
        </w:rPr>
      </w:pPr>
      <w:bookmarkStart w:id="310" w:name="_Toc147630830"/>
      <w:bookmarkStart w:id="311" w:name="_Toc241051540"/>
      <w:r>
        <w:rPr>
          <w:snapToGrid w:val="0"/>
        </w:rPr>
        <w:t>1.</w:t>
      </w:r>
      <w:bookmarkEnd w:id="310"/>
      <w:bookmarkEnd w:id="311"/>
      <w:r>
        <w:rPr>
          <w:snapToGrid w:val="0"/>
        </w:rPr>
        <w:tab/>
      </w:r>
    </w:p>
    <w:p>
      <w:pPr>
        <w:pStyle w:val="ySubsection"/>
        <w:rPr>
          <w:snapToGrid w:val="0"/>
        </w:rPr>
      </w:pPr>
      <w:r>
        <w:rPr>
          <w:snapToGrid w:val="0"/>
        </w:rPr>
        <w:tab/>
      </w:r>
      <w:r>
        <w:rPr>
          <w:snapToGrid w:val="0"/>
        </w:rP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rPr>
          <w:snapToGrid w:val="0"/>
        </w:rPr>
      </w:pPr>
      <w:bookmarkStart w:id="312" w:name="_Toc147630831"/>
      <w:bookmarkStart w:id="313" w:name="_Toc241051541"/>
      <w:r>
        <w:rPr>
          <w:snapToGrid w:val="0"/>
        </w:rPr>
        <w:t>2.</w:t>
      </w:r>
      <w:bookmarkEnd w:id="312"/>
      <w:bookmarkEnd w:id="313"/>
      <w:r>
        <w:rPr>
          <w:snapToGrid w:val="0"/>
        </w:rPr>
        <w:tab/>
      </w:r>
    </w:p>
    <w:p>
      <w:pPr>
        <w:pStyle w:val="ySubsection"/>
        <w:rPr>
          <w:snapToGrid w:val="0"/>
        </w:rPr>
      </w:pPr>
      <w:r>
        <w:rPr>
          <w:snapToGrid w:val="0"/>
        </w:rPr>
        <w:tab/>
        <w:t>(1)</w:t>
      </w:r>
      <w:r>
        <w:rPr>
          <w:snapToGrid w:val="0"/>
        </w:rPr>
        <w:tab/>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Footnotesection"/>
      </w:pPr>
      <w:r>
        <w:tab/>
        <w:t>[Division 1 amended by No. 36 of 2006 s. 52.]</w:t>
      </w:r>
    </w:p>
    <w:p>
      <w:pPr>
        <w:pStyle w:val="yHeading3"/>
        <w:rPr>
          <w:i/>
          <w:iCs/>
        </w:rPr>
      </w:pPr>
      <w:bookmarkStart w:id="314" w:name="_Toc147305079"/>
      <w:bookmarkStart w:id="315" w:name="_Toc147313854"/>
      <w:bookmarkStart w:id="316" w:name="_Toc147630458"/>
      <w:bookmarkStart w:id="317" w:name="_Toc147630832"/>
      <w:bookmarkStart w:id="318" w:name="_Toc147631977"/>
      <w:bookmarkStart w:id="319" w:name="_Toc147632046"/>
      <w:bookmarkStart w:id="320" w:name="_Toc157844334"/>
      <w:bookmarkStart w:id="321" w:name="_Toc241051542"/>
      <w:r>
        <w:rPr>
          <w:rStyle w:val="CharSDivNo"/>
        </w:rPr>
        <w:t>Division 2</w:t>
      </w:r>
      <w:r>
        <w:rPr>
          <w:sz w:val="28"/>
        </w:rPr>
        <w:t> — </w:t>
      </w:r>
      <w:r>
        <w:rPr>
          <w:rStyle w:val="CharSDivText"/>
          <w:snapToGrid w:val="0"/>
        </w:rPr>
        <w:t>The Labour Relations Legislation Amendment Act 2006</w:t>
      </w:r>
      <w:bookmarkEnd w:id="314"/>
      <w:bookmarkEnd w:id="315"/>
      <w:bookmarkEnd w:id="316"/>
      <w:bookmarkEnd w:id="317"/>
      <w:bookmarkEnd w:id="318"/>
      <w:bookmarkEnd w:id="319"/>
      <w:bookmarkEnd w:id="320"/>
      <w:bookmarkEnd w:id="321"/>
    </w:p>
    <w:p>
      <w:pPr>
        <w:pStyle w:val="yFootnoteheading"/>
        <w:rPr>
          <w:snapToGrid w:val="0"/>
        </w:rPr>
      </w:pPr>
      <w:r>
        <w:tab/>
      </w:r>
      <w:r>
        <w:rPr>
          <w:snapToGrid w:val="0"/>
        </w:rPr>
        <w:t>[Heading inserted by No. 36 of 2006 s. 52.]</w:t>
      </w:r>
    </w:p>
    <w:p>
      <w:pPr>
        <w:pStyle w:val="yHeading5"/>
      </w:pPr>
      <w:bookmarkStart w:id="322" w:name="_Toc147630833"/>
      <w:bookmarkStart w:id="323" w:name="_Toc241051543"/>
      <w:r>
        <w:t>3.</w:t>
      </w:r>
      <w:r>
        <w:rPr>
          <w:b w:val="0"/>
        </w:rPr>
        <w:tab/>
      </w:r>
      <w:r>
        <w:t>Service prior to commencement day</w:t>
      </w:r>
      <w:bookmarkEnd w:id="322"/>
      <w:bookmarkEnd w:id="323"/>
    </w:p>
    <w:p>
      <w:pPr>
        <w:pStyle w:val="ySubsection"/>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 xml:space="preserve">if the employee has completed at least 14 years service prior to the commencement </w:t>
      </w:r>
      <w:r>
        <w:br/>
        <w:t>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p>
    <w:p>
      <w:pPr>
        <w:pStyle w:val="yFootnotesection"/>
      </w:pPr>
      <w:r>
        <w:tab/>
        <w:t>[Division 2 inserted by No. 36 of 2006 s. 52.]</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24" w:name="_Toc95729784"/>
      <w:bookmarkStart w:id="325" w:name="_Toc95729849"/>
      <w:bookmarkStart w:id="326" w:name="_Toc95730201"/>
      <w:bookmarkStart w:id="327" w:name="_Toc95730275"/>
      <w:bookmarkStart w:id="328" w:name="_Toc97003762"/>
      <w:bookmarkStart w:id="329" w:name="_Toc102810481"/>
      <w:bookmarkStart w:id="330" w:name="_Toc116956580"/>
      <w:bookmarkStart w:id="331" w:name="_Toc116956644"/>
      <w:bookmarkStart w:id="332" w:name="_Toc116960910"/>
      <w:bookmarkStart w:id="333" w:name="_Toc118525545"/>
      <w:bookmarkStart w:id="334" w:name="_Toc118525851"/>
      <w:bookmarkStart w:id="335" w:name="_Toc120001227"/>
      <w:bookmarkStart w:id="336" w:name="_Toc139864315"/>
      <w:bookmarkStart w:id="337" w:name="_Toc140029769"/>
      <w:bookmarkStart w:id="338" w:name="_Toc140029837"/>
      <w:bookmarkStart w:id="339" w:name="_Toc147305081"/>
      <w:bookmarkStart w:id="340" w:name="_Toc147313856"/>
      <w:bookmarkStart w:id="341" w:name="_Toc147630460"/>
      <w:bookmarkStart w:id="342" w:name="_Toc147630834"/>
      <w:bookmarkStart w:id="343" w:name="_Toc147631979"/>
      <w:bookmarkStart w:id="344" w:name="_Toc147632048"/>
      <w:bookmarkStart w:id="345" w:name="_Toc157844336"/>
      <w:bookmarkStart w:id="346" w:name="_Toc241051544"/>
      <w:r>
        <w:t>Notes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7" w:name="_Toc147630835"/>
      <w:bookmarkStart w:id="348" w:name="_Toc241051545"/>
      <w:r>
        <w:rPr>
          <w:snapToGrid w:val="0"/>
        </w:rPr>
        <w:t>Compilation table</w:t>
      </w:r>
      <w:bookmarkEnd w:id="347"/>
      <w:bookmarkEnd w:id="348"/>
    </w:p>
    <w:tbl>
      <w:tblPr>
        <w:tblW w:w="7057" w:type="dxa"/>
        <w:tblInd w:w="96" w:type="dxa"/>
        <w:tblLayout w:type="fixed"/>
        <w:tblCellMar>
          <w:left w:w="56" w:type="dxa"/>
          <w:right w:w="56" w:type="dxa"/>
        </w:tblCellMar>
        <w:tblLook w:val="0000" w:firstRow="0" w:lastRow="0" w:firstColumn="0" w:lastColumn="0" w:noHBand="0" w:noVBand="0"/>
      </w:tblPr>
      <w:tblGrid>
        <w:gridCol w:w="2186"/>
        <w:gridCol w:w="22"/>
        <w:gridCol w:w="46"/>
        <w:gridCol w:w="1066"/>
        <w:gridCol w:w="62"/>
        <w:gridCol w:w="1128"/>
        <w:gridCol w:w="10"/>
        <w:gridCol w:w="13"/>
        <w:gridCol w:w="2515"/>
        <w:gridCol w:w="9"/>
      </w:tblGrid>
      <w:tr>
        <w:trPr>
          <w:gridAfter w:val="1"/>
          <w:wAfter w:w="9" w:type="dxa"/>
          <w:cantSplit/>
          <w:tblHeader/>
        </w:trPr>
        <w:tc>
          <w:tcPr>
            <w:tcW w:w="2254"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2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8"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cantSplit/>
        </w:trPr>
        <w:tc>
          <w:tcPr>
            <w:tcW w:w="2254" w:type="dxa"/>
            <w:gridSpan w:val="3"/>
          </w:tcPr>
          <w:p>
            <w:pPr>
              <w:pStyle w:val="nTable"/>
              <w:spacing w:after="40"/>
              <w:ind w:right="170"/>
              <w:rPr>
                <w:sz w:val="19"/>
              </w:rPr>
            </w:pPr>
            <w:r>
              <w:rPr>
                <w:i/>
                <w:sz w:val="19"/>
              </w:rPr>
              <w:t>Construction Industry Portable Paid Long Service Leave Act 1985</w:t>
            </w:r>
          </w:p>
        </w:tc>
        <w:tc>
          <w:tcPr>
            <w:tcW w:w="1128" w:type="dxa"/>
            <w:gridSpan w:val="2"/>
          </w:tcPr>
          <w:p>
            <w:pPr>
              <w:pStyle w:val="nTable"/>
              <w:spacing w:after="40"/>
              <w:rPr>
                <w:sz w:val="19"/>
              </w:rPr>
            </w:pPr>
            <w:r>
              <w:rPr>
                <w:sz w:val="19"/>
              </w:rPr>
              <w:t>72 of 1985</w:t>
            </w:r>
          </w:p>
        </w:tc>
        <w:tc>
          <w:tcPr>
            <w:tcW w:w="1128" w:type="dxa"/>
          </w:tcPr>
          <w:p>
            <w:pPr>
              <w:pStyle w:val="nTable"/>
              <w:spacing w:after="40"/>
              <w:rPr>
                <w:sz w:val="19"/>
              </w:rPr>
            </w:pPr>
            <w:r>
              <w:rPr>
                <w:sz w:val="19"/>
              </w:rPr>
              <w:t>13 Dec 1985</w:t>
            </w:r>
          </w:p>
        </w:tc>
        <w:tc>
          <w:tcPr>
            <w:tcW w:w="2538" w:type="dxa"/>
            <w:gridSpan w:val="3"/>
          </w:tcPr>
          <w:p>
            <w:pPr>
              <w:pStyle w:val="nTable"/>
              <w:spacing w:after="40"/>
              <w:rPr>
                <w:sz w:val="19"/>
              </w:rPr>
            </w:pPr>
            <w:r>
              <w:rPr>
                <w:sz w:val="19"/>
              </w:rPr>
              <w:t xml:space="preserve">19 Dec 1986 (see s. 2 and </w:t>
            </w:r>
            <w:r>
              <w:rPr>
                <w:i/>
                <w:sz w:val="19"/>
              </w:rPr>
              <w:t>Gazette</w:t>
            </w:r>
            <w:r>
              <w:rPr>
                <w:sz w:val="19"/>
              </w:rPr>
              <w:t xml:space="preserve"> 19 Dec 1986 p. 4860)</w:t>
            </w:r>
          </w:p>
        </w:tc>
      </w:tr>
      <w:tr>
        <w:trPr>
          <w:gridAfter w:val="1"/>
          <w:wAfter w:w="9" w:type="dxa"/>
          <w:cantSplit/>
        </w:trPr>
        <w:tc>
          <w:tcPr>
            <w:tcW w:w="2254" w:type="dxa"/>
            <w:gridSpan w:val="3"/>
          </w:tcPr>
          <w:p>
            <w:pPr>
              <w:pStyle w:val="nTable"/>
              <w:spacing w:after="40"/>
              <w:ind w:right="170"/>
              <w:rPr>
                <w:sz w:val="19"/>
              </w:rPr>
            </w:pPr>
            <w:r>
              <w:rPr>
                <w:i/>
                <w:sz w:val="19"/>
              </w:rPr>
              <w:t>Act Amendment (Financial Administration and Audit) Act 1986</w:t>
            </w:r>
            <w:r>
              <w:rPr>
                <w:sz w:val="19"/>
              </w:rPr>
              <w:t xml:space="preserve"> s. 4</w:t>
            </w:r>
          </w:p>
        </w:tc>
        <w:tc>
          <w:tcPr>
            <w:tcW w:w="1128" w:type="dxa"/>
            <w:gridSpan w:val="2"/>
          </w:tcPr>
          <w:p>
            <w:pPr>
              <w:pStyle w:val="nTable"/>
              <w:spacing w:after="40"/>
              <w:rPr>
                <w:sz w:val="19"/>
              </w:rPr>
            </w:pPr>
            <w:r>
              <w:rPr>
                <w:sz w:val="19"/>
              </w:rPr>
              <w:t>4 of 1986</w:t>
            </w:r>
          </w:p>
        </w:tc>
        <w:tc>
          <w:tcPr>
            <w:tcW w:w="1128" w:type="dxa"/>
          </w:tcPr>
          <w:p>
            <w:pPr>
              <w:pStyle w:val="nTable"/>
              <w:spacing w:after="40"/>
              <w:rPr>
                <w:sz w:val="19"/>
              </w:rPr>
            </w:pPr>
            <w:r>
              <w:rPr>
                <w:sz w:val="19"/>
              </w:rPr>
              <w:t>27 Jun 1986</w:t>
            </w:r>
          </w:p>
        </w:tc>
        <w:tc>
          <w:tcPr>
            <w:tcW w:w="2538" w:type="dxa"/>
            <w:gridSpan w:val="3"/>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gridAfter w:val="1"/>
          <w:wAfter w:w="9" w:type="dxa"/>
          <w:cantSplit/>
        </w:trPr>
        <w:tc>
          <w:tcPr>
            <w:tcW w:w="2254" w:type="dxa"/>
            <w:gridSpan w:val="3"/>
          </w:tcPr>
          <w:p>
            <w:pPr>
              <w:pStyle w:val="nTable"/>
              <w:spacing w:after="40"/>
              <w:ind w:right="170"/>
              <w:rPr>
                <w:sz w:val="19"/>
              </w:rPr>
            </w:pPr>
            <w:r>
              <w:rPr>
                <w:i/>
                <w:sz w:val="19"/>
              </w:rPr>
              <w:t>Construction Industry Portable Paid Long Service Leave Amendment Act 1989</w:t>
            </w:r>
            <w:r>
              <w:rPr>
                <w:iCs/>
                <w:sz w:val="19"/>
                <w:vertAlign w:val="superscript"/>
              </w:rPr>
              <w:t> 4</w:t>
            </w:r>
          </w:p>
        </w:tc>
        <w:tc>
          <w:tcPr>
            <w:tcW w:w="1128" w:type="dxa"/>
            <w:gridSpan w:val="2"/>
          </w:tcPr>
          <w:p>
            <w:pPr>
              <w:pStyle w:val="nTable"/>
              <w:spacing w:after="40"/>
              <w:rPr>
                <w:sz w:val="19"/>
              </w:rPr>
            </w:pPr>
            <w:r>
              <w:rPr>
                <w:sz w:val="19"/>
              </w:rPr>
              <w:t>30 of 1989</w:t>
            </w:r>
          </w:p>
        </w:tc>
        <w:tc>
          <w:tcPr>
            <w:tcW w:w="1128" w:type="dxa"/>
          </w:tcPr>
          <w:p>
            <w:pPr>
              <w:pStyle w:val="nTable"/>
              <w:spacing w:after="40"/>
              <w:rPr>
                <w:sz w:val="19"/>
              </w:rPr>
            </w:pPr>
            <w:r>
              <w:rPr>
                <w:sz w:val="19"/>
              </w:rPr>
              <w:t>12 Dec 1989</w:t>
            </w:r>
          </w:p>
        </w:tc>
        <w:tc>
          <w:tcPr>
            <w:tcW w:w="2538" w:type="dxa"/>
            <w:gridSpan w:val="3"/>
          </w:tcPr>
          <w:p>
            <w:pPr>
              <w:pStyle w:val="nTable"/>
              <w:spacing w:after="40"/>
              <w:rPr>
                <w:sz w:val="19"/>
              </w:rPr>
            </w:pPr>
            <w:r>
              <w:rPr>
                <w:sz w:val="19"/>
              </w:rPr>
              <w:t xml:space="preserve">29 Dec 1989 (see s. 2 and </w:t>
            </w:r>
            <w:r>
              <w:rPr>
                <w:i/>
                <w:sz w:val="19"/>
              </w:rPr>
              <w:t>Gazette</w:t>
            </w:r>
            <w:r>
              <w:rPr>
                <w:sz w:val="19"/>
              </w:rPr>
              <w:t xml:space="preserve"> 29 Dec 1989 p. 4665)</w:t>
            </w:r>
          </w:p>
        </w:tc>
      </w:tr>
      <w:tr>
        <w:trPr>
          <w:gridAfter w:val="1"/>
          <w:wAfter w:w="9" w:type="dxa"/>
          <w:cantSplit/>
        </w:trPr>
        <w:tc>
          <w:tcPr>
            <w:tcW w:w="2254" w:type="dxa"/>
            <w:gridSpan w:val="3"/>
          </w:tcPr>
          <w:p>
            <w:pPr>
              <w:pStyle w:val="nTable"/>
              <w:spacing w:after="40"/>
              <w:ind w:right="170"/>
              <w:rPr>
                <w:sz w:val="19"/>
              </w:rPr>
            </w:pPr>
            <w:r>
              <w:rPr>
                <w:i/>
                <w:sz w:val="19"/>
              </w:rPr>
              <w:t>Financial Administration Legislation Amendment Act 1993</w:t>
            </w:r>
            <w:r>
              <w:rPr>
                <w:sz w:val="19"/>
              </w:rPr>
              <w:t xml:space="preserve"> s. 11</w:t>
            </w:r>
          </w:p>
        </w:tc>
        <w:tc>
          <w:tcPr>
            <w:tcW w:w="1128" w:type="dxa"/>
            <w:gridSpan w:val="2"/>
          </w:tcPr>
          <w:p>
            <w:pPr>
              <w:pStyle w:val="nTable"/>
              <w:spacing w:after="40"/>
              <w:rPr>
                <w:sz w:val="19"/>
              </w:rPr>
            </w:pPr>
            <w:r>
              <w:rPr>
                <w:sz w:val="19"/>
              </w:rPr>
              <w:t>6 of 1993</w:t>
            </w:r>
          </w:p>
        </w:tc>
        <w:tc>
          <w:tcPr>
            <w:tcW w:w="1128" w:type="dxa"/>
          </w:tcPr>
          <w:p>
            <w:pPr>
              <w:pStyle w:val="nTable"/>
              <w:spacing w:after="40"/>
              <w:rPr>
                <w:sz w:val="19"/>
              </w:rPr>
            </w:pPr>
            <w:r>
              <w:rPr>
                <w:sz w:val="19"/>
              </w:rPr>
              <w:t>27 Aug 1993</w:t>
            </w:r>
          </w:p>
        </w:tc>
        <w:tc>
          <w:tcPr>
            <w:tcW w:w="2538" w:type="dxa"/>
            <w:gridSpan w:val="3"/>
          </w:tcPr>
          <w:p>
            <w:pPr>
              <w:pStyle w:val="nTable"/>
              <w:spacing w:after="40"/>
              <w:rPr>
                <w:sz w:val="19"/>
              </w:rPr>
            </w:pPr>
            <w:r>
              <w:rPr>
                <w:sz w:val="19"/>
              </w:rPr>
              <w:t>1 Jul 1993 (see s. 2(1))</w:t>
            </w:r>
          </w:p>
        </w:tc>
      </w:tr>
      <w:tr>
        <w:trPr>
          <w:gridAfter w:val="1"/>
          <w:wAfter w:w="9" w:type="dxa"/>
          <w:cantSplit/>
        </w:trPr>
        <w:tc>
          <w:tcPr>
            <w:tcW w:w="2254" w:type="dxa"/>
            <w:gridSpan w:val="3"/>
          </w:tcPr>
          <w:p>
            <w:pPr>
              <w:pStyle w:val="nTable"/>
              <w:spacing w:after="40"/>
              <w:ind w:right="170"/>
              <w:rPr>
                <w:sz w:val="19"/>
              </w:rPr>
            </w:pPr>
            <w:r>
              <w:rPr>
                <w:i/>
                <w:sz w:val="19"/>
              </w:rPr>
              <w:t>Acts Amendment (Public Sector Management) Act 1994</w:t>
            </w:r>
            <w:r>
              <w:rPr>
                <w:sz w:val="19"/>
              </w:rPr>
              <w:t xml:space="preserve"> s. 3(2)</w:t>
            </w:r>
          </w:p>
        </w:tc>
        <w:tc>
          <w:tcPr>
            <w:tcW w:w="1128" w:type="dxa"/>
            <w:gridSpan w:val="2"/>
          </w:tcPr>
          <w:p>
            <w:pPr>
              <w:pStyle w:val="nTable"/>
              <w:spacing w:after="40"/>
              <w:rPr>
                <w:sz w:val="19"/>
              </w:rPr>
            </w:pPr>
            <w:r>
              <w:rPr>
                <w:sz w:val="19"/>
              </w:rPr>
              <w:t>32 of 1994</w:t>
            </w:r>
          </w:p>
        </w:tc>
        <w:tc>
          <w:tcPr>
            <w:tcW w:w="1128" w:type="dxa"/>
          </w:tcPr>
          <w:p>
            <w:pPr>
              <w:pStyle w:val="nTable"/>
              <w:spacing w:after="40"/>
              <w:rPr>
                <w:sz w:val="19"/>
              </w:rPr>
            </w:pPr>
            <w:r>
              <w:rPr>
                <w:sz w:val="19"/>
              </w:rPr>
              <w:t>29 Jun 1994</w:t>
            </w:r>
          </w:p>
        </w:tc>
        <w:tc>
          <w:tcPr>
            <w:tcW w:w="2538"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9" w:type="dxa"/>
          <w:cantSplit/>
        </w:trPr>
        <w:tc>
          <w:tcPr>
            <w:tcW w:w="2254" w:type="dxa"/>
            <w:gridSpan w:val="3"/>
          </w:tcPr>
          <w:p>
            <w:pPr>
              <w:pStyle w:val="nTable"/>
              <w:spacing w:after="40"/>
              <w:ind w:right="170"/>
              <w:rPr>
                <w:sz w:val="19"/>
              </w:rPr>
            </w:pPr>
            <w:r>
              <w:rPr>
                <w:i/>
                <w:sz w:val="19"/>
              </w:rPr>
              <w:t>Local Government (Consequential Amendments) Act 1996</w:t>
            </w:r>
            <w:r>
              <w:rPr>
                <w:sz w:val="19"/>
              </w:rPr>
              <w:t xml:space="preserve"> s. 4</w:t>
            </w:r>
          </w:p>
        </w:tc>
        <w:tc>
          <w:tcPr>
            <w:tcW w:w="1128" w:type="dxa"/>
            <w:gridSpan w:val="2"/>
          </w:tcPr>
          <w:p>
            <w:pPr>
              <w:pStyle w:val="nTable"/>
              <w:spacing w:after="40"/>
              <w:rPr>
                <w:sz w:val="19"/>
              </w:rPr>
            </w:pPr>
            <w:r>
              <w:rPr>
                <w:sz w:val="19"/>
              </w:rPr>
              <w:t>14 of 1996</w:t>
            </w:r>
          </w:p>
        </w:tc>
        <w:tc>
          <w:tcPr>
            <w:tcW w:w="1128" w:type="dxa"/>
          </w:tcPr>
          <w:p>
            <w:pPr>
              <w:pStyle w:val="nTable"/>
              <w:spacing w:after="40"/>
              <w:rPr>
                <w:sz w:val="19"/>
              </w:rPr>
            </w:pPr>
            <w:r>
              <w:rPr>
                <w:sz w:val="19"/>
              </w:rPr>
              <w:t>28 Jun 1996</w:t>
            </w:r>
          </w:p>
        </w:tc>
        <w:tc>
          <w:tcPr>
            <w:tcW w:w="2538" w:type="dxa"/>
            <w:gridSpan w:val="3"/>
          </w:tcPr>
          <w:p>
            <w:pPr>
              <w:pStyle w:val="nTable"/>
              <w:spacing w:after="40"/>
              <w:rPr>
                <w:sz w:val="19"/>
              </w:rPr>
            </w:pPr>
            <w:r>
              <w:rPr>
                <w:sz w:val="19"/>
              </w:rPr>
              <w:t>1 Jul 1996 (see s. 2)</w:t>
            </w:r>
          </w:p>
        </w:tc>
      </w:tr>
      <w:tr>
        <w:trPr>
          <w:gridAfter w:val="1"/>
          <w:wAfter w:w="9" w:type="dxa"/>
          <w:cantSplit/>
        </w:trPr>
        <w:tc>
          <w:tcPr>
            <w:tcW w:w="2254" w:type="dxa"/>
            <w:gridSpan w:val="3"/>
          </w:tcPr>
          <w:p>
            <w:pPr>
              <w:pStyle w:val="nTable"/>
              <w:spacing w:after="40"/>
              <w:ind w:right="170"/>
              <w:rPr>
                <w:sz w:val="19"/>
              </w:rPr>
            </w:pPr>
            <w:r>
              <w:rPr>
                <w:i/>
                <w:sz w:val="19"/>
              </w:rPr>
              <w:t>Financial Legislation Amendment Act 1996</w:t>
            </w:r>
            <w:r>
              <w:rPr>
                <w:sz w:val="19"/>
              </w:rPr>
              <w:t xml:space="preserve"> s. 64</w:t>
            </w:r>
          </w:p>
        </w:tc>
        <w:tc>
          <w:tcPr>
            <w:tcW w:w="1128" w:type="dxa"/>
            <w:gridSpan w:val="2"/>
          </w:tcPr>
          <w:p>
            <w:pPr>
              <w:pStyle w:val="nTable"/>
              <w:keepNext/>
              <w:spacing w:after="40"/>
              <w:rPr>
                <w:sz w:val="19"/>
              </w:rPr>
            </w:pPr>
            <w:r>
              <w:rPr>
                <w:sz w:val="19"/>
              </w:rPr>
              <w:t>49 of 1996</w:t>
            </w:r>
          </w:p>
        </w:tc>
        <w:tc>
          <w:tcPr>
            <w:tcW w:w="1128" w:type="dxa"/>
          </w:tcPr>
          <w:p>
            <w:pPr>
              <w:pStyle w:val="nTable"/>
              <w:spacing w:after="40"/>
              <w:rPr>
                <w:sz w:val="19"/>
              </w:rPr>
            </w:pPr>
            <w:r>
              <w:rPr>
                <w:sz w:val="19"/>
              </w:rPr>
              <w:t>25 Oct 1996</w:t>
            </w:r>
          </w:p>
        </w:tc>
        <w:tc>
          <w:tcPr>
            <w:tcW w:w="2538" w:type="dxa"/>
            <w:gridSpan w:val="3"/>
          </w:tcPr>
          <w:p>
            <w:pPr>
              <w:pStyle w:val="nTable"/>
              <w:spacing w:after="40"/>
              <w:rPr>
                <w:sz w:val="19"/>
              </w:rPr>
            </w:pPr>
            <w:r>
              <w:rPr>
                <w:sz w:val="19"/>
              </w:rPr>
              <w:t>25 Oct 1996 (see s. 2(1))</w:t>
            </w:r>
          </w:p>
        </w:tc>
      </w:tr>
      <w:tr>
        <w:trPr>
          <w:gridAfter w:val="1"/>
          <w:wAfter w:w="9" w:type="dxa"/>
          <w:cantSplit/>
        </w:trPr>
        <w:tc>
          <w:tcPr>
            <w:tcW w:w="2254" w:type="dxa"/>
            <w:gridSpan w:val="3"/>
          </w:tcPr>
          <w:p>
            <w:pPr>
              <w:pStyle w:val="nTable"/>
              <w:spacing w:after="40"/>
              <w:ind w:right="170"/>
              <w:rPr>
                <w:sz w:val="19"/>
              </w:rPr>
            </w:pPr>
            <w:r>
              <w:rPr>
                <w:i/>
                <w:sz w:val="19"/>
              </w:rPr>
              <w:t>Trustees Amendment Act 1997</w:t>
            </w:r>
            <w:r>
              <w:rPr>
                <w:sz w:val="19"/>
              </w:rPr>
              <w:t xml:space="preserve"> s. 18</w:t>
            </w:r>
          </w:p>
        </w:tc>
        <w:tc>
          <w:tcPr>
            <w:tcW w:w="1128" w:type="dxa"/>
            <w:gridSpan w:val="2"/>
          </w:tcPr>
          <w:p>
            <w:pPr>
              <w:pStyle w:val="nTable"/>
              <w:spacing w:after="40"/>
              <w:rPr>
                <w:sz w:val="19"/>
              </w:rPr>
            </w:pPr>
            <w:r>
              <w:rPr>
                <w:sz w:val="19"/>
              </w:rPr>
              <w:t>1 of 1997</w:t>
            </w:r>
          </w:p>
        </w:tc>
        <w:tc>
          <w:tcPr>
            <w:tcW w:w="1128" w:type="dxa"/>
          </w:tcPr>
          <w:p>
            <w:pPr>
              <w:pStyle w:val="nTable"/>
              <w:spacing w:after="40"/>
              <w:rPr>
                <w:sz w:val="19"/>
              </w:rPr>
            </w:pPr>
            <w:r>
              <w:rPr>
                <w:sz w:val="19"/>
              </w:rPr>
              <w:t>6 May 1997</w:t>
            </w:r>
          </w:p>
        </w:tc>
        <w:tc>
          <w:tcPr>
            <w:tcW w:w="2538" w:type="dxa"/>
            <w:gridSpan w:val="3"/>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9" w:type="dxa"/>
          <w:cantSplit/>
        </w:trPr>
        <w:tc>
          <w:tcPr>
            <w:tcW w:w="2254" w:type="dxa"/>
            <w:gridSpan w:val="3"/>
          </w:tcPr>
          <w:p>
            <w:pPr>
              <w:pStyle w:val="nTable"/>
              <w:spacing w:after="40"/>
              <w:ind w:right="170"/>
              <w:rPr>
                <w:sz w:val="19"/>
              </w:rPr>
            </w:pPr>
            <w:r>
              <w:rPr>
                <w:i/>
                <w:sz w:val="19"/>
              </w:rPr>
              <w:t>Statutes (Repeals and Minor Amendments) Act 1997</w:t>
            </w:r>
            <w:r>
              <w:rPr>
                <w:sz w:val="19"/>
              </w:rPr>
              <w:t xml:space="preserve"> s. 38</w:t>
            </w:r>
          </w:p>
        </w:tc>
        <w:tc>
          <w:tcPr>
            <w:tcW w:w="1128" w:type="dxa"/>
            <w:gridSpan w:val="2"/>
          </w:tcPr>
          <w:p>
            <w:pPr>
              <w:pStyle w:val="nTable"/>
              <w:spacing w:after="40"/>
              <w:rPr>
                <w:sz w:val="19"/>
              </w:rPr>
            </w:pPr>
            <w:r>
              <w:rPr>
                <w:sz w:val="19"/>
              </w:rPr>
              <w:t>57 of 1997</w:t>
            </w:r>
          </w:p>
        </w:tc>
        <w:tc>
          <w:tcPr>
            <w:tcW w:w="1128" w:type="dxa"/>
          </w:tcPr>
          <w:p>
            <w:pPr>
              <w:pStyle w:val="nTable"/>
              <w:spacing w:after="40"/>
              <w:rPr>
                <w:sz w:val="19"/>
              </w:rPr>
            </w:pPr>
            <w:r>
              <w:rPr>
                <w:sz w:val="19"/>
              </w:rPr>
              <w:t>15 Dec 1997</w:t>
            </w:r>
          </w:p>
        </w:tc>
        <w:tc>
          <w:tcPr>
            <w:tcW w:w="2538" w:type="dxa"/>
            <w:gridSpan w:val="3"/>
          </w:tcPr>
          <w:p>
            <w:pPr>
              <w:pStyle w:val="nTable"/>
              <w:spacing w:after="40"/>
              <w:rPr>
                <w:sz w:val="19"/>
              </w:rPr>
            </w:pPr>
            <w:r>
              <w:rPr>
                <w:sz w:val="19"/>
              </w:rPr>
              <w:t>15 Dec 1997 (see s. 2(1))</w:t>
            </w:r>
          </w:p>
        </w:tc>
      </w:tr>
      <w:tr>
        <w:trPr>
          <w:gridAfter w:val="1"/>
          <w:wAfter w:w="9" w:type="dxa"/>
          <w:cantSplit/>
        </w:trPr>
        <w:tc>
          <w:tcPr>
            <w:tcW w:w="7048" w:type="dxa"/>
            <w:gridSpan w:val="9"/>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gridAfter w:val="1"/>
          <w:wAfter w:w="9" w:type="dxa"/>
          <w:cantSplit/>
        </w:trPr>
        <w:tc>
          <w:tcPr>
            <w:tcW w:w="2254" w:type="dxa"/>
            <w:gridSpan w:val="3"/>
          </w:tcPr>
          <w:p>
            <w:pPr>
              <w:pStyle w:val="nTable"/>
              <w:spacing w:after="40"/>
              <w:ind w:right="170"/>
              <w:rPr>
                <w:i/>
                <w:sz w:val="19"/>
              </w:rPr>
            </w:pPr>
            <w:r>
              <w:rPr>
                <w:i/>
                <w:sz w:val="19"/>
              </w:rPr>
              <w:t xml:space="preserve">Corporations (Consequential Amendments) Act 2001 </w:t>
            </w:r>
            <w:r>
              <w:rPr>
                <w:sz w:val="19"/>
              </w:rPr>
              <w:t>Pt. 14</w:t>
            </w:r>
          </w:p>
        </w:tc>
        <w:tc>
          <w:tcPr>
            <w:tcW w:w="1128" w:type="dxa"/>
            <w:gridSpan w:val="2"/>
          </w:tcPr>
          <w:p>
            <w:pPr>
              <w:pStyle w:val="nTable"/>
              <w:spacing w:after="40"/>
              <w:rPr>
                <w:sz w:val="19"/>
              </w:rPr>
            </w:pPr>
            <w:r>
              <w:rPr>
                <w:sz w:val="19"/>
              </w:rPr>
              <w:t>10 of 2001</w:t>
            </w:r>
          </w:p>
        </w:tc>
        <w:tc>
          <w:tcPr>
            <w:tcW w:w="1128" w:type="dxa"/>
          </w:tcPr>
          <w:p>
            <w:pPr>
              <w:pStyle w:val="nTable"/>
              <w:spacing w:after="40"/>
              <w:rPr>
                <w:sz w:val="19"/>
              </w:rPr>
            </w:pPr>
            <w:r>
              <w:rPr>
                <w:sz w:val="19"/>
              </w:rPr>
              <w:t>28 Jun 2001</w:t>
            </w:r>
          </w:p>
        </w:tc>
        <w:tc>
          <w:tcPr>
            <w:tcW w:w="2538"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9" w:type="dxa"/>
          <w:cantSplit/>
        </w:trPr>
        <w:tc>
          <w:tcPr>
            <w:tcW w:w="2254" w:type="dxa"/>
            <w:gridSpan w:val="3"/>
          </w:tcPr>
          <w:p>
            <w:pPr>
              <w:pStyle w:val="nTable"/>
              <w:spacing w:after="40"/>
              <w:ind w:right="170"/>
              <w:rPr>
                <w:i/>
                <w:sz w:val="19"/>
              </w:rPr>
            </w:pPr>
            <w:r>
              <w:rPr>
                <w:i/>
                <w:sz w:val="19"/>
              </w:rPr>
              <w:t xml:space="preserve">Acts Amendment (Equality of Status) Act 2003 </w:t>
            </w:r>
            <w:r>
              <w:rPr>
                <w:sz w:val="19"/>
              </w:rPr>
              <w:t>Pt. 7</w:t>
            </w:r>
          </w:p>
        </w:tc>
        <w:tc>
          <w:tcPr>
            <w:tcW w:w="1128" w:type="dxa"/>
            <w:gridSpan w:val="2"/>
          </w:tcPr>
          <w:p>
            <w:pPr>
              <w:pStyle w:val="nTable"/>
              <w:spacing w:after="40"/>
              <w:rPr>
                <w:sz w:val="19"/>
              </w:rPr>
            </w:pPr>
            <w:r>
              <w:rPr>
                <w:sz w:val="19"/>
              </w:rPr>
              <w:t>28 of 2003</w:t>
            </w:r>
          </w:p>
        </w:tc>
        <w:tc>
          <w:tcPr>
            <w:tcW w:w="1128" w:type="dxa"/>
          </w:tcPr>
          <w:p>
            <w:pPr>
              <w:pStyle w:val="nTable"/>
              <w:spacing w:after="40"/>
              <w:rPr>
                <w:sz w:val="19"/>
              </w:rPr>
            </w:pPr>
            <w:r>
              <w:rPr>
                <w:sz w:val="19"/>
              </w:rPr>
              <w:t>22 May 2003</w:t>
            </w:r>
          </w:p>
        </w:tc>
        <w:tc>
          <w:tcPr>
            <w:tcW w:w="2538"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9" w:type="dxa"/>
          <w:cantSplit/>
        </w:trPr>
        <w:tc>
          <w:tcPr>
            <w:tcW w:w="2254" w:type="dxa"/>
            <w:gridSpan w:val="3"/>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28" w:type="dxa"/>
            <w:gridSpan w:val="2"/>
          </w:tcPr>
          <w:p>
            <w:pPr>
              <w:pStyle w:val="nTable"/>
              <w:spacing w:after="40"/>
              <w:rPr>
                <w:sz w:val="19"/>
              </w:rPr>
            </w:pPr>
            <w:r>
              <w:rPr>
                <w:snapToGrid w:val="0"/>
                <w:sz w:val="19"/>
                <w:lang w:val="en-US"/>
              </w:rPr>
              <w:t>84 of 2004</w:t>
            </w:r>
          </w:p>
        </w:tc>
        <w:tc>
          <w:tcPr>
            <w:tcW w:w="1128" w:type="dxa"/>
          </w:tcPr>
          <w:p>
            <w:pPr>
              <w:pStyle w:val="nTable"/>
              <w:spacing w:after="40"/>
              <w:rPr>
                <w:sz w:val="19"/>
              </w:rPr>
            </w:pPr>
            <w:r>
              <w:rPr>
                <w:sz w:val="19"/>
              </w:rPr>
              <w:t>16 Dec 2004</w:t>
            </w:r>
          </w:p>
        </w:tc>
        <w:tc>
          <w:tcPr>
            <w:tcW w:w="2538"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9" w:type="dxa"/>
          <w:cantSplit/>
        </w:trPr>
        <w:tc>
          <w:tcPr>
            <w:tcW w:w="7048" w:type="dxa"/>
            <w:gridSpan w:val="9"/>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rPr>
          <w:gridAfter w:val="1"/>
          <w:wAfter w:w="9" w:type="dxa"/>
        </w:trPr>
        <w:tc>
          <w:tcPr>
            <w:tcW w:w="2208" w:type="dxa"/>
            <w:gridSpan w:val="2"/>
            <w:tcBorders>
              <w:top w:val="nil"/>
              <w:bottom w:val="nil"/>
            </w:tcBorders>
          </w:tcPr>
          <w:p>
            <w:pPr>
              <w:pStyle w:val="nTable"/>
              <w:rPr>
                <w:snapToGrid w:val="0"/>
                <w:sz w:val="19"/>
                <w:lang w:val="en-US"/>
              </w:rPr>
            </w:pPr>
            <w:r>
              <w:rPr>
                <w:i/>
                <w:snapToGrid w:val="0"/>
                <w:sz w:val="19"/>
                <w:lang w:val="en-US"/>
              </w:rPr>
              <w:t>Labour Relations Legislation Amendment Act 2006</w:t>
            </w:r>
            <w:r>
              <w:rPr>
                <w:iCs/>
                <w:snapToGrid w:val="0"/>
                <w:sz w:val="19"/>
                <w:lang w:val="en-US"/>
              </w:rPr>
              <w:t xml:space="preserve"> Pt. 7 Div. 1</w:t>
            </w:r>
          </w:p>
        </w:tc>
        <w:tc>
          <w:tcPr>
            <w:tcW w:w="1112" w:type="dxa"/>
            <w:gridSpan w:val="2"/>
            <w:tcBorders>
              <w:top w:val="nil"/>
              <w:bottom w:val="nil"/>
            </w:tcBorders>
          </w:tcPr>
          <w:p>
            <w:pPr>
              <w:pStyle w:val="nTable"/>
              <w:rPr>
                <w:snapToGrid w:val="0"/>
                <w:sz w:val="19"/>
                <w:lang w:val="en-US"/>
              </w:rPr>
            </w:pPr>
            <w:r>
              <w:rPr>
                <w:snapToGrid w:val="0"/>
                <w:sz w:val="19"/>
                <w:lang w:val="en-US"/>
              </w:rPr>
              <w:t>36 of 2006</w:t>
            </w:r>
          </w:p>
        </w:tc>
        <w:tc>
          <w:tcPr>
            <w:tcW w:w="1213" w:type="dxa"/>
            <w:gridSpan w:val="4"/>
            <w:tcBorders>
              <w:top w:val="nil"/>
              <w:bottom w:val="nil"/>
            </w:tcBorders>
          </w:tcPr>
          <w:p>
            <w:pPr>
              <w:pStyle w:val="nTable"/>
              <w:rPr>
                <w:snapToGrid w:val="0"/>
                <w:sz w:val="19"/>
                <w:lang w:val="en-US"/>
              </w:rPr>
            </w:pPr>
            <w:r>
              <w:rPr>
                <w:snapToGrid w:val="0"/>
                <w:sz w:val="19"/>
                <w:lang w:val="en-US"/>
              </w:rPr>
              <w:t>4 Jul 2006</w:t>
            </w:r>
          </w:p>
        </w:tc>
        <w:tc>
          <w:tcPr>
            <w:tcW w:w="2515" w:type="dxa"/>
            <w:tcBorders>
              <w:top w:val="nil"/>
              <w:bottom w:val="nil"/>
            </w:tcBorders>
          </w:tcPr>
          <w:p>
            <w:pPr>
              <w:pStyle w:val="nTable"/>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CellMar>
            <w:left w:w="108" w:type="dxa"/>
            <w:right w:w="108" w:type="dxa"/>
          </w:tblCellMar>
        </w:tblPrEx>
        <w:trPr>
          <w:gridAfter w:val="1"/>
          <w:wAfter w:w="9" w:type="dxa"/>
        </w:trPr>
        <w:tc>
          <w:tcPr>
            <w:tcW w:w="2208" w:type="dxa"/>
            <w:gridSpan w:val="2"/>
            <w:tcBorders>
              <w:top w:val="nil"/>
              <w:bottom w:val="nil"/>
            </w:tcBorders>
          </w:tcPr>
          <w:p>
            <w:pPr>
              <w:pStyle w:val="nTable"/>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12" w:type="dxa"/>
            <w:gridSpan w:val="2"/>
            <w:tcBorders>
              <w:top w:val="nil"/>
              <w:bottom w:val="nil"/>
            </w:tcBorders>
          </w:tcPr>
          <w:p>
            <w:pPr>
              <w:pStyle w:val="nTable"/>
              <w:rPr>
                <w:snapToGrid w:val="0"/>
                <w:sz w:val="19"/>
                <w:lang w:val="en-US"/>
              </w:rPr>
            </w:pPr>
            <w:r>
              <w:rPr>
                <w:snapToGrid w:val="0"/>
                <w:sz w:val="19"/>
                <w:lang w:val="en-US"/>
              </w:rPr>
              <w:t xml:space="preserve">77 of 2006 </w:t>
            </w:r>
          </w:p>
        </w:tc>
        <w:tc>
          <w:tcPr>
            <w:tcW w:w="1213" w:type="dxa"/>
            <w:gridSpan w:val="4"/>
            <w:tcBorders>
              <w:top w:val="nil"/>
              <w:bottom w:val="nil"/>
            </w:tcBorders>
          </w:tcPr>
          <w:p>
            <w:pPr>
              <w:pStyle w:val="nTable"/>
              <w:rPr>
                <w:snapToGrid w:val="0"/>
                <w:sz w:val="19"/>
                <w:lang w:val="en-US"/>
              </w:rPr>
            </w:pPr>
            <w:r>
              <w:rPr>
                <w:snapToGrid w:val="0"/>
                <w:sz w:val="19"/>
                <w:lang w:val="en-US"/>
              </w:rPr>
              <w:t>21 Dec 2006</w:t>
            </w:r>
          </w:p>
        </w:tc>
        <w:tc>
          <w:tcPr>
            <w:tcW w:w="2515" w:type="dxa"/>
            <w:tcBorders>
              <w:top w:val="nil"/>
              <w:bottom w:val="nil"/>
            </w:tcBorders>
          </w:tcPr>
          <w:p>
            <w:pPr>
              <w:pStyle w:val="nTable"/>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CellMar>
            <w:left w:w="108" w:type="dxa"/>
            <w:right w:w="108" w:type="dxa"/>
          </w:tblCellMar>
        </w:tblPrEx>
        <w:trPr>
          <w:gridAfter w:val="1"/>
          <w:wAfter w:w="9" w:type="dxa"/>
        </w:trPr>
        <w:tc>
          <w:tcPr>
            <w:tcW w:w="2208" w:type="dxa"/>
            <w:gridSpan w:val="2"/>
            <w:tcBorders>
              <w:top w:val="nil"/>
              <w:bottom w:val="nil"/>
            </w:tcBorders>
          </w:tcPr>
          <w:p>
            <w:pPr>
              <w:pStyle w:val="nTable"/>
              <w:rPr>
                <w:i/>
                <w:snapToGrid w:val="0"/>
                <w:sz w:val="19"/>
                <w:lang w:val="en-US"/>
              </w:rPr>
            </w:pPr>
            <w:r>
              <w:rPr>
                <w:i/>
                <w:sz w:val="19"/>
              </w:rPr>
              <w:t>Statutes (Repeals and Miscellaneous Amendments) Act 2009</w:t>
            </w:r>
            <w:r>
              <w:rPr>
                <w:iCs/>
                <w:sz w:val="19"/>
              </w:rPr>
              <w:t xml:space="preserve"> s. 39</w:t>
            </w:r>
          </w:p>
        </w:tc>
        <w:tc>
          <w:tcPr>
            <w:tcW w:w="1112" w:type="dxa"/>
            <w:gridSpan w:val="2"/>
            <w:tcBorders>
              <w:top w:val="nil"/>
              <w:bottom w:val="nil"/>
            </w:tcBorders>
          </w:tcPr>
          <w:p>
            <w:pPr>
              <w:pStyle w:val="nTable"/>
              <w:rPr>
                <w:snapToGrid w:val="0"/>
                <w:sz w:val="19"/>
                <w:lang w:val="en-US"/>
              </w:rPr>
            </w:pPr>
            <w:r>
              <w:rPr>
                <w:sz w:val="19"/>
              </w:rPr>
              <w:t xml:space="preserve">8 of 2009 </w:t>
            </w:r>
          </w:p>
        </w:tc>
        <w:tc>
          <w:tcPr>
            <w:tcW w:w="1213" w:type="dxa"/>
            <w:gridSpan w:val="4"/>
            <w:tcBorders>
              <w:top w:val="nil"/>
              <w:bottom w:val="nil"/>
            </w:tcBorders>
          </w:tcPr>
          <w:p>
            <w:pPr>
              <w:pStyle w:val="nTable"/>
              <w:ind w:right="-108"/>
              <w:rPr>
                <w:snapToGrid w:val="0"/>
                <w:sz w:val="19"/>
                <w:lang w:val="en-US"/>
              </w:rPr>
            </w:pPr>
            <w:r>
              <w:rPr>
                <w:sz w:val="19"/>
              </w:rPr>
              <w:t>21 May 2009</w:t>
            </w:r>
          </w:p>
        </w:tc>
        <w:tc>
          <w:tcPr>
            <w:tcW w:w="2515" w:type="dxa"/>
            <w:tcBorders>
              <w:top w:val="nil"/>
              <w:bottom w:val="nil"/>
            </w:tcBorders>
          </w:tcPr>
          <w:p>
            <w:pPr>
              <w:pStyle w:val="nTable"/>
              <w:rPr>
                <w:snapToGrid w:val="0"/>
                <w:sz w:val="19"/>
                <w:lang w:val="en-US"/>
              </w:rPr>
            </w:pPr>
            <w:r>
              <w:rPr>
                <w:sz w:val="19"/>
              </w:rPr>
              <w:t>22 May 2009 (see s. 2(b))</w:t>
            </w:r>
          </w:p>
        </w:tc>
      </w:tr>
      <w:tr>
        <w:trPr>
          <w:cantSplit/>
        </w:trPr>
        <w:tc>
          <w:tcPr>
            <w:tcW w:w="2186"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21</w:t>
            </w:r>
          </w:p>
        </w:tc>
        <w:tc>
          <w:tcPr>
            <w:tcW w:w="1134" w:type="dxa"/>
            <w:gridSpan w:val="3"/>
            <w:tcBorders>
              <w:bottom w:val="single" w:sz="4" w:space="0" w:color="auto"/>
            </w:tcBorders>
          </w:tcPr>
          <w:p>
            <w:pPr>
              <w:pStyle w:val="nTable"/>
              <w:spacing w:after="40"/>
              <w:rPr>
                <w:sz w:val="19"/>
              </w:rPr>
            </w:pPr>
            <w:r>
              <w:rPr>
                <w:sz w:val="19"/>
              </w:rPr>
              <w:t>18 of 2009</w:t>
            </w:r>
          </w:p>
        </w:tc>
        <w:tc>
          <w:tcPr>
            <w:tcW w:w="1200" w:type="dxa"/>
            <w:gridSpan w:val="3"/>
            <w:tcBorders>
              <w:bottom w:val="single" w:sz="4" w:space="0" w:color="auto"/>
            </w:tcBorders>
          </w:tcPr>
          <w:p>
            <w:pPr>
              <w:pStyle w:val="nTable"/>
              <w:spacing w:after="40"/>
              <w:rPr>
                <w:sz w:val="19"/>
              </w:rPr>
            </w:pPr>
            <w:r>
              <w:rPr>
                <w:sz w:val="19"/>
              </w:rPr>
              <w:t>16 Sep 2009</w:t>
            </w:r>
          </w:p>
        </w:tc>
        <w:tc>
          <w:tcPr>
            <w:tcW w:w="2537" w:type="dxa"/>
            <w:gridSpan w:val="3"/>
            <w:tcBorders>
              <w:bottom w:val="single" w:sz="4" w:space="0" w:color="auto"/>
            </w:tcBorders>
          </w:tcPr>
          <w:p>
            <w:pPr>
              <w:pStyle w:val="nTable"/>
              <w:spacing w:after="40"/>
              <w:rPr>
                <w:sz w:val="19"/>
              </w:rPr>
            </w:pPr>
            <w:r>
              <w:rPr>
                <w:sz w:val="19"/>
              </w:rPr>
              <w:t>17 Sep 2009 (see s. 2(b))</w:t>
            </w:r>
          </w:p>
        </w:tc>
      </w:tr>
    </w:tbl>
    <w:p>
      <w:pPr>
        <w:pStyle w:val="nSubsection"/>
        <w:rPr>
          <w:snapToGrid w:val="0"/>
        </w:rPr>
      </w:pPr>
      <w:bookmarkStart w:id="349" w:name="UpToHere"/>
      <w:bookmarkEnd w:id="349"/>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4</w:t>
      </w:r>
      <w:r>
        <w:rPr>
          <w:snapToGrid w:val="0"/>
        </w:rPr>
        <w:tab/>
        <w:t xml:space="preserve">The </w:t>
      </w:r>
      <w:r>
        <w:rPr>
          <w:i/>
        </w:rPr>
        <w:t>Construction Industry Portable Paid Long Service Leave Amendment Act 1989</w:t>
      </w:r>
      <w:r>
        <w:rPr>
          <w:snapToGrid w:val="0"/>
        </w:rPr>
        <w:t xml:space="preserve"> s. 13 and 14 read as follows:</w:t>
      </w:r>
    </w:p>
    <w:p>
      <w:pPr>
        <w:pStyle w:val="MiscOpen"/>
        <w:rPr>
          <w:snapToGrid w:val="0"/>
        </w:rPr>
      </w:pPr>
      <w:r>
        <w:rPr>
          <w:snapToGrid w:val="0"/>
        </w:rPr>
        <w:t>“</w:t>
      </w: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MiscClose"/>
      </w:pPr>
      <w:r>
        <w:t>”.</w:t>
      </w:r>
    </w:p>
    <w:p>
      <w:pPr>
        <w:rPr>
          <w:snapToGrid w:val="0"/>
        </w:rPr>
      </w:pPr>
    </w:p>
    <w:p>
      <w:pPr>
        <w:rPr>
          <w:snapToGrid w:val="0"/>
        </w:rPr>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Construction Industry Portable Paid Long Service Leave Act 1985</w:t>
            </w:r>
          </w:fldSimple>
        </w:p>
      </w:tc>
    </w:tr>
    <w:tr>
      <w:tc>
        <w:tcPr>
          <w:tcW w:w="5715" w:type="dxa"/>
          <w:vAlign w:val="bottom"/>
        </w:tcPr>
        <w:p>
          <w:pPr>
            <w:pStyle w:val="HeaderTextRight"/>
          </w:pPr>
          <w:fldSimple w:instr=" styleref CharSchText ">
            <w:r>
              <w:rPr>
                <w:noProof/>
              </w:rPr>
              <w:t>Transitional provisions</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95456"/>
    <w:docVar w:name="WAFER_20151209095456" w:val="RemoveTrackChanges"/>
    <w:docVar w:name="WAFER_20151209095456_GUID" w:val="4112ea43-c70e-4524-b34e-e4dee62fff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12114</Words>
  <Characters>56938</Characters>
  <Application>Microsoft Office Word</Application>
  <DocSecurity>0</DocSecurity>
  <Lines>1498</Lines>
  <Paragraphs>775</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68277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1985 - 02-f0-02</dc:title>
  <dc:subject/>
  <dc:creator/>
  <cp:keywords/>
  <dc:description/>
  <cp:lastModifiedBy>svcMRProcess</cp:lastModifiedBy>
  <cp:revision>4</cp:revision>
  <cp:lastPrinted>2005-11-03T04:09:00Z</cp:lastPrinted>
  <dcterms:created xsi:type="dcterms:W3CDTF">2018-08-21T22:04:00Z</dcterms:created>
  <dcterms:modified xsi:type="dcterms:W3CDTF">2018-08-21T22:04:00Z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175</vt:i4>
  </property>
  <property fmtid="{D5CDD505-2E9C-101B-9397-08002B2CF9AE}" pid="6" name="AsAtDate">
    <vt:lpwstr>17 Sep 2009</vt:lpwstr>
  </property>
  <property fmtid="{D5CDD505-2E9C-101B-9397-08002B2CF9AE}" pid="7" name="Suffix">
    <vt:lpwstr>02-f0-02</vt:lpwstr>
  </property>
</Properties>
</file>