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77A" w:rsidRDefault="0082045C">
      <w:pPr>
        <w:pStyle w:val="WA"/>
      </w:pPr>
      <w:bookmarkStart w:id="0" w:name="_GoBack"/>
      <w:bookmarkEnd w:id="0"/>
      <w:r>
        <w:t>Western Australia</w:t>
      </w:r>
    </w:p>
    <w:p w:rsidR="00AD577A" w:rsidRDefault="0082045C">
      <w:pPr>
        <w:pStyle w:val="NameofActRegPage1"/>
        <w:spacing w:before="3760" w:after="4200"/>
        <w:ind w:left="284" w:right="284"/>
      </w:pPr>
      <w:r>
        <w:fldChar w:fldCharType="begin"/>
      </w:r>
      <w:r>
        <w:instrText xml:space="preserve"> STYLEREF "Name Of Act/Reg"</w:instrText>
      </w:r>
      <w:r>
        <w:fldChar w:fldCharType="separate"/>
      </w:r>
      <w:r w:rsidR="0064059E">
        <w:rPr>
          <w:noProof/>
        </w:rPr>
        <w:t>Petroleum Retailers Rights and Liabilities Act 1982</w:t>
      </w:r>
      <w:r>
        <w:fldChar w:fldCharType="end"/>
      </w:r>
    </w:p>
    <w:p w:rsidR="00AD577A" w:rsidRDefault="00AD577A">
      <w:pPr>
        <w:jc w:val="center"/>
        <w:rPr>
          <w:b/>
        </w:rPr>
        <w:sectPr w:rsidR="00AD57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D577A" w:rsidRDefault="0082045C">
      <w:pPr>
        <w:pStyle w:val="WA"/>
      </w:pPr>
      <w:r>
        <w:lastRenderedPageBreak/>
        <w:t>Western Australia</w:t>
      </w:r>
    </w:p>
    <w:p w:rsidR="00AD577A" w:rsidRDefault="0082045C">
      <w:pPr>
        <w:pStyle w:val="NameofActRegPage1"/>
        <w:ind w:left="284" w:right="292"/>
      </w:pPr>
      <w:r>
        <w:fldChar w:fldCharType="begin"/>
      </w:r>
      <w:r>
        <w:instrText xml:space="preserve"> STYLEREF "Name Of Act/Reg"</w:instrText>
      </w:r>
      <w:r>
        <w:fldChar w:fldCharType="separate"/>
      </w:r>
      <w:r w:rsidR="0064059E">
        <w:rPr>
          <w:noProof/>
        </w:rPr>
        <w:t>Petroleum Retailers Rights and Liabilities Act 1982</w:t>
      </w:r>
      <w:r>
        <w:fldChar w:fldCharType="end"/>
      </w:r>
    </w:p>
    <w:p w:rsidR="00AD577A" w:rsidRDefault="0082045C">
      <w:pPr>
        <w:pStyle w:val="Arrangement"/>
        <w:ind w:left="2302" w:right="2302"/>
      </w:pPr>
      <w:r>
        <w:t>CONTENTS</w:t>
      </w:r>
    </w:p>
    <w:p w:rsidR="00AD577A" w:rsidRDefault="0082045C">
      <w:pPr>
        <w:pStyle w:val="TOC4"/>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_Toc92690792 \h </w:instrText>
      </w:r>
      <w:r>
        <w:rPr>
          <w:noProof/>
        </w:rPr>
      </w:r>
      <w:r>
        <w:rPr>
          <w:noProof/>
        </w:rPr>
        <w:fldChar w:fldCharType="separate"/>
      </w:r>
      <w:r w:rsidR="0064059E">
        <w:rPr>
          <w:noProof/>
        </w:rPr>
        <w:t>1</w:t>
      </w:r>
      <w:r>
        <w:rPr>
          <w:noProof/>
        </w:rPr>
        <w:fldChar w:fldCharType="end"/>
      </w:r>
    </w:p>
    <w:p w:rsidR="00AD577A" w:rsidRDefault="0082045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_Toc92690793 \h </w:instrText>
      </w:r>
      <w:r>
        <w:rPr>
          <w:noProof/>
        </w:rPr>
      </w:r>
      <w:r>
        <w:rPr>
          <w:noProof/>
        </w:rPr>
        <w:fldChar w:fldCharType="separate"/>
      </w:r>
      <w:r w:rsidR="0064059E">
        <w:rPr>
          <w:noProof/>
        </w:rPr>
        <w:t>1</w:t>
      </w:r>
      <w:r>
        <w:rPr>
          <w:noProof/>
        </w:rPr>
        <w:fldChar w:fldCharType="end"/>
      </w:r>
    </w:p>
    <w:p w:rsidR="00AD577A" w:rsidRDefault="0082045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_Toc92690794 \h </w:instrText>
      </w:r>
      <w:r>
        <w:rPr>
          <w:noProof/>
        </w:rPr>
      </w:r>
      <w:r>
        <w:rPr>
          <w:noProof/>
        </w:rPr>
        <w:fldChar w:fldCharType="separate"/>
      </w:r>
      <w:r w:rsidR="0064059E">
        <w:rPr>
          <w:noProof/>
        </w:rPr>
        <w:t>1</w:t>
      </w:r>
      <w:r>
        <w:rPr>
          <w:noProof/>
        </w:rPr>
        <w:fldChar w:fldCharType="end"/>
      </w:r>
    </w:p>
    <w:p w:rsidR="00AD577A" w:rsidRDefault="0082045C">
      <w:pPr>
        <w:pStyle w:val="TOC4"/>
        <w:rPr>
          <w:noProof/>
          <w:sz w:val="24"/>
          <w:szCs w:val="24"/>
        </w:rPr>
      </w:pPr>
      <w:r>
        <w:rPr>
          <w:noProof/>
          <w:szCs w:val="24"/>
        </w:rPr>
        <w:t>3A.</w:t>
      </w:r>
      <w:r>
        <w:rPr>
          <w:noProof/>
          <w:sz w:val="24"/>
          <w:szCs w:val="24"/>
        </w:rPr>
        <w:tab/>
      </w:r>
      <w:r>
        <w:rPr>
          <w:noProof/>
          <w:szCs w:val="24"/>
        </w:rPr>
        <w:t>Contracts not terminated or breached</w:t>
      </w:r>
      <w:r>
        <w:rPr>
          <w:noProof/>
        </w:rPr>
        <w:tab/>
      </w:r>
      <w:r>
        <w:rPr>
          <w:noProof/>
        </w:rPr>
        <w:fldChar w:fldCharType="begin"/>
      </w:r>
      <w:r>
        <w:rPr>
          <w:noProof/>
        </w:rPr>
        <w:instrText xml:space="preserve"> PAGEREF _Toc92690795 \h </w:instrText>
      </w:r>
      <w:r>
        <w:rPr>
          <w:noProof/>
        </w:rPr>
      </w:r>
      <w:r>
        <w:rPr>
          <w:noProof/>
        </w:rPr>
        <w:fldChar w:fldCharType="separate"/>
      </w:r>
      <w:r w:rsidR="0064059E">
        <w:rPr>
          <w:noProof/>
        </w:rPr>
        <w:t>3</w:t>
      </w:r>
      <w:r>
        <w:rPr>
          <w:noProof/>
        </w:rPr>
        <w:fldChar w:fldCharType="end"/>
      </w:r>
    </w:p>
    <w:p w:rsidR="00AD577A" w:rsidRDefault="0082045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Retailer’s rights</w:t>
      </w:r>
      <w:r>
        <w:rPr>
          <w:noProof/>
        </w:rPr>
        <w:tab/>
      </w:r>
      <w:r>
        <w:rPr>
          <w:noProof/>
        </w:rPr>
        <w:fldChar w:fldCharType="begin"/>
      </w:r>
      <w:r>
        <w:rPr>
          <w:noProof/>
        </w:rPr>
        <w:instrText xml:space="preserve"> PAGEREF _Toc92690796 \h </w:instrText>
      </w:r>
      <w:r>
        <w:rPr>
          <w:noProof/>
        </w:rPr>
      </w:r>
      <w:r>
        <w:rPr>
          <w:noProof/>
        </w:rPr>
        <w:fldChar w:fldCharType="separate"/>
      </w:r>
      <w:r w:rsidR="0064059E">
        <w:rPr>
          <w:noProof/>
        </w:rPr>
        <w:t>3</w:t>
      </w:r>
      <w:r>
        <w:rPr>
          <w:noProof/>
        </w:rPr>
        <w:fldChar w:fldCharType="end"/>
      </w:r>
    </w:p>
    <w:p w:rsidR="00AD577A" w:rsidRDefault="0082045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Exercise of retailer’s rights</w:t>
      </w:r>
      <w:r>
        <w:rPr>
          <w:noProof/>
        </w:rPr>
        <w:tab/>
      </w:r>
      <w:r>
        <w:rPr>
          <w:noProof/>
        </w:rPr>
        <w:fldChar w:fldCharType="begin"/>
      </w:r>
      <w:r>
        <w:rPr>
          <w:noProof/>
        </w:rPr>
        <w:instrText xml:space="preserve"> PAGEREF _Toc92690797 \h </w:instrText>
      </w:r>
      <w:r>
        <w:rPr>
          <w:noProof/>
        </w:rPr>
      </w:r>
      <w:r>
        <w:rPr>
          <w:noProof/>
        </w:rPr>
        <w:fldChar w:fldCharType="separate"/>
      </w:r>
      <w:r w:rsidR="0064059E">
        <w:rPr>
          <w:noProof/>
        </w:rPr>
        <w:t>8</w:t>
      </w:r>
      <w:r>
        <w:rPr>
          <w:noProof/>
        </w:rPr>
        <w:fldChar w:fldCharType="end"/>
      </w:r>
    </w:p>
    <w:p w:rsidR="00AD577A" w:rsidRDefault="0082045C">
      <w:pPr>
        <w:pStyle w:val="TOC4"/>
        <w:rPr>
          <w:noProof/>
          <w:sz w:val="24"/>
          <w:szCs w:val="24"/>
        </w:rPr>
      </w:pPr>
      <w:r>
        <w:rPr>
          <w:noProof/>
          <w:szCs w:val="24"/>
        </w:rPr>
        <w:t>6</w:t>
      </w:r>
      <w:r>
        <w:rPr>
          <w:noProof/>
          <w:snapToGrid w:val="0"/>
          <w:szCs w:val="24"/>
        </w:rPr>
        <w:t>.</w:t>
      </w:r>
      <w:r>
        <w:rPr>
          <w:noProof/>
          <w:sz w:val="24"/>
          <w:szCs w:val="24"/>
        </w:rPr>
        <w:tab/>
      </w:r>
      <w:r>
        <w:rPr>
          <w:noProof/>
          <w:szCs w:val="24"/>
        </w:rPr>
        <w:t>Retailer’</w:t>
      </w:r>
      <w:r>
        <w:rPr>
          <w:noProof/>
          <w:snapToGrid w:val="0"/>
          <w:szCs w:val="24"/>
        </w:rPr>
        <w:t>s liability</w:t>
      </w:r>
      <w:r>
        <w:rPr>
          <w:noProof/>
        </w:rPr>
        <w:tab/>
      </w:r>
      <w:r>
        <w:rPr>
          <w:noProof/>
        </w:rPr>
        <w:fldChar w:fldCharType="begin"/>
      </w:r>
      <w:r>
        <w:rPr>
          <w:noProof/>
        </w:rPr>
        <w:instrText xml:space="preserve"> PAGEREF _Toc92690798 \h </w:instrText>
      </w:r>
      <w:r>
        <w:rPr>
          <w:noProof/>
        </w:rPr>
      </w:r>
      <w:r>
        <w:rPr>
          <w:noProof/>
        </w:rPr>
        <w:fldChar w:fldCharType="separate"/>
      </w:r>
      <w:r w:rsidR="0064059E">
        <w:rPr>
          <w:noProof/>
        </w:rPr>
        <w:t>12</w:t>
      </w:r>
      <w:r>
        <w:rPr>
          <w:noProof/>
        </w:rPr>
        <w:fldChar w:fldCharType="end"/>
      </w:r>
    </w:p>
    <w:p w:rsidR="00AD577A" w:rsidRDefault="0082045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Landlord not to impose charges or limitations</w:t>
      </w:r>
      <w:r>
        <w:rPr>
          <w:noProof/>
        </w:rPr>
        <w:tab/>
      </w:r>
      <w:r>
        <w:rPr>
          <w:noProof/>
        </w:rPr>
        <w:fldChar w:fldCharType="begin"/>
      </w:r>
      <w:r>
        <w:rPr>
          <w:noProof/>
        </w:rPr>
        <w:instrText xml:space="preserve"> PAGEREF _Toc92690799 \h </w:instrText>
      </w:r>
      <w:r>
        <w:rPr>
          <w:noProof/>
        </w:rPr>
      </w:r>
      <w:r>
        <w:rPr>
          <w:noProof/>
        </w:rPr>
        <w:fldChar w:fldCharType="separate"/>
      </w:r>
      <w:r w:rsidR="0064059E">
        <w:rPr>
          <w:noProof/>
        </w:rPr>
        <w:t>13</w:t>
      </w:r>
      <w:r>
        <w:rPr>
          <w:noProof/>
        </w:rPr>
        <w:fldChar w:fldCharType="end"/>
      </w:r>
    </w:p>
    <w:p w:rsidR="00AD577A" w:rsidRDefault="0082045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_Toc92690800 \h </w:instrText>
      </w:r>
      <w:r>
        <w:rPr>
          <w:noProof/>
        </w:rPr>
      </w:r>
      <w:r>
        <w:rPr>
          <w:noProof/>
        </w:rPr>
        <w:fldChar w:fldCharType="separate"/>
      </w:r>
      <w:r w:rsidR="0064059E">
        <w:rPr>
          <w:noProof/>
        </w:rPr>
        <w:t>13</w:t>
      </w:r>
      <w:r>
        <w:rPr>
          <w:noProof/>
        </w:rPr>
        <w:fldChar w:fldCharType="end"/>
      </w:r>
    </w:p>
    <w:p w:rsidR="00AD577A" w:rsidRDefault="0082045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Supreme Court orders</w:t>
      </w:r>
      <w:r>
        <w:rPr>
          <w:noProof/>
        </w:rPr>
        <w:tab/>
      </w:r>
      <w:r>
        <w:rPr>
          <w:noProof/>
        </w:rPr>
        <w:fldChar w:fldCharType="begin"/>
      </w:r>
      <w:r>
        <w:rPr>
          <w:noProof/>
        </w:rPr>
        <w:instrText xml:space="preserve"> PAGEREF _Toc92690801 \h </w:instrText>
      </w:r>
      <w:r>
        <w:rPr>
          <w:noProof/>
        </w:rPr>
      </w:r>
      <w:r>
        <w:rPr>
          <w:noProof/>
        </w:rPr>
        <w:fldChar w:fldCharType="separate"/>
      </w:r>
      <w:r w:rsidR="0064059E">
        <w:rPr>
          <w:noProof/>
        </w:rPr>
        <w:t>14</w:t>
      </w:r>
      <w:r>
        <w:rPr>
          <w:noProof/>
        </w:rPr>
        <w:fldChar w:fldCharType="end"/>
      </w:r>
    </w:p>
    <w:p w:rsidR="00AD577A" w:rsidRDefault="0082045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_Toc92690802 \h </w:instrText>
      </w:r>
      <w:r>
        <w:rPr>
          <w:noProof/>
        </w:rPr>
      </w:r>
      <w:r>
        <w:rPr>
          <w:noProof/>
        </w:rPr>
        <w:fldChar w:fldCharType="separate"/>
      </w:r>
      <w:r w:rsidR="0064059E">
        <w:rPr>
          <w:noProof/>
        </w:rPr>
        <w:t>15</w:t>
      </w:r>
      <w:r>
        <w:rPr>
          <w:noProof/>
        </w:rPr>
        <w:fldChar w:fldCharType="end"/>
      </w:r>
    </w:p>
    <w:p w:rsidR="00AD577A" w:rsidRDefault="0082045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Minister may designate authorised officer</w:t>
      </w:r>
      <w:r>
        <w:rPr>
          <w:noProof/>
        </w:rPr>
        <w:tab/>
      </w:r>
      <w:r>
        <w:rPr>
          <w:noProof/>
        </w:rPr>
        <w:fldChar w:fldCharType="begin"/>
      </w:r>
      <w:r>
        <w:rPr>
          <w:noProof/>
        </w:rPr>
        <w:instrText xml:space="preserve"> PAGEREF _Toc92690803 \h </w:instrText>
      </w:r>
      <w:r>
        <w:rPr>
          <w:noProof/>
        </w:rPr>
      </w:r>
      <w:r>
        <w:rPr>
          <w:noProof/>
        </w:rPr>
        <w:fldChar w:fldCharType="separate"/>
      </w:r>
      <w:r w:rsidR="0064059E">
        <w:rPr>
          <w:noProof/>
        </w:rPr>
        <w:t>15</w:t>
      </w:r>
      <w:r>
        <w:rPr>
          <w:noProof/>
        </w:rPr>
        <w:fldChar w:fldCharType="end"/>
      </w:r>
    </w:p>
    <w:p w:rsidR="00AD577A" w:rsidRDefault="0082045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_Toc92690804 \h </w:instrText>
      </w:r>
      <w:r>
        <w:rPr>
          <w:noProof/>
        </w:rPr>
      </w:r>
      <w:r>
        <w:rPr>
          <w:noProof/>
        </w:rPr>
        <w:fldChar w:fldCharType="separate"/>
      </w:r>
      <w:r w:rsidR="0064059E">
        <w:rPr>
          <w:noProof/>
        </w:rPr>
        <w:t>16</w:t>
      </w:r>
      <w:r>
        <w:rPr>
          <w:noProof/>
        </w:rPr>
        <w:fldChar w:fldCharType="end"/>
      </w:r>
    </w:p>
    <w:p w:rsidR="00AD577A" w:rsidRDefault="0082045C">
      <w:pPr>
        <w:pStyle w:val="TOC4"/>
        <w:rPr>
          <w:noProof/>
          <w:sz w:val="24"/>
          <w:szCs w:val="24"/>
        </w:rPr>
      </w:pPr>
      <w:r>
        <w:rPr>
          <w:noProof/>
          <w:szCs w:val="24"/>
        </w:rPr>
        <w:t>14.</w:t>
      </w:r>
      <w:r>
        <w:rPr>
          <w:noProof/>
          <w:sz w:val="24"/>
          <w:szCs w:val="24"/>
        </w:rPr>
        <w:tab/>
      </w:r>
      <w:r>
        <w:rPr>
          <w:noProof/>
          <w:szCs w:val="24"/>
        </w:rPr>
        <w:t>Review of Act</w:t>
      </w:r>
      <w:r>
        <w:rPr>
          <w:noProof/>
        </w:rPr>
        <w:tab/>
      </w:r>
      <w:r>
        <w:rPr>
          <w:noProof/>
        </w:rPr>
        <w:fldChar w:fldCharType="begin"/>
      </w:r>
      <w:r>
        <w:rPr>
          <w:noProof/>
        </w:rPr>
        <w:instrText xml:space="preserve"> PAGEREF _Toc92690805 \h </w:instrText>
      </w:r>
      <w:r>
        <w:rPr>
          <w:noProof/>
        </w:rPr>
      </w:r>
      <w:r>
        <w:rPr>
          <w:noProof/>
        </w:rPr>
        <w:fldChar w:fldCharType="separate"/>
      </w:r>
      <w:r w:rsidR="0064059E">
        <w:rPr>
          <w:noProof/>
        </w:rPr>
        <w:t>16</w:t>
      </w:r>
      <w:r>
        <w:rPr>
          <w:noProof/>
        </w:rPr>
        <w:fldChar w:fldCharType="end"/>
      </w:r>
    </w:p>
    <w:p w:rsidR="00AD577A" w:rsidRDefault="0082045C">
      <w:pPr>
        <w:pStyle w:val="TOC2"/>
        <w:tabs>
          <w:tab w:val="right" w:leader="dot" w:pos="7086"/>
        </w:tabs>
        <w:rPr>
          <w:b w:val="0"/>
          <w:noProof/>
          <w:sz w:val="24"/>
          <w:szCs w:val="24"/>
        </w:rPr>
      </w:pPr>
      <w:r>
        <w:rPr>
          <w:noProof/>
          <w:szCs w:val="26"/>
        </w:rPr>
        <w:t>Notes</w:t>
      </w:r>
    </w:p>
    <w:p w:rsidR="00AD577A" w:rsidRDefault="0082045C">
      <w:pPr>
        <w:pStyle w:val="TOC4"/>
      </w:pPr>
      <w:r>
        <w:rPr>
          <w:noProof/>
          <w:szCs w:val="24"/>
        </w:rPr>
        <w:tab/>
        <w:t>Compilation table</w:t>
      </w:r>
      <w:r>
        <w:rPr>
          <w:noProof/>
        </w:rPr>
        <w:tab/>
      </w:r>
      <w:r>
        <w:rPr>
          <w:noProof/>
        </w:rPr>
        <w:fldChar w:fldCharType="begin"/>
      </w:r>
      <w:r>
        <w:rPr>
          <w:noProof/>
        </w:rPr>
        <w:instrText xml:space="preserve"> PAGEREF _Toc92690807 \h </w:instrText>
      </w:r>
      <w:r>
        <w:rPr>
          <w:noProof/>
        </w:rPr>
      </w:r>
      <w:r>
        <w:rPr>
          <w:noProof/>
        </w:rPr>
        <w:fldChar w:fldCharType="separate"/>
      </w:r>
      <w:r w:rsidR="0064059E">
        <w:rPr>
          <w:noProof/>
        </w:rPr>
        <w:t>17</w:t>
      </w:r>
      <w:r>
        <w:rPr>
          <w:noProof/>
        </w:rPr>
        <w:fldChar w:fldCharType="end"/>
      </w:r>
      <w:r>
        <w:rPr>
          <w:b/>
        </w:rPr>
        <w:fldChar w:fldCharType="end"/>
      </w:r>
    </w:p>
    <w:p w:rsidR="00AD577A" w:rsidRDefault="0082045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D577A" w:rsidRDefault="00AD577A">
      <w:pPr>
        <w:pStyle w:val="NoteHeading"/>
        <w:sectPr w:rsidR="00AD577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D577A" w:rsidRDefault="0082045C">
      <w:pPr>
        <w:pStyle w:val="WA"/>
      </w:pPr>
      <w:r>
        <w:t>Western Australia</w:t>
      </w:r>
    </w:p>
    <w:p w:rsidR="00AD577A" w:rsidRDefault="0082045C">
      <w:pPr>
        <w:pStyle w:val="NameofActReg"/>
        <w:ind w:left="567" w:right="575"/>
      </w:pPr>
      <w:r>
        <w:t xml:space="preserve">Petroleum Retailers Rights and Liabilities Act 1982 </w:t>
      </w:r>
    </w:p>
    <w:p w:rsidR="00AD577A" w:rsidRDefault="0082045C">
      <w:pPr>
        <w:pStyle w:val="LongTitle"/>
        <w:rPr>
          <w:snapToGrid w:val="0"/>
        </w:rPr>
      </w:pPr>
      <w:r>
        <w:rPr>
          <w:snapToGrid w:val="0"/>
        </w:rPr>
        <w:t xml:space="preserve">An Act with respect to the rights and liabilities of certain persons selling motor fuel by retail and for other purposes. </w:t>
      </w:r>
    </w:p>
    <w:p w:rsidR="00AD577A" w:rsidRDefault="0082045C">
      <w:pPr>
        <w:pStyle w:val="Footnotelongtitle"/>
      </w:pPr>
      <w:r>
        <w:tab/>
        <w:t>[Long title amended by No. 11 of 2001 s. 4.]</w:t>
      </w:r>
    </w:p>
    <w:p w:rsidR="00AD577A" w:rsidRDefault="0082045C">
      <w:pPr>
        <w:pStyle w:val="Heading5"/>
        <w:rPr>
          <w:snapToGrid w:val="0"/>
        </w:rPr>
      </w:pPr>
      <w:bookmarkStart w:id="1" w:name="_Toc534441432"/>
      <w:bookmarkStart w:id="2" w:name="_Toc92690792"/>
      <w:r>
        <w:rPr>
          <w:rStyle w:val="CharSectno"/>
        </w:rPr>
        <w:t>1</w:t>
      </w:r>
      <w:r>
        <w:rPr>
          <w:snapToGrid w:val="0"/>
        </w:rPr>
        <w:t>.</w:t>
      </w:r>
      <w:r>
        <w:rPr>
          <w:snapToGrid w:val="0"/>
        </w:rPr>
        <w:tab/>
        <w:t>Short title</w:t>
      </w:r>
      <w:bookmarkEnd w:id="1"/>
      <w:bookmarkEnd w:id="2"/>
      <w:r>
        <w:rPr>
          <w:snapToGrid w:val="0"/>
        </w:rPr>
        <w:t xml:space="preserve"> </w:t>
      </w:r>
    </w:p>
    <w:p w:rsidR="00AD577A" w:rsidRDefault="0082045C">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rsidR="00AD577A" w:rsidRDefault="0082045C">
      <w:pPr>
        <w:pStyle w:val="Heading5"/>
        <w:rPr>
          <w:snapToGrid w:val="0"/>
        </w:rPr>
      </w:pPr>
      <w:bookmarkStart w:id="3" w:name="_Toc534441433"/>
      <w:bookmarkStart w:id="4" w:name="_Toc92690793"/>
      <w:r>
        <w:rPr>
          <w:rStyle w:val="CharSectno"/>
        </w:rPr>
        <w:t>2</w:t>
      </w:r>
      <w:r>
        <w:rPr>
          <w:snapToGrid w:val="0"/>
        </w:rPr>
        <w:t>.</w:t>
      </w:r>
      <w:r>
        <w:rPr>
          <w:snapToGrid w:val="0"/>
        </w:rPr>
        <w:tab/>
        <w:t>Commencement</w:t>
      </w:r>
      <w:bookmarkEnd w:id="3"/>
      <w:bookmarkEnd w:id="4"/>
      <w:r>
        <w:rPr>
          <w:snapToGrid w:val="0"/>
        </w:rPr>
        <w:t xml:space="preserve"> </w:t>
      </w:r>
    </w:p>
    <w:p w:rsidR="00AD577A" w:rsidRDefault="0082045C">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AD577A" w:rsidRDefault="0082045C">
      <w:pPr>
        <w:pStyle w:val="Heading5"/>
        <w:rPr>
          <w:snapToGrid w:val="0"/>
        </w:rPr>
      </w:pPr>
      <w:bookmarkStart w:id="5" w:name="_Toc534441434"/>
      <w:bookmarkStart w:id="6" w:name="_Toc92690794"/>
      <w:r>
        <w:rPr>
          <w:rStyle w:val="CharSectno"/>
        </w:rPr>
        <w:t>3</w:t>
      </w:r>
      <w:r>
        <w:rPr>
          <w:snapToGrid w:val="0"/>
        </w:rPr>
        <w:t>.</w:t>
      </w:r>
      <w:r>
        <w:rPr>
          <w:snapToGrid w:val="0"/>
        </w:rPr>
        <w:tab/>
        <w:t>Interpretation</w:t>
      </w:r>
      <w:bookmarkEnd w:id="5"/>
      <w:bookmarkEnd w:id="6"/>
      <w:r>
        <w:rPr>
          <w:snapToGrid w:val="0"/>
        </w:rPr>
        <w:t xml:space="preserve"> </w:t>
      </w:r>
    </w:p>
    <w:p w:rsidR="00AD577A" w:rsidRDefault="0082045C">
      <w:pPr>
        <w:pStyle w:val="Subsection"/>
        <w:keepNext/>
        <w:rPr>
          <w:snapToGrid w:val="0"/>
        </w:rPr>
      </w:pPr>
      <w:r>
        <w:rPr>
          <w:snapToGrid w:val="0"/>
        </w:rPr>
        <w:tab/>
        <w:t>(1)</w:t>
      </w:r>
      <w:r>
        <w:rPr>
          <w:snapToGrid w:val="0"/>
        </w:rPr>
        <w:tab/>
        <w:t>In this Act unless the context otherwise requires — </w:t>
      </w:r>
    </w:p>
    <w:p w:rsidR="00AD577A" w:rsidRDefault="0082045C">
      <w:pPr>
        <w:pStyle w:val="Defstart"/>
      </w:pPr>
      <w:r>
        <w:rPr>
          <w:b/>
        </w:rPr>
        <w:tab/>
        <w:t>“</w:t>
      </w:r>
      <w:r>
        <w:rPr>
          <w:rStyle w:val="CharDefText"/>
        </w:rPr>
        <w:t>authorised officer</w:t>
      </w:r>
      <w:r>
        <w:rPr>
          <w:b/>
        </w:rPr>
        <w:t>”</w:t>
      </w:r>
      <w:r>
        <w:t xml:space="preserve"> means a person designated as an authorised officer under section 12;</w:t>
      </w:r>
    </w:p>
    <w:p w:rsidR="00AD577A" w:rsidRDefault="0082045C">
      <w:pPr>
        <w:pStyle w:val="Defstart"/>
      </w:pPr>
      <w:r>
        <w:tab/>
      </w:r>
      <w:r>
        <w:rPr>
          <w:b/>
        </w:rPr>
        <w:t>“</w:t>
      </w:r>
      <w:r>
        <w:rPr>
          <w:rStyle w:val="CharDefText"/>
        </w:rPr>
        <w:t>bulk storage</w:t>
      </w:r>
      <w:r>
        <w:rPr>
          <w:b/>
        </w:rPr>
        <w:t>”</w:t>
      </w:r>
      <w:r>
        <w:t xml:space="preserve"> means a storage tank or a number of storage tanks for motor fuel installed at a site;</w:t>
      </w:r>
    </w:p>
    <w:p w:rsidR="00AD577A" w:rsidRDefault="0082045C">
      <w:pPr>
        <w:pStyle w:val="Defstart"/>
      </w:pPr>
      <w:r>
        <w:rPr>
          <w:b/>
        </w:rPr>
        <w:tab/>
        <w:t>“</w:t>
      </w:r>
      <w:r>
        <w:rPr>
          <w:rStyle w:val="CharDefText"/>
        </w:rPr>
        <w:t>Commissioner</w:t>
      </w:r>
      <w:r>
        <w:rPr>
          <w:b/>
        </w:rPr>
        <w:t>”</w:t>
      </w:r>
      <w:r>
        <w:t xml:space="preserve"> means the person holding or acting in the office of Commissioner for Fair Trading under the </w:t>
      </w:r>
      <w:r>
        <w:rPr>
          <w:i/>
        </w:rPr>
        <w:t>Consumer Affairs Act 1971</w:t>
      </w:r>
      <w:r>
        <w:t>;</w:t>
      </w:r>
    </w:p>
    <w:p w:rsidR="00AD577A" w:rsidRDefault="0082045C">
      <w:pPr>
        <w:pStyle w:val="Defstart"/>
      </w:pPr>
      <w:r>
        <w:tab/>
      </w:r>
      <w:r>
        <w:rPr>
          <w:b/>
        </w:rPr>
        <w:t>“</w:t>
      </w:r>
      <w:r>
        <w:rPr>
          <w:rStyle w:val="CharDefText"/>
        </w:rPr>
        <w:t>dispensing equipment</w:t>
      </w:r>
      <w:r>
        <w:rPr>
          <w:b/>
        </w:rPr>
        <w:t>”</w:t>
      </w:r>
      <w:r>
        <w:t xml:space="preserve"> means — </w:t>
      </w:r>
    </w:p>
    <w:p w:rsidR="00AD577A" w:rsidRDefault="0082045C">
      <w:pPr>
        <w:pStyle w:val="Defpara"/>
      </w:pPr>
      <w:r>
        <w:tab/>
        <w:t>(a)</w:t>
      </w:r>
      <w:r>
        <w:tab/>
        <w:t>in relation to petrol or diesel fuel, a pump that transfers motor fuel from any bulk storage into the part of a road vehicle designed to hold that kind of motor fuel for use in the propulsion of that vehicle;</w:t>
      </w:r>
    </w:p>
    <w:p w:rsidR="00AD577A" w:rsidRDefault="0082045C">
      <w:pPr>
        <w:pStyle w:val="Defpara"/>
      </w:pPr>
      <w:r>
        <w:tab/>
        <w:t>(b)</w:t>
      </w:r>
      <w:r>
        <w:tab/>
        <w:t>in relation to LPG fuel, a device that transfers LPG fuel from any bulk storage into the part of a road vehicle designed to hold LPG fuel for use in the propulsion of that vehicle;</w:t>
      </w:r>
    </w:p>
    <w:p w:rsidR="00AD577A" w:rsidRDefault="0082045C">
      <w:pPr>
        <w:pStyle w:val="Defstart"/>
      </w:pPr>
      <w:r>
        <w:tab/>
      </w:r>
      <w:r>
        <w:rPr>
          <w:b/>
        </w:rPr>
        <w:t>“</w:t>
      </w:r>
      <w:r>
        <w:rPr>
          <w:rStyle w:val="CharDefText"/>
        </w:rPr>
        <w:t>landlord</w:t>
      </w:r>
      <w:r>
        <w:rPr>
          <w:b/>
        </w:rPr>
        <w:t>”</w:t>
      </w:r>
      <w:r>
        <w:t xml:space="preserve"> means, in relation to a site at which the retailer is a tenant, the person who has granted to the retailer the right to occupy the site;</w:t>
      </w:r>
    </w:p>
    <w:p w:rsidR="00AD577A" w:rsidRDefault="0082045C">
      <w:pPr>
        <w:pStyle w:val="Defstart"/>
      </w:pPr>
      <w:r>
        <w:rPr>
          <w:b/>
        </w:rPr>
        <w:tab/>
        <w:t>“</w:t>
      </w:r>
      <w:r>
        <w:rPr>
          <w:rStyle w:val="CharDefText"/>
        </w:rPr>
        <w:t>motor fuel</w:t>
      </w:r>
      <w:r>
        <w:rPr>
          <w:b/>
        </w:rPr>
        <w:t>”</w:t>
      </w:r>
      <w:r>
        <w:t xml:space="preserve"> means LPG (liquefied petroleum gas), petrol or diesel fuel used in propelling a road vehicle;</w:t>
      </w:r>
    </w:p>
    <w:p w:rsidR="00AD577A" w:rsidRDefault="0082045C">
      <w:pPr>
        <w:pStyle w:val="Defstart"/>
      </w:pPr>
      <w:r>
        <w:tab/>
      </w:r>
      <w:r>
        <w:rPr>
          <w:b/>
        </w:rPr>
        <w:t>“</w:t>
      </w:r>
      <w:r>
        <w:rPr>
          <w:rStyle w:val="CharDefText"/>
        </w:rPr>
        <w:t>primary supplier</w:t>
      </w:r>
      <w:r>
        <w:rPr>
          <w:b/>
        </w:rPr>
        <w:t>”</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rsidR="00AD577A" w:rsidRDefault="0082045C">
      <w:pPr>
        <w:pStyle w:val="Defstart"/>
      </w:pPr>
      <w:r>
        <w:tab/>
      </w:r>
      <w:r>
        <w:rPr>
          <w:b/>
        </w:rPr>
        <w:t>“</w:t>
      </w:r>
      <w:r>
        <w:rPr>
          <w:rStyle w:val="CharDefText"/>
        </w:rPr>
        <w:t>retailer</w:t>
      </w:r>
      <w:r>
        <w:rPr>
          <w:b/>
        </w:rPr>
        <w:t>”</w:t>
      </w:r>
      <w:r>
        <w:t xml:space="preserve"> means a person who sells motor fuel by retail at a site;</w:t>
      </w:r>
    </w:p>
    <w:p w:rsidR="00AD577A" w:rsidRDefault="0082045C">
      <w:pPr>
        <w:pStyle w:val="Defstart"/>
      </w:pPr>
      <w:r>
        <w:rPr>
          <w:b/>
        </w:rPr>
        <w:tab/>
        <w:t>“</w:t>
      </w:r>
      <w:r>
        <w:rPr>
          <w:rStyle w:val="CharDefText"/>
        </w:rPr>
        <w:t>section</w:t>
      </w:r>
      <w:r>
        <w:rPr>
          <w:b/>
        </w:rPr>
        <w:t>”</w:t>
      </w:r>
      <w:r>
        <w:t xml:space="preserve"> means a section of this Act;</w:t>
      </w:r>
    </w:p>
    <w:p w:rsidR="00AD577A" w:rsidRDefault="0082045C">
      <w:pPr>
        <w:pStyle w:val="Defstart"/>
      </w:pPr>
      <w:r>
        <w:rPr>
          <w:b/>
        </w:rPr>
        <w:tab/>
        <w:t>“</w:t>
      </w:r>
      <w:r>
        <w:rPr>
          <w:rStyle w:val="CharDefText"/>
        </w:rPr>
        <w:t>site</w:t>
      </w:r>
      <w:r>
        <w:rPr>
          <w:b/>
        </w:rPr>
        <w:t>”</w:t>
      </w:r>
      <w:r>
        <w:t xml:space="preserve"> means premises at which motor fuel is sold by retail and is usually dispensed through dispensing equipment;</w:t>
      </w:r>
    </w:p>
    <w:p w:rsidR="00AD577A" w:rsidRDefault="0082045C">
      <w:pPr>
        <w:pStyle w:val="Defstart"/>
      </w:pPr>
      <w:r>
        <w:rPr>
          <w:b/>
        </w:rPr>
        <w:tab/>
        <w:t>“</w:t>
      </w:r>
      <w:r>
        <w:rPr>
          <w:rStyle w:val="CharDefText"/>
        </w:rPr>
        <w:t>subsection</w:t>
      </w:r>
      <w:r>
        <w:rPr>
          <w:b/>
        </w:rPr>
        <w:t>”</w:t>
      </w:r>
      <w:r>
        <w:t xml:space="preserve"> means a subsection of the section in which that term is used;</w:t>
      </w:r>
    </w:p>
    <w:p w:rsidR="00AD577A" w:rsidRDefault="0082045C">
      <w:pPr>
        <w:pStyle w:val="Defstart"/>
      </w:pPr>
      <w:r>
        <w:tab/>
      </w:r>
      <w:r>
        <w:rPr>
          <w:b/>
        </w:rPr>
        <w:t>“</w:t>
      </w:r>
      <w:r>
        <w:rPr>
          <w:rStyle w:val="CharDefText"/>
        </w:rPr>
        <w:t>tenant</w:t>
      </w:r>
      <w:r>
        <w:rPr>
          <w:b/>
        </w:rPr>
        <w:t>”</w:t>
      </w:r>
      <w:r>
        <w:t xml:space="preserve"> means, in relation to a site, a retailer whose right to occupy the site at which motor fuel is sold is not as the owner of the site but derives through another person.</w:t>
      </w:r>
    </w:p>
    <w:p w:rsidR="00AD577A" w:rsidRDefault="0082045C">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rPr>
        <w:t xml:space="preserve"> of the Commonwealth in accordance with that Act.</w:t>
      </w:r>
    </w:p>
    <w:p w:rsidR="00AD577A" w:rsidRDefault="0082045C">
      <w:pPr>
        <w:pStyle w:val="Subsection"/>
        <w:rPr>
          <w:snapToGrid w:val="0"/>
        </w:rPr>
      </w:pPr>
      <w:r>
        <w:rPr>
          <w:snapToGrid w:val="0"/>
        </w:rPr>
        <w:tab/>
        <w:t>(3)</w:t>
      </w:r>
      <w:r>
        <w:rPr>
          <w:snapToGrid w:val="0"/>
        </w:rPr>
        <w:tab/>
        <w:t>Nothing in this Act shall apply to or in relation to a site which is primarily used for and in connection with the wholesaling of motor fuel.</w:t>
      </w:r>
    </w:p>
    <w:p w:rsidR="00AD577A" w:rsidRDefault="0082045C">
      <w:pPr>
        <w:pStyle w:val="Footnotesection"/>
      </w:pPr>
      <w:r>
        <w:tab/>
        <w:t>[Section 3 amended by No. 57 of 1997 s. 39(10); No. 11 of 2001 s. 5.]</w:t>
      </w:r>
    </w:p>
    <w:p w:rsidR="00AD577A" w:rsidRDefault="0082045C">
      <w:pPr>
        <w:pStyle w:val="Heading5"/>
      </w:pPr>
      <w:bookmarkStart w:id="7" w:name="_Toc534441435"/>
      <w:bookmarkStart w:id="8" w:name="_Toc92690795"/>
      <w:r>
        <w:rPr>
          <w:rStyle w:val="CharSectno"/>
        </w:rPr>
        <w:t>3A</w:t>
      </w:r>
      <w:r>
        <w:t>.</w:t>
      </w:r>
      <w:r>
        <w:tab/>
        <w:t>Contracts not terminated or breached</w:t>
      </w:r>
      <w:bookmarkEnd w:id="7"/>
      <w:bookmarkEnd w:id="8"/>
    </w:p>
    <w:p w:rsidR="00AD577A" w:rsidRDefault="0082045C">
      <w:pPr>
        <w:pStyle w:val="Subsection"/>
      </w:pPr>
      <w:r>
        <w:tab/>
      </w:r>
      <w:r>
        <w:tab/>
        <w:t>Nothing in this Act, or done under this Act, causes an agreement to be terminated or amounts to a breach of contract.</w:t>
      </w:r>
    </w:p>
    <w:p w:rsidR="00AD577A" w:rsidRDefault="0082045C">
      <w:pPr>
        <w:pStyle w:val="Footnotesection"/>
      </w:pPr>
      <w:r>
        <w:tab/>
        <w:t>[Section 3A inserted by No. 11 of 2001 s. 6.]</w:t>
      </w:r>
    </w:p>
    <w:p w:rsidR="00AD577A" w:rsidRDefault="0082045C">
      <w:pPr>
        <w:pStyle w:val="Heading5"/>
        <w:rPr>
          <w:snapToGrid w:val="0"/>
        </w:rPr>
      </w:pPr>
      <w:bookmarkStart w:id="9" w:name="_Toc534441436"/>
      <w:bookmarkStart w:id="10" w:name="_Toc92690796"/>
      <w:r>
        <w:rPr>
          <w:rStyle w:val="CharSectno"/>
        </w:rPr>
        <w:t>4</w:t>
      </w:r>
      <w:r>
        <w:rPr>
          <w:snapToGrid w:val="0"/>
        </w:rPr>
        <w:t>.</w:t>
      </w:r>
      <w:r>
        <w:rPr>
          <w:snapToGrid w:val="0"/>
        </w:rPr>
        <w:tab/>
        <w:t>Retailer’s rights</w:t>
      </w:r>
      <w:bookmarkEnd w:id="9"/>
      <w:bookmarkEnd w:id="10"/>
      <w:r>
        <w:rPr>
          <w:snapToGrid w:val="0"/>
        </w:rPr>
        <w:t xml:space="preserve"> </w:t>
      </w:r>
    </w:p>
    <w:p w:rsidR="00AD577A" w:rsidRDefault="0082045C">
      <w:pPr>
        <w:pStyle w:val="Subsection"/>
      </w:pPr>
      <w:r>
        <w:tab/>
        <w:t>(1)</w:t>
      </w:r>
      <w:r>
        <w:tab/>
        <w:t xml:space="preserve">A retailer at a site may — </w:t>
      </w:r>
    </w:p>
    <w:p w:rsidR="00AD577A" w:rsidRDefault="0082045C">
      <w:pPr>
        <w:pStyle w:val="Indenta"/>
      </w:pPr>
      <w:r>
        <w:tab/>
        <w:t>(a)</w:t>
      </w:r>
      <w:r>
        <w:tab/>
        <w:t>purchase motor fuel, for resale at the site, from a supplier other than the primary supplier for that kind and, where applicable, grade of motor fuel for that site; and</w:t>
      </w:r>
    </w:p>
    <w:p w:rsidR="00AD577A" w:rsidRDefault="0082045C">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rsidR="00AD577A" w:rsidRDefault="0082045C">
      <w:pPr>
        <w:pStyle w:val="Indenti"/>
      </w:pPr>
      <w:r>
        <w:tab/>
        <w:t>(i)</w:t>
      </w:r>
      <w:r>
        <w:tab/>
        <w:t>use, for the storage of that motor fuel, any bulk storage at the site that is suitable; and</w:t>
      </w:r>
    </w:p>
    <w:p w:rsidR="00AD577A" w:rsidRDefault="0082045C">
      <w:pPr>
        <w:pStyle w:val="Indenti"/>
      </w:pPr>
      <w:r>
        <w:tab/>
        <w:t>(ii)</w:t>
      </w:r>
      <w:r>
        <w:tab/>
        <w:t>use, for the dispensing of that motor fuel, any dispensing equipment on the site that is suitable.</w:t>
      </w:r>
    </w:p>
    <w:p w:rsidR="00AD577A" w:rsidRDefault="0082045C">
      <w:pPr>
        <w:pStyle w:val="Subsection"/>
      </w:pPr>
      <w:r>
        <w:tab/>
        <w:t>(1a)</w:t>
      </w:r>
      <w:r>
        <w:tab/>
        <w:t xml:space="preserve">Subsection (1) applies subject to this section but, except as stated in subsection (1b), despite — </w:t>
      </w:r>
    </w:p>
    <w:p w:rsidR="00AD577A" w:rsidRDefault="0082045C">
      <w:pPr>
        <w:pStyle w:val="Indenta"/>
      </w:pPr>
      <w:r>
        <w:tab/>
        <w:t>(a)</w:t>
      </w:r>
      <w:r>
        <w:tab/>
        <w:t>any Act or law affecting the contractual relationship between a landlord and a tenant; or</w:t>
      </w:r>
    </w:p>
    <w:p w:rsidR="00AD577A" w:rsidRDefault="0082045C">
      <w:pPr>
        <w:pStyle w:val="Indenta"/>
      </w:pPr>
      <w:r>
        <w:tab/>
        <w:t>(b)</w:t>
      </w:r>
      <w:r>
        <w:tab/>
        <w:t>any agreement to the contrary, whether made between the primary supplier and the retailer or not.</w:t>
      </w:r>
    </w:p>
    <w:p w:rsidR="00AD577A" w:rsidRDefault="0082045C">
      <w:pPr>
        <w:pStyle w:val="Subsection"/>
      </w:pPr>
      <w:r>
        <w:tab/>
        <w:t>(1b)</w:t>
      </w:r>
      <w:r>
        <w:tab/>
        <w:t>Subsection (1)(a) does not apply if a purchase under that paragraph would be contrary to an agreement that was entered into before 10 February 2001.</w:t>
      </w:r>
    </w:p>
    <w:p w:rsidR="00AD577A" w:rsidRDefault="0082045C">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rsidR="00AD577A" w:rsidRDefault="0082045C">
      <w:pPr>
        <w:pStyle w:val="Indenta"/>
      </w:pPr>
      <w:r>
        <w:tab/>
        <w:t>(a)</w:t>
      </w:r>
      <w:r>
        <w:tab/>
        <w:t>a modification is not to be taken into consideration if it had no necessary connection with the duration of the agreement; and</w:t>
      </w:r>
    </w:p>
    <w:p w:rsidR="00AD577A" w:rsidRDefault="0082045C">
      <w:pPr>
        <w:pStyle w:val="Indenta"/>
      </w:pPr>
      <w:r>
        <w:tab/>
        <w:t>(b)</w:t>
      </w:r>
      <w:r>
        <w:tab/>
        <w:t>a modification, continuation, or renewal is not to be taken into consideration if the retailer was the only party who had a choice about whether the modification, continuation, or renewal would be made.</w:t>
      </w:r>
    </w:p>
    <w:p w:rsidR="00AD577A" w:rsidRDefault="0082045C">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rsidR="00AD577A" w:rsidRDefault="0082045C">
      <w:pPr>
        <w:pStyle w:val="Subsection"/>
      </w:pPr>
      <w:r>
        <w:tab/>
        <w:t>(2)</w:t>
      </w:r>
      <w:r>
        <w:tab/>
        <w:t xml:space="preserve">A right conferred on the retailer by subsection (1) is not exercisable until 7 days after notice in writing of the intention to exercise it has been given — </w:t>
      </w:r>
    </w:p>
    <w:p w:rsidR="00AD577A" w:rsidRDefault="0082045C">
      <w:pPr>
        <w:pStyle w:val="Indenta"/>
      </w:pPr>
      <w:r>
        <w:tab/>
        <w:t>(a)</w:t>
      </w:r>
      <w:r>
        <w:tab/>
        <w:t>if it is a right conferred by subsection (1)(a), to the retailer’s primary supplier, if any, for the kind and, where applicable, grade of motor fuel concerned;</w:t>
      </w:r>
    </w:p>
    <w:p w:rsidR="00AD577A" w:rsidRDefault="0082045C">
      <w:pPr>
        <w:pStyle w:val="Indenta"/>
      </w:pPr>
      <w:r>
        <w:tab/>
        <w:t>(b)</w:t>
      </w:r>
      <w:r>
        <w:tab/>
        <w:t>if it is a right conferred by subsection (1)(b), to the retailer’s landlord, if the retailer is a tenant, and to the retailer’s primary supplier, if any, for the kind and, where applicable, grade of motor fuel concerned.</w:t>
      </w:r>
    </w:p>
    <w:p w:rsidR="00AD577A" w:rsidRDefault="0082045C">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rsidR="00AD577A" w:rsidRDefault="0082045C">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rsidR="00AD577A" w:rsidRDefault="0082045C">
      <w:pPr>
        <w:pStyle w:val="Indenta"/>
        <w:keepNext/>
        <w:rPr>
          <w:snapToGrid w:val="0"/>
        </w:rPr>
      </w:pPr>
      <w:r>
        <w:rPr>
          <w:snapToGrid w:val="0"/>
        </w:rPr>
        <w:tab/>
        <w:t>(b)</w:t>
      </w:r>
      <w:r>
        <w:rPr>
          <w:snapToGrid w:val="0"/>
        </w:rPr>
        <w:tab/>
        <w:t>where in any 6 month period — </w:t>
      </w:r>
    </w:p>
    <w:p w:rsidR="00AD577A" w:rsidRDefault="0082045C">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rsidR="00AD577A" w:rsidRDefault="0082045C">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rsidR="00AD577A" w:rsidRDefault="0082045C">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rsidR="00AD577A" w:rsidRDefault="0082045C">
      <w:pPr>
        <w:pStyle w:val="Indenta"/>
        <w:rPr>
          <w:snapToGrid w:val="0"/>
        </w:rPr>
      </w:pPr>
      <w:r>
        <w:rPr>
          <w:snapToGrid w:val="0"/>
        </w:rPr>
        <w:tab/>
        <w:t>(d)</w:t>
      </w:r>
      <w:r>
        <w:rPr>
          <w:snapToGrid w:val="0"/>
        </w:rPr>
        <w:tab/>
        <w:t>a permanent register is maintained containing the prescribed particulars of any purchase of motor fuel;</w:t>
      </w:r>
    </w:p>
    <w:p w:rsidR="00AD577A" w:rsidRDefault="0082045C">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rsidR="00AD577A" w:rsidRDefault="0082045C">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rsidR="00AD577A" w:rsidRDefault="0082045C">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rsidR="00AD577A" w:rsidRDefault="0082045C">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rsidR="00AD577A" w:rsidRDefault="0082045C">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rsidR="00AD577A" w:rsidRDefault="0082045C">
      <w:pPr>
        <w:pStyle w:val="Penstart"/>
        <w:tabs>
          <w:tab w:val="left" w:pos="1843"/>
        </w:tabs>
        <w:rPr>
          <w:snapToGrid w:val="0"/>
        </w:rPr>
      </w:pPr>
      <w:r>
        <w:rPr>
          <w:snapToGrid w:val="0"/>
        </w:rPr>
        <w:tab/>
      </w:r>
      <w:r>
        <w:t>Penalty:</w:t>
      </w:r>
      <w:r>
        <w:tab/>
        <w:t>$20 000.</w:t>
      </w:r>
    </w:p>
    <w:p w:rsidR="00AD577A" w:rsidRDefault="0082045C">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rsidR="00AD577A" w:rsidRDefault="0082045C">
      <w:pPr>
        <w:pStyle w:val="Subsection"/>
      </w:pPr>
      <w:r>
        <w:tab/>
        <w:t>(4)</w:t>
      </w:r>
      <w:r>
        <w:tab/>
        <w:t xml:space="preserve">Subsection (3)(b) does not apply for a particular kind or grade of motor fuel in any 6 month period if — </w:t>
      </w:r>
    </w:p>
    <w:p w:rsidR="00AD577A" w:rsidRDefault="0082045C">
      <w:pPr>
        <w:pStyle w:val="Indenta"/>
      </w:pPr>
      <w:r>
        <w:tab/>
        <w:t>(a)</w:t>
      </w:r>
      <w:r>
        <w:tab/>
        <w:t>the primary supplier has not, as reasonably requested by the retailer, supplied the reasonable requirements of the retailer for that kind or grade of motor fuel in that period; and</w:t>
      </w:r>
    </w:p>
    <w:p w:rsidR="00AD577A" w:rsidRDefault="0082045C">
      <w:pPr>
        <w:pStyle w:val="Indenta"/>
      </w:pPr>
      <w:r>
        <w:tab/>
        <w:t>(b)</w:t>
      </w:r>
      <w:r>
        <w:tab/>
        <w:t xml:space="preserve">after the failure to supply — </w:t>
      </w:r>
    </w:p>
    <w:p w:rsidR="00AD577A" w:rsidRDefault="0082045C">
      <w:pPr>
        <w:pStyle w:val="Indenti"/>
      </w:pPr>
      <w:r>
        <w:tab/>
        <w:t>(i)</w:t>
      </w:r>
      <w:r>
        <w:tab/>
        <w:t>the retailer has given the primary supplier notice in writing that it is intended to rely on this subsection if the supply requested is not made within a further time reasonably specified in the notice; and</w:t>
      </w:r>
    </w:p>
    <w:p w:rsidR="00AD577A" w:rsidRDefault="0082045C">
      <w:pPr>
        <w:pStyle w:val="Indenti"/>
      </w:pPr>
      <w:r>
        <w:tab/>
        <w:t>(ii)</w:t>
      </w:r>
      <w:r>
        <w:tab/>
        <w:t>the primary supplier does not make the supply within that further time.</w:t>
      </w:r>
    </w:p>
    <w:p w:rsidR="00AD577A" w:rsidRDefault="0082045C">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rsidR="00AD577A" w:rsidRDefault="0082045C">
      <w:pPr>
        <w:pStyle w:val="Subsection"/>
        <w:rPr>
          <w:snapToGrid w:val="0"/>
        </w:rPr>
      </w:pPr>
      <w:r>
        <w:rPr>
          <w:snapToGrid w:val="0"/>
        </w:rPr>
        <w:tab/>
        <w:t>(5)</w:t>
      </w:r>
      <w:r>
        <w:rPr>
          <w:snapToGrid w:val="0"/>
        </w:rPr>
        <w:tab/>
      </w:r>
      <w:r>
        <w:t xml:space="preserve">If a provision of an agreement — </w:t>
      </w:r>
    </w:p>
    <w:p w:rsidR="00AD577A" w:rsidRDefault="0082045C">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w:t>
      </w:r>
    </w:p>
    <w:p w:rsidR="00AD577A" w:rsidRDefault="0082045C">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rsidR="00AD577A" w:rsidRDefault="0082045C">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rsidR="00AD577A" w:rsidRDefault="0082045C">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rsidR="00AD577A" w:rsidRDefault="0082045C">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rsidR="00AD577A" w:rsidRDefault="0082045C">
      <w:pPr>
        <w:pStyle w:val="Penstart"/>
        <w:tabs>
          <w:tab w:val="left" w:pos="1843"/>
        </w:tabs>
        <w:rPr>
          <w:snapToGrid w:val="0"/>
        </w:rPr>
      </w:pPr>
      <w:r>
        <w:rPr>
          <w:snapToGrid w:val="0"/>
        </w:rPr>
        <w:tab/>
      </w:r>
      <w:r>
        <w:t>Penalty:</w:t>
      </w:r>
      <w:r>
        <w:tab/>
        <w:t>$20 000.</w:t>
      </w:r>
    </w:p>
    <w:p w:rsidR="00AD577A" w:rsidRDefault="0082045C">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rsidR="00AD577A" w:rsidRDefault="0082045C">
      <w:pPr>
        <w:pStyle w:val="Penstart"/>
      </w:pPr>
      <w:r>
        <w:rPr>
          <w:snapToGrid w:val="0"/>
        </w:rPr>
        <w:tab/>
      </w:r>
      <w:r>
        <w:t>Penalty for an offence under subsection (7): $20 000.</w:t>
      </w:r>
    </w:p>
    <w:p w:rsidR="00AD577A" w:rsidRDefault="0082045C">
      <w:pPr>
        <w:pStyle w:val="Footnotesection"/>
      </w:pPr>
      <w:r>
        <w:tab/>
        <w:t>[Section 4 amended by No. 11 of 2001 s. 7, 15, 16(1) and 17(3).]</w:t>
      </w:r>
    </w:p>
    <w:p w:rsidR="00AD577A" w:rsidRDefault="0082045C">
      <w:pPr>
        <w:pStyle w:val="Heading5"/>
        <w:rPr>
          <w:snapToGrid w:val="0"/>
        </w:rPr>
      </w:pPr>
      <w:bookmarkStart w:id="11" w:name="_Toc534441437"/>
      <w:bookmarkStart w:id="12" w:name="_Toc92690797"/>
      <w:r>
        <w:rPr>
          <w:rStyle w:val="CharSectno"/>
        </w:rPr>
        <w:t>5</w:t>
      </w:r>
      <w:r>
        <w:rPr>
          <w:snapToGrid w:val="0"/>
        </w:rPr>
        <w:t>.</w:t>
      </w:r>
      <w:r>
        <w:rPr>
          <w:snapToGrid w:val="0"/>
        </w:rPr>
        <w:tab/>
        <w:t>Exercise of retailer’s rights</w:t>
      </w:r>
      <w:bookmarkEnd w:id="11"/>
      <w:bookmarkEnd w:id="12"/>
      <w:r>
        <w:rPr>
          <w:snapToGrid w:val="0"/>
        </w:rPr>
        <w:t xml:space="preserve"> </w:t>
      </w:r>
    </w:p>
    <w:p w:rsidR="00AD577A" w:rsidRDefault="0082045C">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rsidR="00AD577A" w:rsidRDefault="0082045C">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w:t>
      </w:r>
    </w:p>
    <w:p w:rsidR="00AD577A" w:rsidRDefault="0082045C">
      <w:pPr>
        <w:pStyle w:val="Indenta"/>
      </w:pPr>
      <w:r>
        <w:tab/>
        <w:t>(b)</w:t>
      </w:r>
      <w:r>
        <w:tab/>
        <w:t xml:space="preserve">may — </w:t>
      </w:r>
    </w:p>
    <w:p w:rsidR="00AD577A" w:rsidRDefault="0082045C">
      <w:pPr>
        <w:pStyle w:val="Indenti"/>
      </w:pPr>
      <w:r>
        <w:tab/>
        <w:t>(i)</w:t>
      </w:r>
      <w:r>
        <w:tab/>
        <w:t>with the permission of the owner of any bulk storage, if the retailer does not own it, isolate from the bulk storage any other bulk storage;</w:t>
      </w:r>
    </w:p>
    <w:p w:rsidR="00AD577A" w:rsidRDefault="0082045C">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rsidR="00AD577A" w:rsidRDefault="0082045C">
      <w:pPr>
        <w:pStyle w:val="Indenti"/>
      </w:pPr>
      <w:r>
        <w:tab/>
        <w:t>(iii)</w:t>
      </w:r>
      <w:r>
        <w:tab/>
        <w:t>with the permission of the owner of the dispensing equipment, if the retailer does not own it, connect any existing dispensing equipment to any bulk storage installed by the retailer;</w:t>
      </w:r>
    </w:p>
    <w:p w:rsidR="00AD577A" w:rsidRDefault="0082045C">
      <w:pPr>
        <w:pStyle w:val="Indenta"/>
      </w:pPr>
      <w:r>
        <w:tab/>
      </w:r>
      <w:r>
        <w:tab/>
        <w:t>and</w:t>
      </w:r>
    </w:p>
    <w:p w:rsidR="00AD577A" w:rsidRDefault="0082045C">
      <w:pPr>
        <w:pStyle w:val="Indenta"/>
      </w:pPr>
      <w:r>
        <w:tab/>
        <w:t>(c)</w:t>
      </w:r>
      <w:r>
        <w:tab/>
        <w:t>may, with the permission of the owner of the dispensing equipment, if the retailer does not own it, replace any dispensing equipment connected to any existing bulk storage.</w:t>
      </w:r>
    </w:p>
    <w:p w:rsidR="00AD577A" w:rsidRDefault="0082045C">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rsidR="00AD577A" w:rsidRDefault="0082045C">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rsidR="00AD577A" w:rsidRDefault="0082045C">
      <w:pPr>
        <w:pStyle w:val="Indenta"/>
        <w:rPr>
          <w:snapToGrid w:val="0"/>
        </w:rPr>
      </w:pPr>
      <w:r>
        <w:rPr>
          <w:snapToGrid w:val="0"/>
        </w:rPr>
        <w:tab/>
        <w:t>(a)</w:t>
      </w:r>
      <w:r>
        <w:rPr>
          <w:snapToGrid w:val="0"/>
        </w:rPr>
        <w:tab/>
        <w:t>give permission to the retailer to exercise the</w:t>
      </w:r>
      <w:r>
        <w:t xml:space="preserve"> right</w:t>
      </w:r>
      <w:r>
        <w:rPr>
          <w:snapToGrid w:val="0"/>
        </w:rPr>
        <w:t>; or</w:t>
      </w:r>
    </w:p>
    <w:p w:rsidR="00AD577A" w:rsidRDefault="0082045C">
      <w:pPr>
        <w:pStyle w:val="Indenta"/>
      </w:pPr>
      <w:r>
        <w:tab/>
        <w:t>(b)</w:t>
      </w:r>
      <w:r>
        <w:tab/>
        <w:t>refuse to give permission, or give permission subject to any condition, and state the ground upon which permission is refused or any condition is imposed.</w:t>
      </w:r>
    </w:p>
    <w:p w:rsidR="00AD577A" w:rsidRDefault="0082045C">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rsidR="00AD577A" w:rsidRDefault="0082045C">
      <w:pPr>
        <w:pStyle w:val="Subsection"/>
      </w:pPr>
      <w:r>
        <w:tab/>
        <w:t>(4a)</w:t>
      </w:r>
      <w:r>
        <w:tab/>
        <w:t xml:space="preserve">A retailer who, under subsection (3), is refused permission to exercise a right under subsection (1) is deemed to have been given that permission if — </w:t>
      </w:r>
    </w:p>
    <w:p w:rsidR="00AD577A" w:rsidRDefault="0082045C">
      <w:pPr>
        <w:pStyle w:val="Indenta"/>
      </w:pPr>
      <w:r>
        <w:tab/>
        <w:t>(a)</w:t>
      </w:r>
      <w:r>
        <w:tab/>
        <w:t>the person who refused to give permission concedes that the refusal was unreasonable; or</w:t>
      </w:r>
    </w:p>
    <w:p w:rsidR="00AD577A" w:rsidRDefault="0082045C">
      <w:pPr>
        <w:pStyle w:val="Indenta"/>
      </w:pPr>
      <w:r>
        <w:tab/>
        <w:t>(b)</w:t>
      </w:r>
      <w:r>
        <w:tab/>
        <w:t>the Commissioner has determined under subsection (9) that the refusal was unreasonable.</w:t>
      </w:r>
    </w:p>
    <w:p w:rsidR="00AD577A" w:rsidRDefault="0082045C">
      <w:pPr>
        <w:pStyle w:val="Subsection"/>
      </w:pPr>
      <w:r>
        <w:tab/>
        <w:t>(4b)</w:t>
      </w:r>
      <w:r>
        <w:tab/>
        <w:t xml:space="preserve">A retailer who, under subsection (3), is given permission to exercise a right under subsection (1) subject to any condition — </w:t>
      </w:r>
    </w:p>
    <w:p w:rsidR="00AD577A" w:rsidRDefault="0082045C">
      <w:pPr>
        <w:pStyle w:val="Indenta"/>
      </w:pPr>
      <w:r>
        <w:tab/>
        <w:t>(a)</w:t>
      </w:r>
      <w:r>
        <w:tab/>
        <w:t xml:space="preserve">is deemed to have been given that permission unconditionally if — </w:t>
      </w:r>
    </w:p>
    <w:p w:rsidR="00AD577A" w:rsidRDefault="0082045C">
      <w:pPr>
        <w:pStyle w:val="Indenti"/>
      </w:pPr>
      <w:r>
        <w:tab/>
        <w:t>(i)</w:t>
      </w:r>
      <w:r>
        <w:tab/>
        <w:t>the person who gave permission concedes that any condition was unreasonable; or</w:t>
      </w:r>
    </w:p>
    <w:p w:rsidR="00AD577A" w:rsidRDefault="0082045C">
      <w:pPr>
        <w:pStyle w:val="Indenti"/>
      </w:pPr>
      <w:r>
        <w:tab/>
        <w:t>(ii)</w:t>
      </w:r>
      <w:r>
        <w:tab/>
        <w:t>the Commissioner has determined under subsection (9) that any condition was unreasonable without specifying conditions to which the retailer and the person giving permission have agreed;</w:t>
      </w:r>
    </w:p>
    <w:p w:rsidR="00AD577A" w:rsidRDefault="0082045C">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rsidR="00AD577A" w:rsidRDefault="0082045C">
      <w:pPr>
        <w:pStyle w:val="Subsection"/>
      </w:pPr>
      <w:r>
        <w:tab/>
        <w:t>(4c)</w:t>
      </w:r>
      <w:r>
        <w:tab/>
        <w:t xml:space="preserve">A determination of the Commissioner does not take effect for the purposes of subsection (4a) or (4b) unless — </w:t>
      </w:r>
    </w:p>
    <w:p w:rsidR="00AD577A" w:rsidRDefault="0082045C">
      <w:pPr>
        <w:pStyle w:val="Indenta"/>
      </w:pPr>
      <w:r>
        <w:tab/>
        <w:t>(a)</w:t>
      </w:r>
      <w:r>
        <w:tab/>
        <w:t>the time within which an application for a review of the determination may be made under subsection (10) has elapsed without an application having been made; or</w:t>
      </w:r>
    </w:p>
    <w:p w:rsidR="00AD577A" w:rsidRDefault="0082045C">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rsidR="00AD577A" w:rsidRDefault="0082045C">
      <w:pPr>
        <w:pStyle w:val="Subsection"/>
      </w:pPr>
      <w:r>
        <w:tab/>
        <w:t>(4d)</w:t>
      </w:r>
      <w:r>
        <w:tab/>
        <w:t xml:space="preserve">For the purposes of subsection (4c), an application is not finally disposed of until — </w:t>
      </w:r>
    </w:p>
    <w:p w:rsidR="00AD577A" w:rsidRDefault="0082045C">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rsidR="00AD577A" w:rsidRDefault="0082045C">
      <w:pPr>
        <w:pStyle w:val="Indenta"/>
      </w:pPr>
      <w:r>
        <w:tab/>
        <w:t>(b)</w:t>
      </w:r>
      <w:r>
        <w:tab/>
        <w:t>leave to appeal has been refused; or</w:t>
      </w:r>
    </w:p>
    <w:p w:rsidR="00AD577A" w:rsidRDefault="0082045C">
      <w:pPr>
        <w:pStyle w:val="Indenta"/>
      </w:pPr>
      <w:r>
        <w:tab/>
        <w:t>(c)</w:t>
      </w:r>
      <w:r>
        <w:tab/>
        <w:t>leave to appeal has been granted and the time fixed for instituting an appeal has passed without an appeal having been instituted; or</w:t>
      </w:r>
    </w:p>
    <w:p w:rsidR="00AD577A" w:rsidRDefault="0082045C">
      <w:pPr>
        <w:pStyle w:val="Indenta"/>
      </w:pPr>
      <w:r>
        <w:tab/>
        <w:t>(d)</w:t>
      </w:r>
      <w:r>
        <w:tab/>
      </w:r>
      <w:r>
        <w:rPr>
          <w:snapToGrid w:val="0"/>
        </w:rPr>
        <w:t>an appeal has been instituted and has been withdrawn or finally disposed of.</w:t>
      </w:r>
    </w:p>
    <w:p w:rsidR="00AD577A" w:rsidRDefault="0082045C">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rsidR="00AD577A" w:rsidRDefault="0082045C">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rsidR="00AD577A" w:rsidRDefault="0082045C">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rsidR="00AD577A" w:rsidRDefault="0082045C">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rsidR="00AD577A" w:rsidRDefault="0082045C">
      <w:pPr>
        <w:pStyle w:val="Penstart"/>
        <w:tabs>
          <w:tab w:val="left" w:pos="1843"/>
        </w:tabs>
        <w:rPr>
          <w:snapToGrid w:val="0"/>
        </w:rPr>
      </w:pPr>
      <w:r>
        <w:rPr>
          <w:snapToGrid w:val="0"/>
        </w:rPr>
        <w:tab/>
      </w:r>
      <w:r>
        <w:t>Penalty:</w:t>
      </w:r>
      <w:r>
        <w:tab/>
        <w:t>$20 000.</w:t>
      </w:r>
    </w:p>
    <w:p w:rsidR="00AD577A" w:rsidRDefault="0082045C">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rsidR="00AD577A" w:rsidRDefault="0082045C">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rsidR="00AD577A" w:rsidRDefault="0082045C">
      <w:pPr>
        <w:pStyle w:val="Subsection"/>
        <w:rPr>
          <w:snapToGrid w:val="0"/>
        </w:rPr>
      </w:pPr>
      <w:r>
        <w:rPr>
          <w:snapToGrid w:val="0"/>
        </w:rPr>
        <w:tab/>
        <w:t>(8)</w:t>
      </w:r>
      <w:r>
        <w:rPr>
          <w:snapToGrid w:val="0"/>
        </w:rPr>
        <w:tab/>
        <w:t xml:space="preserve">The </w:t>
      </w:r>
      <w:r>
        <w:t>retailer</w:t>
      </w:r>
      <w:r>
        <w:rPr>
          <w:snapToGrid w:val="0"/>
        </w:rPr>
        <w:t xml:space="preserve"> shall — </w:t>
      </w:r>
    </w:p>
    <w:p w:rsidR="00AD577A" w:rsidRDefault="0082045C">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rsidR="00AD577A" w:rsidRDefault="0082045C">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rsidR="00AD577A" w:rsidRDefault="0082045C">
      <w:pPr>
        <w:pStyle w:val="Penstart"/>
        <w:tabs>
          <w:tab w:val="left" w:pos="1843"/>
        </w:tabs>
        <w:rPr>
          <w:snapToGrid w:val="0"/>
        </w:rPr>
      </w:pPr>
      <w:r>
        <w:rPr>
          <w:snapToGrid w:val="0"/>
        </w:rPr>
        <w:tab/>
      </w:r>
      <w:r>
        <w:t>Penalty:</w:t>
      </w:r>
      <w:r>
        <w:tab/>
        <w:t>$20 000.</w:t>
      </w:r>
    </w:p>
    <w:p w:rsidR="00AD577A" w:rsidRDefault="0082045C">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rsidR="00AD577A" w:rsidRDefault="0082045C">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w:t>
      </w:r>
      <w:bookmarkStart w:id="13" w:name="UpToHere"/>
      <w:bookmarkEnd w:id="13"/>
      <w:r>
        <w:rPr>
          <w:snapToGrid w:val="0"/>
        </w:rPr>
        <w:t>apply to the State Administrative Tribunal for a review of the determination within 7 days of that determination.</w:t>
      </w:r>
    </w:p>
    <w:p w:rsidR="00AD577A" w:rsidRDefault="0082045C">
      <w:pPr>
        <w:pStyle w:val="Footnotesection"/>
      </w:pPr>
      <w:r>
        <w:tab/>
        <w:t xml:space="preserve">[Section 5 amended by No. 14 of 1996 s. 4; No. 11 of 2001 s. 8, 15, 16, 17(1) and (3); No. 55 of 2004 s. 923.] </w:t>
      </w:r>
    </w:p>
    <w:p w:rsidR="00AD577A" w:rsidRDefault="0082045C">
      <w:pPr>
        <w:pStyle w:val="Heading5"/>
        <w:rPr>
          <w:snapToGrid w:val="0"/>
        </w:rPr>
      </w:pPr>
      <w:bookmarkStart w:id="14" w:name="_Toc534441438"/>
      <w:bookmarkStart w:id="15" w:name="_Toc92690798"/>
      <w:r>
        <w:rPr>
          <w:rStyle w:val="CharSectno"/>
        </w:rPr>
        <w:t>6</w:t>
      </w:r>
      <w:r>
        <w:rPr>
          <w:snapToGrid w:val="0"/>
        </w:rPr>
        <w:t>.</w:t>
      </w:r>
      <w:r>
        <w:rPr>
          <w:snapToGrid w:val="0"/>
        </w:rPr>
        <w:tab/>
      </w:r>
      <w:r>
        <w:t>Retailer’</w:t>
      </w:r>
      <w:r>
        <w:rPr>
          <w:snapToGrid w:val="0"/>
        </w:rPr>
        <w:t>s liability</w:t>
      </w:r>
      <w:bookmarkEnd w:id="14"/>
      <w:bookmarkEnd w:id="15"/>
      <w:r>
        <w:rPr>
          <w:snapToGrid w:val="0"/>
        </w:rPr>
        <w:t xml:space="preserve"> </w:t>
      </w:r>
    </w:p>
    <w:p w:rsidR="00AD577A" w:rsidRDefault="0082045C">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rsidR="00AD577A" w:rsidRDefault="0082045C">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rsidR="00AD577A" w:rsidRDefault="0082045C">
      <w:pPr>
        <w:pStyle w:val="Footnotesection"/>
      </w:pPr>
      <w:r>
        <w:tab/>
        <w:t>[Section 6 amended by No. 11 of 2001 s. 9 and 16(1).]</w:t>
      </w:r>
    </w:p>
    <w:p w:rsidR="00AD577A" w:rsidRDefault="0082045C">
      <w:pPr>
        <w:pStyle w:val="Heading5"/>
        <w:rPr>
          <w:snapToGrid w:val="0"/>
        </w:rPr>
      </w:pPr>
      <w:bookmarkStart w:id="16" w:name="_Toc534441439"/>
      <w:bookmarkStart w:id="17" w:name="_Toc92690799"/>
      <w:r>
        <w:rPr>
          <w:rStyle w:val="CharSectno"/>
        </w:rPr>
        <w:t>7</w:t>
      </w:r>
      <w:r>
        <w:rPr>
          <w:snapToGrid w:val="0"/>
        </w:rPr>
        <w:t>.</w:t>
      </w:r>
      <w:r>
        <w:rPr>
          <w:snapToGrid w:val="0"/>
        </w:rPr>
        <w:tab/>
        <w:t>Landlord not to impose charges or limitations</w:t>
      </w:r>
      <w:bookmarkEnd w:id="16"/>
      <w:bookmarkEnd w:id="17"/>
      <w:r>
        <w:rPr>
          <w:snapToGrid w:val="0"/>
        </w:rPr>
        <w:t xml:space="preserve"> </w:t>
      </w:r>
    </w:p>
    <w:p w:rsidR="00AD577A" w:rsidRDefault="0082045C">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rsidR="00AD577A" w:rsidRDefault="0082045C">
      <w:pPr>
        <w:pStyle w:val="Penstart"/>
        <w:tabs>
          <w:tab w:val="left" w:pos="1843"/>
        </w:tabs>
        <w:rPr>
          <w:snapToGrid w:val="0"/>
        </w:rPr>
      </w:pPr>
      <w:r>
        <w:rPr>
          <w:snapToGrid w:val="0"/>
        </w:rPr>
        <w:tab/>
      </w:r>
      <w:r>
        <w:t>Penalty:</w:t>
      </w:r>
      <w:r>
        <w:tab/>
        <w:t>$20 000.</w:t>
      </w:r>
    </w:p>
    <w:p w:rsidR="00AD577A" w:rsidRDefault="0082045C">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rsidR="00AD577A" w:rsidRDefault="0082045C">
      <w:pPr>
        <w:pStyle w:val="Indenta"/>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snapToGrid w:val="0"/>
        </w:rPr>
        <w:t xml:space="preserve"> of the Commonwealth;</w:t>
      </w:r>
    </w:p>
    <w:p w:rsidR="00AD577A" w:rsidRDefault="0082045C">
      <w:pPr>
        <w:pStyle w:val="Indenta"/>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rsidR="00AD577A" w:rsidRDefault="0082045C">
      <w:pPr>
        <w:pStyle w:val="Indenta"/>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rsidR="00AD577A" w:rsidRDefault="0082045C">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rsidR="00AD577A" w:rsidRDefault="0082045C">
      <w:pPr>
        <w:pStyle w:val="Footnotesection"/>
      </w:pPr>
      <w:r>
        <w:tab/>
        <w:t>[Section 7 amended by No. 11 of 2001 s. 10, 16(1) and 17(2).]</w:t>
      </w:r>
    </w:p>
    <w:p w:rsidR="00AD577A" w:rsidRDefault="0082045C">
      <w:pPr>
        <w:pStyle w:val="Heading5"/>
        <w:rPr>
          <w:snapToGrid w:val="0"/>
        </w:rPr>
      </w:pPr>
      <w:bookmarkStart w:id="18" w:name="_Toc534441440"/>
      <w:bookmarkStart w:id="19" w:name="_Toc92690800"/>
      <w:r>
        <w:rPr>
          <w:rStyle w:val="CharSectno"/>
        </w:rPr>
        <w:t>8</w:t>
      </w:r>
      <w:r>
        <w:rPr>
          <w:snapToGrid w:val="0"/>
        </w:rPr>
        <w:t>.</w:t>
      </w:r>
      <w:r>
        <w:rPr>
          <w:snapToGrid w:val="0"/>
        </w:rPr>
        <w:tab/>
        <w:t>Compensation</w:t>
      </w:r>
      <w:bookmarkEnd w:id="18"/>
      <w:bookmarkEnd w:id="19"/>
      <w:r>
        <w:rPr>
          <w:snapToGrid w:val="0"/>
        </w:rPr>
        <w:t xml:space="preserve"> </w:t>
      </w:r>
    </w:p>
    <w:p w:rsidR="00AD577A" w:rsidRDefault="0082045C">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rsidR="00AD577A" w:rsidRDefault="0082045C">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rsidR="00AD577A" w:rsidRDefault="0082045C">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rsidR="00AD577A" w:rsidRDefault="0082045C">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rsidR="00AD577A" w:rsidRDefault="0082045C">
      <w:pPr>
        <w:pStyle w:val="Heading5"/>
        <w:rPr>
          <w:snapToGrid w:val="0"/>
        </w:rPr>
      </w:pPr>
      <w:bookmarkStart w:id="20" w:name="_Toc534441441"/>
      <w:bookmarkStart w:id="21" w:name="_Toc92690801"/>
      <w:r>
        <w:rPr>
          <w:rStyle w:val="CharSectno"/>
        </w:rPr>
        <w:t>9</w:t>
      </w:r>
      <w:r>
        <w:rPr>
          <w:snapToGrid w:val="0"/>
        </w:rPr>
        <w:t>.</w:t>
      </w:r>
      <w:r>
        <w:rPr>
          <w:snapToGrid w:val="0"/>
        </w:rPr>
        <w:tab/>
      </w:r>
      <w:bookmarkEnd w:id="20"/>
      <w:r>
        <w:rPr>
          <w:snapToGrid w:val="0"/>
        </w:rPr>
        <w:t>Supreme Court orders</w:t>
      </w:r>
      <w:bookmarkEnd w:id="21"/>
      <w:r>
        <w:rPr>
          <w:snapToGrid w:val="0"/>
        </w:rPr>
        <w:t xml:space="preserve"> </w:t>
      </w:r>
    </w:p>
    <w:p w:rsidR="00AD577A" w:rsidRDefault="0082045C">
      <w:pPr>
        <w:pStyle w:val="Subsection"/>
        <w:rPr>
          <w:snapToGrid w:val="0"/>
        </w:rPr>
      </w:pPr>
      <w:r>
        <w:rPr>
          <w:snapToGrid w:val="0"/>
        </w:rPr>
        <w:tab/>
        <w:t>(1)</w:t>
      </w:r>
      <w:r>
        <w:rPr>
          <w:snapToGrid w:val="0"/>
        </w:rPr>
        <w:tab/>
        <w:t>The Supreme Court may, on the application of any person, make one or more of the following orders — </w:t>
      </w:r>
    </w:p>
    <w:p w:rsidR="00AD577A" w:rsidRDefault="0082045C">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w:t>
      </w:r>
    </w:p>
    <w:p w:rsidR="00AD577A" w:rsidRDefault="0082045C">
      <w:pPr>
        <w:pStyle w:val="Indenta"/>
        <w:rPr>
          <w:snapToGrid w:val="0"/>
        </w:rPr>
      </w:pPr>
      <w:r>
        <w:rPr>
          <w:snapToGrid w:val="0"/>
        </w:rPr>
        <w:tab/>
        <w:t>(b)</w:t>
      </w:r>
      <w:r>
        <w:rPr>
          <w:snapToGrid w:val="0"/>
        </w:rPr>
        <w:tab/>
        <w:t>an order directing a person to comply with an obligation imposed by this Act or the regulations; or</w:t>
      </w:r>
    </w:p>
    <w:p w:rsidR="00AD577A" w:rsidRDefault="0082045C">
      <w:pPr>
        <w:pStyle w:val="Indenta"/>
        <w:rPr>
          <w:snapToGrid w:val="0"/>
        </w:rPr>
      </w:pPr>
      <w:r>
        <w:rPr>
          <w:snapToGrid w:val="0"/>
        </w:rPr>
        <w:tab/>
        <w:t>(c)</w:t>
      </w:r>
      <w:r>
        <w:rPr>
          <w:snapToGrid w:val="0"/>
        </w:rPr>
        <w:tab/>
        <w:t>such other or ancillary orders as the Court thinks fit to ensure observance of this Act or the regulations.</w:t>
      </w:r>
    </w:p>
    <w:p w:rsidR="00AD577A" w:rsidRDefault="0082045C">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rsidR="00AD577A" w:rsidRDefault="0082045C">
      <w:pPr>
        <w:pStyle w:val="Subsection"/>
        <w:rPr>
          <w:snapToGrid w:val="0"/>
        </w:rPr>
      </w:pPr>
      <w:r>
        <w:rPr>
          <w:snapToGrid w:val="0"/>
        </w:rPr>
        <w:tab/>
        <w:t>(3)</w:t>
      </w:r>
      <w:r>
        <w:rPr>
          <w:snapToGrid w:val="0"/>
        </w:rPr>
        <w:tab/>
        <w:t>The Supreme Court may rescind or vary an order granted under subsection (1) or (2).</w:t>
      </w:r>
    </w:p>
    <w:p w:rsidR="00AD577A" w:rsidRDefault="0082045C">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rsidR="00AD577A" w:rsidRDefault="0082045C">
      <w:pPr>
        <w:pStyle w:val="Ednotesection"/>
        <w:rPr>
          <w:snapToGrid/>
        </w:rPr>
      </w:pPr>
      <w:r>
        <w:rPr>
          <w:snapToGrid/>
        </w:rPr>
        <w:t>[</w:t>
      </w:r>
      <w:r>
        <w:rPr>
          <w:b/>
          <w:snapToGrid/>
        </w:rPr>
        <w:t>10.</w:t>
      </w:r>
      <w:r>
        <w:rPr>
          <w:snapToGrid/>
        </w:rPr>
        <w:tab/>
        <w:t>Repealed by No. 11 of 2001 s. 11.]</w:t>
      </w:r>
    </w:p>
    <w:p w:rsidR="00AD577A" w:rsidRDefault="0082045C">
      <w:pPr>
        <w:pStyle w:val="Heading5"/>
        <w:rPr>
          <w:snapToGrid w:val="0"/>
        </w:rPr>
      </w:pPr>
      <w:bookmarkStart w:id="22" w:name="_Toc534441442"/>
      <w:bookmarkStart w:id="23" w:name="_Toc92690802"/>
      <w:r>
        <w:rPr>
          <w:rStyle w:val="CharSectno"/>
        </w:rPr>
        <w:t>11</w:t>
      </w:r>
      <w:r>
        <w:rPr>
          <w:snapToGrid w:val="0"/>
        </w:rPr>
        <w:t>.</w:t>
      </w:r>
      <w:r>
        <w:rPr>
          <w:snapToGrid w:val="0"/>
        </w:rPr>
        <w:tab/>
        <w:t>Service</w:t>
      </w:r>
      <w:bookmarkEnd w:id="22"/>
      <w:bookmarkEnd w:id="23"/>
      <w:r>
        <w:rPr>
          <w:snapToGrid w:val="0"/>
        </w:rPr>
        <w:t xml:space="preserve"> </w:t>
      </w:r>
    </w:p>
    <w:p w:rsidR="00AD577A" w:rsidRDefault="0082045C">
      <w:pPr>
        <w:pStyle w:val="Subsection"/>
        <w:rPr>
          <w:snapToGrid w:val="0"/>
        </w:rPr>
      </w:pPr>
      <w:r>
        <w:rPr>
          <w:snapToGrid w:val="0"/>
        </w:rPr>
        <w:tab/>
        <w:t>(1)</w:t>
      </w:r>
      <w:r>
        <w:rPr>
          <w:snapToGrid w:val="0"/>
        </w:rPr>
        <w:tab/>
        <w:t>For the purposes of this Act, a document may be served — </w:t>
      </w:r>
    </w:p>
    <w:p w:rsidR="00AD577A" w:rsidRDefault="0082045C">
      <w:pPr>
        <w:pStyle w:val="Indenta"/>
        <w:rPr>
          <w:snapToGrid w:val="0"/>
        </w:rPr>
      </w:pPr>
      <w:r>
        <w:rPr>
          <w:snapToGrid w:val="0"/>
        </w:rPr>
        <w:tab/>
        <w:t>(a)</w:t>
      </w:r>
      <w:r>
        <w:rPr>
          <w:snapToGrid w:val="0"/>
        </w:rPr>
        <w:tab/>
        <w:t>on a natural person — </w:t>
      </w:r>
    </w:p>
    <w:p w:rsidR="00AD577A" w:rsidRDefault="0082045C">
      <w:pPr>
        <w:pStyle w:val="Indenti"/>
        <w:rPr>
          <w:snapToGrid w:val="0"/>
        </w:rPr>
      </w:pPr>
      <w:r>
        <w:rPr>
          <w:snapToGrid w:val="0"/>
        </w:rPr>
        <w:tab/>
        <w:t>(i)</w:t>
      </w:r>
      <w:r>
        <w:rPr>
          <w:snapToGrid w:val="0"/>
        </w:rPr>
        <w:tab/>
        <w:t>by delivering it to the person personally; or</w:t>
      </w:r>
    </w:p>
    <w:p w:rsidR="00AD577A" w:rsidRDefault="0082045C">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rsidR="00AD577A" w:rsidRDefault="0082045C">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rsidR="00AD577A" w:rsidRDefault="0082045C">
      <w:pPr>
        <w:pStyle w:val="Indenta"/>
        <w:rPr>
          <w:snapToGrid w:val="0"/>
        </w:rPr>
      </w:pPr>
      <w:r>
        <w:rPr>
          <w:snapToGrid w:val="0"/>
        </w:rPr>
        <w:tab/>
        <w:t>(c)</w:t>
      </w:r>
      <w:r>
        <w:rPr>
          <w:snapToGrid w:val="0"/>
        </w:rPr>
        <w:tab/>
        <w:t>in such other manner as is prescribed.</w:t>
      </w:r>
    </w:p>
    <w:p w:rsidR="00AD577A" w:rsidRDefault="0082045C">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rsidR="00AD577A" w:rsidRDefault="0082045C">
      <w:pPr>
        <w:pStyle w:val="Heading5"/>
        <w:rPr>
          <w:snapToGrid w:val="0"/>
        </w:rPr>
      </w:pPr>
      <w:bookmarkStart w:id="24" w:name="_Toc534441443"/>
      <w:bookmarkStart w:id="25" w:name="_Toc92690803"/>
      <w:r>
        <w:rPr>
          <w:rStyle w:val="CharSectno"/>
        </w:rPr>
        <w:t>12</w:t>
      </w:r>
      <w:r>
        <w:rPr>
          <w:snapToGrid w:val="0"/>
        </w:rPr>
        <w:t>.</w:t>
      </w:r>
      <w:r>
        <w:rPr>
          <w:snapToGrid w:val="0"/>
        </w:rPr>
        <w:tab/>
        <w:t>Minister may designate authorised officer</w:t>
      </w:r>
      <w:bookmarkEnd w:id="24"/>
      <w:bookmarkEnd w:id="25"/>
      <w:r>
        <w:rPr>
          <w:snapToGrid w:val="0"/>
        </w:rPr>
        <w:t xml:space="preserve"> </w:t>
      </w:r>
    </w:p>
    <w:p w:rsidR="00AD577A" w:rsidRDefault="0082045C">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rsidR="00AD577A" w:rsidRDefault="0082045C">
      <w:pPr>
        <w:pStyle w:val="Footnotesection"/>
      </w:pPr>
      <w:r>
        <w:tab/>
        <w:t xml:space="preserve">[Section 12 amended by No. 1 of 1985 s. 29; No. 11 of 2001 s. 12.] </w:t>
      </w:r>
    </w:p>
    <w:p w:rsidR="00AD577A" w:rsidRDefault="0082045C">
      <w:pPr>
        <w:pStyle w:val="Heading5"/>
        <w:rPr>
          <w:snapToGrid w:val="0"/>
        </w:rPr>
      </w:pPr>
      <w:bookmarkStart w:id="26" w:name="_Toc534441444"/>
      <w:bookmarkStart w:id="27" w:name="_Toc92690804"/>
      <w:r>
        <w:rPr>
          <w:rStyle w:val="CharSectno"/>
        </w:rPr>
        <w:t>13</w:t>
      </w:r>
      <w:r>
        <w:rPr>
          <w:snapToGrid w:val="0"/>
        </w:rPr>
        <w:t>.</w:t>
      </w:r>
      <w:r>
        <w:rPr>
          <w:snapToGrid w:val="0"/>
        </w:rPr>
        <w:tab/>
        <w:t>Regulations</w:t>
      </w:r>
      <w:bookmarkEnd w:id="26"/>
      <w:bookmarkEnd w:id="27"/>
      <w:r>
        <w:rPr>
          <w:snapToGrid w:val="0"/>
        </w:rPr>
        <w:t xml:space="preserve"> </w:t>
      </w:r>
    </w:p>
    <w:p w:rsidR="00AD577A" w:rsidRDefault="0082045C">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rsidR="00AD577A" w:rsidRDefault="0082045C">
      <w:pPr>
        <w:pStyle w:val="Subsection"/>
      </w:pPr>
      <w:r>
        <w:tab/>
        <w:t>(2)</w:t>
      </w:r>
      <w:r>
        <w:tab/>
        <w:t>The regulations may make contravention of any of their provisions an offence and may provide for a penalty for the offence not exceeding a fine of $20 000 for an individual or $100 000 for a body corporate.</w:t>
      </w:r>
    </w:p>
    <w:p w:rsidR="00AD577A" w:rsidRDefault="0082045C">
      <w:pPr>
        <w:pStyle w:val="Footnotesection"/>
      </w:pPr>
      <w:r>
        <w:tab/>
        <w:t>[Section 13 amended by No. 11 of 2001 s. 13.]</w:t>
      </w:r>
    </w:p>
    <w:p w:rsidR="00AD577A" w:rsidRDefault="0082045C">
      <w:pPr>
        <w:pStyle w:val="Heading5"/>
      </w:pPr>
      <w:bookmarkStart w:id="28" w:name="_Toc534441445"/>
      <w:bookmarkStart w:id="29" w:name="_Toc92690805"/>
      <w:r>
        <w:rPr>
          <w:rStyle w:val="CharSectno"/>
        </w:rPr>
        <w:t>14</w:t>
      </w:r>
      <w:r>
        <w:t>.</w:t>
      </w:r>
      <w:r>
        <w:tab/>
        <w:t>Review of Act</w:t>
      </w:r>
      <w:bookmarkEnd w:id="28"/>
      <w:bookmarkEnd w:id="29"/>
    </w:p>
    <w:p w:rsidR="00AD577A" w:rsidRDefault="0082045C">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rsidR="00AD577A" w:rsidRDefault="0082045C">
      <w:pPr>
        <w:pStyle w:val="Subsection"/>
      </w:pPr>
      <w:r>
        <w:tab/>
        <w:t>(2)</w:t>
      </w:r>
      <w:r>
        <w:tab/>
        <w:t>In the course of the review the Minister is to consider and have regard to any matters that appear to the Minister to be relevant to the operation and effectiveness of this Act.</w:t>
      </w:r>
    </w:p>
    <w:p w:rsidR="00AD577A" w:rsidRDefault="0082045C">
      <w:pPr>
        <w:pStyle w:val="Subsection"/>
      </w:pPr>
      <w:r>
        <w:tab/>
        <w:t>(3)</w:t>
      </w:r>
      <w:r>
        <w:tab/>
        <w:t>The Minister is to prepare a report based on the review and, as soon as is practicable after the report is prepared, is to cause it to be laid before each House of Parliament.</w:t>
      </w:r>
    </w:p>
    <w:p w:rsidR="00AD577A" w:rsidRDefault="0082045C">
      <w:pPr>
        <w:pStyle w:val="Footnotesection"/>
      </w:pPr>
      <w:r>
        <w:tab/>
        <w:t>[Section 14 inserted by No. 11 of 2001 s. 14.]</w:t>
      </w:r>
    </w:p>
    <w:p w:rsidR="00AD577A" w:rsidRDefault="00AD577A">
      <w:pPr>
        <w:rPr>
          <w:rStyle w:val="CharDivText"/>
        </w:rPr>
        <w:sectPr w:rsidR="00AD577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D577A" w:rsidRDefault="0082045C">
      <w:pPr>
        <w:pStyle w:val="nHeading2"/>
      </w:pPr>
      <w:bookmarkStart w:id="30" w:name="_Toc91305808"/>
      <w:bookmarkStart w:id="31" w:name="_Toc92690806"/>
      <w:r>
        <w:t>Notes</w:t>
      </w:r>
      <w:bookmarkEnd w:id="30"/>
      <w:bookmarkEnd w:id="31"/>
    </w:p>
    <w:p w:rsidR="00AD577A" w:rsidRDefault="0082045C">
      <w:pPr>
        <w:pStyle w:val="nSubsection"/>
        <w:rPr>
          <w:snapToGrid w:val="0"/>
        </w:rPr>
      </w:pPr>
      <w:r>
        <w:rPr>
          <w:snapToGrid w:val="0"/>
          <w:vertAlign w:val="superscript"/>
        </w:rPr>
        <w:t>1</w:t>
      </w:r>
      <w:r>
        <w:rPr>
          <w:snapToGrid w:val="0"/>
        </w:rPr>
        <w:tab/>
        <w:t xml:space="preserve">This is a compilation of the </w:t>
      </w:r>
      <w:r>
        <w:rPr>
          <w:i/>
          <w:noProof/>
          <w:snapToGrid w:val="0"/>
        </w:rPr>
        <w:t>Petroleum Retailers Rights and Liabilities Act 1982</w:t>
      </w:r>
      <w:r>
        <w:rPr>
          <w:snapToGrid w:val="0"/>
        </w:rPr>
        <w:t xml:space="preserve"> and includes the amendments made by the other written laws referred to in the following table. </w:t>
      </w:r>
    </w:p>
    <w:p w:rsidR="00AD577A" w:rsidRDefault="0082045C">
      <w:pPr>
        <w:pStyle w:val="nHeading3"/>
      </w:pPr>
      <w:bookmarkStart w:id="32" w:name="_Toc92690807"/>
      <w:r>
        <w:t>Compilation table</w:t>
      </w:r>
      <w:bookmarkEnd w:id="32"/>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3"/>
        <w:gridCol w:w="28"/>
      </w:tblGrid>
      <w:tr w:rsidR="00AD577A">
        <w:trPr>
          <w:gridBefore w:val="1"/>
          <w:wBefore w:w="28" w:type="dxa"/>
          <w:tblHeader/>
        </w:trPr>
        <w:tc>
          <w:tcPr>
            <w:tcW w:w="2268" w:type="dxa"/>
            <w:gridSpan w:val="2"/>
            <w:tcBorders>
              <w:top w:val="single" w:sz="8" w:space="0" w:color="auto"/>
              <w:bottom w:val="single" w:sz="8" w:space="0" w:color="auto"/>
            </w:tcBorders>
          </w:tcPr>
          <w:p w:rsidR="00AD577A" w:rsidRDefault="0082045C">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AD577A" w:rsidRDefault="0082045C">
            <w:pPr>
              <w:pStyle w:val="nTable"/>
              <w:spacing w:before="60" w:after="60"/>
              <w:rPr>
                <w:b/>
                <w:sz w:val="19"/>
              </w:rPr>
            </w:pPr>
            <w:r>
              <w:rPr>
                <w:b/>
                <w:sz w:val="19"/>
              </w:rPr>
              <w:t>Number and year</w:t>
            </w:r>
          </w:p>
        </w:tc>
        <w:tc>
          <w:tcPr>
            <w:tcW w:w="1134" w:type="dxa"/>
            <w:gridSpan w:val="2"/>
            <w:tcBorders>
              <w:top w:val="single" w:sz="8" w:space="0" w:color="auto"/>
              <w:bottom w:val="single" w:sz="8" w:space="0" w:color="auto"/>
            </w:tcBorders>
          </w:tcPr>
          <w:p w:rsidR="00AD577A" w:rsidRDefault="0082045C">
            <w:pPr>
              <w:pStyle w:val="nTable"/>
              <w:spacing w:before="60" w:after="60"/>
              <w:rPr>
                <w:b/>
                <w:sz w:val="19"/>
              </w:rPr>
            </w:pPr>
            <w:r>
              <w:rPr>
                <w:b/>
                <w:sz w:val="19"/>
              </w:rPr>
              <w:t>Assent</w:t>
            </w:r>
          </w:p>
        </w:tc>
        <w:tc>
          <w:tcPr>
            <w:tcW w:w="2551" w:type="dxa"/>
            <w:gridSpan w:val="2"/>
            <w:tcBorders>
              <w:top w:val="single" w:sz="8" w:space="0" w:color="auto"/>
              <w:bottom w:val="single" w:sz="8" w:space="0" w:color="auto"/>
            </w:tcBorders>
          </w:tcPr>
          <w:p w:rsidR="00AD577A" w:rsidRDefault="0082045C">
            <w:pPr>
              <w:pStyle w:val="nTable"/>
              <w:spacing w:before="60" w:after="60"/>
              <w:rPr>
                <w:b/>
                <w:sz w:val="19"/>
              </w:rPr>
            </w:pPr>
            <w:r>
              <w:rPr>
                <w:b/>
                <w:sz w:val="19"/>
              </w:rPr>
              <w:t>Commencement</w:t>
            </w:r>
          </w:p>
        </w:tc>
      </w:tr>
      <w:tr w:rsidR="00AD577A">
        <w:trPr>
          <w:gridBefore w:val="1"/>
          <w:wBefore w:w="28" w:type="dxa"/>
        </w:trPr>
        <w:tc>
          <w:tcPr>
            <w:tcW w:w="2268" w:type="dxa"/>
            <w:gridSpan w:val="2"/>
          </w:tcPr>
          <w:p w:rsidR="00AD577A" w:rsidRDefault="0082045C">
            <w:pPr>
              <w:pStyle w:val="nTable"/>
              <w:spacing w:before="80"/>
              <w:rPr>
                <w:sz w:val="19"/>
              </w:rPr>
            </w:pPr>
            <w:r>
              <w:rPr>
                <w:i/>
                <w:sz w:val="19"/>
              </w:rPr>
              <w:t>Petroleum Retailers Rights and Liabilities Act 1982</w:t>
            </w:r>
          </w:p>
        </w:tc>
        <w:tc>
          <w:tcPr>
            <w:tcW w:w="1134" w:type="dxa"/>
            <w:gridSpan w:val="2"/>
          </w:tcPr>
          <w:p w:rsidR="00AD577A" w:rsidRDefault="0082045C">
            <w:pPr>
              <w:pStyle w:val="nTable"/>
              <w:spacing w:before="80"/>
              <w:rPr>
                <w:sz w:val="19"/>
              </w:rPr>
            </w:pPr>
            <w:r>
              <w:rPr>
                <w:sz w:val="19"/>
              </w:rPr>
              <w:t>105 of 1982</w:t>
            </w:r>
          </w:p>
        </w:tc>
        <w:tc>
          <w:tcPr>
            <w:tcW w:w="1134" w:type="dxa"/>
            <w:gridSpan w:val="2"/>
          </w:tcPr>
          <w:p w:rsidR="00AD577A" w:rsidRDefault="0082045C">
            <w:pPr>
              <w:pStyle w:val="nTable"/>
              <w:spacing w:before="80"/>
              <w:rPr>
                <w:sz w:val="19"/>
              </w:rPr>
            </w:pPr>
            <w:r>
              <w:rPr>
                <w:sz w:val="19"/>
              </w:rPr>
              <w:t>24 Nov 1982</w:t>
            </w:r>
          </w:p>
        </w:tc>
        <w:tc>
          <w:tcPr>
            <w:tcW w:w="2551" w:type="dxa"/>
            <w:gridSpan w:val="2"/>
          </w:tcPr>
          <w:p w:rsidR="00AD577A" w:rsidRDefault="0082045C">
            <w:pPr>
              <w:pStyle w:val="nTable"/>
              <w:spacing w:before="80"/>
              <w:rPr>
                <w:sz w:val="19"/>
              </w:rPr>
            </w:pPr>
            <w:r>
              <w:rPr>
                <w:sz w:val="19"/>
              </w:rPr>
              <w:t xml:space="preserve">1 Jan 1983 (see s. 2 and </w:t>
            </w:r>
            <w:r>
              <w:rPr>
                <w:i/>
                <w:sz w:val="19"/>
              </w:rPr>
              <w:t>Gazette</w:t>
            </w:r>
            <w:r>
              <w:rPr>
                <w:sz w:val="19"/>
              </w:rPr>
              <w:t xml:space="preserve"> 31 Dec 1982 p. 4969)</w:t>
            </w:r>
          </w:p>
        </w:tc>
      </w:tr>
      <w:tr w:rsidR="00AD577A">
        <w:trPr>
          <w:gridBefore w:val="1"/>
          <w:wBefore w:w="28" w:type="dxa"/>
        </w:trPr>
        <w:tc>
          <w:tcPr>
            <w:tcW w:w="2268" w:type="dxa"/>
            <w:gridSpan w:val="2"/>
          </w:tcPr>
          <w:p w:rsidR="00AD577A" w:rsidRDefault="0082045C">
            <w:pPr>
              <w:pStyle w:val="nTable"/>
              <w:spacing w:before="80"/>
              <w:rPr>
                <w:sz w:val="19"/>
              </w:rPr>
            </w:pPr>
            <w:r>
              <w:rPr>
                <w:i/>
                <w:sz w:val="19"/>
              </w:rPr>
              <w:t xml:space="preserve">Acts Amendment (Consumer Affairs) Act 1985 </w:t>
            </w:r>
            <w:r>
              <w:rPr>
                <w:sz w:val="19"/>
              </w:rPr>
              <w:t>Pt. VII</w:t>
            </w:r>
          </w:p>
        </w:tc>
        <w:tc>
          <w:tcPr>
            <w:tcW w:w="1134" w:type="dxa"/>
            <w:gridSpan w:val="2"/>
          </w:tcPr>
          <w:p w:rsidR="00AD577A" w:rsidRDefault="0082045C">
            <w:pPr>
              <w:pStyle w:val="nTable"/>
              <w:spacing w:before="80"/>
              <w:rPr>
                <w:sz w:val="19"/>
              </w:rPr>
            </w:pPr>
            <w:r>
              <w:rPr>
                <w:sz w:val="19"/>
              </w:rPr>
              <w:t>1 of 1985</w:t>
            </w:r>
          </w:p>
        </w:tc>
        <w:tc>
          <w:tcPr>
            <w:tcW w:w="1134" w:type="dxa"/>
            <w:gridSpan w:val="2"/>
          </w:tcPr>
          <w:p w:rsidR="00AD577A" w:rsidRDefault="0082045C">
            <w:pPr>
              <w:pStyle w:val="nTable"/>
              <w:spacing w:before="80"/>
              <w:rPr>
                <w:sz w:val="19"/>
              </w:rPr>
            </w:pPr>
            <w:r>
              <w:rPr>
                <w:sz w:val="19"/>
              </w:rPr>
              <w:t>8 Mar 1985</w:t>
            </w:r>
          </w:p>
        </w:tc>
        <w:tc>
          <w:tcPr>
            <w:tcW w:w="2551" w:type="dxa"/>
            <w:gridSpan w:val="2"/>
          </w:tcPr>
          <w:p w:rsidR="00AD577A" w:rsidRDefault="0082045C">
            <w:pPr>
              <w:pStyle w:val="nTable"/>
              <w:spacing w:before="80"/>
              <w:rPr>
                <w:sz w:val="19"/>
              </w:rPr>
            </w:pPr>
            <w:r>
              <w:rPr>
                <w:sz w:val="19"/>
              </w:rPr>
              <w:t>8 Mar 1985 (see s. 2(3))</w:t>
            </w:r>
          </w:p>
        </w:tc>
      </w:tr>
      <w:tr w:rsidR="00AD577A">
        <w:trPr>
          <w:gridBefore w:val="1"/>
          <w:wBefore w:w="28" w:type="dxa"/>
        </w:trPr>
        <w:tc>
          <w:tcPr>
            <w:tcW w:w="2268" w:type="dxa"/>
            <w:gridSpan w:val="2"/>
          </w:tcPr>
          <w:p w:rsidR="00AD577A" w:rsidRDefault="0082045C">
            <w:pPr>
              <w:pStyle w:val="nTable"/>
              <w:spacing w:before="80"/>
              <w:rPr>
                <w:sz w:val="19"/>
              </w:rPr>
            </w:pPr>
            <w:r>
              <w:rPr>
                <w:i/>
                <w:sz w:val="19"/>
              </w:rPr>
              <w:t>Local Government (Consequential Amendments) Act 1996</w:t>
            </w:r>
            <w:r>
              <w:rPr>
                <w:sz w:val="19"/>
              </w:rPr>
              <w:t xml:space="preserve"> s. 4</w:t>
            </w:r>
          </w:p>
        </w:tc>
        <w:tc>
          <w:tcPr>
            <w:tcW w:w="1134" w:type="dxa"/>
            <w:gridSpan w:val="2"/>
          </w:tcPr>
          <w:p w:rsidR="00AD577A" w:rsidRDefault="0082045C">
            <w:pPr>
              <w:pStyle w:val="nTable"/>
              <w:spacing w:before="80"/>
              <w:rPr>
                <w:sz w:val="19"/>
              </w:rPr>
            </w:pPr>
            <w:r>
              <w:rPr>
                <w:sz w:val="19"/>
              </w:rPr>
              <w:t>14 of 1996</w:t>
            </w:r>
          </w:p>
        </w:tc>
        <w:tc>
          <w:tcPr>
            <w:tcW w:w="1134" w:type="dxa"/>
            <w:gridSpan w:val="2"/>
          </w:tcPr>
          <w:p w:rsidR="00AD577A" w:rsidRDefault="0082045C">
            <w:pPr>
              <w:pStyle w:val="nTable"/>
              <w:spacing w:before="80"/>
              <w:rPr>
                <w:sz w:val="19"/>
              </w:rPr>
            </w:pPr>
            <w:r>
              <w:rPr>
                <w:sz w:val="19"/>
              </w:rPr>
              <w:t>28 Jun 1996</w:t>
            </w:r>
          </w:p>
        </w:tc>
        <w:tc>
          <w:tcPr>
            <w:tcW w:w="2551" w:type="dxa"/>
            <w:gridSpan w:val="2"/>
          </w:tcPr>
          <w:p w:rsidR="00AD577A" w:rsidRDefault="0082045C">
            <w:pPr>
              <w:pStyle w:val="nTable"/>
              <w:spacing w:before="80"/>
              <w:rPr>
                <w:sz w:val="19"/>
              </w:rPr>
            </w:pPr>
            <w:r>
              <w:rPr>
                <w:sz w:val="19"/>
              </w:rPr>
              <w:t>1 Jul 1996 (see s. 2)</w:t>
            </w:r>
          </w:p>
        </w:tc>
      </w:tr>
      <w:tr w:rsidR="00AD577A">
        <w:trPr>
          <w:gridBefore w:val="1"/>
          <w:wBefore w:w="28" w:type="dxa"/>
        </w:trPr>
        <w:tc>
          <w:tcPr>
            <w:tcW w:w="2268" w:type="dxa"/>
            <w:gridSpan w:val="2"/>
          </w:tcPr>
          <w:p w:rsidR="00AD577A" w:rsidRDefault="0082045C">
            <w:pPr>
              <w:pStyle w:val="nTable"/>
              <w:spacing w:before="80"/>
              <w:rPr>
                <w:sz w:val="19"/>
              </w:rPr>
            </w:pPr>
            <w:r>
              <w:rPr>
                <w:i/>
                <w:sz w:val="19"/>
              </w:rPr>
              <w:t>Statutes (Repeals and Minor Amendments) Act 1997</w:t>
            </w:r>
            <w:r>
              <w:rPr>
                <w:sz w:val="19"/>
              </w:rPr>
              <w:t xml:space="preserve"> s. 39(10)</w:t>
            </w:r>
          </w:p>
        </w:tc>
        <w:tc>
          <w:tcPr>
            <w:tcW w:w="1134" w:type="dxa"/>
            <w:gridSpan w:val="2"/>
          </w:tcPr>
          <w:p w:rsidR="00AD577A" w:rsidRDefault="0082045C">
            <w:pPr>
              <w:pStyle w:val="nTable"/>
              <w:spacing w:before="80"/>
              <w:rPr>
                <w:sz w:val="19"/>
              </w:rPr>
            </w:pPr>
            <w:r>
              <w:rPr>
                <w:sz w:val="19"/>
              </w:rPr>
              <w:t>57 of 1997</w:t>
            </w:r>
          </w:p>
        </w:tc>
        <w:tc>
          <w:tcPr>
            <w:tcW w:w="1134" w:type="dxa"/>
            <w:gridSpan w:val="2"/>
          </w:tcPr>
          <w:p w:rsidR="00AD577A" w:rsidRDefault="0082045C">
            <w:pPr>
              <w:pStyle w:val="nTable"/>
              <w:spacing w:before="80"/>
              <w:rPr>
                <w:sz w:val="19"/>
              </w:rPr>
            </w:pPr>
            <w:r>
              <w:rPr>
                <w:sz w:val="19"/>
              </w:rPr>
              <w:t>15 Dec 1997</w:t>
            </w:r>
          </w:p>
        </w:tc>
        <w:tc>
          <w:tcPr>
            <w:tcW w:w="2551" w:type="dxa"/>
            <w:gridSpan w:val="2"/>
          </w:tcPr>
          <w:p w:rsidR="00AD577A" w:rsidRDefault="0082045C">
            <w:pPr>
              <w:pStyle w:val="nTable"/>
              <w:spacing w:before="80"/>
              <w:rPr>
                <w:sz w:val="19"/>
              </w:rPr>
            </w:pPr>
            <w:r>
              <w:rPr>
                <w:sz w:val="19"/>
              </w:rPr>
              <w:t>15 Dec 1997 (see s. 2(1))</w:t>
            </w:r>
          </w:p>
        </w:tc>
      </w:tr>
      <w:tr w:rsidR="00AD577A">
        <w:trPr>
          <w:gridBefore w:val="1"/>
          <w:wBefore w:w="28" w:type="dxa"/>
        </w:trPr>
        <w:tc>
          <w:tcPr>
            <w:tcW w:w="2268" w:type="dxa"/>
            <w:gridSpan w:val="2"/>
          </w:tcPr>
          <w:p w:rsidR="00AD577A" w:rsidRDefault="0082045C">
            <w:pPr>
              <w:pStyle w:val="nTable"/>
              <w:spacing w:before="80"/>
              <w:rPr>
                <w:sz w:val="19"/>
              </w:rPr>
            </w:pPr>
            <w:r>
              <w:rPr>
                <w:i/>
                <w:sz w:val="19"/>
              </w:rPr>
              <w:t>Petroleum Legislation Amendment Act 2001</w:t>
            </w:r>
            <w:r>
              <w:rPr>
                <w:sz w:val="19"/>
              </w:rPr>
              <w:t xml:space="preserve"> Pt. 2</w:t>
            </w:r>
          </w:p>
        </w:tc>
        <w:tc>
          <w:tcPr>
            <w:tcW w:w="1134" w:type="dxa"/>
            <w:gridSpan w:val="2"/>
          </w:tcPr>
          <w:p w:rsidR="00AD577A" w:rsidRDefault="0082045C">
            <w:pPr>
              <w:pStyle w:val="nTable"/>
              <w:spacing w:before="80"/>
              <w:rPr>
                <w:sz w:val="19"/>
              </w:rPr>
            </w:pPr>
            <w:r>
              <w:rPr>
                <w:sz w:val="19"/>
              </w:rPr>
              <w:t>11 of 2001</w:t>
            </w:r>
          </w:p>
        </w:tc>
        <w:tc>
          <w:tcPr>
            <w:tcW w:w="1134" w:type="dxa"/>
            <w:gridSpan w:val="2"/>
          </w:tcPr>
          <w:p w:rsidR="00AD577A" w:rsidRDefault="0082045C">
            <w:pPr>
              <w:pStyle w:val="nTable"/>
              <w:spacing w:before="80"/>
              <w:rPr>
                <w:sz w:val="19"/>
              </w:rPr>
            </w:pPr>
            <w:r>
              <w:rPr>
                <w:sz w:val="19"/>
              </w:rPr>
              <w:t>13 Jul 2001</w:t>
            </w:r>
          </w:p>
        </w:tc>
        <w:tc>
          <w:tcPr>
            <w:tcW w:w="2551" w:type="dxa"/>
            <w:gridSpan w:val="2"/>
          </w:tcPr>
          <w:p w:rsidR="00AD577A" w:rsidRDefault="0082045C">
            <w:pPr>
              <w:pStyle w:val="nTable"/>
              <w:spacing w:before="80"/>
              <w:rPr>
                <w:sz w:val="19"/>
              </w:rPr>
            </w:pPr>
            <w:r>
              <w:rPr>
                <w:sz w:val="19"/>
              </w:rPr>
              <w:t xml:space="preserve">1 Jan 2002 (see s. 2(1) and </w:t>
            </w:r>
            <w:r>
              <w:rPr>
                <w:i/>
                <w:sz w:val="19"/>
              </w:rPr>
              <w:t>Gazette</w:t>
            </w:r>
            <w:r>
              <w:rPr>
                <w:sz w:val="19"/>
              </w:rPr>
              <w:t xml:space="preserve"> 31 Dec 2001 p. 6761)</w:t>
            </w:r>
          </w:p>
        </w:tc>
      </w:tr>
      <w:tr w:rsidR="00AD577A">
        <w:trPr>
          <w:gridBefore w:val="1"/>
          <w:wBefore w:w="28" w:type="dxa"/>
          <w:cantSplit/>
        </w:trPr>
        <w:tc>
          <w:tcPr>
            <w:tcW w:w="7087" w:type="dxa"/>
            <w:gridSpan w:val="8"/>
          </w:tcPr>
          <w:p w:rsidR="00AD577A" w:rsidRDefault="0082045C">
            <w:pPr>
              <w:pStyle w:val="nTable"/>
              <w:spacing w:before="80"/>
              <w:rPr>
                <w:sz w:val="19"/>
              </w:rPr>
            </w:pPr>
            <w:r>
              <w:rPr>
                <w:b/>
                <w:sz w:val="19"/>
              </w:rPr>
              <w:t xml:space="preserve">Reprint of the </w:t>
            </w:r>
            <w:r>
              <w:rPr>
                <w:b/>
                <w:i/>
                <w:sz w:val="19"/>
              </w:rPr>
              <w:t>Petroleum Retailers Rights and Liabilities Act</w:t>
            </w:r>
            <w:r>
              <w:rPr>
                <w:i/>
                <w:sz w:val="19"/>
              </w:rPr>
              <w:t> </w:t>
            </w:r>
            <w:r>
              <w:rPr>
                <w:b/>
                <w:i/>
                <w:sz w:val="19"/>
              </w:rPr>
              <w:t xml:space="preserve">1982 </w:t>
            </w:r>
            <w:r>
              <w:rPr>
                <w:b/>
                <w:sz w:val="19"/>
              </w:rPr>
              <w:t xml:space="preserve">as at 22 Nov 2002 </w:t>
            </w:r>
            <w:r>
              <w:rPr>
                <w:sz w:val="19"/>
              </w:rPr>
              <w:t>(includes amendments listed above)</w:t>
            </w:r>
          </w:p>
        </w:tc>
      </w:tr>
      <w:tr w:rsidR="00AD577A">
        <w:tblPrEx>
          <w:tblBorders>
            <w:top w:val="single" w:sz="4" w:space="0" w:color="auto"/>
            <w:bottom w:val="single" w:sz="4" w:space="0" w:color="auto"/>
            <w:insideH w:val="single" w:sz="4" w:space="0" w:color="auto"/>
          </w:tblBorders>
        </w:tblPrEx>
        <w:trPr>
          <w:gridAfter w:val="1"/>
          <w:wAfter w:w="28" w:type="dxa"/>
        </w:trPr>
        <w:tc>
          <w:tcPr>
            <w:tcW w:w="2267" w:type="dxa"/>
            <w:gridSpan w:val="2"/>
            <w:tcBorders>
              <w:top w:val="nil"/>
              <w:bottom w:val="single" w:sz="4" w:space="0" w:color="auto"/>
            </w:tcBorders>
          </w:tcPr>
          <w:p w:rsidR="00AD577A" w:rsidRDefault="0082045C">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100</w:t>
            </w:r>
            <w:r>
              <w:rPr>
                <w:rFonts w:ascii="Times" w:hAnsi="Times"/>
                <w:sz w:val="19"/>
                <w:vertAlign w:val="superscript"/>
              </w:rPr>
              <w:t> 2</w:t>
            </w:r>
          </w:p>
        </w:tc>
        <w:tc>
          <w:tcPr>
            <w:tcW w:w="1134" w:type="dxa"/>
            <w:gridSpan w:val="2"/>
            <w:tcBorders>
              <w:top w:val="nil"/>
              <w:bottom w:val="single" w:sz="4" w:space="0" w:color="auto"/>
            </w:tcBorders>
          </w:tcPr>
          <w:p w:rsidR="00AD577A" w:rsidRDefault="0082045C">
            <w:pPr>
              <w:pStyle w:val="nTable"/>
              <w:spacing w:after="40"/>
              <w:rPr>
                <w:rFonts w:ascii="Times" w:hAnsi="Times"/>
                <w:sz w:val="19"/>
              </w:rPr>
            </w:pPr>
            <w:r>
              <w:rPr>
                <w:rFonts w:ascii="Times" w:hAnsi="Times"/>
                <w:sz w:val="19"/>
              </w:rPr>
              <w:t>55 of 2004</w:t>
            </w:r>
          </w:p>
        </w:tc>
        <w:tc>
          <w:tcPr>
            <w:tcW w:w="1134" w:type="dxa"/>
            <w:gridSpan w:val="2"/>
            <w:tcBorders>
              <w:top w:val="nil"/>
              <w:bottom w:val="single" w:sz="4" w:space="0" w:color="auto"/>
            </w:tcBorders>
          </w:tcPr>
          <w:p w:rsidR="00AD577A" w:rsidRDefault="0082045C">
            <w:pPr>
              <w:pStyle w:val="nTable"/>
              <w:spacing w:after="40"/>
              <w:rPr>
                <w:rFonts w:ascii="Times" w:hAnsi="Times"/>
                <w:sz w:val="19"/>
              </w:rPr>
            </w:pPr>
            <w:r>
              <w:rPr>
                <w:rFonts w:ascii="Times" w:hAnsi="Times"/>
                <w:sz w:val="19"/>
              </w:rPr>
              <w:t>24 Nov 2004</w:t>
            </w:r>
          </w:p>
        </w:tc>
        <w:tc>
          <w:tcPr>
            <w:tcW w:w="2552" w:type="dxa"/>
            <w:gridSpan w:val="2"/>
            <w:tcBorders>
              <w:top w:val="nil"/>
              <w:bottom w:val="single" w:sz="4" w:space="0" w:color="auto"/>
            </w:tcBorders>
          </w:tcPr>
          <w:p w:rsidR="00AD577A" w:rsidRDefault="0082045C">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bl>
    <w:p w:rsidR="00AD577A" w:rsidRDefault="0082045C">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D577A" w:rsidRDefault="00AD577A"/>
    <w:p w:rsidR="00AD577A" w:rsidRDefault="00AD577A">
      <w:pPr>
        <w:sectPr w:rsidR="00AD577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D577A" w:rsidRDefault="00AD577A"/>
    <w:sectPr w:rsidR="00AD577A">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77A" w:rsidRDefault="0082045C">
      <w:r>
        <w:separator/>
      </w:r>
    </w:p>
  </w:endnote>
  <w:endnote w:type="continuationSeparator" w:id="0">
    <w:p w:rsidR="00AD577A" w:rsidRDefault="0082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p>
  <w:p w:rsidR="00AD577A" w:rsidRDefault="0082045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AD577A" w:rsidRDefault="0082045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AD577A" w:rsidRDefault="0082045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p>
  <w:p w:rsidR="00AD577A" w:rsidRDefault="0082045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rsidR="00AD577A" w:rsidRDefault="0082045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059E">
      <w:rPr>
        <w:rStyle w:val="PageNumber"/>
        <w:rFonts w:ascii="Arial" w:hAnsi="Arial" w:cs="Arial"/>
        <w:noProof/>
      </w:rPr>
      <w:t>i</w:t>
    </w:r>
    <w:r>
      <w:rPr>
        <w:rStyle w:val="PageNumber"/>
        <w:rFonts w:ascii="Arial" w:hAnsi="Arial" w:cs="Arial"/>
      </w:rPr>
      <w:fldChar w:fldCharType="end"/>
    </w:r>
  </w:p>
  <w:p w:rsidR="00AD577A" w:rsidRDefault="0082045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59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AD577A" w:rsidRDefault="0082045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59E">
      <w:rPr>
        <w:rStyle w:val="CharPageNo"/>
        <w:rFonts w:ascii="Arial" w:hAnsi="Arial"/>
        <w:noProof/>
      </w:rPr>
      <w:t>17</w:t>
    </w:r>
    <w:r>
      <w:rPr>
        <w:rStyle w:val="CharPageNo"/>
        <w:rFonts w:ascii="Arial" w:hAnsi="Arial"/>
      </w:rPr>
      <w:fldChar w:fldCharType="end"/>
    </w:r>
  </w:p>
  <w:p w:rsidR="00AD577A" w:rsidRDefault="0082045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Footer"/>
      <w:tabs>
        <w:tab w:val="clear" w:pos="4153"/>
        <w:tab w:val="right" w:pos="7088"/>
      </w:tabs>
      <w:rPr>
        <w:rStyle w:val="PageNumber"/>
      </w:rPr>
    </w:pPr>
  </w:p>
  <w:p w:rsidR="00AD577A" w:rsidRDefault="008204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59E">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59E">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59E">
      <w:rPr>
        <w:rStyle w:val="CharPageNo"/>
        <w:rFonts w:ascii="Arial" w:hAnsi="Arial"/>
        <w:noProof/>
      </w:rPr>
      <w:t>1</w:t>
    </w:r>
    <w:r>
      <w:rPr>
        <w:rStyle w:val="CharPageNo"/>
        <w:rFonts w:ascii="Arial" w:hAnsi="Arial"/>
      </w:rPr>
      <w:fldChar w:fldCharType="end"/>
    </w:r>
  </w:p>
  <w:p w:rsidR="00AD577A" w:rsidRDefault="0082045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77A" w:rsidRDefault="0082045C">
      <w:r>
        <w:separator/>
      </w:r>
    </w:p>
  </w:footnote>
  <w:footnote w:type="continuationSeparator" w:id="0">
    <w:p w:rsidR="00AD577A" w:rsidRDefault="008204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D577A">
      <w:trPr>
        <w:cantSplit/>
      </w:trPr>
      <w:tc>
        <w:tcPr>
          <w:tcW w:w="7312" w:type="dxa"/>
          <w:gridSpan w:val="2"/>
        </w:tcPr>
        <w:p w:rsidR="00AD577A" w:rsidRDefault="0082045C">
          <w:pPr>
            <w:pStyle w:val="HeaderActNameLeft"/>
          </w:pPr>
          <w:r>
            <w:rPr>
              <w:i w:val="0"/>
            </w:rPr>
            <w:fldChar w:fldCharType="begin"/>
          </w:r>
          <w:r>
            <w:rPr>
              <w:i w:val="0"/>
            </w:rPr>
            <w:instrText xml:space="preserve"> Styleref "Name of Act/Reg" </w:instrText>
          </w:r>
          <w:r>
            <w:rPr>
              <w:i w:val="0"/>
            </w:rPr>
            <w:fldChar w:fldCharType="separate"/>
          </w:r>
          <w:r w:rsidR="0064059E">
            <w:rPr>
              <w:i w:val="0"/>
              <w:noProof/>
            </w:rPr>
            <w:t>Petroleum Retailers Rights and Liabilities Act 1982</w:t>
          </w:r>
          <w:r>
            <w:rPr>
              <w:i w:val="0"/>
            </w:rPr>
            <w:fldChar w:fldCharType="end"/>
          </w:r>
        </w:p>
      </w:tc>
    </w:tr>
    <w:tr w:rsidR="00AD577A">
      <w:tc>
        <w:tcPr>
          <w:tcW w:w="1548" w:type="dxa"/>
        </w:tcPr>
        <w:p w:rsidR="00AD577A" w:rsidRDefault="00AD577A">
          <w:pPr>
            <w:pStyle w:val="HeaderNumberLeft"/>
          </w:pPr>
        </w:p>
      </w:tc>
      <w:tc>
        <w:tcPr>
          <w:tcW w:w="5764" w:type="dxa"/>
        </w:tcPr>
        <w:p w:rsidR="00AD577A" w:rsidRDefault="00AD577A">
          <w:pPr>
            <w:pStyle w:val="HeaderTextLeft"/>
          </w:pPr>
        </w:p>
      </w:tc>
    </w:tr>
    <w:tr w:rsidR="00AD577A">
      <w:tc>
        <w:tcPr>
          <w:tcW w:w="1548" w:type="dxa"/>
        </w:tcPr>
        <w:p w:rsidR="00AD577A" w:rsidRDefault="00AD577A">
          <w:pPr>
            <w:pStyle w:val="HeaderNumberLeft"/>
          </w:pPr>
        </w:p>
      </w:tc>
      <w:tc>
        <w:tcPr>
          <w:tcW w:w="5764" w:type="dxa"/>
        </w:tcPr>
        <w:p w:rsidR="00AD577A" w:rsidRDefault="00AD577A">
          <w:pPr>
            <w:pStyle w:val="HeaderTextLeft"/>
          </w:pPr>
        </w:p>
      </w:tc>
    </w:tr>
    <w:tr w:rsidR="00AD577A">
      <w:trPr>
        <w:cantSplit/>
      </w:trPr>
      <w:tc>
        <w:tcPr>
          <w:tcW w:w="7312" w:type="dxa"/>
          <w:gridSpan w:val="2"/>
        </w:tcPr>
        <w:p w:rsidR="00AD577A" w:rsidRDefault="00AD577A">
          <w:pPr>
            <w:pStyle w:val="HeaderSectionLeft"/>
          </w:pPr>
        </w:p>
      </w:tc>
    </w:tr>
  </w:tbl>
  <w:p w:rsidR="00AD577A" w:rsidRDefault="00AD57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D577A">
      <w:trPr>
        <w:cantSplit/>
      </w:trPr>
      <w:tc>
        <w:tcPr>
          <w:tcW w:w="7312" w:type="dxa"/>
          <w:gridSpan w:val="2"/>
        </w:tcPr>
        <w:p w:rsidR="00AD577A" w:rsidRDefault="0082045C">
          <w:pPr>
            <w:pStyle w:val="HeaderActNameRight"/>
          </w:pPr>
          <w:fldSimple w:instr=" Styleref &quot;Name of Act/Reg&quot; ">
            <w:r w:rsidR="0064059E">
              <w:rPr>
                <w:noProof/>
              </w:rPr>
              <w:t>Petroleum Retailers Rights and Liabilities Act 1982</w:t>
            </w:r>
          </w:fldSimple>
        </w:p>
      </w:tc>
    </w:tr>
    <w:tr w:rsidR="00AD577A">
      <w:tc>
        <w:tcPr>
          <w:tcW w:w="5760" w:type="dxa"/>
        </w:tcPr>
        <w:p w:rsidR="00AD577A" w:rsidRDefault="00AD577A">
          <w:pPr>
            <w:pStyle w:val="HeaderTextRight"/>
          </w:pPr>
        </w:p>
      </w:tc>
      <w:tc>
        <w:tcPr>
          <w:tcW w:w="1552" w:type="dxa"/>
        </w:tcPr>
        <w:p w:rsidR="00AD577A" w:rsidRDefault="00AD577A">
          <w:pPr>
            <w:pStyle w:val="HeaderNumberRight"/>
          </w:pPr>
        </w:p>
      </w:tc>
    </w:tr>
    <w:tr w:rsidR="00AD577A">
      <w:tc>
        <w:tcPr>
          <w:tcW w:w="5760" w:type="dxa"/>
        </w:tcPr>
        <w:p w:rsidR="00AD577A" w:rsidRDefault="00AD577A">
          <w:pPr>
            <w:pStyle w:val="HeaderTextRight"/>
          </w:pPr>
        </w:p>
      </w:tc>
      <w:tc>
        <w:tcPr>
          <w:tcW w:w="1552" w:type="dxa"/>
        </w:tcPr>
        <w:p w:rsidR="00AD577A" w:rsidRDefault="00AD577A">
          <w:pPr>
            <w:pStyle w:val="HeaderNumberRight"/>
          </w:pPr>
        </w:p>
      </w:tc>
    </w:tr>
    <w:tr w:rsidR="00AD577A">
      <w:trPr>
        <w:cantSplit/>
      </w:trPr>
      <w:tc>
        <w:tcPr>
          <w:tcW w:w="7312" w:type="dxa"/>
          <w:gridSpan w:val="2"/>
        </w:tcPr>
        <w:p w:rsidR="00AD577A" w:rsidRDefault="00AD577A">
          <w:pPr>
            <w:pStyle w:val="HeaderSectionRight"/>
          </w:pPr>
        </w:p>
      </w:tc>
    </w:tr>
  </w:tbl>
  <w:p w:rsidR="00AD577A" w:rsidRDefault="00AD57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D577A">
      <w:trPr>
        <w:cantSplit/>
      </w:trPr>
      <w:tc>
        <w:tcPr>
          <w:tcW w:w="7312" w:type="dxa"/>
          <w:gridSpan w:val="2"/>
        </w:tcPr>
        <w:p w:rsidR="00AD577A" w:rsidRDefault="0082045C">
          <w:pPr>
            <w:pStyle w:val="HeaderActNameLeft"/>
          </w:pPr>
          <w:fldSimple w:instr=" Styleref &quot;Name of Act/Reg&quot; ">
            <w:r w:rsidR="0064059E">
              <w:rPr>
                <w:noProof/>
              </w:rPr>
              <w:t>Petroleum Retailers Rights and Liabilities Act 1982</w:t>
            </w:r>
          </w:fldSimple>
        </w:p>
      </w:tc>
    </w:tr>
    <w:tr w:rsidR="00AD577A">
      <w:tc>
        <w:tcPr>
          <w:tcW w:w="1305" w:type="dxa"/>
        </w:tcPr>
        <w:p w:rsidR="00AD577A" w:rsidRDefault="0082045C">
          <w:pPr>
            <w:pStyle w:val="HeaderNumberLeft"/>
          </w:pPr>
          <w:r>
            <w:fldChar w:fldCharType="begin"/>
          </w:r>
          <w:r>
            <w:instrText xml:space="preserve"> styleref CharPartNo </w:instrText>
          </w:r>
          <w:r>
            <w:fldChar w:fldCharType="end"/>
          </w:r>
        </w:p>
      </w:tc>
      <w:tc>
        <w:tcPr>
          <w:tcW w:w="6007" w:type="dxa"/>
        </w:tcPr>
        <w:p w:rsidR="00AD577A" w:rsidRDefault="0082045C">
          <w:pPr>
            <w:pStyle w:val="HeaderTextLeft"/>
          </w:pPr>
          <w:r>
            <w:fldChar w:fldCharType="begin"/>
          </w:r>
          <w:r>
            <w:instrText xml:space="preserve"> styleref CharPartText </w:instrText>
          </w:r>
          <w:r>
            <w:fldChar w:fldCharType="end"/>
          </w:r>
        </w:p>
      </w:tc>
    </w:tr>
    <w:tr w:rsidR="00AD577A">
      <w:tc>
        <w:tcPr>
          <w:tcW w:w="1305" w:type="dxa"/>
        </w:tcPr>
        <w:p w:rsidR="00AD577A" w:rsidRDefault="0082045C">
          <w:pPr>
            <w:pStyle w:val="HeaderNumberLeft"/>
          </w:pPr>
          <w:r>
            <w:fldChar w:fldCharType="begin"/>
          </w:r>
          <w:r>
            <w:instrText xml:space="preserve"> styleref CharDivNo </w:instrText>
          </w:r>
          <w:r>
            <w:fldChar w:fldCharType="end"/>
          </w:r>
        </w:p>
      </w:tc>
      <w:tc>
        <w:tcPr>
          <w:tcW w:w="6007" w:type="dxa"/>
        </w:tcPr>
        <w:p w:rsidR="00AD577A" w:rsidRDefault="0082045C">
          <w:pPr>
            <w:pStyle w:val="HeaderTextLeft"/>
          </w:pPr>
          <w:r>
            <w:fldChar w:fldCharType="begin"/>
          </w:r>
          <w:r>
            <w:instrText xml:space="preserve"> styleref CharDivText </w:instrText>
          </w:r>
          <w:r>
            <w:fldChar w:fldCharType="end"/>
          </w:r>
        </w:p>
      </w:tc>
    </w:tr>
    <w:tr w:rsidR="00AD577A">
      <w:trPr>
        <w:cantSplit/>
      </w:trPr>
      <w:tc>
        <w:tcPr>
          <w:tcW w:w="7312" w:type="dxa"/>
          <w:gridSpan w:val="2"/>
        </w:tcPr>
        <w:p w:rsidR="00AD577A" w:rsidRDefault="0082045C">
          <w:pPr>
            <w:pStyle w:val="HeaderSectionLeft"/>
          </w:pPr>
          <w:r>
            <w:t xml:space="preserve">s. </w:t>
          </w:r>
          <w:fldSimple w:instr=" styleref CharSectno ">
            <w:r w:rsidR="0064059E">
              <w:rPr>
                <w:noProof/>
              </w:rPr>
              <w:t>1</w:t>
            </w:r>
          </w:fldSimple>
        </w:p>
      </w:tc>
    </w:tr>
  </w:tbl>
  <w:p w:rsidR="00AD577A" w:rsidRDefault="00AD577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D577A">
      <w:trPr>
        <w:cantSplit/>
      </w:trPr>
      <w:tc>
        <w:tcPr>
          <w:tcW w:w="7312" w:type="dxa"/>
          <w:gridSpan w:val="2"/>
        </w:tcPr>
        <w:p w:rsidR="00AD577A" w:rsidRDefault="0082045C">
          <w:pPr>
            <w:pStyle w:val="HeaderActNameRight"/>
          </w:pPr>
          <w:fldSimple w:instr=" Styleref &quot;Name of Act/Reg&quot; ">
            <w:r w:rsidR="0064059E">
              <w:rPr>
                <w:noProof/>
              </w:rPr>
              <w:t>Petroleum Retailers Rights and Liabilities Act 1982</w:t>
            </w:r>
          </w:fldSimple>
        </w:p>
      </w:tc>
    </w:tr>
    <w:tr w:rsidR="00AD577A">
      <w:tc>
        <w:tcPr>
          <w:tcW w:w="5985" w:type="dxa"/>
        </w:tcPr>
        <w:p w:rsidR="00AD577A" w:rsidRDefault="0082045C">
          <w:pPr>
            <w:pStyle w:val="HeaderTextRight"/>
          </w:pPr>
          <w:r>
            <w:fldChar w:fldCharType="begin"/>
          </w:r>
          <w:r>
            <w:instrText xml:space="preserve"> styleref CharPartText </w:instrText>
          </w:r>
          <w:r>
            <w:fldChar w:fldCharType="end"/>
          </w:r>
        </w:p>
      </w:tc>
      <w:tc>
        <w:tcPr>
          <w:tcW w:w="1327" w:type="dxa"/>
        </w:tcPr>
        <w:p w:rsidR="00AD577A" w:rsidRDefault="0082045C">
          <w:pPr>
            <w:pStyle w:val="HeaderNumberRight"/>
          </w:pPr>
          <w:r>
            <w:fldChar w:fldCharType="begin"/>
          </w:r>
          <w:r>
            <w:instrText xml:space="preserve"> styleref CharPartNo </w:instrText>
          </w:r>
          <w:r>
            <w:fldChar w:fldCharType="end"/>
          </w:r>
        </w:p>
      </w:tc>
    </w:tr>
    <w:tr w:rsidR="00AD577A">
      <w:tc>
        <w:tcPr>
          <w:tcW w:w="5985" w:type="dxa"/>
        </w:tcPr>
        <w:p w:rsidR="00AD577A" w:rsidRDefault="0082045C">
          <w:pPr>
            <w:pStyle w:val="HeaderTextRight"/>
          </w:pPr>
          <w:r>
            <w:fldChar w:fldCharType="begin"/>
          </w:r>
          <w:r>
            <w:instrText xml:space="preserve"> styleref CharDivText </w:instrText>
          </w:r>
          <w:r>
            <w:fldChar w:fldCharType="end"/>
          </w:r>
        </w:p>
      </w:tc>
      <w:tc>
        <w:tcPr>
          <w:tcW w:w="1327" w:type="dxa"/>
        </w:tcPr>
        <w:p w:rsidR="00AD577A" w:rsidRDefault="0082045C">
          <w:pPr>
            <w:pStyle w:val="HeaderNumberRight"/>
          </w:pPr>
          <w:r>
            <w:fldChar w:fldCharType="begin"/>
          </w:r>
          <w:r>
            <w:instrText xml:space="preserve"> styleref CharDivNo </w:instrText>
          </w:r>
          <w:r>
            <w:fldChar w:fldCharType="end"/>
          </w:r>
        </w:p>
      </w:tc>
    </w:tr>
    <w:tr w:rsidR="00AD577A">
      <w:trPr>
        <w:cantSplit/>
      </w:trPr>
      <w:tc>
        <w:tcPr>
          <w:tcW w:w="7312" w:type="dxa"/>
          <w:gridSpan w:val="2"/>
        </w:tcPr>
        <w:p w:rsidR="00AD577A" w:rsidRDefault="0082045C">
          <w:pPr>
            <w:pStyle w:val="HeaderSectionRight"/>
          </w:pPr>
          <w:r>
            <w:t xml:space="preserve">s. </w:t>
          </w:r>
          <w:fldSimple w:instr=" styleref CharSectno ">
            <w:r w:rsidR="0064059E">
              <w:rPr>
                <w:noProof/>
              </w:rPr>
              <w:t>1</w:t>
            </w:r>
          </w:fldSimple>
        </w:p>
      </w:tc>
    </w:tr>
  </w:tbl>
  <w:p w:rsidR="00AD577A" w:rsidRDefault="00AD57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D577A">
      <w:trPr>
        <w:cantSplit/>
      </w:trPr>
      <w:tc>
        <w:tcPr>
          <w:tcW w:w="7312" w:type="dxa"/>
          <w:gridSpan w:val="2"/>
        </w:tcPr>
        <w:p w:rsidR="00AD577A" w:rsidRDefault="0082045C">
          <w:pPr>
            <w:pStyle w:val="HeaderActNameLeft"/>
          </w:pPr>
          <w:fldSimple w:instr=" Styleref &quot;Name of Act/Reg&quot; ">
            <w:r w:rsidR="0064059E">
              <w:rPr>
                <w:noProof/>
              </w:rPr>
              <w:t>Petroleum Retailers Rights and Liabilities Act 1982</w:t>
            </w:r>
          </w:fldSimple>
        </w:p>
      </w:tc>
    </w:tr>
    <w:tr w:rsidR="00AD577A">
      <w:tc>
        <w:tcPr>
          <w:tcW w:w="1548" w:type="dxa"/>
        </w:tcPr>
        <w:p w:rsidR="00AD577A" w:rsidRDefault="00AD577A">
          <w:pPr>
            <w:pStyle w:val="HeaderNumberLeft"/>
          </w:pPr>
        </w:p>
      </w:tc>
      <w:tc>
        <w:tcPr>
          <w:tcW w:w="5764" w:type="dxa"/>
        </w:tcPr>
        <w:p w:rsidR="00AD577A" w:rsidRDefault="00AD577A">
          <w:pPr>
            <w:pStyle w:val="HeaderTextLeft"/>
          </w:pPr>
        </w:p>
      </w:tc>
    </w:tr>
    <w:tr w:rsidR="00AD577A">
      <w:tc>
        <w:tcPr>
          <w:tcW w:w="1548" w:type="dxa"/>
        </w:tcPr>
        <w:p w:rsidR="00AD577A" w:rsidRDefault="00AD577A">
          <w:pPr>
            <w:pStyle w:val="HeaderNumberLeft"/>
          </w:pPr>
        </w:p>
      </w:tc>
      <w:tc>
        <w:tcPr>
          <w:tcW w:w="5764" w:type="dxa"/>
        </w:tcPr>
        <w:p w:rsidR="00AD577A" w:rsidRDefault="00AD577A">
          <w:pPr>
            <w:pStyle w:val="HeaderTextLeft"/>
          </w:pPr>
        </w:p>
      </w:tc>
    </w:tr>
    <w:tr w:rsidR="00AD577A">
      <w:trPr>
        <w:cantSplit/>
      </w:trPr>
      <w:tc>
        <w:tcPr>
          <w:tcW w:w="7312" w:type="dxa"/>
          <w:gridSpan w:val="2"/>
        </w:tcPr>
        <w:p w:rsidR="00AD577A" w:rsidRDefault="00AD577A">
          <w:pPr>
            <w:pStyle w:val="HeaderSectionLeft"/>
          </w:pPr>
        </w:p>
      </w:tc>
    </w:tr>
  </w:tbl>
  <w:p w:rsidR="00AD577A" w:rsidRDefault="00AD57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D577A">
      <w:trPr>
        <w:cantSplit/>
      </w:trPr>
      <w:tc>
        <w:tcPr>
          <w:tcW w:w="7312" w:type="dxa"/>
          <w:gridSpan w:val="2"/>
        </w:tcPr>
        <w:p w:rsidR="00AD577A" w:rsidRDefault="0082045C">
          <w:pPr>
            <w:pStyle w:val="HeaderActNameRight"/>
          </w:pPr>
          <w:fldSimple w:instr=" Styleref &quot;Name of Act/Reg&quot; ">
            <w:r w:rsidR="0064059E">
              <w:rPr>
                <w:noProof/>
              </w:rPr>
              <w:t>Petroleum Retailers Rights and Liabilities Act 1982</w:t>
            </w:r>
          </w:fldSimple>
        </w:p>
      </w:tc>
    </w:tr>
    <w:tr w:rsidR="00AD577A">
      <w:tc>
        <w:tcPr>
          <w:tcW w:w="5760" w:type="dxa"/>
        </w:tcPr>
        <w:p w:rsidR="00AD577A" w:rsidRDefault="00AD577A">
          <w:pPr>
            <w:pStyle w:val="HeaderTextRight"/>
          </w:pPr>
        </w:p>
      </w:tc>
      <w:tc>
        <w:tcPr>
          <w:tcW w:w="1552" w:type="dxa"/>
        </w:tcPr>
        <w:p w:rsidR="00AD577A" w:rsidRDefault="00AD577A">
          <w:pPr>
            <w:pStyle w:val="HeaderNumberRight"/>
          </w:pPr>
        </w:p>
      </w:tc>
    </w:tr>
    <w:tr w:rsidR="00AD577A">
      <w:tc>
        <w:tcPr>
          <w:tcW w:w="5760" w:type="dxa"/>
        </w:tcPr>
        <w:p w:rsidR="00AD577A" w:rsidRDefault="00AD577A">
          <w:pPr>
            <w:pStyle w:val="HeaderTextRight"/>
          </w:pPr>
        </w:p>
      </w:tc>
      <w:tc>
        <w:tcPr>
          <w:tcW w:w="1552" w:type="dxa"/>
        </w:tcPr>
        <w:p w:rsidR="00AD577A" w:rsidRDefault="00AD577A">
          <w:pPr>
            <w:pStyle w:val="HeaderNumberRight"/>
          </w:pPr>
        </w:p>
      </w:tc>
    </w:tr>
    <w:tr w:rsidR="00AD577A">
      <w:trPr>
        <w:cantSplit/>
      </w:trPr>
      <w:tc>
        <w:tcPr>
          <w:tcW w:w="7312" w:type="dxa"/>
          <w:gridSpan w:val="2"/>
        </w:tcPr>
        <w:p w:rsidR="00AD577A" w:rsidRDefault="00AD577A">
          <w:pPr>
            <w:pStyle w:val="HeaderSectionRight"/>
          </w:pPr>
        </w:p>
      </w:tc>
    </w:tr>
  </w:tbl>
  <w:p w:rsidR="00AD577A" w:rsidRDefault="00AD57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82045C">
    <w:pPr>
      <w:pStyle w:val="headerpartodd"/>
      <w:ind w:left="0" w:firstLine="0"/>
      <w:rPr>
        <w:i/>
      </w:rPr>
    </w:pPr>
    <w:r>
      <w:rPr>
        <w:i/>
      </w:rPr>
      <w:fldChar w:fldCharType="begin"/>
    </w:r>
    <w:r>
      <w:rPr>
        <w:i/>
      </w:rPr>
      <w:instrText xml:space="preserve"> Styleref "Name of Act/Reg" </w:instrText>
    </w:r>
    <w:r>
      <w:rPr>
        <w:i/>
      </w:rPr>
      <w:fldChar w:fldCharType="separate"/>
    </w:r>
    <w:r w:rsidR="0064059E">
      <w:rPr>
        <w:i/>
        <w:noProof/>
      </w:rPr>
      <w:t>Petroleum Retailers Rights and Liabilities Act 1982</w:t>
    </w:r>
    <w:r>
      <w:rPr>
        <w:i/>
      </w:rPr>
      <w:fldChar w:fldCharType="end"/>
    </w:r>
  </w:p>
  <w:p w:rsidR="00AD577A" w:rsidRDefault="00AD577A">
    <w:pPr>
      <w:pStyle w:val="headerpartodd"/>
      <w:ind w:left="0" w:firstLine="0"/>
      <w:rPr>
        <w:b w:val="0"/>
        <w:i/>
      </w:rPr>
    </w:pPr>
  </w:p>
  <w:p w:rsidR="00AD577A" w:rsidRDefault="00AD577A">
    <w:pPr>
      <w:pStyle w:val="headerpart"/>
    </w:pPr>
  </w:p>
  <w:p w:rsidR="00AD577A" w:rsidRDefault="00AD577A">
    <w:pPr>
      <w:pStyle w:val="headerpart"/>
    </w:pPr>
  </w:p>
  <w:p w:rsidR="00AD577A" w:rsidRDefault="00AD577A">
    <w:pPr>
      <w:pBdr>
        <w:bottom w:val="single" w:sz="6" w:space="1" w:color="auto"/>
      </w:pBdr>
      <w:rPr>
        <w:b/>
      </w:rPr>
    </w:pPr>
  </w:p>
  <w:p w:rsidR="00AD577A" w:rsidRDefault="00AD57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82045C">
    <w:pPr>
      <w:pStyle w:val="headerpartodd"/>
      <w:ind w:left="0" w:firstLine="0"/>
      <w:jc w:val="right"/>
      <w:rPr>
        <w:i/>
      </w:rPr>
    </w:pPr>
    <w:r>
      <w:rPr>
        <w:i/>
      </w:rPr>
      <w:fldChar w:fldCharType="begin"/>
    </w:r>
    <w:r>
      <w:rPr>
        <w:i/>
      </w:rPr>
      <w:instrText xml:space="preserve"> Styleref "Name of Act/Reg" </w:instrText>
    </w:r>
    <w:r>
      <w:rPr>
        <w:i/>
      </w:rPr>
      <w:fldChar w:fldCharType="separate"/>
    </w:r>
    <w:r w:rsidR="0064059E">
      <w:rPr>
        <w:i/>
        <w:noProof/>
      </w:rPr>
      <w:t>Petroleum Retailers Rights and Liabilities Act 1982</w:t>
    </w:r>
    <w:r>
      <w:rPr>
        <w:i/>
      </w:rPr>
      <w:fldChar w:fldCharType="end"/>
    </w:r>
  </w:p>
  <w:p w:rsidR="00AD577A" w:rsidRDefault="00AD577A">
    <w:pPr>
      <w:pStyle w:val="headerpartodd"/>
      <w:ind w:left="0" w:firstLine="0"/>
      <w:jc w:val="right"/>
      <w:rPr>
        <w:b w:val="0"/>
        <w:i/>
      </w:rPr>
    </w:pPr>
  </w:p>
  <w:p w:rsidR="00AD577A" w:rsidRDefault="00AD577A">
    <w:pPr>
      <w:pStyle w:val="headerpart"/>
      <w:jc w:val="right"/>
    </w:pPr>
  </w:p>
  <w:p w:rsidR="00AD577A" w:rsidRDefault="00AD577A">
    <w:pPr>
      <w:pStyle w:val="headerpart"/>
      <w:jc w:val="right"/>
    </w:pPr>
  </w:p>
  <w:p w:rsidR="00AD577A" w:rsidRDefault="00AD577A">
    <w:pPr>
      <w:pBdr>
        <w:bottom w:val="single" w:sz="6" w:space="1" w:color="auto"/>
      </w:pBdr>
      <w:jc w:val="right"/>
      <w:rPr>
        <w:b/>
      </w:rPr>
    </w:pPr>
  </w:p>
  <w:p w:rsidR="00AD577A" w:rsidRDefault="00AD577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7A" w:rsidRDefault="00AD57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664A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98AB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B823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A26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42F2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92BF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F85C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D637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AE5A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68A2A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A29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ItemUnnumbered"/>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64A32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45C"/>
    <w:rsid w:val="0064059E"/>
    <w:rsid w:val="0065723E"/>
    <w:rsid w:val="0082045C"/>
    <w:rsid w:val="00AD577A"/>
    <w:rsid w:val="00E00B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tabs>
        <w:tab w:val="num" w:pos="0"/>
      </w:tabs>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en">
    <w:name w:val="pen"/>
    <w:basedOn w:val="Subsection"/>
    <w:rPr>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tabs>
        <w:tab w:val="num" w:pos="0"/>
      </w:tabs>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en">
    <w:name w:val="pen"/>
    <w:basedOn w:val="Subsection"/>
    <w:rPr>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4820</Words>
  <Characters>22803</Characters>
  <Application>Microsoft Office Word</Application>
  <DocSecurity>0</DocSecurity>
  <Lines>600</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1982 - 01-b0-03</dc:title>
  <dc:subject/>
  <dc:creator>svcMRProcess</dc:creator>
  <cp:keywords/>
  <cp:lastModifiedBy>svcMRProcess</cp:lastModifiedBy>
  <cp:revision>4</cp:revision>
  <cp:lastPrinted>2002-11-21T07:51:00Z</cp:lastPrinted>
  <dcterms:created xsi:type="dcterms:W3CDTF">2013-02-19T22:59:00Z</dcterms:created>
  <dcterms:modified xsi:type="dcterms:W3CDTF">2013-02-19T22:59:00Z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601</vt:i4>
  </property>
  <property fmtid="{D5CDD505-2E9C-101B-9397-08002B2CF9AE}" pid="6" name="AsAtDate">
    <vt:lpwstr>01 Jan 2005</vt:lpwstr>
  </property>
  <property fmtid="{D5CDD505-2E9C-101B-9397-08002B2CF9AE}" pid="7" name="Suffix">
    <vt:lpwstr>01-b0-03</vt:lpwstr>
  </property>
</Properties>
</file>