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Solicitor-General Act 1969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Solicitor-General Act 1969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_Toc32409260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 in this Act</w:t>
      </w:r>
      <w:r>
        <w:tab/>
      </w:r>
      <w:r>
        <w:fldChar w:fldCharType="begin"/>
      </w:r>
      <w:r>
        <w:instrText xml:space="preserve"> PAGEREF _Toc32409261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Solicitor</w:t>
      </w:r>
      <w:r>
        <w:rPr>
          <w:snapToGrid w:val="0"/>
        </w:rPr>
        <w:noBreakHyphen/>
        <w:t>General, appointment and qualifications</w:t>
      </w:r>
      <w:r>
        <w:tab/>
      </w:r>
      <w:r>
        <w:fldChar w:fldCharType="begin"/>
      </w:r>
      <w:r>
        <w:instrText xml:space="preserve"> PAGEREF _Toc32409262 \h </w:instrText>
      </w:r>
      <w:r>
        <w:fldChar w:fldCharType="separate"/>
      </w:r>
      <w:r>
        <w:t>1</w:t>
      </w:r>
      <w:r>
        <w:fldChar w:fldCharType="end"/>
      </w:r>
    </w:p>
    <w:p>
      <w:pPr>
        <w:pStyle w:val="TOC8"/>
        <w:rPr>
          <w:rFonts w:asciiTheme="minorHAnsi" w:eastAsiaTheme="minorEastAsia" w:hAnsiTheme="minorHAnsi" w:cstheme="minorBidi"/>
          <w:szCs w:val="22"/>
        </w:rPr>
      </w:pPr>
      <w:r>
        <w:t>4.</w:t>
      </w:r>
      <w:r>
        <w:tab/>
        <w:t>Remuneration</w:t>
      </w:r>
      <w:r>
        <w:tab/>
      </w:r>
      <w:r>
        <w:fldChar w:fldCharType="begin"/>
      </w:r>
      <w:r>
        <w:instrText xml:space="preserve"> PAGEREF _Toc32409263 \h </w:instrText>
      </w:r>
      <w:r>
        <w:fldChar w:fldCharType="separate"/>
      </w:r>
      <w:r>
        <w:t>2</w:t>
      </w:r>
      <w:r>
        <w:fldChar w:fldCharType="end"/>
      </w:r>
    </w:p>
    <w:p>
      <w:pPr>
        <w:pStyle w:val="TOC8"/>
        <w:rPr>
          <w:rFonts w:asciiTheme="minorHAnsi" w:eastAsiaTheme="minorEastAsia" w:hAnsiTheme="minorHAnsi" w:cstheme="minorBidi"/>
          <w:szCs w:val="22"/>
        </w:rPr>
      </w:pPr>
      <w:r>
        <w:t>4A.</w:t>
      </w:r>
      <w:r>
        <w:tab/>
        <w:t>Leave and other conditions of service</w:t>
      </w:r>
      <w:r>
        <w:tab/>
      </w:r>
      <w:r>
        <w:fldChar w:fldCharType="begin"/>
      </w:r>
      <w:r>
        <w:instrText xml:space="preserve"> PAGEREF _Toc32409264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Resignation</w:t>
      </w:r>
      <w:r>
        <w:tab/>
      </w:r>
      <w:r>
        <w:fldChar w:fldCharType="begin"/>
      </w:r>
      <w:r>
        <w:instrText xml:space="preserve"> PAGEREF _Toc32409265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Private practice prohibited except with approval</w:t>
      </w:r>
      <w:r>
        <w:tab/>
      </w:r>
      <w:r>
        <w:fldChar w:fldCharType="begin"/>
      </w:r>
      <w:r>
        <w:instrText xml:space="preserve"> PAGEREF _Toc32409266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Removal from office</w:t>
      </w:r>
      <w:r>
        <w:tab/>
      </w:r>
      <w:r>
        <w:fldChar w:fldCharType="begin"/>
      </w:r>
      <w:r>
        <w:instrText xml:space="preserve"> PAGEREF _Toc32409267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Acting Solicitor</w:t>
      </w:r>
      <w:r>
        <w:rPr>
          <w:snapToGrid w:val="0"/>
        </w:rPr>
        <w:noBreakHyphen/>
        <w:t>General</w:t>
      </w:r>
      <w:r>
        <w:tab/>
      </w:r>
      <w:r>
        <w:fldChar w:fldCharType="begin"/>
      </w:r>
      <w:r>
        <w:instrText xml:space="preserve"> PAGEREF _Toc32409268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Functions</w:t>
      </w:r>
      <w:r>
        <w:tab/>
      </w:r>
      <w:r>
        <w:fldChar w:fldCharType="begin"/>
      </w:r>
      <w:r>
        <w:instrText xml:space="preserve"> PAGEREF _Toc32409269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Certain rights as a public servant preserved</w:t>
      </w:r>
      <w:r>
        <w:tab/>
      </w:r>
      <w:r>
        <w:fldChar w:fldCharType="begin"/>
      </w:r>
      <w:r>
        <w:instrText xml:space="preserve"> PAGEREF _Toc32409270 \h </w:instrText>
      </w:r>
      <w:r>
        <w:fldChar w:fldCharType="separate"/>
      </w:r>
      <w:r>
        <w:t>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Attorney General may delegate to Solicitor</w:t>
      </w:r>
      <w:r>
        <w:rPr>
          <w:snapToGrid w:val="0"/>
        </w:rPr>
        <w:noBreakHyphen/>
        <w:t>General</w:t>
      </w:r>
      <w:r>
        <w:tab/>
      </w:r>
      <w:r>
        <w:fldChar w:fldCharType="begin"/>
      </w:r>
      <w:r>
        <w:instrText xml:space="preserve"> PAGEREF _Toc32409271 \h </w:instrText>
      </w:r>
      <w:r>
        <w:fldChar w:fldCharType="separate"/>
      </w:r>
      <w:r>
        <w:t>5</w:t>
      </w:r>
      <w:r>
        <w:fldChar w:fldCharType="end"/>
      </w:r>
    </w:p>
    <w:p>
      <w:pPr>
        <w:pStyle w:val="TOC8"/>
        <w:rPr>
          <w:rFonts w:asciiTheme="minorHAnsi" w:eastAsiaTheme="minorEastAsia" w:hAnsiTheme="minorHAnsi" w:cstheme="minorBidi"/>
          <w:szCs w:val="22"/>
        </w:rPr>
      </w:pPr>
      <w:r>
        <w:t>14.</w:t>
      </w:r>
      <w:r>
        <w:tab/>
        <w:t xml:space="preserve">Transitional matters for </w:t>
      </w:r>
      <w:r>
        <w:rPr>
          <w:i/>
        </w:rPr>
        <w:t>Solicitor</w:t>
      </w:r>
      <w:r>
        <w:rPr>
          <w:i/>
        </w:rPr>
        <w:noBreakHyphen/>
        <w:t>General Amendment Act 2006</w:t>
      </w:r>
      <w:r>
        <w:tab/>
      </w:r>
      <w:r>
        <w:fldChar w:fldCharType="begin"/>
      </w:r>
      <w:r>
        <w:instrText xml:space="preserve"> PAGEREF _Toc32409272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_Toc32409274 \h </w:instrText>
      </w:r>
      <w:r>
        <w:fldChar w:fldCharType="separate"/>
      </w:r>
      <w:r>
        <w:t>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_Toc32409275 \h </w:instrText>
      </w:r>
      <w:r>
        <w:fldChar w:fldCharType="separate"/>
      </w:r>
      <w:r>
        <w:t>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_Toc32409276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Solicitor</w:t>
      </w:r>
      <w:r>
        <w:noBreakHyphen/>
        <w:t xml:space="preserve">General Act 1969 </w:t>
      </w:r>
    </w:p>
    <w:p>
      <w:pPr>
        <w:pStyle w:val="LongTitle"/>
        <w:rPr>
          <w:snapToGrid w:val="0"/>
        </w:rPr>
      </w:pPr>
      <w:r>
        <w:rPr>
          <w:snapToGrid w:val="0"/>
        </w:rPr>
        <w:t>An Act relating to the office of Solicitor</w:t>
      </w:r>
      <w:r>
        <w:rPr>
          <w:snapToGrid w:val="0"/>
        </w:rPr>
        <w:noBreakHyphen/>
        <w:t xml:space="preserve">General of the State of Western Australia. </w:t>
      </w:r>
    </w:p>
    <w:p>
      <w:pPr>
        <w:pStyle w:val="Heading5"/>
        <w:rPr>
          <w:snapToGrid w:val="0"/>
        </w:rPr>
      </w:pPr>
      <w:bookmarkStart w:id="3" w:name="_Toc32409260"/>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Solicitor</w:t>
      </w:r>
      <w:r>
        <w:rPr>
          <w:i/>
          <w:snapToGrid w:val="0"/>
        </w:rPr>
        <w:noBreakHyphen/>
        <w:t>General Act 1969</w:t>
      </w:r>
      <w:r>
        <w:rPr>
          <w:snapToGrid w:val="0"/>
        </w:rPr>
        <w:t>.</w:t>
      </w:r>
    </w:p>
    <w:p>
      <w:pPr>
        <w:pStyle w:val="Heading5"/>
        <w:rPr>
          <w:snapToGrid w:val="0"/>
        </w:rPr>
      </w:pPr>
      <w:bookmarkStart w:id="4" w:name="_Toc32409261"/>
      <w:r>
        <w:rPr>
          <w:rStyle w:val="CharSectno"/>
        </w:rPr>
        <w:t>2</w:t>
      </w:r>
      <w:r>
        <w:rPr>
          <w:snapToGrid w:val="0"/>
        </w:rPr>
        <w:t>.</w:t>
      </w:r>
      <w:r>
        <w:rPr>
          <w:snapToGrid w:val="0"/>
        </w:rPr>
        <w:tab/>
        <w:t>Terms used in this Act</w:t>
      </w:r>
      <w:bookmarkEnd w:id="4"/>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Attorney General</w:t>
      </w:r>
      <w:r>
        <w:t xml:space="preserve"> includes, where there is a vacancy in the office of Attorney General the person holding office as the Minister for Justice;</w:t>
      </w:r>
    </w:p>
    <w:p>
      <w:pPr>
        <w:pStyle w:val="Defstart"/>
      </w:pPr>
      <w:r>
        <w:rPr>
          <w:b/>
        </w:rPr>
        <w:tab/>
      </w:r>
      <w:r>
        <w:rPr>
          <w:rStyle w:val="CharDefText"/>
        </w:rPr>
        <w:t>Solicitor</w:t>
      </w:r>
      <w:r>
        <w:rPr>
          <w:rStyle w:val="CharDefText"/>
        </w:rPr>
        <w:noBreakHyphen/>
        <w:t>General</w:t>
      </w:r>
      <w:r>
        <w:t xml:space="preserve"> means a person holding office as Solicitor</w:t>
      </w:r>
      <w:r>
        <w:noBreakHyphen/>
        <w:t>General of the State of Western Australia in pursuance of this Act.</w:t>
      </w:r>
    </w:p>
    <w:p>
      <w:pPr>
        <w:pStyle w:val="Subsection"/>
        <w:rPr>
          <w:snapToGrid w:val="0"/>
        </w:rPr>
      </w:pPr>
      <w:r>
        <w:rPr>
          <w:snapToGrid w:val="0"/>
        </w:rPr>
        <w:tab/>
        <w:t>(2)</w:t>
      </w:r>
      <w:r>
        <w:rPr>
          <w:snapToGrid w:val="0"/>
        </w:rPr>
        <w:tab/>
        <w:t xml:space="preserve">In sections 5, 9 and 13, </w:t>
      </w:r>
      <w:r>
        <w:rPr>
          <w:rStyle w:val="CharDefText"/>
        </w:rPr>
        <w:t>Solicitor</w:t>
      </w:r>
      <w:r>
        <w:rPr>
          <w:rStyle w:val="CharDefText"/>
        </w:rPr>
        <w:noBreakHyphen/>
        <w:t>General</w:t>
      </w:r>
      <w:r>
        <w:rPr>
          <w:snapToGrid w:val="0"/>
        </w:rPr>
        <w:t xml:space="preserve"> includes a person acting in the office of Solicitor</w:t>
      </w:r>
      <w:r>
        <w:rPr>
          <w:snapToGrid w:val="0"/>
        </w:rPr>
        <w:noBreakHyphen/>
        <w:t>General of the State of Western Australia in pursuance of this Act.</w:t>
      </w:r>
    </w:p>
    <w:p>
      <w:pPr>
        <w:pStyle w:val="Footnotesection"/>
      </w:pPr>
      <w:r>
        <w:tab/>
        <w:t>[Section 2 amended: No. 57 of 1997 s. 112(1); No. 29 of 2006 s. 4.]</w:t>
      </w:r>
    </w:p>
    <w:p>
      <w:pPr>
        <w:pStyle w:val="Heading5"/>
        <w:rPr>
          <w:snapToGrid w:val="0"/>
        </w:rPr>
      </w:pPr>
      <w:bookmarkStart w:id="5" w:name="_Toc32409262"/>
      <w:r>
        <w:rPr>
          <w:rStyle w:val="CharSectno"/>
        </w:rPr>
        <w:t>3</w:t>
      </w:r>
      <w:r>
        <w:rPr>
          <w:snapToGrid w:val="0"/>
        </w:rPr>
        <w:t>.</w:t>
      </w:r>
      <w:r>
        <w:rPr>
          <w:snapToGrid w:val="0"/>
        </w:rPr>
        <w:tab/>
        <w:t>Solicitor</w:t>
      </w:r>
      <w:r>
        <w:rPr>
          <w:snapToGrid w:val="0"/>
        </w:rPr>
        <w:noBreakHyphen/>
        <w:t>General, appointment and qualifications</w:t>
      </w:r>
      <w:bookmarkEnd w:id="5"/>
      <w:r>
        <w:rPr>
          <w:snapToGrid w:val="0"/>
        </w:rPr>
        <w:t xml:space="preserve"> </w:t>
      </w:r>
    </w:p>
    <w:p>
      <w:pPr>
        <w:pStyle w:val="Subsection"/>
      </w:pPr>
      <w:r>
        <w:tab/>
        <w:t>(1)</w:t>
      </w:r>
      <w:r>
        <w:tab/>
        <w:t>The Governor may appoint a person to be the Solicitor</w:t>
      </w:r>
      <w:r>
        <w:noBreakHyphen/>
        <w:t>General of the State of Western Australia.</w:t>
      </w:r>
    </w:p>
    <w:p>
      <w:pPr>
        <w:pStyle w:val="Subsection"/>
      </w:pPr>
      <w:r>
        <w:tab/>
        <w:t>(1a)</w:t>
      </w:r>
      <w:r>
        <w:tab/>
        <w:t>Subject to this Act, the Solicitor</w:t>
      </w:r>
      <w:r>
        <w:noBreakHyphen/>
        <w:t>General holds office for the term (not exceeding 7 years) fixed by the instrument of appointment and is eligible for reappointment.</w:t>
      </w:r>
    </w:p>
    <w:p>
      <w:pPr>
        <w:pStyle w:val="Subsection"/>
      </w:pPr>
      <w:r>
        <w:tab/>
        <w:t>(2)</w:t>
      </w:r>
      <w:r>
        <w:tab/>
        <w:t>A person is eligible for appointment as Solicitor</w:t>
      </w:r>
      <w:r>
        <w:noBreakHyphen/>
        <w:t>General if that person is an Australian lawyer and has had not less than 8 years’ legal experience.</w:t>
      </w:r>
    </w:p>
    <w:p>
      <w:pPr>
        <w:pStyle w:val="Subsection"/>
      </w:pPr>
      <w:r>
        <w:tab/>
        <w:t>(3)</w:t>
      </w:r>
      <w:r>
        <w:tab/>
        <w:t xml:space="preserve">In subsection (2) — </w:t>
      </w:r>
    </w:p>
    <w:p>
      <w:pPr>
        <w:pStyle w:val="Defstart"/>
      </w:pPr>
      <w:r>
        <w:rPr>
          <w:b/>
        </w:rPr>
        <w:tab/>
      </w:r>
      <w:r>
        <w:rPr>
          <w:rStyle w:val="CharDefText"/>
        </w:rPr>
        <w:t>Australian lawyer</w:t>
      </w:r>
      <w:r>
        <w:t xml:space="preserve"> has the meaning given in the </w:t>
      </w:r>
      <w:r>
        <w:rPr>
          <w:i/>
          <w:iCs/>
        </w:rPr>
        <w:t>Legal Profession Act 2008</w:t>
      </w:r>
      <w:r>
        <w:t xml:space="preserve"> section 3;</w:t>
      </w:r>
    </w:p>
    <w:p>
      <w:pPr>
        <w:pStyle w:val="Defstart"/>
      </w:pPr>
      <w:r>
        <w:rPr>
          <w:b/>
        </w:rPr>
        <w:tab/>
      </w:r>
      <w:r>
        <w:rPr>
          <w:rStyle w:val="CharDefText"/>
        </w:rPr>
        <w:t>legal experience</w:t>
      </w:r>
      <w:r>
        <w:rPr>
          <w:b/>
          <w:bCs/>
        </w:rPr>
        <w:t xml:space="preserve"> </w:t>
      </w:r>
      <w:r>
        <w:t xml:space="preserve">means — </w:t>
      </w:r>
    </w:p>
    <w:p>
      <w:pPr>
        <w:pStyle w:val="Defpara"/>
      </w:pPr>
      <w:r>
        <w:tab/>
        <w:t>(a)</w:t>
      </w:r>
      <w:r>
        <w:tab/>
        <w:t xml:space="preserve">standing and practice as an Australian legal practitioner within the meaning of that term in the </w:t>
      </w:r>
      <w:r>
        <w:rPr>
          <w:i/>
          <w:iCs/>
        </w:rPr>
        <w:t>Legal Profession Act 2008</w:t>
      </w:r>
      <w:r>
        <w:t xml:space="preserve"> section 3;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Footnotesection"/>
      </w:pPr>
      <w:r>
        <w:tab/>
        <w:t>[Section 3 amended: No. 65 of 2003 s. 118; No. 29 of 2006 s. 5; No. 21 of 2008 s. 705.]</w:t>
      </w:r>
    </w:p>
    <w:p>
      <w:pPr>
        <w:pStyle w:val="Heading5"/>
      </w:pPr>
      <w:bookmarkStart w:id="6" w:name="_Toc32409263"/>
      <w:r>
        <w:rPr>
          <w:rStyle w:val="CharSectno"/>
        </w:rPr>
        <w:t>4</w:t>
      </w:r>
      <w:r>
        <w:t>.</w:t>
      </w:r>
      <w:r>
        <w:tab/>
        <w:t>Remuneration</w:t>
      </w:r>
      <w:bookmarkEnd w:id="6"/>
    </w:p>
    <w:p>
      <w:pPr>
        <w:pStyle w:val="Subsection"/>
      </w:pPr>
      <w:r>
        <w:tab/>
        <w:t>(1)</w:t>
      </w:r>
      <w:r>
        <w:tab/>
        <w:t xml:space="preserve">In this section — </w:t>
      </w:r>
    </w:p>
    <w:p>
      <w:pPr>
        <w:pStyle w:val="Defstart"/>
      </w:pPr>
      <w:r>
        <w:rPr>
          <w:b/>
        </w:rPr>
        <w:tab/>
      </w:r>
      <w:r>
        <w:rPr>
          <w:rStyle w:val="CharDefText"/>
        </w:rPr>
        <w:t>remuneration</w:t>
      </w:r>
      <w:r>
        <w:t xml:space="preserve"> has the meaning given to that term in section 4(1) of the </w:t>
      </w:r>
      <w:r>
        <w:rPr>
          <w:i/>
        </w:rPr>
        <w:t>Salaries and Allowances Act 1975</w:t>
      </w:r>
      <w:r>
        <w:t>.</w:t>
      </w:r>
    </w:p>
    <w:p>
      <w:pPr>
        <w:pStyle w:val="Subsection"/>
      </w:pPr>
      <w:r>
        <w:tab/>
        <w:t>(2)</w:t>
      </w:r>
      <w:r>
        <w:tab/>
        <w:t>The remuneration of the Solicitor</w:t>
      </w:r>
      <w:r>
        <w:noBreakHyphen/>
        <w:t xml:space="preserve">General is to be determined by the Salaries and Allowances Tribunal under the </w:t>
      </w:r>
      <w:r>
        <w:rPr>
          <w:i/>
        </w:rPr>
        <w:t>Salaries and Allowances Act 1975</w:t>
      </w:r>
      <w:r>
        <w:t>.</w:t>
      </w:r>
    </w:p>
    <w:p>
      <w:pPr>
        <w:pStyle w:val="Footnotesection"/>
      </w:pPr>
      <w:r>
        <w:tab/>
        <w:t>[Section 4 inserted: No. 29 of 2006 s. 6.]</w:t>
      </w:r>
    </w:p>
    <w:p>
      <w:pPr>
        <w:pStyle w:val="Heading5"/>
      </w:pPr>
      <w:bookmarkStart w:id="7" w:name="_Toc32409264"/>
      <w:r>
        <w:rPr>
          <w:rStyle w:val="CharSectno"/>
        </w:rPr>
        <w:t>4A</w:t>
      </w:r>
      <w:r>
        <w:t>.</w:t>
      </w:r>
      <w:r>
        <w:tab/>
        <w:t>Leave and other conditions of service</w:t>
      </w:r>
      <w:bookmarkEnd w:id="7"/>
    </w:p>
    <w:p>
      <w:pPr>
        <w:pStyle w:val="Subsection"/>
      </w:pPr>
      <w:r>
        <w:tab/>
      </w:r>
      <w:r>
        <w:tab/>
        <w:t xml:space="preserve">The Governor may determine — </w:t>
      </w:r>
    </w:p>
    <w:p>
      <w:pPr>
        <w:pStyle w:val="Indenta"/>
      </w:pPr>
      <w:r>
        <w:tab/>
        <w:t>(a)</w:t>
      </w:r>
      <w:r>
        <w:tab/>
        <w:t>the leave of absence to which the Solicitor</w:t>
      </w:r>
      <w:r>
        <w:noBreakHyphen/>
        <w:t>General is entitled; and</w:t>
      </w:r>
    </w:p>
    <w:p>
      <w:pPr>
        <w:pStyle w:val="Indenta"/>
      </w:pPr>
      <w:r>
        <w:tab/>
        <w:t>(b)</w:t>
      </w:r>
      <w:r>
        <w:tab/>
        <w:t>other terms and conditions of service that apply to the Solicitor</w:t>
      </w:r>
      <w:r>
        <w:noBreakHyphen/>
        <w:t>General.</w:t>
      </w:r>
    </w:p>
    <w:p>
      <w:pPr>
        <w:pStyle w:val="Footnotesection"/>
      </w:pPr>
      <w:r>
        <w:tab/>
        <w:t>[Section 4A inserted: No. 29 of 2006 s. 6.]</w:t>
      </w:r>
    </w:p>
    <w:p>
      <w:pPr>
        <w:pStyle w:val="Heading5"/>
        <w:rPr>
          <w:snapToGrid w:val="0"/>
        </w:rPr>
      </w:pPr>
      <w:bookmarkStart w:id="8" w:name="_Toc32409265"/>
      <w:r>
        <w:rPr>
          <w:rStyle w:val="CharSectno"/>
        </w:rPr>
        <w:t>5</w:t>
      </w:r>
      <w:r>
        <w:rPr>
          <w:snapToGrid w:val="0"/>
        </w:rPr>
        <w:t>.</w:t>
      </w:r>
      <w:r>
        <w:rPr>
          <w:snapToGrid w:val="0"/>
        </w:rPr>
        <w:tab/>
        <w:t>Resignation</w:t>
      </w:r>
      <w:bookmarkEnd w:id="8"/>
    </w:p>
    <w:p>
      <w:pPr>
        <w:pStyle w:val="Subsection"/>
        <w:rPr>
          <w:snapToGrid w:val="0"/>
        </w:rPr>
      </w:pPr>
      <w:r>
        <w:rPr>
          <w:snapToGrid w:val="0"/>
        </w:rPr>
        <w:tab/>
        <w:t>(1)</w:t>
      </w:r>
      <w:r>
        <w:rPr>
          <w:snapToGrid w:val="0"/>
        </w:rPr>
        <w:tab/>
        <w:t>The Solicitor</w:t>
      </w:r>
      <w:r>
        <w:rPr>
          <w:snapToGrid w:val="0"/>
        </w:rPr>
        <w:noBreakHyphen/>
        <w:t>General may resign his office by instrument in writing under his hand and delivered to the Governor.</w:t>
      </w:r>
    </w:p>
    <w:p>
      <w:pPr>
        <w:pStyle w:val="Ednotesubsection"/>
      </w:pPr>
      <w:r>
        <w:tab/>
        <w:t>[(2)</w:t>
      </w:r>
      <w:r>
        <w:tab/>
        <w:t>deleted]</w:t>
      </w:r>
    </w:p>
    <w:p>
      <w:pPr>
        <w:pStyle w:val="Footnotesection"/>
      </w:pPr>
      <w:r>
        <w:tab/>
        <w:t>[Section 5 amended: No. 29 of 2006 s. 7.]</w:t>
      </w:r>
    </w:p>
    <w:p>
      <w:pPr>
        <w:pStyle w:val="Heading5"/>
        <w:rPr>
          <w:snapToGrid w:val="0"/>
        </w:rPr>
      </w:pPr>
      <w:bookmarkStart w:id="9" w:name="_Toc32409266"/>
      <w:r>
        <w:rPr>
          <w:rStyle w:val="CharSectno"/>
        </w:rPr>
        <w:t>6</w:t>
      </w:r>
      <w:r>
        <w:rPr>
          <w:snapToGrid w:val="0"/>
        </w:rPr>
        <w:t>.</w:t>
      </w:r>
      <w:r>
        <w:rPr>
          <w:snapToGrid w:val="0"/>
        </w:rPr>
        <w:tab/>
        <w:t>Private practice prohibited except with approval</w:t>
      </w:r>
      <w:bookmarkEnd w:id="9"/>
      <w:r>
        <w:rPr>
          <w:snapToGrid w:val="0"/>
        </w:rPr>
        <w:t xml:space="preserve"> </w:t>
      </w:r>
    </w:p>
    <w:p>
      <w:pPr>
        <w:pStyle w:val="Subsection"/>
        <w:rPr>
          <w:snapToGrid w:val="0"/>
        </w:rPr>
      </w:pPr>
      <w:r>
        <w:rPr>
          <w:snapToGrid w:val="0"/>
        </w:rPr>
        <w:tab/>
      </w:r>
      <w:r>
        <w:rPr>
          <w:snapToGrid w:val="0"/>
        </w:rPr>
        <w:tab/>
        <w:t>Except in the performance of the functions or duties of his office or with the approval of the Governor the Solicitor</w:t>
      </w:r>
      <w:r>
        <w:rPr>
          <w:snapToGrid w:val="0"/>
        </w:rPr>
        <w:noBreakHyphen/>
        <w:t>General shall not engage in the practice of a barrister or solicitor or engage in any other paid employment.</w:t>
      </w:r>
    </w:p>
    <w:p>
      <w:pPr>
        <w:pStyle w:val="Heading5"/>
        <w:rPr>
          <w:snapToGrid w:val="0"/>
        </w:rPr>
      </w:pPr>
      <w:bookmarkStart w:id="10" w:name="_Toc32409267"/>
      <w:r>
        <w:rPr>
          <w:rStyle w:val="CharSectno"/>
        </w:rPr>
        <w:t>7</w:t>
      </w:r>
      <w:r>
        <w:rPr>
          <w:snapToGrid w:val="0"/>
        </w:rPr>
        <w:t>.</w:t>
      </w:r>
      <w:r>
        <w:rPr>
          <w:snapToGrid w:val="0"/>
        </w:rPr>
        <w:tab/>
        <w:t>Removal from office</w:t>
      </w:r>
      <w:bookmarkEnd w:id="10"/>
      <w:r>
        <w:rPr>
          <w:snapToGrid w:val="0"/>
        </w:rPr>
        <w:t xml:space="preserve"> </w:t>
      </w:r>
    </w:p>
    <w:p>
      <w:pPr>
        <w:pStyle w:val="Subsection"/>
        <w:rPr>
          <w:snapToGrid w:val="0"/>
        </w:rPr>
      </w:pPr>
      <w:r>
        <w:rPr>
          <w:snapToGrid w:val="0"/>
        </w:rPr>
        <w:tab/>
      </w:r>
      <w:r>
        <w:rPr>
          <w:snapToGrid w:val="0"/>
        </w:rPr>
        <w:tab/>
        <w:t>The Governor may remove the Solicitor</w:t>
      </w:r>
      <w:r>
        <w:rPr>
          <w:snapToGrid w:val="0"/>
        </w:rPr>
        <w:noBreakHyphen/>
        <w:t>General from office if the Solicitor</w:t>
      </w:r>
      <w:r>
        <w:rPr>
          <w:snapToGrid w:val="0"/>
        </w:rPr>
        <w:noBreakHyphen/>
        <w:t>General — </w:t>
      </w:r>
    </w:p>
    <w:p>
      <w:pPr>
        <w:pStyle w:val="Indenta"/>
        <w:rPr>
          <w:snapToGrid w:val="0"/>
        </w:rPr>
      </w:pPr>
      <w:r>
        <w:rPr>
          <w:snapToGrid w:val="0"/>
        </w:rPr>
        <w:tab/>
        <w:t>(a)</w:t>
      </w:r>
      <w:r>
        <w:rPr>
          <w:snapToGrid w:val="0"/>
        </w:rPr>
        <w:tab/>
        <w:t>except by reason of temporary illness becomes incapable of performing the duties of his office; or</w:t>
      </w:r>
    </w:p>
    <w:p>
      <w:pPr>
        <w:pStyle w:val="Indenta"/>
        <w:rPr>
          <w:snapToGrid w:val="0"/>
        </w:rPr>
      </w:pPr>
      <w:r>
        <w:rPr>
          <w:snapToGrid w:val="0"/>
        </w:rPr>
        <w:tab/>
        <w:t>(b)</w:t>
      </w:r>
      <w:r>
        <w:rPr>
          <w:snapToGrid w:val="0"/>
        </w:rPr>
        <w:tab/>
        <w:t>is guilty of misbehaviour; or</w:t>
      </w:r>
    </w:p>
    <w:p>
      <w:pPr>
        <w:pStyle w:val="Indenta"/>
      </w:pPr>
      <w:r>
        <w:tab/>
        <w:t>(c)</w:t>
      </w:r>
      <w:r>
        <w:tab/>
        <w:t xml:space="preserve">is, according to the </w:t>
      </w:r>
      <w:r>
        <w:rPr>
          <w:i/>
        </w:rPr>
        <w:t>Interpretation Act 1984</w:t>
      </w:r>
      <w:r>
        <w:t xml:space="preserve"> section 13D, a bankrupt or a person whose affairs are under insolvency laws.</w:t>
      </w:r>
    </w:p>
    <w:p>
      <w:pPr>
        <w:pStyle w:val="Footnotesection"/>
      </w:pPr>
      <w:r>
        <w:tab/>
        <w:t>[Section 7 amended: No. 18 of 2009 s. 82.]</w:t>
      </w:r>
    </w:p>
    <w:p>
      <w:pPr>
        <w:pStyle w:val="Heading5"/>
        <w:rPr>
          <w:snapToGrid w:val="0"/>
        </w:rPr>
      </w:pPr>
      <w:bookmarkStart w:id="11" w:name="_Toc32409268"/>
      <w:r>
        <w:rPr>
          <w:rStyle w:val="CharSectno"/>
        </w:rPr>
        <w:t>8</w:t>
      </w:r>
      <w:r>
        <w:rPr>
          <w:snapToGrid w:val="0"/>
        </w:rPr>
        <w:t>.</w:t>
      </w:r>
      <w:r>
        <w:rPr>
          <w:snapToGrid w:val="0"/>
        </w:rPr>
        <w:tab/>
        <w:t>Acting Solicitor</w:t>
      </w:r>
      <w:r>
        <w:rPr>
          <w:snapToGrid w:val="0"/>
        </w:rPr>
        <w:noBreakHyphen/>
        <w:t>General</w:t>
      </w:r>
      <w:bookmarkEnd w:id="11"/>
      <w:r>
        <w:rPr>
          <w:snapToGrid w:val="0"/>
        </w:rPr>
        <w:t xml:space="preserve"> </w:t>
      </w:r>
    </w:p>
    <w:p>
      <w:pPr>
        <w:pStyle w:val="Subsection"/>
        <w:rPr>
          <w:snapToGrid w:val="0"/>
        </w:rPr>
      </w:pPr>
      <w:r>
        <w:rPr>
          <w:snapToGrid w:val="0"/>
        </w:rPr>
        <w:tab/>
        <w:t>(1)</w:t>
      </w:r>
      <w:r>
        <w:rPr>
          <w:snapToGrid w:val="0"/>
        </w:rPr>
        <w:tab/>
        <w:t>In the event of a vacancy occurring in the office of Solicitor</w:t>
      </w:r>
      <w:r>
        <w:rPr>
          <w:snapToGrid w:val="0"/>
        </w:rPr>
        <w:noBreakHyphen/>
        <w:t>General, or of the illness or absence of the person holding that office, the Governor may appoint a person who is eligible for appointment to that office to act as Solicitor</w:t>
      </w:r>
      <w:r>
        <w:rPr>
          <w:snapToGrid w:val="0"/>
        </w:rPr>
        <w:noBreakHyphen/>
        <w:t>General and may at any time revoke the appointment.</w:t>
      </w:r>
    </w:p>
    <w:p>
      <w:pPr>
        <w:pStyle w:val="Subsection"/>
      </w:pPr>
      <w:r>
        <w:tab/>
        <w:t>(1a)</w:t>
      </w:r>
      <w:r>
        <w:tab/>
        <w:t>Subject to this Act, a person appointed under subsection (1) holds office for the term (not exceeding 12 months) fixed by the instrument of appointment and is eligible for reappointment.</w:t>
      </w:r>
    </w:p>
    <w:p>
      <w:pPr>
        <w:pStyle w:val="Subsection"/>
        <w:rPr>
          <w:snapToGrid w:val="0"/>
        </w:rPr>
      </w:pPr>
      <w:r>
        <w:rPr>
          <w:snapToGrid w:val="0"/>
        </w:rPr>
        <w:tab/>
        <w:t>(2)</w:t>
      </w:r>
      <w:r>
        <w:rPr>
          <w:snapToGrid w:val="0"/>
        </w:rPr>
        <w:tab/>
        <w:t xml:space="preserve">A person </w:t>
      </w:r>
      <w:r>
        <w:t xml:space="preserve">appointed under subsection (1) holds office </w:t>
      </w:r>
      <w:r>
        <w:rPr>
          <w:snapToGrid w:val="0"/>
        </w:rPr>
        <w:t>until — </w:t>
      </w:r>
    </w:p>
    <w:p>
      <w:pPr>
        <w:pStyle w:val="Indenta"/>
      </w:pPr>
      <w:r>
        <w:tab/>
        <w:t>(a)</w:t>
      </w:r>
      <w:r>
        <w:tab/>
        <w:t>the appointment is revoked or expires; or</w:t>
      </w:r>
    </w:p>
    <w:p>
      <w:pPr>
        <w:pStyle w:val="Indenta"/>
      </w:pPr>
      <w:r>
        <w:tab/>
        <w:t>(aa)</w:t>
      </w:r>
      <w:r>
        <w:tab/>
        <w:t>the person resigns the office; or</w:t>
      </w:r>
    </w:p>
    <w:p>
      <w:pPr>
        <w:pStyle w:val="Indenta"/>
        <w:rPr>
          <w:snapToGrid w:val="0"/>
        </w:rPr>
      </w:pPr>
      <w:r>
        <w:rPr>
          <w:snapToGrid w:val="0"/>
        </w:rPr>
        <w:tab/>
        <w:t>(b)</w:t>
      </w:r>
      <w:r>
        <w:rPr>
          <w:snapToGrid w:val="0"/>
        </w:rPr>
        <w:tab/>
        <w:t>a person is appointed Solicitor</w:t>
      </w:r>
      <w:r>
        <w:rPr>
          <w:snapToGrid w:val="0"/>
        </w:rPr>
        <w:noBreakHyphen/>
        <w:t>General under section 3; or</w:t>
      </w:r>
    </w:p>
    <w:p>
      <w:pPr>
        <w:pStyle w:val="Indenta"/>
        <w:rPr>
          <w:snapToGrid w:val="0"/>
        </w:rPr>
      </w:pPr>
      <w:r>
        <w:rPr>
          <w:snapToGrid w:val="0"/>
        </w:rPr>
        <w:tab/>
        <w:t>(c)</w:t>
      </w:r>
      <w:r>
        <w:rPr>
          <w:snapToGrid w:val="0"/>
        </w:rPr>
        <w:tab/>
        <w:t>the person holding office as Solicitor</w:t>
      </w:r>
      <w:r>
        <w:rPr>
          <w:snapToGrid w:val="0"/>
        </w:rPr>
        <w:noBreakHyphen/>
        <w:t>General ceases to be ill or absent,</w:t>
      </w:r>
    </w:p>
    <w:p>
      <w:pPr>
        <w:pStyle w:val="Subsection"/>
        <w:spacing w:before="80"/>
        <w:rPr>
          <w:snapToGrid w:val="0"/>
        </w:rPr>
      </w:pPr>
      <w:r>
        <w:rPr>
          <w:snapToGrid w:val="0"/>
        </w:rPr>
        <w:tab/>
      </w:r>
      <w:r>
        <w:rPr>
          <w:snapToGrid w:val="0"/>
        </w:rPr>
        <w:tab/>
        <w:t>whichever first happens.</w:t>
      </w:r>
    </w:p>
    <w:p>
      <w:pPr>
        <w:pStyle w:val="Subsection"/>
        <w:rPr>
          <w:snapToGrid w:val="0"/>
        </w:rPr>
      </w:pPr>
      <w:r>
        <w:tab/>
        <w:t>(3)</w:t>
      </w:r>
      <w:r>
        <w:tab/>
        <w:t>The Governor may determine the terms and conditions of service that apply to a person appointed under subsection (1).</w:t>
      </w:r>
    </w:p>
    <w:p>
      <w:pPr>
        <w:pStyle w:val="Footnotesection"/>
      </w:pPr>
      <w:r>
        <w:tab/>
        <w:t>[Section 8 amended: No. 29 of 2006 s. 8.]</w:t>
      </w:r>
    </w:p>
    <w:p>
      <w:pPr>
        <w:pStyle w:val="Heading5"/>
        <w:rPr>
          <w:snapToGrid w:val="0"/>
        </w:rPr>
      </w:pPr>
      <w:bookmarkStart w:id="12" w:name="_Toc32409269"/>
      <w:r>
        <w:rPr>
          <w:rStyle w:val="CharSectno"/>
        </w:rPr>
        <w:t>9</w:t>
      </w:r>
      <w:r>
        <w:rPr>
          <w:snapToGrid w:val="0"/>
        </w:rPr>
        <w:t>.</w:t>
      </w:r>
      <w:r>
        <w:rPr>
          <w:snapToGrid w:val="0"/>
        </w:rPr>
        <w:tab/>
        <w:t>Functions</w:t>
      </w:r>
      <w:bookmarkEnd w:id="12"/>
      <w:r>
        <w:rPr>
          <w:snapToGrid w:val="0"/>
        </w:rPr>
        <w:t xml:space="preserve"> </w:t>
      </w:r>
    </w:p>
    <w:p>
      <w:pPr>
        <w:pStyle w:val="Subsection"/>
        <w:rPr>
          <w:snapToGrid w:val="0"/>
        </w:rPr>
      </w:pPr>
      <w:r>
        <w:rPr>
          <w:snapToGrid w:val="0"/>
        </w:rPr>
        <w:tab/>
      </w:r>
      <w:r>
        <w:rPr>
          <w:snapToGrid w:val="0"/>
        </w:rPr>
        <w:tab/>
        <w:t>The Solicitor</w:t>
      </w:r>
      <w:r>
        <w:rPr>
          <w:snapToGrid w:val="0"/>
        </w:rPr>
        <w:noBreakHyphen/>
        <w:t>General — </w:t>
      </w:r>
    </w:p>
    <w:p>
      <w:pPr>
        <w:pStyle w:val="Indenta"/>
        <w:rPr>
          <w:snapToGrid w:val="0"/>
        </w:rPr>
      </w:pPr>
      <w:r>
        <w:rPr>
          <w:snapToGrid w:val="0"/>
        </w:rPr>
        <w:tab/>
        <w:t>(a)</w:t>
      </w:r>
      <w:r>
        <w:rPr>
          <w:snapToGrid w:val="0"/>
        </w:rPr>
        <w:tab/>
        <w:t>may act as counsel for the Crown in right of the State and for any other body or person for whom the Attorney General requests him to act, and may perform such other duties of counsel as the Attorney General directs; and</w:t>
      </w:r>
    </w:p>
    <w:p>
      <w:pPr>
        <w:pStyle w:val="Indenta"/>
        <w:rPr>
          <w:snapToGrid w:val="0"/>
        </w:rPr>
      </w:pPr>
      <w:r>
        <w:rPr>
          <w:snapToGrid w:val="0"/>
        </w:rPr>
        <w:tab/>
        <w:t>(b)</w:t>
      </w:r>
      <w:r>
        <w:rPr>
          <w:snapToGrid w:val="0"/>
        </w:rPr>
        <w:tab/>
        <w:t>may exercise, subject to this Act, any powers and functions conferred on the Solicitor</w:t>
      </w:r>
      <w:r>
        <w:rPr>
          <w:snapToGrid w:val="0"/>
        </w:rPr>
        <w:noBreakHyphen/>
        <w:t>General by any Act of the State or the Commonwealth, whether passed before or after the coming into operation of this Act.</w:t>
      </w:r>
    </w:p>
    <w:p>
      <w:pPr>
        <w:pStyle w:val="Footnotesection"/>
      </w:pPr>
      <w:r>
        <w:tab/>
        <w:t>[Section 9 amended: No. 57 of 1997 s. 112(2).]</w:t>
      </w:r>
    </w:p>
    <w:p>
      <w:pPr>
        <w:pStyle w:val="Heading5"/>
        <w:rPr>
          <w:snapToGrid w:val="0"/>
        </w:rPr>
      </w:pPr>
      <w:bookmarkStart w:id="13" w:name="_Toc32409270"/>
      <w:r>
        <w:rPr>
          <w:rStyle w:val="CharSectno"/>
        </w:rPr>
        <w:t>10</w:t>
      </w:r>
      <w:r>
        <w:rPr>
          <w:snapToGrid w:val="0"/>
        </w:rPr>
        <w:t>.</w:t>
      </w:r>
      <w:r>
        <w:rPr>
          <w:snapToGrid w:val="0"/>
        </w:rPr>
        <w:tab/>
        <w:t>Certain rights as a public servant preserved</w:t>
      </w:r>
      <w:bookmarkEnd w:id="13"/>
      <w:r>
        <w:rPr>
          <w:snapToGrid w:val="0"/>
        </w:rPr>
        <w:t xml:space="preserve"> </w:t>
      </w:r>
    </w:p>
    <w:p>
      <w:pPr>
        <w:pStyle w:val="Subsection"/>
        <w:rPr>
          <w:snapToGrid w:val="0"/>
        </w:rPr>
      </w:pPr>
      <w:r>
        <w:rPr>
          <w:snapToGrid w:val="0"/>
        </w:rPr>
        <w:tab/>
        <w:t>(1)</w:t>
      </w:r>
      <w:r>
        <w:rPr>
          <w:snapToGrid w:val="0"/>
        </w:rPr>
        <w:tab/>
        <w:t>Where the Solicitor</w:t>
      </w:r>
      <w:r>
        <w:rPr>
          <w:snapToGrid w:val="0"/>
        </w:rPr>
        <w:noBreakHyphen/>
        <w:t>General was, immediately before his appointment as such, an officer of the Public Service of the State — </w:t>
      </w:r>
    </w:p>
    <w:p>
      <w:pPr>
        <w:pStyle w:val="Indenta"/>
        <w:rPr>
          <w:snapToGrid w:val="0"/>
        </w:rPr>
      </w:pPr>
      <w:r>
        <w:rPr>
          <w:snapToGrid w:val="0"/>
        </w:rPr>
        <w:tab/>
        <w:t>(a)</w:t>
      </w:r>
      <w:r>
        <w:rPr>
          <w:snapToGrid w:val="0"/>
        </w:rPr>
        <w:tab/>
        <w:t xml:space="preserve">he retains his existing and accruing rights and in particular his rights, if any, under the </w:t>
      </w:r>
      <w:r>
        <w:rPr>
          <w:i/>
          <w:snapToGrid w:val="0"/>
        </w:rPr>
        <w:t>Superannuation and Family Benefits Act 1938</w:t>
      </w:r>
      <w:r>
        <w:rPr>
          <w:iCs/>
          <w:snapToGrid w:val="0"/>
          <w:vertAlign w:val="superscript"/>
        </w:rPr>
        <w:t> 1</w:t>
      </w:r>
      <w:r>
        <w:rPr>
          <w:snapToGrid w:val="0"/>
        </w:rPr>
        <w:t>; and</w:t>
      </w:r>
    </w:p>
    <w:p>
      <w:pPr>
        <w:pStyle w:val="Indenta"/>
        <w:rPr>
          <w:snapToGrid w:val="0"/>
        </w:rPr>
      </w:pPr>
      <w:r>
        <w:rPr>
          <w:snapToGrid w:val="0"/>
        </w:rPr>
        <w:tab/>
        <w:t>(b)</w:t>
      </w:r>
      <w:r>
        <w:rPr>
          <w:snapToGrid w:val="0"/>
        </w:rPr>
        <w:tab/>
        <w:t>for the purpose of determining those rights, his service as Solicitor</w:t>
      </w:r>
      <w:r>
        <w:rPr>
          <w:snapToGrid w:val="0"/>
        </w:rPr>
        <w:noBreakHyphen/>
        <w:t>General shall be taken into account as if it were service in the Public Service of the State.</w:t>
      </w:r>
    </w:p>
    <w:p>
      <w:pPr>
        <w:pStyle w:val="Ednotesubsection"/>
      </w:pPr>
      <w:r>
        <w:tab/>
        <w:t>[(2)</w:t>
      </w:r>
      <w:r>
        <w:tab/>
        <w:t>deleted]</w:t>
      </w:r>
    </w:p>
    <w:p>
      <w:pPr>
        <w:pStyle w:val="Footnotesection"/>
      </w:pPr>
      <w:r>
        <w:tab/>
        <w:t xml:space="preserve">[Section 10 amended: No. 69 of 1979 s. 3; No. 29 of 2006 s. 9.] </w:t>
      </w:r>
    </w:p>
    <w:p>
      <w:pPr>
        <w:pStyle w:val="Ednotesection"/>
      </w:pPr>
      <w:r>
        <w:t>[</w:t>
      </w:r>
      <w:r>
        <w:rPr>
          <w:b/>
        </w:rPr>
        <w:t>11, 12.</w:t>
      </w:r>
      <w:r>
        <w:rPr>
          <w:b/>
        </w:rPr>
        <w:tab/>
      </w:r>
      <w:r>
        <w:t>Deleted: No. 29 of 2006 s. 10.]</w:t>
      </w:r>
    </w:p>
    <w:p>
      <w:pPr>
        <w:pStyle w:val="Heading5"/>
        <w:rPr>
          <w:snapToGrid w:val="0"/>
        </w:rPr>
      </w:pPr>
      <w:bookmarkStart w:id="14" w:name="_Toc32409271"/>
      <w:r>
        <w:rPr>
          <w:rStyle w:val="CharSectno"/>
        </w:rPr>
        <w:t>13</w:t>
      </w:r>
      <w:r>
        <w:rPr>
          <w:snapToGrid w:val="0"/>
        </w:rPr>
        <w:t>.</w:t>
      </w:r>
      <w:r>
        <w:rPr>
          <w:snapToGrid w:val="0"/>
        </w:rPr>
        <w:tab/>
        <w:t>Attorney General may delegate to Solicitor</w:t>
      </w:r>
      <w:r>
        <w:rPr>
          <w:snapToGrid w:val="0"/>
        </w:rPr>
        <w:noBreakHyphen/>
        <w:t>General</w:t>
      </w:r>
      <w:bookmarkEnd w:id="14"/>
      <w:r>
        <w:rPr>
          <w:snapToGrid w:val="0"/>
        </w:rPr>
        <w:t xml:space="preserve"> </w:t>
      </w:r>
    </w:p>
    <w:p>
      <w:pPr>
        <w:pStyle w:val="Subsection"/>
        <w:rPr>
          <w:snapToGrid w:val="0"/>
        </w:rPr>
      </w:pPr>
      <w:r>
        <w:rPr>
          <w:snapToGrid w:val="0"/>
        </w:rPr>
        <w:tab/>
        <w:t>(1)</w:t>
      </w:r>
      <w:r>
        <w:rPr>
          <w:snapToGrid w:val="0"/>
        </w:rPr>
        <w:tab/>
        <w:t>The Attorney General may, either generally or otherwise as provided by the instrument of delegation, by writing under his hand delegate to the Solicitor</w:t>
      </w:r>
      <w:r>
        <w:rPr>
          <w:snapToGrid w:val="0"/>
        </w:rPr>
        <w:noBreakHyphen/>
        <w:t>General all or any of his powers and functions under all or any of the laws of the State, except this power of delegation.</w:t>
      </w:r>
    </w:p>
    <w:p>
      <w:pPr>
        <w:pStyle w:val="Subsection"/>
        <w:rPr>
          <w:snapToGrid w:val="0"/>
        </w:rPr>
      </w:pPr>
      <w:r>
        <w:rPr>
          <w:snapToGrid w:val="0"/>
        </w:rPr>
        <w:tab/>
        <w:t>(2)</w:t>
      </w:r>
      <w:r>
        <w:rPr>
          <w:snapToGrid w:val="0"/>
        </w:rPr>
        <w:tab/>
        <w:t>A power or function delegated under this section may be exercised or performed by the Solicitor</w:t>
      </w:r>
      <w:r>
        <w:rPr>
          <w:snapToGrid w:val="0"/>
        </w:rPr>
        <w:noBreakHyphen/>
        <w:t>General in accordance with the instrument of delegation.</w:t>
      </w:r>
    </w:p>
    <w:p>
      <w:pPr>
        <w:pStyle w:val="Subsection"/>
        <w:rPr>
          <w:snapToGrid w:val="0"/>
        </w:rPr>
      </w:pPr>
      <w:r>
        <w:rPr>
          <w:snapToGrid w:val="0"/>
        </w:rPr>
        <w:tab/>
        <w:t>(3)</w:t>
      </w:r>
      <w:r>
        <w:rPr>
          <w:snapToGrid w:val="0"/>
        </w:rPr>
        <w:tab/>
        <w:t>A delegation under this section is revocable at will and does not prevent the exercise of a power or performance of a function by the Attorney General.</w:t>
      </w:r>
    </w:p>
    <w:p>
      <w:pPr>
        <w:pStyle w:val="Footnotesection"/>
      </w:pPr>
      <w:r>
        <w:tab/>
        <w:t>[Section 13 amended: No. 57 of 1997 s. 112(2).]</w:t>
      </w:r>
    </w:p>
    <w:p>
      <w:pPr>
        <w:pStyle w:val="Heading5"/>
      </w:pPr>
      <w:bookmarkStart w:id="15" w:name="_Toc32409272"/>
      <w:r>
        <w:rPr>
          <w:rStyle w:val="CharSectno"/>
        </w:rPr>
        <w:t>14</w:t>
      </w:r>
      <w:r>
        <w:t>.</w:t>
      </w:r>
      <w:r>
        <w:tab/>
        <w:t xml:space="preserve">Transitional matters for </w:t>
      </w:r>
      <w:r>
        <w:rPr>
          <w:i/>
        </w:rPr>
        <w:t>Solicitor</w:t>
      </w:r>
      <w:r>
        <w:rPr>
          <w:i/>
        </w:rPr>
        <w:noBreakHyphen/>
        <w:t>General Amendment Act 2006</w:t>
      </w:r>
      <w:bookmarkEnd w:id="15"/>
    </w:p>
    <w:p>
      <w:pPr>
        <w:pStyle w:val="Subsection"/>
      </w:pPr>
      <w:r>
        <w:tab/>
        <w:t>(1)</w:t>
      </w:r>
      <w:r>
        <w:tab/>
        <w:t xml:space="preserve">In this section — </w:t>
      </w:r>
    </w:p>
    <w:p>
      <w:pPr>
        <w:pStyle w:val="Defstart"/>
      </w:pPr>
      <w:r>
        <w:rPr>
          <w:b/>
        </w:rPr>
        <w:tab/>
      </w:r>
      <w:r>
        <w:rPr>
          <w:rStyle w:val="CharDefText"/>
        </w:rPr>
        <w:t>amended Act</w:t>
      </w:r>
      <w:r>
        <w:t xml:space="preserve"> means this Act as amended by the </w:t>
      </w:r>
      <w:r>
        <w:rPr>
          <w:i/>
        </w:rPr>
        <w:t>Solicitor</w:t>
      </w:r>
      <w:r>
        <w:rPr>
          <w:i/>
        </w:rPr>
        <w:noBreakHyphen/>
        <w:t>General Amendment Act 2006</w:t>
      </w:r>
      <w:r>
        <w:t>;</w:t>
      </w:r>
    </w:p>
    <w:p>
      <w:pPr>
        <w:pStyle w:val="Defstart"/>
      </w:pPr>
      <w:r>
        <w:rPr>
          <w:b/>
        </w:rPr>
        <w:tab/>
      </w:r>
      <w:r>
        <w:rPr>
          <w:rStyle w:val="CharDefText"/>
        </w:rPr>
        <w:t>current Solicitor</w:t>
      </w:r>
      <w:r>
        <w:rPr>
          <w:rStyle w:val="CharDefText"/>
        </w:rPr>
        <w:noBreakHyphen/>
        <w:t>General</w:t>
      </w:r>
      <w:r>
        <w:t xml:space="preserve"> means the Solicitor</w:t>
      </w:r>
      <w:r>
        <w:noBreakHyphen/>
        <w:t>General holding office immediately before 18 July 2006;</w:t>
      </w:r>
    </w:p>
    <w:p>
      <w:pPr>
        <w:pStyle w:val="Defstart"/>
      </w:pPr>
      <w:r>
        <w:rPr>
          <w:b/>
        </w:rPr>
        <w:tab/>
      </w:r>
      <w:r>
        <w:rPr>
          <w:rStyle w:val="CharDefText"/>
        </w:rPr>
        <w:t>former Act</w:t>
      </w:r>
      <w:r>
        <w:t xml:space="preserve"> means this Act as in force immediately before 18 July 2006.</w:t>
      </w:r>
    </w:p>
    <w:p>
      <w:pPr>
        <w:pStyle w:val="Subsection"/>
      </w:pPr>
      <w:r>
        <w:tab/>
        <w:t>(2)</w:t>
      </w:r>
      <w:r>
        <w:tab/>
        <w:t>This section applies if the current Solicitor</w:t>
      </w:r>
      <w:r>
        <w:noBreakHyphen/>
        <w:t xml:space="preserve">General is appointed under section 3(1) of the amended Act and section 25 of the </w:t>
      </w:r>
      <w:r>
        <w:rPr>
          <w:i/>
        </w:rPr>
        <w:t>Interpretation Act 1984</w:t>
      </w:r>
      <w:r>
        <w:t>.</w:t>
      </w:r>
    </w:p>
    <w:p>
      <w:pPr>
        <w:pStyle w:val="Subsection"/>
      </w:pPr>
      <w:r>
        <w:tab/>
        <w:t>(3)</w:t>
      </w:r>
      <w:r>
        <w:tab/>
        <w:t xml:space="preserve">Despite section 2 of the </w:t>
      </w:r>
      <w:r>
        <w:rPr>
          <w:i/>
        </w:rPr>
        <w:t>Solicitor</w:t>
      </w:r>
      <w:r>
        <w:rPr>
          <w:i/>
        </w:rPr>
        <w:noBreakHyphen/>
        <w:t>General Amendment Act 2006</w:t>
      </w:r>
      <w:r>
        <w:t>, that Act is taken to have come into operation on 18 July 2006 immediately after the retirement of the current Solicitor</w:t>
      </w:r>
      <w:r>
        <w:noBreakHyphen/>
        <w:t>General.</w:t>
      </w:r>
    </w:p>
    <w:p>
      <w:pPr>
        <w:pStyle w:val="Subsection"/>
      </w:pPr>
      <w:r>
        <w:tab/>
        <w:t>(4)</w:t>
      </w:r>
      <w:r>
        <w:tab/>
        <w:t>Sections 4, 4A and 10 of the amended Act do not apply in relation to the current Solicitor</w:t>
      </w:r>
      <w:r>
        <w:noBreakHyphen/>
        <w:t>General in respect of any period for which he has held or holds office whenever occurring.</w:t>
      </w:r>
    </w:p>
    <w:p>
      <w:pPr>
        <w:pStyle w:val="Subsection"/>
      </w:pPr>
      <w:r>
        <w:tab/>
        <w:t>(5)</w:t>
      </w:r>
      <w:r>
        <w:tab/>
        <w:t>Sections 4, 10, 11 and 12 of the former Act continue to apply in relation to the current Solicitor</w:t>
      </w:r>
      <w:r>
        <w:noBreakHyphen/>
        <w:t>General in respect of all periods for which he has held or holds office whenever occurring as if the aggregate of those periods were one continuous period of service.</w:t>
      </w:r>
    </w:p>
    <w:p>
      <w:pPr>
        <w:pStyle w:val="Subsection"/>
      </w:pPr>
      <w:r>
        <w:tab/>
        <w:t>(6)</w:t>
      </w:r>
      <w:r>
        <w:tab/>
        <w:t>The retirement of the current Solicitor</w:t>
      </w:r>
      <w:r>
        <w:noBreakHyphen/>
        <w:t>General referred to in subsection (3) is not retirement for the purposes of section 11 of the former Act.</w:t>
      </w:r>
    </w:p>
    <w:p>
      <w:pPr>
        <w:pStyle w:val="Footnotesection"/>
      </w:pPr>
      <w:r>
        <w:tab/>
        <w:t>[Section 14 inserted: No. 29 of 2006 s. 11.]</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6" w:name="_Toc32409255"/>
      <w:bookmarkStart w:id="17" w:name="_Toc32409273"/>
      <w:r>
        <w:t>Notes</w:t>
      </w:r>
      <w:bookmarkEnd w:id="16"/>
      <w:bookmarkEnd w:id="17"/>
    </w:p>
    <w:p>
      <w:pPr>
        <w:pStyle w:val="nStatement"/>
      </w:pPr>
      <w:r>
        <w:t xml:space="preserve">This is a compilation of the </w:t>
      </w:r>
      <w:r>
        <w:rPr>
          <w:i/>
          <w:noProof/>
        </w:rPr>
        <w:t>Solicitor-General Act 1969</w:t>
      </w:r>
      <w:r>
        <w:t xml:space="preserve"> and includes amendments made by other written laws </w:t>
      </w:r>
      <w:r>
        <w:rPr>
          <w:vertAlign w:val="superscript"/>
        </w:rPr>
        <w:t>2</w:t>
      </w:r>
      <w:r>
        <w:t>. For provisions that have come into operation, and for information about any reprints, see the compilation table. For provisions that have not yet come into operation see the uncommenced provisions table.</w:t>
      </w:r>
    </w:p>
    <w:p>
      <w:pPr>
        <w:pStyle w:val="nHeading3"/>
      </w:pPr>
      <w:bookmarkStart w:id="18" w:name="_Toc32409274"/>
      <w:r>
        <w:t>Compilation table</w:t>
      </w:r>
      <w:bookmarkEnd w:id="18"/>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8" w:type="dxa"/>
            <w:tcBorders>
              <w:top w:val="single" w:sz="8" w:space="0" w:color="auto"/>
              <w:bottom w:val="single" w:sz="8" w:space="0" w:color="auto"/>
            </w:tcBorders>
          </w:tcPr>
          <w:p>
            <w:pPr>
              <w:pStyle w:val="nTable"/>
              <w:spacing w:before="70" w:after="70"/>
              <w:rPr>
                <w:b/>
              </w:rPr>
            </w:pPr>
            <w:r>
              <w:rPr>
                <w:b/>
              </w:rPr>
              <w:t>Short title</w:t>
            </w:r>
          </w:p>
        </w:tc>
        <w:tc>
          <w:tcPr>
            <w:tcW w:w="1134" w:type="dxa"/>
            <w:tcBorders>
              <w:top w:val="single" w:sz="8" w:space="0" w:color="auto"/>
              <w:bottom w:val="single" w:sz="8" w:space="0" w:color="auto"/>
            </w:tcBorders>
          </w:tcPr>
          <w:p>
            <w:pPr>
              <w:pStyle w:val="nTable"/>
              <w:spacing w:before="70" w:after="70"/>
              <w:rPr>
                <w:b/>
              </w:rPr>
            </w:pPr>
            <w:r>
              <w:rPr>
                <w:b/>
              </w:rPr>
              <w:t>Number and year</w:t>
            </w:r>
          </w:p>
        </w:tc>
        <w:tc>
          <w:tcPr>
            <w:tcW w:w="1134" w:type="dxa"/>
            <w:tcBorders>
              <w:top w:val="single" w:sz="8" w:space="0" w:color="auto"/>
              <w:bottom w:val="single" w:sz="8" w:space="0" w:color="auto"/>
            </w:tcBorders>
          </w:tcPr>
          <w:p>
            <w:pPr>
              <w:pStyle w:val="nTable"/>
              <w:spacing w:before="70" w:after="70"/>
              <w:rPr>
                <w:b/>
              </w:rPr>
            </w:pPr>
            <w:r>
              <w:rPr>
                <w:b/>
              </w:rPr>
              <w:t>Assent</w:t>
            </w:r>
          </w:p>
        </w:tc>
        <w:tc>
          <w:tcPr>
            <w:tcW w:w="2551" w:type="dxa"/>
            <w:tcBorders>
              <w:top w:val="single" w:sz="8" w:space="0" w:color="auto"/>
              <w:bottom w:val="single" w:sz="8" w:space="0" w:color="auto"/>
            </w:tcBorders>
          </w:tcPr>
          <w:p>
            <w:pPr>
              <w:pStyle w:val="nTable"/>
              <w:spacing w:before="70" w:after="70"/>
              <w:rPr>
                <w:b/>
              </w:rPr>
            </w:pPr>
            <w:r>
              <w:rPr>
                <w:b/>
              </w:rPr>
              <w:t>Commencement</w:t>
            </w:r>
          </w:p>
        </w:tc>
      </w:tr>
      <w:tr>
        <w:tc>
          <w:tcPr>
            <w:tcW w:w="2268" w:type="dxa"/>
          </w:tcPr>
          <w:p>
            <w:pPr>
              <w:pStyle w:val="nTable"/>
              <w:spacing w:before="70" w:after="70"/>
              <w:rPr>
                <w:i/>
              </w:rPr>
            </w:pPr>
            <w:r>
              <w:rPr>
                <w:i/>
              </w:rPr>
              <w:t>Solicitor</w:t>
            </w:r>
            <w:r>
              <w:rPr>
                <w:i/>
              </w:rPr>
              <w:noBreakHyphen/>
              <w:t>General Act 1969</w:t>
            </w:r>
          </w:p>
        </w:tc>
        <w:tc>
          <w:tcPr>
            <w:tcW w:w="1134" w:type="dxa"/>
          </w:tcPr>
          <w:p>
            <w:pPr>
              <w:pStyle w:val="nTable"/>
              <w:spacing w:before="70" w:after="70"/>
            </w:pPr>
            <w:r>
              <w:t>38 of 1969</w:t>
            </w:r>
          </w:p>
        </w:tc>
        <w:tc>
          <w:tcPr>
            <w:tcW w:w="1134" w:type="dxa"/>
          </w:tcPr>
          <w:p>
            <w:pPr>
              <w:pStyle w:val="nTable"/>
              <w:spacing w:before="70" w:after="70"/>
            </w:pPr>
            <w:r>
              <w:t>19 May 1969</w:t>
            </w:r>
          </w:p>
        </w:tc>
        <w:tc>
          <w:tcPr>
            <w:tcW w:w="2551" w:type="dxa"/>
          </w:tcPr>
          <w:p>
            <w:pPr>
              <w:pStyle w:val="nTable"/>
              <w:spacing w:before="70" w:after="70"/>
            </w:pPr>
            <w:r>
              <w:t>19 May 1969</w:t>
            </w:r>
          </w:p>
        </w:tc>
      </w:tr>
      <w:tr>
        <w:tc>
          <w:tcPr>
            <w:tcW w:w="2268" w:type="dxa"/>
          </w:tcPr>
          <w:p>
            <w:pPr>
              <w:pStyle w:val="nTable"/>
              <w:spacing w:before="70" w:after="70"/>
              <w:rPr>
                <w:i/>
              </w:rPr>
            </w:pPr>
            <w:r>
              <w:rPr>
                <w:i/>
              </w:rPr>
              <w:t xml:space="preserve">Acts Amendment (Judicial Salaries and Pensions) Act 1976 </w:t>
            </w:r>
            <w:r>
              <w:t>Pt. II</w:t>
            </w:r>
          </w:p>
        </w:tc>
        <w:tc>
          <w:tcPr>
            <w:tcW w:w="1134" w:type="dxa"/>
          </w:tcPr>
          <w:p>
            <w:pPr>
              <w:pStyle w:val="nTable"/>
              <w:spacing w:before="70" w:after="70"/>
            </w:pPr>
            <w:r>
              <w:t>125 of 1976</w:t>
            </w:r>
          </w:p>
        </w:tc>
        <w:tc>
          <w:tcPr>
            <w:tcW w:w="1134" w:type="dxa"/>
          </w:tcPr>
          <w:p>
            <w:pPr>
              <w:pStyle w:val="nTable"/>
              <w:spacing w:before="70" w:after="70"/>
            </w:pPr>
            <w:r>
              <w:t>2 Dec 1976</w:t>
            </w:r>
          </w:p>
        </w:tc>
        <w:tc>
          <w:tcPr>
            <w:tcW w:w="2551" w:type="dxa"/>
          </w:tcPr>
          <w:p>
            <w:pPr>
              <w:pStyle w:val="nTable"/>
              <w:spacing w:before="70" w:after="70"/>
            </w:pPr>
            <w:r>
              <w:t>1 Jan 1977 (see s. 2)</w:t>
            </w:r>
          </w:p>
        </w:tc>
      </w:tr>
      <w:tr>
        <w:tc>
          <w:tcPr>
            <w:tcW w:w="2268" w:type="dxa"/>
          </w:tcPr>
          <w:p>
            <w:pPr>
              <w:pStyle w:val="nTable"/>
              <w:spacing w:before="70" w:after="70"/>
              <w:rPr>
                <w:i/>
              </w:rPr>
            </w:pPr>
            <w:r>
              <w:rPr>
                <w:i/>
              </w:rPr>
              <w:t xml:space="preserve">Solicitor-General Act Amendment Act 1979 </w:t>
            </w:r>
          </w:p>
        </w:tc>
        <w:tc>
          <w:tcPr>
            <w:tcW w:w="1134" w:type="dxa"/>
          </w:tcPr>
          <w:p>
            <w:pPr>
              <w:pStyle w:val="nTable"/>
              <w:spacing w:before="70" w:after="70"/>
            </w:pPr>
            <w:r>
              <w:t>69 of 1979</w:t>
            </w:r>
          </w:p>
        </w:tc>
        <w:tc>
          <w:tcPr>
            <w:tcW w:w="1134" w:type="dxa"/>
          </w:tcPr>
          <w:p>
            <w:pPr>
              <w:pStyle w:val="nTable"/>
              <w:spacing w:before="70" w:after="70"/>
            </w:pPr>
            <w:r>
              <w:t>21 Nov 1979</w:t>
            </w:r>
          </w:p>
        </w:tc>
        <w:tc>
          <w:tcPr>
            <w:tcW w:w="2551" w:type="dxa"/>
          </w:tcPr>
          <w:p>
            <w:pPr>
              <w:pStyle w:val="nTable"/>
              <w:spacing w:before="70" w:after="70"/>
            </w:pPr>
            <w:r>
              <w:t>19 May 1969 (see s. 2)</w:t>
            </w:r>
          </w:p>
        </w:tc>
      </w:tr>
      <w:tr>
        <w:tc>
          <w:tcPr>
            <w:tcW w:w="2268" w:type="dxa"/>
          </w:tcPr>
          <w:p>
            <w:pPr>
              <w:pStyle w:val="nTable"/>
              <w:spacing w:before="70" w:after="70"/>
              <w:rPr>
                <w:i/>
              </w:rPr>
            </w:pPr>
            <w:r>
              <w:rPr>
                <w:i/>
              </w:rPr>
              <w:t xml:space="preserve">Financial Administration Legislation Amendment Act 1993 </w:t>
            </w:r>
            <w:r>
              <w:t>s. 11</w:t>
            </w:r>
          </w:p>
        </w:tc>
        <w:tc>
          <w:tcPr>
            <w:tcW w:w="1134" w:type="dxa"/>
          </w:tcPr>
          <w:p>
            <w:pPr>
              <w:pStyle w:val="nTable"/>
              <w:spacing w:before="70" w:after="70"/>
            </w:pPr>
            <w:r>
              <w:t>6 of 1993</w:t>
            </w:r>
          </w:p>
        </w:tc>
        <w:tc>
          <w:tcPr>
            <w:tcW w:w="1134" w:type="dxa"/>
          </w:tcPr>
          <w:p>
            <w:pPr>
              <w:pStyle w:val="nTable"/>
              <w:spacing w:before="70" w:after="70"/>
            </w:pPr>
            <w:r>
              <w:t>27 Aug 1993</w:t>
            </w:r>
          </w:p>
        </w:tc>
        <w:tc>
          <w:tcPr>
            <w:tcW w:w="2551" w:type="dxa"/>
          </w:tcPr>
          <w:p>
            <w:pPr>
              <w:pStyle w:val="nTable"/>
              <w:spacing w:before="70" w:after="70"/>
            </w:pPr>
            <w:r>
              <w:t>1 Jul 1993 (see s. 2(1))</w:t>
            </w:r>
          </w:p>
        </w:tc>
      </w:tr>
      <w:tr>
        <w:tc>
          <w:tcPr>
            <w:tcW w:w="2268" w:type="dxa"/>
          </w:tcPr>
          <w:p>
            <w:pPr>
              <w:pStyle w:val="nTable"/>
              <w:spacing w:before="70" w:after="70"/>
              <w:rPr>
                <w:i/>
              </w:rPr>
            </w:pPr>
            <w:r>
              <w:rPr>
                <w:i/>
              </w:rPr>
              <w:t xml:space="preserve">Financial Legislation Amendment Act 1996 </w:t>
            </w:r>
            <w:r>
              <w:t>s. 64</w:t>
            </w:r>
          </w:p>
        </w:tc>
        <w:tc>
          <w:tcPr>
            <w:tcW w:w="1134" w:type="dxa"/>
          </w:tcPr>
          <w:p>
            <w:pPr>
              <w:pStyle w:val="nTable"/>
              <w:spacing w:before="70" w:after="70"/>
            </w:pPr>
            <w:r>
              <w:t>49 of 1996</w:t>
            </w:r>
          </w:p>
        </w:tc>
        <w:tc>
          <w:tcPr>
            <w:tcW w:w="1134" w:type="dxa"/>
          </w:tcPr>
          <w:p>
            <w:pPr>
              <w:pStyle w:val="nTable"/>
              <w:spacing w:before="70" w:after="70"/>
            </w:pPr>
            <w:r>
              <w:t>25 Oct 1996</w:t>
            </w:r>
          </w:p>
        </w:tc>
        <w:tc>
          <w:tcPr>
            <w:tcW w:w="2551" w:type="dxa"/>
          </w:tcPr>
          <w:p>
            <w:pPr>
              <w:pStyle w:val="nTable"/>
              <w:spacing w:before="70" w:after="70"/>
            </w:pPr>
            <w:r>
              <w:t>25 Oct 1996 (see s. 2(1))</w:t>
            </w:r>
          </w:p>
        </w:tc>
      </w:tr>
      <w:tr>
        <w:tc>
          <w:tcPr>
            <w:tcW w:w="2268" w:type="dxa"/>
          </w:tcPr>
          <w:p>
            <w:pPr>
              <w:pStyle w:val="nTable"/>
              <w:spacing w:before="70" w:after="70"/>
              <w:rPr>
                <w:i/>
              </w:rPr>
            </w:pPr>
            <w:r>
              <w:rPr>
                <w:i/>
              </w:rPr>
              <w:t xml:space="preserve">Statutes (Repeals and Minor Amendments) Act 1997 </w:t>
            </w:r>
            <w:r>
              <w:t>s. 112</w:t>
            </w:r>
          </w:p>
        </w:tc>
        <w:tc>
          <w:tcPr>
            <w:tcW w:w="1134" w:type="dxa"/>
          </w:tcPr>
          <w:p>
            <w:pPr>
              <w:pStyle w:val="nTable"/>
              <w:spacing w:before="70" w:after="70"/>
            </w:pPr>
            <w:r>
              <w:t>57 of 1997</w:t>
            </w:r>
          </w:p>
        </w:tc>
        <w:tc>
          <w:tcPr>
            <w:tcW w:w="1134" w:type="dxa"/>
          </w:tcPr>
          <w:p>
            <w:pPr>
              <w:pStyle w:val="nTable"/>
              <w:spacing w:before="70" w:after="70"/>
            </w:pPr>
            <w:r>
              <w:t>15 Dec 1997</w:t>
            </w:r>
          </w:p>
        </w:tc>
        <w:tc>
          <w:tcPr>
            <w:tcW w:w="2551" w:type="dxa"/>
          </w:tcPr>
          <w:p>
            <w:pPr>
              <w:pStyle w:val="nTable"/>
              <w:spacing w:before="70" w:after="70"/>
            </w:pPr>
            <w:r>
              <w:t>15 Dec 1997 (see s. 2(1))</w:t>
            </w:r>
          </w:p>
        </w:tc>
      </w:tr>
      <w:tr>
        <w:trPr>
          <w:cantSplit/>
        </w:trPr>
        <w:tc>
          <w:tcPr>
            <w:tcW w:w="7087" w:type="dxa"/>
            <w:gridSpan w:val="4"/>
          </w:tcPr>
          <w:p>
            <w:pPr>
              <w:pStyle w:val="nTable"/>
              <w:spacing w:before="70" w:after="70"/>
            </w:pPr>
            <w:r>
              <w:rPr>
                <w:b/>
              </w:rPr>
              <w:t xml:space="preserve">Reprint of the </w:t>
            </w:r>
            <w:r>
              <w:rPr>
                <w:b/>
                <w:i/>
                <w:noProof/>
                <w:snapToGrid w:val="0"/>
              </w:rPr>
              <w:t>Solicitor-General Act 1969</w:t>
            </w:r>
            <w:r>
              <w:rPr>
                <w:b/>
                <w:noProof/>
                <w:snapToGrid w:val="0"/>
              </w:rPr>
              <w:t xml:space="preserve"> as at 1 Nov 2002</w:t>
            </w:r>
            <w:r>
              <w:rPr>
                <w:noProof/>
                <w:snapToGrid w:val="0"/>
              </w:rPr>
              <w:t xml:space="preserve"> (includes amendments listed above)</w:t>
            </w:r>
          </w:p>
        </w:tc>
      </w:tr>
      <w:tr>
        <w:tc>
          <w:tcPr>
            <w:tcW w:w="2268" w:type="dxa"/>
          </w:tcPr>
          <w:p>
            <w:pPr>
              <w:pStyle w:val="nTable"/>
              <w:spacing w:before="70" w:after="70"/>
            </w:pPr>
            <w:r>
              <w:rPr>
                <w:i/>
              </w:rPr>
              <w:t>Acts Amendment (Equality of Status) Act 2003</w:t>
            </w:r>
            <w:r>
              <w:t xml:space="preserve"> Pt. 54</w:t>
            </w:r>
          </w:p>
        </w:tc>
        <w:tc>
          <w:tcPr>
            <w:tcW w:w="1134" w:type="dxa"/>
          </w:tcPr>
          <w:p>
            <w:pPr>
              <w:pStyle w:val="nTable"/>
              <w:spacing w:before="70" w:after="70"/>
            </w:pPr>
            <w:r>
              <w:t>28 of 2003</w:t>
            </w:r>
          </w:p>
        </w:tc>
        <w:tc>
          <w:tcPr>
            <w:tcW w:w="1134" w:type="dxa"/>
          </w:tcPr>
          <w:p>
            <w:pPr>
              <w:pStyle w:val="nTable"/>
              <w:spacing w:before="70" w:after="70"/>
            </w:pPr>
            <w:r>
              <w:t>22 May 2003</w:t>
            </w:r>
          </w:p>
        </w:tc>
        <w:tc>
          <w:tcPr>
            <w:tcW w:w="2551" w:type="dxa"/>
          </w:tcPr>
          <w:p>
            <w:pPr>
              <w:pStyle w:val="nTable"/>
              <w:spacing w:before="70" w:after="70"/>
            </w:pPr>
            <w:r>
              <w:t xml:space="preserve">1 Jul 2003 (see s. 2 and </w:t>
            </w:r>
            <w:r>
              <w:rPr>
                <w:i/>
              </w:rPr>
              <w:t xml:space="preserve">Gazette </w:t>
            </w:r>
            <w:r>
              <w:t>30 Jun 2003 p. 2579)</w:t>
            </w:r>
          </w:p>
        </w:tc>
      </w:tr>
      <w:tr>
        <w:tc>
          <w:tcPr>
            <w:tcW w:w="2268" w:type="dxa"/>
          </w:tcPr>
          <w:p>
            <w:pPr>
              <w:pStyle w:val="nTable"/>
              <w:spacing w:before="70" w:after="70"/>
            </w:pPr>
            <w:r>
              <w:rPr>
                <w:i/>
              </w:rPr>
              <w:t>Acts Amendment and Repeal (Courts and Legal Practice) Act 2003</w:t>
            </w:r>
            <w:r>
              <w:t xml:space="preserve"> s. 118</w:t>
            </w:r>
          </w:p>
        </w:tc>
        <w:tc>
          <w:tcPr>
            <w:tcW w:w="1134" w:type="dxa"/>
          </w:tcPr>
          <w:p>
            <w:pPr>
              <w:pStyle w:val="nTable"/>
              <w:spacing w:before="70" w:after="70"/>
            </w:pPr>
            <w:r>
              <w:t>65 of 2003</w:t>
            </w:r>
          </w:p>
        </w:tc>
        <w:tc>
          <w:tcPr>
            <w:tcW w:w="1134" w:type="dxa"/>
          </w:tcPr>
          <w:p>
            <w:pPr>
              <w:pStyle w:val="nTable"/>
              <w:spacing w:before="70" w:after="70"/>
            </w:pPr>
            <w:r>
              <w:t>4 Dec 2003</w:t>
            </w:r>
          </w:p>
        </w:tc>
        <w:tc>
          <w:tcPr>
            <w:tcW w:w="2551" w:type="dxa"/>
          </w:tcPr>
          <w:p>
            <w:pPr>
              <w:pStyle w:val="nTable"/>
              <w:spacing w:before="70" w:after="70"/>
            </w:pPr>
            <w:r>
              <w:t xml:space="preserve">1 Jan 2004 (see s. 2 and </w:t>
            </w:r>
            <w:r>
              <w:rPr>
                <w:i/>
              </w:rPr>
              <w:t>Gazette</w:t>
            </w:r>
            <w:r>
              <w:t xml:space="preserve"> 30 Dec 2003 p. 5722)</w:t>
            </w:r>
          </w:p>
        </w:tc>
      </w:tr>
      <w:tr>
        <w:tc>
          <w:tcPr>
            <w:tcW w:w="2268" w:type="dxa"/>
          </w:tcPr>
          <w:p>
            <w:pPr>
              <w:pStyle w:val="nTable"/>
              <w:spacing w:before="70" w:after="70"/>
              <w:rPr>
                <w:vertAlign w:val="superscript"/>
              </w:rPr>
            </w:pPr>
            <w:r>
              <w:rPr>
                <w:i/>
              </w:rPr>
              <w:t>Solicitor-General Amendment Act 2006</w:t>
            </w:r>
            <w:r>
              <w:t xml:space="preserve"> s. 4</w:t>
            </w:r>
            <w:r>
              <w:noBreakHyphen/>
              <w:t>11</w:t>
            </w:r>
          </w:p>
        </w:tc>
        <w:tc>
          <w:tcPr>
            <w:tcW w:w="1134" w:type="dxa"/>
          </w:tcPr>
          <w:p>
            <w:pPr>
              <w:pStyle w:val="nTable"/>
              <w:spacing w:before="70" w:after="70"/>
            </w:pPr>
            <w:r>
              <w:t xml:space="preserve">29 of 2006 </w:t>
            </w:r>
          </w:p>
        </w:tc>
        <w:tc>
          <w:tcPr>
            <w:tcW w:w="1134" w:type="dxa"/>
          </w:tcPr>
          <w:p>
            <w:pPr>
              <w:pStyle w:val="nTable"/>
              <w:spacing w:before="70" w:after="70"/>
            </w:pPr>
            <w:r>
              <w:t>30 Jun 2006</w:t>
            </w:r>
          </w:p>
        </w:tc>
        <w:tc>
          <w:tcPr>
            <w:tcW w:w="2551" w:type="dxa"/>
          </w:tcPr>
          <w:p>
            <w:pPr>
              <w:pStyle w:val="nTable"/>
              <w:spacing w:before="70" w:after="70"/>
            </w:pPr>
            <w:r>
              <w:t>18 Jul 2006 (see s. 2)</w:t>
            </w:r>
          </w:p>
        </w:tc>
      </w:tr>
      <w:tr>
        <w:trPr>
          <w:cantSplit/>
        </w:trPr>
        <w:tc>
          <w:tcPr>
            <w:tcW w:w="7087" w:type="dxa"/>
            <w:gridSpan w:val="4"/>
          </w:tcPr>
          <w:p>
            <w:pPr>
              <w:pStyle w:val="nTable"/>
              <w:spacing w:before="70" w:after="70"/>
            </w:pPr>
            <w:r>
              <w:rPr>
                <w:b/>
              </w:rPr>
              <w:t xml:space="preserve">Reprint 2: The </w:t>
            </w:r>
            <w:r>
              <w:rPr>
                <w:b/>
                <w:i/>
                <w:noProof/>
                <w:snapToGrid w:val="0"/>
              </w:rPr>
              <w:t>Solicitor-General Act 1969</w:t>
            </w:r>
            <w:r>
              <w:rPr>
                <w:b/>
                <w:noProof/>
                <w:snapToGrid w:val="0"/>
              </w:rPr>
              <w:t xml:space="preserve"> as at 18 Jan 2008</w:t>
            </w:r>
            <w:r>
              <w:rPr>
                <w:noProof/>
                <w:snapToGrid w:val="0"/>
              </w:rPr>
              <w:t xml:space="preserve"> (includes amendments listed above)</w:t>
            </w:r>
          </w:p>
        </w:tc>
      </w:tr>
      <w:tr>
        <w:trPr>
          <w:cantSplit/>
        </w:trPr>
        <w:tc>
          <w:tcPr>
            <w:tcW w:w="2268" w:type="dxa"/>
          </w:tcPr>
          <w:p>
            <w:pPr>
              <w:pStyle w:val="nTable"/>
              <w:spacing w:after="40"/>
              <w:ind w:right="113"/>
              <w:rPr>
                <w:i/>
                <w:snapToGrid w:val="0"/>
              </w:rPr>
            </w:pPr>
            <w:r>
              <w:rPr>
                <w:i/>
                <w:iCs/>
                <w:snapToGrid w:val="0"/>
              </w:rPr>
              <w:t>Legal Profession Act 2008</w:t>
            </w:r>
            <w:r>
              <w:rPr>
                <w:i/>
                <w:snapToGrid w:val="0"/>
              </w:rPr>
              <w:t xml:space="preserve"> </w:t>
            </w:r>
            <w:r>
              <w:rPr>
                <w:iCs/>
                <w:snapToGrid w:val="0"/>
              </w:rPr>
              <w:t>s. 705</w:t>
            </w:r>
          </w:p>
        </w:tc>
        <w:tc>
          <w:tcPr>
            <w:tcW w:w="1134" w:type="dxa"/>
          </w:tcPr>
          <w:p>
            <w:pPr>
              <w:pStyle w:val="nTable"/>
              <w:keepNext/>
              <w:spacing w:after="40"/>
            </w:pPr>
            <w:r>
              <w:rPr>
                <w:snapToGrid w:val="0"/>
              </w:rPr>
              <w:t>21 of 2008</w:t>
            </w:r>
          </w:p>
        </w:tc>
        <w:tc>
          <w:tcPr>
            <w:tcW w:w="1134" w:type="dxa"/>
          </w:tcPr>
          <w:p>
            <w:pPr>
              <w:pStyle w:val="nTable"/>
              <w:keepNext/>
              <w:spacing w:after="40"/>
            </w:pPr>
            <w:r>
              <w:rPr>
                <w:snapToGrid w:val="0"/>
              </w:rPr>
              <w:t>27 May 2008</w:t>
            </w:r>
          </w:p>
        </w:tc>
        <w:tc>
          <w:tcPr>
            <w:tcW w:w="2552" w:type="dxa"/>
          </w:tcPr>
          <w:p>
            <w:pPr>
              <w:pStyle w:val="nTable"/>
              <w:keepNext/>
              <w:spacing w:after="40"/>
            </w:pPr>
            <w:r>
              <w:rPr>
                <w:snapToGrid w:val="0"/>
              </w:rPr>
              <w:t xml:space="preserve">1 Mar 2009 (see s. 2(b) and </w:t>
            </w:r>
            <w:r>
              <w:rPr>
                <w:i/>
                <w:iCs/>
                <w:snapToGrid w:val="0"/>
              </w:rPr>
              <w:t>Gazette</w:t>
            </w:r>
            <w:r>
              <w:rPr>
                <w:snapToGrid w:val="0"/>
              </w:rPr>
              <w:t xml:space="preserve"> 27 Feb 2009 p. 511</w:t>
            </w:r>
            <w:r>
              <w:t>)</w:t>
            </w:r>
          </w:p>
        </w:tc>
      </w:tr>
      <w:tr>
        <w:trPr>
          <w:cantSplit/>
        </w:trPr>
        <w:tc>
          <w:tcPr>
            <w:tcW w:w="2269" w:type="dxa"/>
            <w:tcBorders>
              <w:bottom w:val="single" w:sz="4" w:space="0" w:color="auto"/>
            </w:tcBorders>
          </w:tcPr>
          <w:p>
            <w:pPr>
              <w:pStyle w:val="nTable"/>
              <w:spacing w:after="40"/>
              <w:rPr>
                <w:iCs/>
                <w:snapToGrid w:val="0"/>
              </w:rPr>
            </w:pPr>
            <w:r>
              <w:rPr>
                <w:i/>
                <w:snapToGrid w:val="0"/>
              </w:rPr>
              <w:t>Acts Amendment (Bankruptcy) Act 2009</w:t>
            </w:r>
            <w:r>
              <w:rPr>
                <w:iCs/>
                <w:snapToGrid w:val="0"/>
              </w:rPr>
              <w:t xml:space="preserve"> s. 82</w:t>
            </w:r>
          </w:p>
        </w:tc>
        <w:tc>
          <w:tcPr>
            <w:tcW w:w="1134" w:type="dxa"/>
            <w:tcBorders>
              <w:bottom w:val="single" w:sz="4" w:space="0" w:color="auto"/>
            </w:tcBorders>
          </w:tcPr>
          <w:p>
            <w:pPr>
              <w:pStyle w:val="nTable"/>
              <w:spacing w:after="40"/>
            </w:pPr>
            <w:r>
              <w:t>18 of 2009</w:t>
            </w:r>
          </w:p>
        </w:tc>
        <w:tc>
          <w:tcPr>
            <w:tcW w:w="1134" w:type="dxa"/>
            <w:tcBorders>
              <w:bottom w:val="single" w:sz="4" w:space="0" w:color="auto"/>
            </w:tcBorders>
          </w:tcPr>
          <w:p>
            <w:pPr>
              <w:pStyle w:val="nTable"/>
              <w:spacing w:after="40"/>
            </w:pPr>
            <w:r>
              <w:t>16 Sep 2009</w:t>
            </w:r>
          </w:p>
        </w:tc>
        <w:tc>
          <w:tcPr>
            <w:tcW w:w="2552" w:type="dxa"/>
            <w:tcBorders>
              <w:bottom w:val="single" w:sz="4" w:space="0" w:color="auto"/>
            </w:tcBorders>
          </w:tcPr>
          <w:p>
            <w:pPr>
              <w:pStyle w:val="nTable"/>
              <w:spacing w:after="40"/>
            </w:pPr>
            <w:r>
              <w:t>17 Sep 2009 (see s. 2(b))</w:t>
            </w:r>
          </w:p>
        </w:tc>
      </w:tr>
    </w:tbl>
    <w:p>
      <w:pPr>
        <w:pStyle w:val="nHeading3"/>
      </w:pPr>
      <w:bookmarkStart w:id="19" w:name="_Toc32409275"/>
      <w:r>
        <w:t>Uncommenced provisions table</w:t>
      </w:r>
      <w:bookmarkEnd w:id="19"/>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rPr>
            </w:pPr>
            <w:r>
              <w:rPr>
                <w:b/>
              </w:rPr>
              <w:t>Short title</w:t>
            </w:r>
          </w:p>
        </w:tc>
        <w:tc>
          <w:tcPr>
            <w:tcW w:w="1134" w:type="dxa"/>
            <w:tcBorders>
              <w:top w:val="single" w:sz="8" w:space="0" w:color="auto"/>
              <w:bottom w:val="single" w:sz="8" w:space="0" w:color="auto"/>
            </w:tcBorders>
          </w:tcPr>
          <w:p>
            <w:pPr>
              <w:pStyle w:val="nTable"/>
              <w:keepNext/>
              <w:spacing w:after="40"/>
              <w:rPr>
                <w:b/>
              </w:rPr>
            </w:pPr>
            <w:r>
              <w:rPr>
                <w:b/>
              </w:rPr>
              <w:t>Number and year</w:t>
            </w:r>
          </w:p>
        </w:tc>
        <w:tc>
          <w:tcPr>
            <w:tcW w:w="1134" w:type="dxa"/>
            <w:tcBorders>
              <w:top w:val="single" w:sz="8" w:space="0" w:color="auto"/>
              <w:bottom w:val="single" w:sz="8" w:space="0" w:color="auto"/>
            </w:tcBorders>
          </w:tcPr>
          <w:p>
            <w:pPr>
              <w:pStyle w:val="nTable"/>
              <w:keepNext/>
              <w:spacing w:after="40"/>
              <w:rPr>
                <w:b/>
              </w:rPr>
            </w:pPr>
            <w:r>
              <w:rPr>
                <w:b/>
              </w:rPr>
              <w:t>Assent</w:t>
            </w:r>
          </w:p>
        </w:tc>
        <w:tc>
          <w:tcPr>
            <w:tcW w:w="2552"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68" w:type="dxa"/>
            <w:tcBorders>
              <w:top w:val="single" w:sz="8" w:space="0" w:color="auto"/>
              <w:bottom w:val="single" w:sz="8" w:space="0" w:color="auto"/>
            </w:tcBorders>
          </w:tcPr>
          <w:p>
            <w:pPr>
              <w:pStyle w:val="nTable"/>
              <w:spacing w:after="40"/>
              <w:ind w:right="113"/>
              <w:rPr>
                <w:i/>
                <w:vertAlign w:val="superscript"/>
              </w:rPr>
            </w:pPr>
            <w:r>
              <w:rPr>
                <w:i/>
                <w:snapToGrid w:val="0"/>
              </w:rPr>
              <w:t xml:space="preserve">State Superannuation (Transitional and Consequential Provisions) Act 2000 </w:t>
            </w:r>
            <w:r>
              <w:rPr>
                <w:snapToGrid w:val="0"/>
              </w:rPr>
              <w:t>s. 64</w:t>
            </w:r>
          </w:p>
        </w:tc>
        <w:tc>
          <w:tcPr>
            <w:tcW w:w="1134" w:type="dxa"/>
            <w:tcBorders>
              <w:top w:val="single" w:sz="8" w:space="0" w:color="auto"/>
              <w:bottom w:val="single" w:sz="8" w:space="0" w:color="auto"/>
            </w:tcBorders>
          </w:tcPr>
          <w:p>
            <w:pPr>
              <w:pStyle w:val="nTable"/>
              <w:keepNext/>
              <w:spacing w:after="40"/>
            </w:pPr>
            <w:r>
              <w:t>43 of 2000</w:t>
            </w:r>
          </w:p>
        </w:tc>
        <w:tc>
          <w:tcPr>
            <w:tcW w:w="1134" w:type="dxa"/>
            <w:tcBorders>
              <w:top w:val="single" w:sz="8" w:space="0" w:color="auto"/>
              <w:bottom w:val="single" w:sz="8" w:space="0" w:color="auto"/>
            </w:tcBorders>
          </w:tcPr>
          <w:p>
            <w:pPr>
              <w:pStyle w:val="nTable"/>
              <w:keepNext/>
              <w:spacing w:after="40"/>
            </w:pPr>
            <w:r>
              <w:t>2 Nov 2000</w:t>
            </w:r>
          </w:p>
        </w:tc>
        <w:tc>
          <w:tcPr>
            <w:tcW w:w="2552" w:type="dxa"/>
            <w:tcBorders>
              <w:top w:val="single" w:sz="8" w:space="0" w:color="auto"/>
              <w:bottom w:val="single" w:sz="8" w:space="0" w:color="auto"/>
            </w:tcBorders>
          </w:tcPr>
          <w:p>
            <w:pPr>
              <w:pStyle w:val="nTable"/>
              <w:keepNext/>
              <w:spacing w:after="40"/>
            </w:pPr>
            <w:r>
              <w:t>To be proclaimed (see s. 2(2))</w:t>
            </w:r>
          </w:p>
        </w:tc>
      </w:tr>
    </w:tbl>
    <w:p>
      <w:pPr>
        <w:pStyle w:val="nHeading3"/>
      </w:pPr>
      <w:bookmarkStart w:id="20" w:name="_Toc32409276"/>
      <w:r>
        <w:t>Other notes</w:t>
      </w:r>
      <w:bookmarkEnd w:id="20"/>
    </w:p>
    <w:p>
      <w:pPr>
        <w:pStyle w:val="nNote"/>
      </w:pPr>
      <w:r>
        <w:rPr>
          <w:vertAlign w:val="superscript"/>
        </w:rPr>
        <w:t>1</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Note"/>
      </w:pPr>
      <w:r>
        <w:rPr>
          <w:vertAlign w:val="superscript"/>
        </w:rPr>
        <w:t>2</w:t>
      </w:r>
      <w:r>
        <w:tab/>
        <w:t xml:space="preserve">The amendment to s. 4 in the </w:t>
      </w:r>
      <w:r>
        <w:rPr>
          <w:i/>
          <w:iCs/>
        </w:rPr>
        <w:t xml:space="preserve">Financial Legislation Amendment and Repeal Act 2006 </w:t>
      </w:r>
      <w:r>
        <w:t xml:space="preserve">s. 4 is not included because the section it sought to amend was replaced by the </w:t>
      </w:r>
      <w:r>
        <w:rPr>
          <w:i/>
          <w:snapToGrid w:val="0"/>
        </w:rPr>
        <w:t>Solicitor</w:t>
      </w:r>
      <w:r>
        <w:rPr>
          <w:i/>
          <w:snapToGrid w:val="0"/>
        </w:rPr>
        <w:noBreakHyphen/>
        <w:t xml:space="preserve">General Amendment Act 2006 </w:t>
      </w:r>
      <w:r>
        <w:rPr>
          <w:snapToGrid w:val="0"/>
        </w:rPr>
        <w:t>s. 6</w:t>
      </w:r>
      <w:r>
        <w:t>.</w:t>
      </w:r>
    </w:p>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rPr>
          <w:sz w:val="28"/>
        </w:rPr>
      </w:pPr>
      <w:bookmarkStart w:id="22" w:name="_Toc32409259"/>
      <w:bookmarkStart w:id="23" w:name="_Toc32409277"/>
      <w:r>
        <w:rPr>
          <w:sz w:val="28"/>
        </w:rPr>
        <w:t>Defined terms</w:t>
      </w:r>
      <w:bookmarkEnd w:id="22"/>
      <w:bookmarkEnd w:id="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amended Act</w:t>
      </w:r>
      <w:r>
        <w:tab/>
        <w:t>14(1)</w:t>
      </w:r>
    </w:p>
    <w:p>
      <w:pPr>
        <w:pStyle w:val="DefinedTerms"/>
      </w:pPr>
      <w:r>
        <w:t>Attorney General</w:t>
      </w:r>
      <w:r>
        <w:tab/>
        <w:t>2(1)</w:t>
      </w:r>
    </w:p>
    <w:p>
      <w:pPr>
        <w:pStyle w:val="DefinedTerms"/>
      </w:pPr>
      <w:r>
        <w:t>Australian lawyer</w:t>
      </w:r>
      <w:r>
        <w:tab/>
        <w:t>3(3)</w:t>
      </w:r>
    </w:p>
    <w:p>
      <w:pPr>
        <w:pStyle w:val="DefinedTerms"/>
      </w:pPr>
      <w:r>
        <w:t>current Solicitor</w:t>
      </w:r>
      <w:r>
        <w:noBreakHyphen/>
        <w:t>General</w:t>
      </w:r>
      <w:r>
        <w:tab/>
        <w:t>14(1)</w:t>
      </w:r>
    </w:p>
    <w:p>
      <w:pPr>
        <w:pStyle w:val="DefinedTerms"/>
      </w:pPr>
      <w:r>
        <w:t>former Act</w:t>
      </w:r>
      <w:r>
        <w:tab/>
        <w:t>14(1)</w:t>
      </w:r>
    </w:p>
    <w:p>
      <w:pPr>
        <w:pStyle w:val="DefinedTerms"/>
      </w:pPr>
      <w:r>
        <w:t>legal experience</w:t>
      </w:r>
      <w:r>
        <w:tab/>
        <w:t>3(3)</w:t>
      </w:r>
    </w:p>
    <w:p>
      <w:pPr>
        <w:pStyle w:val="DefinedTerms"/>
      </w:pPr>
      <w:r>
        <w:t>remuneration</w:t>
      </w:r>
      <w:r>
        <w:tab/>
        <w:t>4(1)</w:t>
      </w:r>
    </w:p>
    <w:p>
      <w:pPr>
        <w:pStyle w:val="DefinedTerms"/>
      </w:pPr>
      <w:r>
        <w:t>Solicitor</w:t>
      </w:r>
      <w:r>
        <w:noBreakHyphen/>
        <w:t>General</w:t>
      </w:r>
      <w:r>
        <w:tab/>
        <w:t>2(1), 2(2)</w:t>
      </w:r>
    </w:p>
    <w:p>
      <w:pPr>
        <w:pStyle w:val="DefinedTerms"/>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Sep 2009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02-d0-07</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02-d0-07</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Sep 2009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Solicitor-General Act 1969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Solicitor-General Act 1969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Solicitor-General Act 1969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Solicitor-General Act 1969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Solicitor-General Act 1969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Solicitor-General Act 1969</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1" w:name="Compilation"/>
    <w:bookmarkEnd w:id="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Solicitor-General Act 1969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Solicitor-General Act 1969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 w:name="DefinedTerms"/>
    <w:bookmarkEnd w:id="2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 w:name="Coversheet"/>
    <w:bookmarkEnd w:id="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15EB14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B4E963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AEE916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EE8AAD2"/>
    <w:lvl w:ilvl="0">
      <w:start w:val="1"/>
      <w:numFmt w:val="decimal"/>
      <w:pStyle w:val="ListNumber2"/>
      <w:lvlText w:val="%1."/>
      <w:lvlJc w:val="left"/>
      <w:pPr>
        <w:tabs>
          <w:tab w:val="num" w:pos="720"/>
        </w:tabs>
        <w:ind w:left="720" w:hanging="360"/>
      </w:pPr>
    </w:lvl>
  </w:abstractNum>
  <w:abstractNum w:abstractNumId="4">
    <w:nsid w:val="FFFFFF80"/>
    <w:multiLevelType w:val="singleLevel"/>
    <w:tmpl w:val="7A0CBE9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34402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A483D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37481F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21E89C4"/>
    <w:lvl w:ilvl="0">
      <w:start w:val="1"/>
      <w:numFmt w:val="decimal"/>
      <w:pStyle w:val="ListNumber"/>
      <w:lvlText w:val="%1."/>
      <w:lvlJc w:val="left"/>
      <w:pPr>
        <w:tabs>
          <w:tab w:val="num" w:pos="360"/>
        </w:tabs>
        <w:ind w:left="360" w:hanging="360"/>
      </w:pPr>
    </w:lvl>
  </w:abstractNum>
  <w:abstractNum w:abstractNumId="9">
    <w:nsid w:val="FFFFFF89"/>
    <w:multiLevelType w:val="singleLevel"/>
    <w:tmpl w:val="BF04840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B4659A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141143"/>
    <w:docVar w:name="WAFER_20140203103804" w:val="RemoveTocBookmarks,RemoveUnusedBookmarks,RemoveLanguageTags,UsedStyles,ResetPageSize,UpdateArrangement"/>
    <w:docVar w:name="WAFER_20140203103804_GUID" w:val="e9c57887-f632-413b-8c93-a074450f1d70"/>
    <w:docVar w:name="WAFER_20140203105637" w:val="RemoveTocBookmarks,RunningHeaders"/>
    <w:docVar w:name="WAFER_20140203105637_GUID" w:val="17707e94-07e1-4837-89cf-81e31f52629b"/>
    <w:docVar w:name="WAFER_20150713103531" w:val="ResetPageSize,UpdateArrangement,UpdateNTable"/>
    <w:docVar w:name="WAFER_20150713103531_GUID" w:val="ff182676-a4a3-4439-a83b-d9671f8ca5da"/>
    <w:docVar w:name="WAFER_20151109160435" w:val="UpdateStyles,UsedStyles"/>
    <w:docVar w:name="WAFER_20151109160435_GUID" w:val="fd87542f-4f50-4b67-b03b-b4f982c44c2c"/>
    <w:docVar w:name="WAFER_20151201122321" w:val="RemoveTrackChanges"/>
    <w:docVar w:name="WAFER_20151201122321_GUID" w:val="7e4221e2-7a72-4f94-bef1-230c6373e3cc"/>
    <w:docVar w:name="WAFER_202002121411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1143_GUID" w:val="7995fc16-fc49-4635-8b69-663b4094135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2038</Words>
  <Characters>9991</Characters>
  <Application>Microsoft Office Word</Application>
  <DocSecurity>0</DocSecurity>
  <Lines>344</Lines>
  <Paragraphs>235</Paragraphs>
  <ScaleCrop>false</ScaleCrop>
  <HeadingPairs>
    <vt:vector size="2" baseType="variant">
      <vt:variant>
        <vt:lpstr>Title</vt:lpstr>
      </vt:variant>
      <vt:variant>
        <vt:i4>1</vt:i4>
      </vt:variant>
    </vt:vector>
  </HeadingPairs>
  <TitlesOfParts>
    <vt:vector size="1" baseType="lpstr">
      <vt:lpstr>Solicitor-General Act 1969</vt:lpstr>
    </vt:vector>
  </TitlesOfParts>
  <Manager/>
  <Company/>
  <LinksUpToDate>false</LinksUpToDate>
  <CharactersWithSpaces>11794</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Solicitor-General Act 1969 - 02-d0-07</dc:title>
  <dc:subject/>
  <dc:creator/>
  <cp:keywords/>
  <dc:description/>
  <cp:lastModifiedBy>svcMRProcess</cp:lastModifiedBy>
  <cp:revision>4</cp:revision>
  <cp:lastPrinted>2008-01-16T04:10:00Z</cp:lastPrinted>
  <dcterms:created xsi:type="dcterms:W3CDTF">2020-02-25T05:05:00Z</dcterms:created>
  <dcterms:modified xsi:type="dcterms:W3CDTF">2020-02-25T05:05:00Z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1969</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757</vt:i4>
  </property>
  <property fmtid="{D5CDD505-2E9C-101B-9397-08002B2CF9AE}" pid="6" name="ReprintNo">
    <vt:lpwstr>2</vt:lpwstr>
  </property>
  <property fmtid="{D5CDD505-2E9C-101B-9397-08002B2CF9AE}" pid="7" name="AsAtDate">
    <vt:lpwstr>17 Sep 2009</vt:lpwstr>
  </property>
  <property fmtid="{D5CDD505-2E9C-101B-9397-08002B2CF9AE}" pid="8" name="Suffix">
    <vt:lpwstr>02-d0-07</vt:lpwstr>
  </property>
</Properties>
</file>