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A10" w:rsidRDefault="007558B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10A10" w:rsidRDefault="007558B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677F0">
        <w:rPr>
          <w:noProof/>
          <w:sz w:val="48"/>
        </w:rPr>
        <w:t>Western Australian Greyhound Racing Association Act 1981</w:t>
      </w:r>
      <w:r>
        <w:rPr>
          <w:sz w:val="48"/>
        </w:rPr>
        <w:fldChar w:fldCharType="end"/>
      </w:r>
    </w:p>
    <w:p w:rsidR="00710A10" w:rsidRDefault="00710A10">
      <w:pPr>
        <w:jc w:val="center"/>
        <w:rPr>
          <w:b/>
        </w:rPr>
        <w:sectPr w:rsidR="00710A1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10A10" w:rsidRDefault="007558B6">
      <w:pPr>
        <w:pStyle w:val="WA"/>
        <w:spacing w:before="120"/>
      </w:pPr>
      <w:r>
        <w:lastRenderedPageBreak/>
        <w:t>Western Australia</w:t>
      </w:r>
    </w:p>
    <w:p w:rsidR="00710A10" w:rsidRDefault="007558B6">
      <w:pPr>
        <w:pStyle w:val="NameofActRegPage1"/>
      </w:pPr>
      <w:r>
        <w:fldChar w:fldCharType="begin"/>
      </w:r>
      <w:r>
        <w:instrText xml:space="preserve"> STYLEREF "Name Of Act/Reg"</w:instrText>
      </w:r>
      <w:r>
        <w:fldChar w:fldCharType="separate"/>
      </w:r>
      <w:r w:rsidR="004677F0">
        <w:rPr>
          <w:noProof/>
        </w:rPr>
        <w:t>Western Australian Greyhound Racing Association Act 1981</w:t>
      </w:r>
      <w:r>
        <w:fldChar w:fldCharType="end"/>
      </w:r>
    </w:p>
    <w:p w:rsidR="00710A10" w:rsidRDefault="007558B6">
      <w:pPr>
        <w:pStyle w:val="Arrangement"/>
      </w:pPr>
      <w:r>
        <w:t>CONTENTS</w:t>
      </w:r>
    </w:p>
    <w:p w:rsidR="00710A10" w:rsidRDefault="007558B6">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710A10" w:rsidRDefault="007558B6">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_Toc241290817 \h </w:instrText>
      </w:r>
      <w:r>
        <w:fldChar w:fldCharType="separate"/>
      </w:r>
      <w:r w:rsidR="004677F0">
        <w:t>2</w:t>
      </w:r>
      <w:r>
        <w:fldChar w:fldCharType="end"/>
      </w:r>
    </w:p>
    <w:p w:rsidR="00710A10" w:rsidRDefault="007558B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_Toc241290818 \h </w:instrText>
      </w:r>
      <w:r>
        <w:fldChar w:fldCharType="separate"/>
      </w:r>
      <w:r w:rsidR="004677F0">
        <w:t>2</w:t>
      </w:r>
      <w:r>
        <w:fldChar w:fldCharType="end"/>
      </w:r>
    </w:p>
    <w:p w:rsidR="00710A10" w:rsidRDefault="007558B6">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_Toc241290819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30"/>
        </w:rPr>
        <w:t>Part II — Western Australian Greyhound Racing Association</w:t>
      </w:r>
    </w:p>
    <w:p w:rsidR="00710A10" w:rsidRDefault="007558B6">
      <w:pPr>
        <w:pStyle w:val="TOC8"/>
        <w:rPr>
          <w:sz w:val="24"/>
          <w:szCs w:val="24"/>
        </w:rPr>
      </w:pPr>
      <w:r>
        <w:rPr>
          <w:szCs w:val="24"/>
        </w:rPr>
        <w:t>5</w:t>
      </w:r>
      <w:r>
        <w:rPr>
          <w:snapToGrid w:val="0"/>
          <w:szCs w:val="24"/>
        </w:rPr>
        <w:t>.</w:t>
      </w:r>
      <w:r>
        <w:rPr>
          <w:snapToGrid w:val="0"/>
          <w:szCs w:val="24"/>
        </w:rPr>
        <w:tab/>
        <w:t xml:space="preserve">Establishment of </w:t>
      </w:r>
      <w:r>
        <w:rPr>
          <w:szCs w:val="24"/>
        </w:rPr>
        <w:t>Association</w:t>
      </w:r>
      <w:r>
        <w:tab/>
      </w:r>
      <w:r>
        <w:fldChar w:fldCharType="begin"/>
      </w:r>
      <w:r>
        <w:instrText xml:space="preserve"> PAGEREF _Toc241290821 \h </w:instrText>
      </w:r>
      <w:r>
        <w:fldChar w:fldCharType="separate"/>
      </w:r>
      <w:r w:rsidR="004677F0">
        <w:t>2</w:t>
      </w:r>
      <w:r>
        <w:fldChar w:fldCharType="end"/>
      </w:r>
    </w:p>
    <w:p w:rsidR="00710A10" w:rsidRDefault="007558B6">
      <w:pPr>
        <w:pStyle w:val="TOC8"/>
        <w:rPr>
          <w:sz w:val="24"/>
          <w:szCs w:val="24"/>
        </w:rPr>
      </w:pPr>
      <w:r>
        <w:rPr>
          <w:szCs w:val="24"/>
        </w:rPr>
        <w:t>6</w:t>
      </w:r>
      <w:r>
        <w:rPr>
          <w:snapToGrid w:val="0"/>
          <w:szCs w:val="24"/>
        </w:rPr>
        <w:t>.</w:t>
      </w:r>
      <w:r>
        <w:rPr>
          <w:snapToGrid w:val="0"/>
          <w:szCs w:val="24"/>
        </w:rPr>
        <w:tab/>
      </w:r>
      <w:r>
        <w:rPr>
          <w:szCs w:val="24"/>
        </w:rPr>
        <w:t xml:space="preserve">Association </w:t>
      </w:r>
      <w:r>
        <w:rPr>
          <w:snapToGrid w:val="0"/>
          <w:szCs w:val="24"/>
        </w:rPr>
        <w:t>does not represent the Crown</w:t>
      </w:r>
      <w:r>
        <w:tab/>
      </w:r>
      <w:r>
        <w:fldChar w:fldCharType="begin"/>
      </w:r>
      <w:r>
        <w:instrText xml:space="preserve"> PAGEREF _Toc241290822 \h </w:instrText>
      </w:r>
      <w:r>
        <w:fldChar w:fldCharType="separate"/>
      </w:r>
      <w:r w:rsidR="004677F0">
        <w:t>2</w:t>
      </w:r>
      <w:r>
        <w:fldChar w:fldCharType="end"/>
      </w:r>
    </w:p>
    <w:p w:rsidR="00710A10" w:rsidRDefault="007558B6">
      <w:pPr>
        <w:pStyle w:val="TOC8"/>
        <w:rPr>
          <w:sz w:val="24"/>
          <w:szCs w:val="24"/>
        </w:rPr>
      </w:pPr>
      <w:r>
        <w:rPr>
          <w:szCs w:val="24"/>
        </w:rPr>
        <w:t>7</w:t>
      </w:r>
      <w:r>
        <w:rPr>
          <w:snapToGrid w:val="0"/>
          <w:szCs w:val="24"/>
        </w:rPr>
        <w:t>.</w:t>
      </w:r>
      <w:r>
        <w:rPr>
          <w:snapToGrid w:val="0"/>
          <w:szCs w:val="24"/>
        </w:rPr>
        <w:tab/>
        <w:t>Functions of </w:t>
      </w:r>
      <w:r>
        <w:rPr>
          <w:szCs w:val="24"/>
        </w:rPr>
        <w:t>Association</w:t>
      </w:r>
      <w:r>
        <w:tab/>
      </w:r>
      <w:r>
        <w:fldChar w:fldCharType="begin"/>
      </w:r>
      <w:r>
        <w:instrText xml:space="preserve"> PAGEREF _Toc241290823 \h </w:instrText>
      </w:r>
      <w:r>
        <w:fldChar w:fldCharType="separate"/>
      </w:r>
      <w:r w:rsidR="004677F0">
        <w:t>2</w:t>
      </w:r>
      <w:r>
        <w:fldChar w:fldCharType="end"/>
      </w:r>
    </w:p>
    <w:p w:rsidR="00710A10" w:rsidRDefault="007558B6">
      <w:pPr>
        <w:pStyle w:val="TOC8"/>
        <w:rPr>
          <w:sz w:val="24"/>
          <w:szCs w:val="24"/>
        </w:rPr>
      </w:pPr>
      <w:r>
        <w:rPr>
          <w:szCs w:val="24"/>
        </w:rPr>
        <w:t>7A.</w:t>
      </w:r>
      <w:r>
        <w:rPr>
          <w:szCs w:val="24"/>
        </w:rPr>
        <w:tab/>
        <w:t>Powers of the Association</w:t>
      </w:r>
      <w:r>
        <w:tab/>
      </w:r>
      <w:r>
        <w:fldChar w:fldCharType="begin"/>
      </w:r>
      <w:r>
        <w:instrText xml:space="preserve"> PAGEREF _Toc241290824 \h </w:instrText>
      </w:r>
      <w:r>
        <w:fldChar w:fldCharType="separate"/>
      </w:r>
      <w:r w:rsidR="004677F0">
        <w:t>2</w:t>
      </w:r>
      <w:r>
        <w:fldChar w:fldCharType="end"/>
      </w:r>
    </w:p>
    <w:p w:rsidR="00710A10" w:rsidRDefault="007558B6">
      <w:pPr>
        <w:pStyle w:val="TOC8"/>
        <w:rPr>
          <w:sz w:val="24"/>
          <w:szCs w:val="24"/>
        </w:rPr>
      </w:pPr>
      <w:r>
        <w:rPr>
          <w:szCs w:val="24"/>
        </w:rPr>
        <w:t>8</w:t>
      </w:r>
      <w:r>
        <w:rPr>
          <w:snapToGrid w:val="0"/>
          <w:szCs w:val="24"/>
        </w:rPr>
        <w:t>.</w:t>
      </w:r>
      <w:r>
        <w:rPr>
          <w:snapToGrid w:val="0"/>
          <w:szCs w:val="24"/>
        </w:rPr>
        <w:tab/>
        <w:t>Delegation</w:t>
      </w:r>
      <w:r>
        <w:tab/>
      </w:r>
      <w:r>
        <w:fldChar w:fldCharType="begin"/>
      </w:r>
      <w:r>
        <w:instrText xml:space="preserve"> PAGEREF _Toc241290825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30"/>
        </w:rPr>
        <w:t>Part III — The board, Chairman, Deputy Chairman and staff of the Association</w:t>
      </w:r>
    </w:p>
    <w:p w:rsidR="00710A10" w:rsidRDefault="007558B6">
      <w:pPr>
        <w:pStyle w:val="TOC8"/>
        <w:rPr>
          <w:sz w:val="24"/>
          <w:szCs w:val="24"/>
        </w:rPr>
      </w:pPr>
      <w:r>
        <w:rPr>
          <w:szCs w:val="24"/>
        </w:rPr>
        <w:t>9</w:t>
      </w:r>
      <w:r>
        <w:rPr>
          <w:snapToGrid w:val="0"/>
          <w:szCs w:val="24"/>
        </w:rPr>
        <w:t>.</w:t>
      </w:r>
      <w:r>
        <w:rPr>
          <w:snapToGrid w:val="0"/>
          <w:szCs w:val="24"/>
        </w:rPr>
        <w:tab/>
        <w:t>The board</w:t>
      </w:r>
      <w:r>
        <w:tab/>
      </w:r>
      <w:r>
        <w:fldChar w:fldCharType="begin"/>
      </w:r>
      <w:r>
        <w:instrText xml:space="preserve"> PAGEREF _Toc241290827 \h </w:instrText>
      </w:r>
      <w:r>
        <w:fldChar w:fldCharType="separate"/>
      </w:r>
      <w:r w:rsidR="004677F0">
        <w:t>2</w:t>
      </w:r>
      <w:r>
        <w:fldChar w:fldCharType="end"/>
      </w:r>
    </w:p>
    <w:p w:rsidR="00710A10" w:rsidRDefault="007558B6">
      <w:pPr>
        <w:pStyle w:val="TOC8"/>
        <w:rPr>
          <w:sz w:val="24"/>
          <w:szCs w:val="24"/>
        </w:rPr>
      </w:pPr>
      <w:r>
        <w:rPr>
          <w:szCs w:val="24"/>
        </w:rPr>
        <w:t>10</w:t>
      </w:r>
      <w:r>
        <w:rPr>
          <w:snapToGrid w:val="0"/>
          <w:szCs w:val="24"/>
        </w:rPr>
        <w:t>.</w:t>
      </w:r>
      <w:r>
        <w:rPr>
          <w:snapToGrid w:val="0"/>
          <w:szCs w:val="24"/>
        </w:rPr>
        <w:tab/>
        <w:t>Functions, duties and powers</w:t>
      </w:r>
      <w:r>
        <w:tab/>
      </w:r>
      <w:r>
        <w:fldChar w:fldCharType="begin"/>
      </w:r>
      <w:r>
        <w:instrText xml:space="preserve"> PAGEREF _Toc241290828 \h </w:instrText>
      </w:r>
      <w:r>
        <w:fldChar w:fldCharType="separate"/>
      </w:r>
      <w:r w:rsidR="004677F0">
        <w:t>2</w:t>
      </w:r>
      <w:r>
        <w:fldChar w:fldCharType="end"/>
      </w:r>
    </w:p>
    <w:p w:rsidR="00710A10" w:rsidRDefault="007558B6">
      <w:pPr>
        <w:pStyle w:val="TOC8"/>
        <w:rPr>
          <w:sz w:val="24"/>
          <w:szCs w:val="24"/>
        </w:rPr>
      </w:pPr>
      <w:r>
        <w:rPr>
          <w:szCs w:val="24"/>
        </w:rPr>
        <w:t>11</w:t>
      </w:r>
      <w:r>
        <w:rPr>
          <w:snapToGrid w:val="0"/>
          <w:szCs w:val="24"/>
        </w:rPr>
        <w:t>.</w:t>
      </w:r>
      <w:r>
        <w:rPr>
          <w:snapToGrid w:val="0"/>
          <w:szCs w:val="24"/>
        </w:rPr>
        <w:tab/>
        <w:t>Board subject to Minister</w:t>
      </w:r>
      <w:r>
        <w:tab/>
      </w:r>
      <w:r>
        <w:fldChar w:fldCharType="begin"/>
      </w:r>
      <w:r>
        <w:instrText xml:space="preserve"> PAGEREF _Toc241290829 \h </w:instrText>
      </w:r>
      <w:r>
        <w:fldChar w:fldCharType="separate"/>
      </w:r>
      <w:r w:rsidR="004677F0">
        <w:t>2</w:t>
      </w:r>
      <w:r>
        <w:fldChar w:fldCharType="end"/>
      </w:r>
    </w:p>
    <w:p w:rsidR="00710A10" w:rsidRDefault="007558B6">
      <w:pPr>
        <w:pStyle w:val="TOC8"/>
        <w:rPr>
          <w:sz w:val="24"/>
          <w:szCs w:val="24"/>
        </w:rPr>
      </w:pPr>
      <w:r>
        <w:rPr>
          <w:szCs w:val="24"/>
        </w:rPr>
        <w:t>12</w:t>
      </w:r>
      <w:r>
        <w:rPr>
          <w:snapToGrid w:val="0"/>
          <w:szCs w:val="24"/>
        </w:rPr>
        <w:t>.</w:t>
      </w:r>
      <w:r>
        <w:rPr>
          <w:snapToGrid w:val="0"/>
          <w:szCs w:val="24"/>
        </w:rPr>
        <w:tab/>
        <w:t>Composition of board</w:t>
      </w:r>
      <w:r>
        <w:tab/>
      </w:r>
      <w:r>
        <w:fldChar w:fldCharType="begin"/>
      </w:r>
      <w:r>
        <w:instrText xml:space="preserve"> PAGEREF _Toc241290830 \h </w:instrText>
      </w:r>
      <w:r>
        <w:fldChar w:fldCharType="separate"/>
      </w:r>
      <w:r w:rsidR="004677F0">
        <w:t>2</w:t>
      </w:r>
      <w:r>
        <w:fldChar w:fldCharType="end"/>
      </w:r>
    </w:p>
    <w:p w:rsidR="00710A10" w:rsidRDefault="007558B6">
      <w:pPr>
        <w:pStyle w:val="TOC8"/>
        <w:rPr>
          <w:sz w:val="24"/>
          <w:szCs w:val="24"/>
        </w:rPr>
      </w:pPr>
      <w:r>
        <w:rPr>
          <w:szCs w:val="24"/>
        </w:rPr>
        <w:t>13</w:t>
      </w:r>
      <w:r>
        <w:rPr>
          <w:snapToGrid w:val="0"/>
          <w:szCs w:val="24"/>
        </w:rPr>
        <w:t>.</w:t>
      </w:r>
      <w:r>
        <w:rPr>
          <w:snapToGrid w:val="0"/>
          <w:szCs w:val="24"/>
        </w:rPr>
        <w:tab/>
        <w:t xml:space="preserve">Chairman and Deputy Chairman of </w:t>
      </w:r>
      <w:r>
        <w:rPr>
          <w:szCs w:val="24"/>
        </w:rPr>
        <w:t>Association</w:t>
      </w:r>
      <w:r>
        <w:tab/>
      </w:r>
      <w:r>
        <w:fldChar w:fldCharType="begin"/>
      </w:r>
      <w:r>
        <w:instrText xml:space="preserve"> PAGEREF _Toc241290831 \h </w:instrText>
      </w:r>
      <w:r>
        <w:fldChar w:fldCharType="separate"/>
      </w:r>
      <w:r w:rsidR="004677F0">
        <w:t>2</w:t>
      </w:r>
      <w:r>
        <w:fldChar w:fldCharType="end"/>
      </w:r>
    </w:p>
    <w:p w:rsidR="00710A10" w:rsidRDefault="007558B6">
      <w:pPr>
        <w:pStyle w:val="TOC8"/>
        <w:rPr>
          <w:sz w:val="24"/>
          <w:szCs w:val="24"/>
        </w:rPr>
      </w:pPr>
      <w:r>
        <w:rPr>
          <w:szCs w:val="24"/>
        </w:rPr>
        <w:t>14</w:t>
      </w:r>
      <w:r>
        <w:rPr>
          <w:snapToGrid w:val="0"/>
          <w:szCs w:val="24"/>
        </w:rPr>
        <w:t>.</w:t>
      </w:r>
      <w:r>
        <w:rPr>
          <w:snapToGrid w:val="0"/>
          <w:szCs w:val="24"/>
        </w:rPr>
        <w:tab/>
        <w:t>Schedule 1 applicable to board</w:t>
      </w:r>
      <w:r>
        <w:tab/>
      </w:r>
      <w:r>
        <w:fldChar w:fldCharType="begin"/>
      </w:r>
      <w:r>
        <w:instrText xml:space="preserve"> PAGEREF _Toc241290832 \h </w:instrText>
      </w:r>
      <w:r>
        <w:fldChar w:fldCharType="separate"/>
      </w:r>
      <w:r w:rsidR="004677F0">
        <w:t>2</w:t>
      </w:r>
      <w:r>
        <w:fldChar w:fldCharType="end"/>
      </w:r>
    </w:p>
    <w:p w:rsidR="00710A10" w:rsidRDefault="007558B6">
      <w:pPr>
        <w:pStyle w:val="TOC8"/>
        <w:rPr>
          <w:sz w:val="24"/>
          <w:szCs w:val="24"/>
        </w:rPr>
      </w:pPr>
      <w:r>
        <w:rPr>
          <w:szCs w:val="24"/>
        </w:rPr>
        <w:t>15</w:t>
      </w:r>
      <w:r>
        <w:rPr>
          <w:snapToGrid w:val="0"/>
          <w:szCs w:val="24"/>
        </w:rPr>
        <w:t>.</w:t>
      </w:r>
      <w:r>
        <w:rPr>
          <w:snapToGrid w:val="0"/>
          <w:szCs w:val="24"/>
        </w:rPr>
        <w:tab/>
        <w:t xml:space="preserve">Staff of </w:t>
      </w:r>
      <w:r>
        <w:rPr>
          <w:szCs w:val="24"/>
        </w:rPr>
        <w:t>Association</w:t>
      </w:r>
      <w:r>
        <w:tab/>
      </w:r>
      <w:r>
        <w:fldChar w:fldCharType="begin"/>
      </w:r>
      <w:r>
        <w:instrText xml:space="preserve"> PAGEREF _Toc241290833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30"/>
        </w:rPr>
        <w:lastRenderedPageBreak/>
        <w:t>Part IV — Finance</w:t>
      </w:r>
    </w:p>
    <w:p w:rsidR="00710A10" w:rsidRDefault="007558B6">
      <w:pPr>
        <w:pStyle w:val="TOC8"/>
        <w:rPr>
          <w:sz w:val="24"/>
          <w:szCs w:val="24"/>
        </w:rPr>
      </w:pPr>
      <w:r>
        <w:rPr>
          <w:szCs w:val="24"/>
        </w:rPr>
        <w:t>16</w:t>
      </w:r>
      <w:r>
        <w:rPr>
          <w:snapToGrid w:val="0"/>
          <w:szCs w:val="24"/>
        </w:rPr>
        <w:t>.</w:t>
      </w:r>
      <w:r>
        <w:rPr>
          <w:snapToGrid w:val="0"/>
          <w:szCs w:val="24"/>
        </w:rPr>
        <w:tab/>
        <w:t>The Fund</w:t>
      </w:r>
      <w:r>
        <w:tab/>
      </w:r>
      <w:r>
        <w:fldChar w:fldCharType="begin"/>
      </w:r>
      <w:r>
        <w:instrText xml:space="preserve"> PAGEREF _Toc241290835 \h </w:instrText>
      </w:r>
      <w:r>
        <w:fldChar w:fldCharType="separate"/>
      </w:r>
      <w:r w:rsidR="004677F0">
        <w:t>2</w:t>
      </w:r>
      <w:r>
        <w:fldChar w:fldCharType="end"/>
      </w:r>
    </w:p>
    <w:p w:rsidR="00710A10" w:rsidRDefault="007558B6">
      <w:pPr>
        <w:pStyle w:val="TOC8"/>
        <w:rPr>
          <w:sz w:val="24"/>
          <w:szCs w:val="24"/>
        </w:rPr>
      </w:pPr>
      <w:r>
        <w:rPr>
          <w:szCs w:val="24"/>
        </w:rPr>
        <w:t>18</w:t>
      </w:r>
      <w:r>
        <w:rPr>
          <w:snapToGrid w:val="0"/>
          <w:szCs w:val="24"/>
        </w:rPr>
        <w:t>.</w:t>
      </w:r>
      <w:r>
        <w:rPr>
          <w:snapToGrid w:val="0"/>
          <w:szCs w:val="24"/>
        </w:rPr>
        <w:tab/>
        <w:t>Investment</w:t>
      </w:r>
      <w:r>
        <w:tab/>
      </w:r>
      <w:r>
        <w:fldChar w:fldCharType="begin"/>
      </w:r>
      <w:r>
        <w:instrText xml:space="preserve"> PAGEREF _Toc241290836 \h </w:instrText>
      </w:r>
      <w:r>
        <w:fldChar w:fldCharType="separate"/>
      </w:r>
      <w:r w:rsidR="004677F0">
        <w:t>2</w:t>
      </w:r>
      <w:r>
        <w:fldChar w:fldCharType="end"/>
      </w:r>
    </w:p>
    <w:p w:rsidR="00710A10" w:rsidRDefault="007558B6">
      <w:pPr>
        <w:pStyle w:val="TOC8"/>
        <w:rPr>
          <w:sz w:val="24"/>
          <w:szCs w:val="24"/>
        </w:rPr>
      </w:pPr>
      <w:r>
        <w:rPr>
          <w:szCs w:val="24"/>
        </w:rPr>
        <w:t>19</w:t>
      </w:r>
      <w:r>
        <w:rPr>
          <w:snapToGrid w:val="0"/>
          <w:szCs w:val="24"/>
        </w:rPr>
        <w:t>.</w:t>
      </w:r>
      <w:r>
        <w:rPr>
          <w:snapToGrid w:val="0"/>
          <w:szCs w:val="24"/>
        </w:rPr>
        <w:tab/>
        <w:t>Application of</w:t>
      </w:r>
      <w:r>
        <w:rPr>
          <w:i/>
          <w:szCs w:val="24"/>
        </w:rPr>
        <w:t xml:space="preserve"> Financial Management Act 2006</w:t>
      </w:r>
      <w:r>
        <w:rPr>
          <w:szCs w:val="24"/>
        </w:rPr>
        <w:t xml:space="preserve"> and the </w:t>
      </w:r>
      <w:r>
        <w:rPr>
          <w:i/>
          <w:szCs w:val="24"/>
        </w:rPr>
        <w:t>Auditor General Act 2006</w:t>
      </w:r>
      <w:r>
        <w:tab/>
      </w:r>
      <w:r>
        <w:fldChar w:fldCharType="begin"/>
      </w:r>
      <w:r>
        <w:instrText xml:space="preserve"> PAGEREF _Toc241290837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30"/>
        </w:rPr>
        <w:t>Part V — Offences and enforcement</w:t>
      </w:r>
    </w:p>
    <w:p w:rsidR="00710A10" w:rsidRDefault="007558B6">
      <w:pPr>
        <w:pStyle w:val="TOC8"/>
        <w:rPr>
          <w:sz w:val="24"/>
          <w:szCs w:val="24"/>
        </w:rPr>
      </w:pPr>
      <w:r>
        <w:rPr>
          <w:szCs w:val="24"/>
        </w:rPr>
        <w:t>21.</w:t>
      </w:r>
      <w:r>
        <w:rPr>
          <w:szCs w:val="24"/>
        </w:rPr>
        <w:tab/>
        <w:t>Preventing performance of powers and functions</w:t>
      </w:r>
      <w:r>
        <w:tab/>
      </w:r>
      <w:r>
        <w:fldChar w:fldCharType="begin"/>
      </w:r>
      <w:r>
        <w:instrText xml:space="preserve"> PAGEREF _Toc241290839 \h </w:instrText>
      </w:r>
      <w:r>
        <w:fldChar w:fldCharType="separate"/>
      </w:r>
      <w:r w:rsidR="004677F0">
        <w:t>2</w:t>
      </w:r>
      <w:r>
        <w:fldChar w:fldCharType="end"/>
      </w:r>
    </w:p>
    <w:p w:rsidR="00710A10" w:rsidRDefault="007558B6">
      <w:pPr>
        <w:pStyle w:val="TOC8"/>
        <w:rPr>
          <w:sz w:val="24"/>
          <w:szCs w:val="24"/>
        </w:rPr>
      </w:pPr>
      <w:r>
        <w:rPr>
          <w:szCs w:val="24"/>
        </w:rPr>
        <w:t>22.</w:t>
      </w:r>
      <w:r>
        <w:rPr>
          <w:szCs w:val="24"/>
        </w:rPr>
        <w:tab/>
        <w:t>False or misleading statements</w:t>
      </w:r>
      <w:r>
        <w:tab/>
      </w:r>
      <w:r>
        <w:fldChar w:fldCharType="begin"/>
      </w:r>
      <w:r>
        <w:instrText xml:space="preserve"> PAGEREF _Toc241290840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30"/>
        </w:rPr>
        <w:t>Part VII — Miscellaneous</w:t>
      </w:r>
    </w:p>
    <w:p w:rsidR="00710A10" w:rsidRDefault="007558B6">
      <w:pPr>
        <w:pStyle w:val="TOC8"/>
        <w:rPr>
          <w:sz w:val="24"/>
          <w:szCs w:val="24"/>
        </w:rPr>
      </w:pPr>
      <w:r>
        <w:rPr>
          <w:szCs w:val="24"/>
        </w:rPr>
        <w:t>32</w:t>
      </w:r>
      <w:r>
        <w:rPr>
          <w:snapToGrid w:val="0"/>
          <w:szCs w:val="24"/>
        </w:rPr>
        <w:t>.</w:t>
      </w:r>
      <w:r>
        <w:rPr>
          <w:snapToGrid w:val="0"/>
          <w:szCs w:val="24"/>
        </w:rPr>
        <w:tab/>
        <w:t>Information and annual report</w:t>
      </w:r>
      <w:r>
        <w:tab/>
      </w:r>
      <w:r>
        <w:fldChar w:fldCharType="begin"/>
      </w:r>
      <w:r>
        <w:instrText xml:space="preserve"> PAGEREF _Toc241290842 \h </w:instrText>
      </w:r>
      <w:r>
        <w:fldChar w:fldCharType="separate"/>
      </w:r>
      <w:r w:rsidR="004677F0">
        <w:t>2</w:t>
      </w:r>
      <w:r>
        <w:fldChar w:fldCharType="end"/>
      </w:r>
    </w:p>
    <w:p w:rsidR="00710A10" w:rsidRDefault="007558B6">
      <w:pPr>
        <w:pStyle w:val="TOC8"/>
        <w:rPr>
          <w:sz w:val="24"/>
          <w:szCs w:val="24"/>
        </w:rPr>
      </w:pPr>
      <w:r>
        <w:rPr>
          <w:szCs w:val="24"/>
        </w:rPr>
        <w:t>33</w:t>
      </w:r>
      <w:r>
        <w:rPr>
          <w:snapToGrid w:val="0"/>
          <w:szCs w:val="24"/>
        </w:rPr>
        <w:t>.</w:t>
      </w:r>
      <w:r>
        <w:rPr>
          <w:snapToGrid w:val="0"/>
          <w:szCs w:val="24"/>
        </w:rPr>
        <w:tab/>
        <w:t>Recovery of money</w:t>
      </w:r>
      <w:r>
        <w:tab/>
      </w:r>
      <w:r>
        <w:fldChar w:fldCharType="begin"/>
      </w:r>
      <w:r>
        <w:instrText xml:space="preserve"> PAGEREF _Toc241290843 \h </w:instrText>
      </w:r>
      <w:r>
        <w:fldChar w:fldCharType="separate"/>
      </w:r>
      <w:r w:rsidR="004677F0">
        <w:t>2</w:t>
      </w:r>
      <w:r>
        <w:fldChar w:fldCharType="end"/>
      </w:r>
    </w:p>
    <w:p w:rsidR="00710A10" w:rsidRDefault="007558B6">
      <w:pPr>
        <w:pStyle w:val="TOC8"/>
        <w:rPr>
          <w:sz w:val="24"/>
          <w:szCs w:val="24"/>
        </w:rPr>
      </w:pPr>
      <w:r>
        <w:rPr>
          <w:szCs w:val="24"/>
        </w:rPr>
        <w:t>34</w:t>
      </w:r>
      <w:r>
        <w:rPr>
          <w:snapToGrid w:val="0"/>
          <w:szCs w:val="24"/>
        </w:rPr>
        <w:t>.</w:t>
      </w:r>
      <w:r>
        <w:rPr>
          <w:snapToGrid w:val="0"/>
          <w:szCs w:val="24"/>
        </w:rPr>
        <w:tab/>
        <w:t>How legal proceedings taken</w:t>
      </w:r>
      <w:r>
        <w:tab/>
      </w:r>
      <w:r>
        <w:fldChar w:fldCharType="begin"/>
      </w:r>
      <w:r>
        <w:instrText xml:space="preserve"> PAGEREF _Toc241290844 \h </w:instrText>
      </w:r>
      <w:r>
        <w:fldChar w:fldCharType="separate"/>
      </w:r>
      <w:r w:rsidR="004677F0">
        <w:t>2</w:t>
      </w:r>
      <w:r>
        <w:fldChar w:fldCharType="end"/>
      </w:r>
    </w:p>
    <w:p w:rsidR="00710A10" w:rsidRDefault="007558B6">
      <w:pPr>
        <w:pStyle w:val="TOC8"/>
        <w:rPr>
          <w:sz w:val="24"/>
          <w:szCs w:val="24"/>
        </w:rPr>
      </w:pPr>
      <w:r>
        <w:rPr>
          <w:szCs w:val="24"/>
        </w:rPr>
        <w:t>35</w:t>
      </w:r>
      <w:r>
        <w:rPr>
          <w:snapToGrid w:val="0"/>
          <w:szCs w:val="24"/>
        </w:rPr>
        <w:t>.</w:t>
      </w:r>
      <w:r>
        <w:rPr>
          <w:snapToGrid w:val="0"/>
          <w:szCs w:val="24"/>
        </w:rPr>
        <w:tab/>
        <w:t>Protection from liability etc.</w:t>
      </w:r>
      <w:r>
        <w:tab/>
      </w:r>
      <w:r>
        <w:fldChar w:fldCharType="begin"/>
      </w:r>
      <w:r>
        <w:instrText xml:space="preserve"> PAGEREF _Toc241290845 \h </w:instrText>
      </w:r>
      <w:r>
        <w:fldChar w:fldCharType="separate"/>
      </w:r>
      <w:r w:rsidR="004677F0">
        <w:t>2</w:t>
      </w:r>
      <w:r>
        <w:fldChar w:fldCharType="end"/>
      </w:r>
    </w:p>
    <w:p w:rsidR="00710A10" w:rsidRDefault="007558B6">
      <w:pPr>
        <w:pStyle w:val="TOC8"/>
        <w:rPr>
          <w:sz w:val="24"/>
          <w:szCs w:val="24"/>
        </w:rPr>
      </w:pPr>
      <w:r>
        <w:rPr>
          <w:szCs w:val="24"/>
        </w:rPr>
        <w:t>36</w:t>
      </w:r>
      <w:r>
        <w:rPr>
          <w:snapToGrid w:val="0"/>
          <w:szCs w:val="24"/>
        </w:rPr>
        <w:t>.</w:t>
      </w:r>
      <w:r>
        <w:rPr>
          <w:snapToGrid w:val="0"/>
          <w:szCs w:val="24"/>
        </w:rPr>
        <w:tab/>
        <w:t>Publication of proceedings, etc., of greyhound racing inquiries privileged</w:t>
      </w:r>
      <w:r>
        <w:tab/>
      </w:r>
      <w:r>
        <w:fldChar w:fldCharType="begin"/>
      </w:r>
      <w:r>
        <w:instrText xml:space="preserve"> PAGEREF _Toc241290846 \h </w:instrText>
      </w:r>
      <w:r>
        <w:fldChar w:fldCharType="separate"/>
      </w:r>
      <w:r w:rsidR="004677F0">
        <w:t>2</w:t>
      </w:r>
      <w:r>
        <w:fldChar w:fldCharType="end"/>
      </w:r>
    </w:p>
    <w:p w:rsidR="00710A10" w:rsidRDefault="007558B6">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_Toc241290847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30"/>
        </w:rPr>
        <w:t>Part VIII — Repeal, transitional and saving</w:t>
      </w:r>
    </w:p>
    <w:p w:rsidR="00710A10" w:rsidRDefault="007558B6">
      <w:pPr>
        <w:pStyle w:val="TOC8"/>
        <w:rPr>
          <w:sz w:val="24"/>
          <w:szCs w:val="24"/>
        </w:rPr>
      </w:pPr>
      <w:r>
        <w:rPr>
          <w:szCs w:val="24"/>
        </w:rPr>
        <w:t>40</w:t>
      </w:r>
      <w:r>
        <w:rPr>
          <w:snapToGrid w:val="0"/>
          <w:szCs w:val="24"/>
        </w:rPr>
        <w:t>.</w:t>
      </w:r>
      <w:r>
        <w:rPr>
          <w:snapToGrid w:val="0"/>
          <w:szCs w:val="24"/>
        </w:rPr>
        <w:tab/>
        <w:t>Conduct of greyhound racing at Cannington race course</w:t>
      </w:r>
      <w:r>
        <w:tab/>
      </w:r>
      <w:r>
        <w:fldChar w:fldCharType="begin"/>
      </w:r>
      <w:r>
        <w:instrText xml:space="preserve"> PAGEREF _Toc241290849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28"/>
        </w:rPr>
        <w:t>Schedule 1</w:t>
      </w:r>
    </w:p>
    <w:p w:rsidR="00710A10" w:rsidRDefault="007558B6">
      <w:pPr>
        <w:pStyle w:val="TOC2"/>
        <w:tabs>
          <w:tab w:val="right" w:leader="dot" w:pos="7086"/>
        </w:tabs>
        <w:rPr>
          <w:b w:val="0"/>
          <w:sz w:val="24"/>
          <w:szCs w:val="24"/>
        </w:rPr>
      </w:pPr>
      <w:r>
        <w:rPr>
          <w:szCs w:val="28"/>
        </w:rPr>
        <w:t>Provisions as to board</w:t>
      </w:r>
    </w:p>
    <w:p w:rsidR="00710A10" w:rsidRDefault="007558B6">
      <w:pPr>
        <w:pStyle w:val="TOC8"/>
        <w:rPr>
          <w:sz w:val="24"/>
          <w:szCs w:val="24"/>
        </w:rPr>
      </w:pPr>
      <w:r>
        <w:rPr>
          <w:szCs w:val="22"/>
        </w:rPr>
        <w:t>1.</w:t>
      </w:r>
      <w:r>
        <w:rPr>
          <w:szCs w:val="22"/>
        </w:rPr>
        <w:tab/>
        <w:t>Term of office of member</w:t>
      </w:r>
      <w:r>
        <w:tab/>
      </w:r>
      <w:r>
        <w:fldChar w:fldCharType="begin"/>
      </w:r>
      <w:r>
        <w:instrText xml:space="preserve"> PAGEREF _Toc241290852 \h </w:instrText>
      </w:r>
      <w:r>
        <w:fldChar w:fldCharType="separate"/>
      </w:r>
      <w:r w:rsidR="004677F0">
        <w:t>2</w:t>
      </w:r>
      <w:r>
        <w:fldChar w:fldCharType="end"/>
      </w:r>
    </w:p>
    <w:p w:rsidR="00710A10" w:rsidRDefault="007558B6">
      <w:pPr>
        <w:pStyle w:val="TOC8"/>
        <w:rPr>
          <w:sz w:val="24"/>
          <w:szCs w:val="24"/>
        </w:rPr>
      </w:pPr>
      <w:r>
        <w:rPr>
          <w:szCs w:val="22"/>
        </w:rPr>
        <w:t>2</w:t>
      </w:r>
      <w:r>
        <w:rPr>
          <w:snapToGrid w:val="0"/>
          <w:szCs w:val="22"/>
        </w:rPr>
        <w:t>.</w:t>
      </w:r>
      <w:r>
        <w:rPr>
          <w:snapToGrid w:val="0"/>
          <w:szCs w:val="22"/>
        </w:rPr>
        <w:tab/>
        <w:t>Term of office of Chairman and Deputy Chairman</w:t>
      </w:r>
      <w:r>
        <w:tab/>
      </w:r>
      <w:r>
        <w:fldChar w:fldCharType="begin"/>
      </w:r>
      <w:r>
        <w:instrText xml:space="preserve"> PAGEREF _Toc241290853 \h </w:instrText>
      </w:r>
      <w:r>
        <w:fldChar w:fldCharType="separate"/>
      </w:r>
      <w:r w:rsidR="004677F0">
        <w:t>2</w:t>
      </w:r>
      <w:r>
        <w:fldChar w:fldCharType="end"/>
      </w:r>
    </w:p>
    <w:p w:rsidR="00710A10" w:rsidRDefault="007558B6">
      <w:pPr>
        <w:pStyle w:val="TOC8"/>
        <w:rPr>
          <w:sz w:val="24"/>
          <w:szCs w:val="24"/>
        </w:rPr>
      </w:pPr>
      <w:r>
        <w:rPr>
          <w:szCs w:val="22"/>
        </w:rPr>
        <w:t>3</w:t>
      </w:r>
      <w:r>
        <w:rPr>
          <w:snapToGrid w:val="0"/>
          <w:szCs w:val="22"/>
        </w:rPr>
        <w:t>.</w:t>
      </w:r>
      <w:r>
        <w:rPr>
          <w:snapToGrid w:val="0"/>
          <w:szCs w:val="22"/>
        </w:rPr>
        <w:tab/>
        <w:t>Meetings of the board</w:t>
      </w:r>
      <w:r>
        <w:tab/>
      </w:r>
      <w:r>
        <w:fldChar w:fldCharType="begin"/>
      </w:r>
      <w:r>
        <w:instrText xml:space="preserve"> PAGEREF _Toc241290854 \h </w:instrText>
      </w:r>
      <w:r>
        <w:fldChar w:fldCharType="separate"/>
      </w:r>
      <w:r w:rsidR="004677F0">
        <w:t>2</w:t>
      </w:r>
      <w:r>
        <w:fldChar w:fldCharType="end"/>
      </w:r>
    </w:p>
    <w:p w:rsidR="00710A10" w:rsidRDefault="007558B6">
      <w:pPr>
        <w:pStyle w:val="TOC8"/>
        <w:rPr>
          <w:sz w:val="24"/>
          <w:szCs w:val="24"/>
        </w:rPr>
      </w:pPr>
      <w:r>
        <w:rPr>
          <w:szCs w:val="22"/>
        </w:rPr>
        <w:t>4</w:t>
      </w:r>
      <w:r>
        <w:rPr>
          <w:snapToGrid w:val="0"/>
          <w:szCs w:val="22"/>
        </w:rPr>
        <w:t>.</w:t>
      </w:r>
      <w:r>
        <w:rPr>
          <w:snapToGrid w:val="0"/>
          <w:szCs w:val="22"/>
        </w:rPr>
        <w:tab/>
        <w:t>Remuneration</w:t>
      </w:r>
      <w:r>
        <w:tab/>
      </w:r>
      <w:r>
        <w:fldChar w:fldCharType="begin"/>
      </w:r>
      <w:r>
        <w:instrText xml:space="preserve"> PAGEREF _Toc241290855 \h </w:instrText>
      </w:r>
      <w:r>
        <w:fldChar w:fldCharType="separate"/>
      </w:r>
      <w:r w:rsidR="004677F0">
        <w:t>2</w:t>
      </w:r>
      <w:r>
        <w:fldChar w:fldCharType="end"/>
      </w:r>
    </w:p>
    <w:p w:rsidR="00710A10" w:rsidRDefault="007558B6">
      <w:pPr>
        <w:pStyle w:val="TOC8"/>
        <w:rPr>
          <w:sz w:val="24"/>
          <w:szCs w:val="24"/>
        </w:rPr>
      </w:pPr>
      <w:r>
        <w:rPr>
          <w:szCs w:val="22"/>
        </w:rPr>
        <w:t>5</w:t>
      </w:r>
      <w:r>
        <w:rPr>
          <w:snapToGrid w:val="0"/>
          <w:szCs w:val="22"/>
        </w:rPr>
        <w:t>.</w:t>
      </w:r>
      <w:r>
        <w:rPr>
          <w:snapToGrid w:val="0"/>
          <w:szCs w:val="22"/>
        </w:rPr>
        <w:tab/>
        <w:t>Validity of acts</w:t>
      </w:r>
      <w:r>
        <w:tab/>
      </w:r>
      <w:r>
        <w:fldChar w:fldCharType="begin"/>
      </w:r>
      <w:r>
        <w:instrText xml:space="preserve"> PAGEREF _Toc241290856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28"/>
        </w:rPr>
        <w:t>Schedule 3</w:t>
      </w:r>
    </w:p>
    <w:p w:rsidR="00710A10" w:rsidRDefault="007558B6">
      <w:pPr>
        <w:pStyle w:val="TOC8"/>
        <w:rPr>
          <w:sz w:val="24"/>
          <w:szCs w:val="24"/>
        </w:rPr>
      </w:pPr>
      <w:r>
        <w:rPr>
          <w:szCs w:val="22"/>
        </w:rPr>
        <w:t>1</w:t>
      </w:r>
      <w:r>
        <w:rPr>
          <w:snapToGrid w:val="0"/>
          <w:szCs w:val="22"/>
        </w:rPr>
        <w:t>.</w:t>
      </w:r>
      <w:r>
        <w:rPr>
          <w:snapToGrid w:val="0"/>
          <w:szCs w:val="22"/>
        </w:rPr>
        <w:tab/>
        <w:t>Definitions of terms in this Schedule</w:t>
      </w:r>
      <w:r>
        <w:tab/>
      </w:r>
      <w:r>
        <w:fldChar w:fldCharType="begin"/>
      </w:r>
      <w:r>
        <w:instrText xml:space="preserve"> PAGEREF _Toc241290858 \h </w:instrText>
      </w:r>
      <w:r>
        <w:fldChar w:fldCharType="separate"/>
      </w:r>
      <w:r w:rsidR="004677F0">
        <w:t>2</w:t>
      </w:r>
      <w:r>
        <w:fldChar w:fldCharType="end"/>
      </w:r>
    </w:p>
    <w:p w:rsidR="00710A10" w:rsidRDefault="007558B6">
      <w:pPr>
        <w:pStyle w:val="TOC8"/>
        <w:rPr>
          <w:sz w:val="24"/>
          <w:szCs w:val="24"/>
        </w:rPr>
      </w:pPr>
      <w:r>
        <w:rPr>
          <w:szCs w:val="22"/>
        </w:rPr>
        <w:t>2</w:t>
      </w:r>
      <w:r>
        <w:rPr>
          <w:snapToGrid w:val="0"/>
          <w:szCs w:val="22"/>
        </w:rPr>
        <w:t>.</w:t>
      </w:r>
      <w:r>
        <w:rPr>
          <w:snapToGrid w:val="0"/>
          <w:szCs w:val="22"/>
        </w:rPr>
        <w:tab/>
        <w:t>Lease of Cannington race course</w:t>
      </w:r>
      <w:r>
        <w:tab/>
      </w:r>
      <w:r>
        <w:fldChar w:fldCharType="begin"/>
      </w:r>
      <w:r>
        <w:instrText xml:space="preserve"> PAGEREF _Toc241290859 \h </w:instrText>
      </w:r>
      <w:r>
        <w:fldChar w:fldCharType="separate"/>
      </w:r>
      <w:r w:rsidR="004677F0">
        <w:t>2</w:t>
      </w:r>
      <w:r>
        <w:fldChar w:fldCharType="end"/>
      </w:r>
    </w:p>
    <w:p w:rsidR="00710A10" w:rsidRDefault="007558B6">
      <w:pPr>
        <w:pStyle w:val="TOC8"/>
        <w:rPr>
          <w:sz w:val="24"/>
          <w:szCs w:val="24"/>
        </w:rPr>
      </w:pPr>
      <w:r>
        <w:rPr>
          <w:szCs w:val="22"/>
        </w:rPr>
        <w:t>3</w:t>
      </w:r>
      <w:r>
        <w:rPr>
          <w:snapToGrid w:val="0"/>
          <w:szCs w:val="22"/>
        </w:rPr>
        <w:t>.</w:t>
      </w:r>
      <w:r>
        <w:rPr>
          <w:snapToGrid w:val="0"/>
          <w:szCs w:val="22"/>
        </w:rPr>
        <w:tab/>
        <w:t>Termination of licence and permit</w:t>
      </w:r>
      <w:r>
        <w:tab/>
      </w:r>
      <w:r>
        <w:fldChar w:fldCharType="begin"/>
      </w:r>
      <w:r>
        <w:instrText xml:space="preserve"> PAGEREF _Toc241290860 \h </w:instrText>
      </w:r>
      <w:r>
        <w:fldChar w:fldCharType="separate"/>
      </w:r>
      <w:r w:rsidR="004677F0">
        <w:t>2</w:t>
      </w:r>
      <w:r>
        <w:fldChar w:fldCharType="end"/>
      </w:r>
    </w:p>
    <w:p w:rsidR="00710A10" w:rsidRDefault="007558B6">
      <w:pPr>
        <w:pStyle w:val="TOC8"/>
        <w:rPr>
          <w:sz w:val="24"/>
          <w:szCs w:val="24"/>
        </w:rPr>
      </w:pPr>
      <w:r>
        <w:rPr>
          <w:szCs w:val="22"/>
        </w:rPr>
        <w:t>4</w:t>
      </w:r>
      <w:r>
        <w:rPr>
          <w:snapToGrid w:val="0"/>
          <w:szCs w:val="22"/>
        </w:rPr>
        <w:t>.</w:t>
      </w:r>
      <w:r>
        <w:rPr>
          <w:snapToGrid w:val="0"/>
          <w:szCs w:val="22"/>
        </w:rPr>
        <w:tab/>
        <w:t>Transfer of assets, liabilities, obligations and staff of club</w:t>
      </w:r>
      <w:r>
        <w:tab/>
      </w:r>
      <w:r>
        <w:fldChar w:fldCharType="begin"/>
      </w:r>
      <w:r>
        <w:instrText xml:space="preserve"> PAGEREF _Toc241290861 \h </w:instrText>
      </w:r>
      <w:r>
        <w:fldChar w:fldCharType="separate"/>
      </w:r>
      <w:r w:rsidR="004677F0">
        <w:t>2</w:t>
      </w:r>
      <w:r>
        <w:fldChar w:fldCharType="end"/>
      </w:r>
    </w:p>
    <w:p w:rsidR="00710A10" w:rsidRDefault="007558B6">
      <w:pPr>
        <w:pStyle w:val="TOC8"/>
        <w:rPr>
          <w:sz w:val="24"/>
          <w:szCs w:val="24"/>
        </w:rPr>
      </w:pPr>
      <w:r>
        <w:rPr>
          <w:szCs w:val="22"/>
        </w:rPr>
        <w:t>5</w:t>
      </w:r>
      <w:r>
        <w:rPr>
          <w:snapToGrid w:val="0"/>
          <w:szCs w:val="22"/>
        </w:rPr>
        <w:t>.</w:t>
      </w:r>
      <w:r>
        <w:rPr>
          <w:snapToGrid w:val="0"/>
          <w:szCs w:val="22"/>
        </w:rPr>
        <w:tab/>
        <w:t>Staff</w:t>
      </w:r>
      <w:r>
        <w:tab/>
      </w:r>
      <w:r>
        <w:fldChar w:fldCharType="begin"/>
      </w:r>
      <w:r>
        <w:instrText xml:space="preserve"> PAGEREF _Toc241290862 \h </w:instrText>
      </w:r>
      <w:r>
        <w:fldChar w:fldCharType="separate"/>
      </w:r>
      <w:r w:rsidR="004677F0">
        <w:t>2</w:t>
      </w:r>
      <w:r>
        <w:fldChar w:fldCharType="end"/>
      </w:r>
    </w:p>
    <w:p w:rsidR="00710A10" w:rsidRDefault="007558B6">
      <w:pPr>
        <w:pStyle w:val="TOC2"/>
        <w:tabs>
          <w:tab w:val="right" w:leader="dot" w:pos="7086"/>
        </w:tabs>
        <w:rPr>
          <w:b w:val="0"/>
          <w:sz w:val="24"/>
          <w:szCs w:val="24"/>
        </w:rPr>
      </w:pPr>
      <w:r>
        <w:rPr>
          <w:szCs w:val="26"/>
        </w:rPr>
        <w:t>Notes</w:t>
      </w:r>
    </w:p>
    <w:p w:rsidR="00710A10" w:rsidRDefault="007558B6">
      <w:pPr>
        <w:pStyle w:val="TOC8"/>
        <w:rPr>
          <w:sz w:val="24"/>
          <w:szCs w:val="24"/>
        </w:rPr>
      </w:pPr>
      <w:r>
        <w:rPr>
          <w:szCs w:val="24"/>
        </w:rPr>
        <w:tab/>
        <w:t>Compilation table</w:t>
      </w:r>
      <w:r>
        <w:tab/>
      </w:r>
      <w:r>
        <w:fldChar w:fldCharType="begin"/>
      </w:r>
      <w:r>
        <w:instrText xml:space="preserve"> PAGEREF _Toc241290864 \h </w:instrText>
      </w:r>
      <w:r>
        <w:fldChar w:fldCharType="separate"/>
      </w:r>
      <w:r w:rsidR="004677F0">
        <w:t>2</w:t>
      </w:r>
      <w:r>
        <w:fldChar w:fldCharType="end"/>
      </w:r>
    </w:p>
    <w:p w:rsidR="00710A10" w:rsidRDefault="007558B6">
      <w:pPr>
        <w:pStyle w:val="TOC2"/>
        <w:tabs>
          <w:tab w:val="right" w:leader="dot" w:pos="7086"/>
        </w:tabs>
      </w:pPr>
      <w:r>
        <w:fldChar w:fldCharType="end"/>
      </w:r>
    </w:p>
    <w:p w:rsidR="00710A10" w:rsidRDefault="007558B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10A10" w:rsidRDefault="00710A10">
      <w:pPr>
        <w:pStyle w:val="NoteHeading"/>
        <w:sectPr w:rsidR="00710A1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710A10" w:rsidRDefault="007558B6">
      <w:pPr>
        <w:pStyle w:val="WA"/>
        <w:spacing w:before="120"/>
      </w:pPr>
      <w:r>
        <w:t>Western Australia</w:t>
      </w:r>
    </w:p>
    <w:p w:rsidR="00710A10" w:rsidRDefault="007558B6">
      <w:pPr>
        <w:pStyle w:val="NameofActReg"/>
        <w:spacing w:before="1800"/>
      </w:pPr>
      <w:r>
        <w:t>Western Australian Greyhound Racing Association Act 1981</w:t>
      </w:r>
    </w:p>
    <w:p w:rsidR="00710A10" w:rsidRDefault="007558B6">
      <w:pPr>
        <w:pStyle w:val="LongTitle"/>
        <w:rPr>
          <w:snapToGrid w:val="0"/>
        </w:rPr>
      </w:pPr>
      <w:r>
        <w:rPr>
          <w:snapToGrid w:val="0"/>
        </w:rPr>
        <w:t>An Act relating to greyhound racing; establishing the Western Australian Greyhound Racing Association; and for incidental and other purposes.</w:t>
      </w:r>
    </w:p>
    <w:p w:rsidR="00710A10" w:rsidRDefault="007558B6">
      <w:pPr>
        <w:pStyle w:val="Footnotesection"/>
      </w:pPr>
      <w:r>
        <w:tab/>
        <w:t>[Long title amended by No. 23 of 1998 s. 16(1); No. 35 of 2003 s. 196.]</w:t>
      </w:r>
    </w:p>
    <w:p w:rsidR="00710A10" w:rsidRDefault="007558B6">
      <w:pPr>
        <w:pStyle w:val="Heading2"/>
      </w:pPr>
      <w:bookmarkStart w:id="1" w:name="_Toc123002633"/>
      <w:bookmarkStart w:id="2" w:name="_Toc123002682"/>
      <w:bookmarkStart w:id="3" w:name="_Toc123014599"/>
      <w:bookmarkStart w:id="4" w:name="_Toc127678929"/>
      <w:bookmarkStart w:id="5" w:name="_Toc130196319"/>
      <w:bookmarkStart w:id="6" w:name="_Toc157309685"/>
      <w:bookmarkStart w:id="7" w:name="_Toc158014949"/>
      <w:bookmarkStart w:id="8" w:name="_Toc158015078"/>
      <w:bookmarkStart w:id="9" w:name="_Toc237758837"/>
      <w:bookmarkStart w:id="10" w:name="_Toc2412908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rsidR="00710A10" w:rsidRDefault="007558B6">
      <w:pPr>
        <w:pStyle w:val="Heading5"/>
        <w:rPr>
          <w:snapToGrid w:val="0"/>
        </w:rPr>
      </w:pPr>
      <w:bookmarkStart w:id="11" w:name="_Toc438262288"/>
      <w:bookmarkStart w:id="12" w:name="_Toc487528847"/>
      <w:bookmarkStart w:id="13" w:name="_Toc130196320"/>
      <w:bookmarkStart w:id="14" w:name="_Toc158015079"/>
      <w:bookmarkStart w:id="15" w:name="_Toc241290817"/>
      <w:r>
        <w:rPr>
          <w:rStyle w:val="CharSectno"/>
        </w:rPr>
        <w:t>1</w:t>
      </w:r>
      <w:r>
        <w:rPr>
          <w:snapToGrid w:val="0"/>
        </w:rPr>
        <w:t>.</w:t>
      </w:r>
      <w:r>
        <w:rPr>
          <w:snapToGrid w:val="0"/>
        </w:rPr>
        <w:tab/>
        <w:t>Short title</w:t>
      </w:r>
      <w:bookmarkEnd w:id="11"/>
      <w:bookmarkEnd w:id="12"/>
      <w:bookmarkEnd w:id="13"/>
      <w:bookmarkEnd w:id="14"/>
      <w:bookmarkEnd w:id="15"/>
    </w:p>
    <w:p w:rsidR="00710A10" w:rsidRDefault="007558B6">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rsidR="00710A10" w:rsidRDefault="007558B6">
      <w:pPr>
        <w:pStyle w:val="Footnotesection"/>
      </w:pPr>
      <w:r>
        <w:tab/>
        <w:t>[Section 1 amended by No. 23 of 1998 s. 16(1); No. 35 of 2003 s. 197.]</w:t>
      </w:r>
    </w:p>
    <w:p w:rsidR="00710A10" w:rsidRDefault="007558B6">
      <w:pPr>
        <w:pStyle w:val="Heading5"/>
        <w:rPr>
          <w:snapToGrid w:val="0"/>
        </w:rPr>
      </w:pPr>
      <w:bookmarkStart w:id="16" w:name="_Toc438262289"/>
      <w:bookmarkStart w:id="17" w:name="_Toc487528848"/>
      <w:bookmarkStart w:id="18" w:name="_Toc130196321"/>
      <w:bookmarkStart w:id="19" w:name="_Toc158015080"/>
      <w:bookmarkStart w:id="20" w:name="_Toc241290818"/>
      <w:r>
        <w:rPr>
          <w:rStyle w:val="CharSectno"/>
        </w:rPr>
        <w:t>2</w:t>
      </w:r>
      <w:r>
        <w:rPr>
          <w:snapToGrid w:val="0"/>
        </w:rPr>
        <w:t>.</w:t>
      </w:r>
      <w:r>
        <w:rPr>
          <w:snapToGrid w:val="0"/>
        </w:rPr>
        <w:tab/>
        <w:t>Commencement</w:t>
      </w:r>
      <w:bookmarkEnd w:id="16"/>
      <w:bookmarkEnd w:id="17"/>
      <w:bookmarkEnd w:id="18"/>
      <w:bookmarkEnd w:id="19"/>
      <w:bookmarkEnd w:id="20"/>
    </w:p>
    <w:p w:rsidR="00710A10" w:rsidRDefault="007558B6">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710A10" w:rsidRDefault="007558B6">
      <w:pPr>
        <w:pStyle w:val="Ednotesection"/>
      </w:pPr>
      <w:bookmarkStart w:id="21" w:name="_Toc438262291"/>
      <w:bookmarkStart w:id="22" w:name="_Toc487528850"/>
      <w:r>
        <w:t>[</w:t>
      </w:r>
      <w:r>
        <w:rPr>
          <w:b/>
        </w:rPr>
        <w:t>3.</w:t>
      </w:r>
      <w:r>
        <w:tab/>
        <w:t>Deleted by No. 35 of 2003 s. 198.]</w:t>
      </w:r>
    </w:p>
    <w:p w:rsidR="00710A10" w:rsidRDefault="007558B6">
      <w:pPr>
        <w:pStyle w:val="Heading5"/>
        <w:rPr>
          <w:snapToGrid w:val="0"/>
        </w:rPr>
      </w:pPr>
      <w:bookmarkStart w:id="23" w:name="_Toc130196322"/>
      <w:bookmarkStart w:id="24" w:name="_Toc158015081"/>
      <w:bookmarkStart w:id="25" w:name="_Toc241290819"/>
      <w:r>
        <w:rPr>
          <w:rStyle w:val="CharSectno"/>
        </w:rPr>
        <w:t>4</w:t>
      </w:r>
      <w:r>
        <w:rPr>
          <w:snapToGrid w:val="0"/>
        </w:rPr>
        <w:t>.</w:t>
      </w:r>
      <w:r>
        <w:rPr>
          <w:snapToGrid w:val="0"/>
        </w:rPr>
        <w:tab/>
        <w:t>Interpretation</w:t>
      </w:r>
      <w:bookmarkEnd w:id="21"/>
      <w:bookmarkEnd w:id="22"/>
      <w:bookmarkEnd w:id="23"/>
      <w:bookmarkEnd w:id="24"/>
      <w:bookmarkEnd w:id="25"/>
    </w:p>
    <w:p w:rsidR="00710A10" w:rsidRDefault="007558B6">
      <w:pPr>
        <w:pStyle w:val="Subsection"/>
        <w:rPr>
          <w:snapToGrid w:val="0"/>
        </w:rPr>
      </w:pPr>
      <w:r>
        <w:rPr>
          <w:snapToGrid w:val="0"/>
        </w:rPr>
        <w:tab/>
      </w:r>
      <w:r>
        <w:rPr>
          <w:snapToGrid w:val="0"/>
        </w:rPr>
        <w:tab/>
        <w:t>In this Act unless the contrary intention appears —</w:t>
      </w:r>
    </w:p>
    <w:p w:rsidR="00710A10" w:rsidRDefault="007558B6">
      <w:pPr>
        <w:pStyle w:val="Defstart"/>
      </w:pPr>
      <w:r>
        <w:rPr>
          <w:b/>
        </w:rPr>
        <w:tab/>
      </w:r>
      <w:r>
        <w:rPr>
          <w:rStyle w:val="CharDefText"/>
        </w:rPr>
        <w:t>Association</w:t>
      </w:r>
      <w:r>
        <w:t xml:space="preserve"> means the Western Australian Greyhound Racing Association established by this Act;</w:t>
      </w:r>
    </w:p>
    <w:p w:rsidR="00710A10" w:rsidRDefault="007558B6">
      <w:pPr>
        <w:pStyle w:val="Defstart"/>
      </w:pPr>
      <w:r>
        <w:rPr>
          <w:b/>
        </w:rPr>
        <w:tab/>
      </w:r>
      <w:r>
        <w:rPr>
          <w:rStyle w:val="CharDefText"/>
        </w:rPr>
        <w:t>Chairman</w:t>
      </w:r>
      <w:r>
        <w:t xml:space="preserve"> means Chairman of the Association;</w:t>
      </w:r>
    </w:p>
    <w:p w:rsidR="00710A10" w:rsidRDefault="007558B6">
      <w:pPr>
        <w:pStyle w:val="Defstart"/>
      </w:pPr>
      <w:r>
        <w:rPr>
          <w:b/>
        </w:rPr>
        <w:tab/>
      </w:r>
      <w:r>
        <w:rPr>
          <w:rStyle w:val="CharDefText"/>
        </w:rPr>
        <w:t>Chief Executive Officer</w:t>
      </w:r>
      <w:r>
        <w:t xml:space="preserve"> means Chief Executive Officer of the Association;</w:t>
      </w:r>
    </w:p>
    <w:p w:rsidR="00710A10" w:rsidRDefault="007558B6">
      <w:pPr>
        <w:pStyle w:val="Defstart"/>
      </w:pPr>
      <w:r>
        <w:rPr>
          <w:b/>
        </w:rPr>
        <w:tab/>
      </w:r>
      <w:r>
        <w:rPr>
          <w:rStyle w:val="CharDefText"/>
        </w:rPr>
        <w:t>Deputy Chairman</w:t>
      </w:r>
      <w:r>
        <w:t xml:space="preserve"> means Deputy Chairman of the Association;</w:t>
      </w:r>
    </w:p>
    <w:p w:rsidR="00710A10" w:rsidRDefault="007558B6">
      <w:pPr>
        <w:pStyle w:val="Defstart"/>
      </w:pPr>
      <w:r>
        <w:rPr>
          <w:b/>
        </w:rPr>
        <w:tab/>
      </w:r>
      <w:r>
        <w:rPr>
          <w:rStyle w:val="CharDefText"/>
        </w:rPr>
        <w:t>Fund</w:t>
      </w:r>
      <w:r>
        <w:t xml:space="preserve"> means the Western Australian Greyhound Racing Association Fund established and maintained under section 16;</w:t>
      </w:r>
    </w:p>
    <w:p w:rsidR="00710A10" w:rsidRDefault="007558B6">
      <w:pPr>
        <w:pStyle w:val="Defstart"/>
      </w:pPr>
      <w:r>
        <w:rPr>
          <w:b/>
        </w:rPr>
        <w:tab/>
      </w:r>
      <w:r>
        <w:rPr>
          <w:rStyle w:val="CharDefText"/>
        </w:rPr>
        <w:t>greyhound racing</w:t>
      </w:r>
      <w:r>
        <w:t xml:space="preserve"> means racing between greyhounds in competitive pursuit of an artificial lure;</w:t>
      </w:r>
    </w:p>
    <w:p w:rsidR="00710A10" w:rsidRDefault="007558B6">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rsidR="00710A10" w:rsidRDefault="007558B6">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rsidR="00710A10" w:rsidRDefault="007558B6">
      <w:pPr>
        <w:pStyle w:val="Defstart"/>
      </w:pPr>
      <w:r>
        <w:rPr>
          <w:b/>
        </w:rPr>
        <w:tab/>
      </w:r>
      <w:r>
        <w:rPr>
          <w:rStyle w:val="CharDefText"/>
        </w:rPr>
        <w:t>lessee</w:t>
      </w:r>
      <w:r>
        <w:t xml:space="preserve"> means lessee of a greyhound;</w:t>
      </w:r>
    </w:p>
    <w:p w:rsidR="00710A10" w:rsidRDefault="007558B6">
      <w:pPr>
        <w:pStyle w:val="Defstart"/>
      </w:pPr>
      <w:r>
        <w:tab/>
      </w:r>
      <w:r>
        <w:rPr>
          <w:rStyle w:val="CharDefText"/>
        </w:rPr>
        <w:t>licensed</w:t>
      </w:r>
      <w:r>
        <w:t>, in relation to a race course, means licensed by RWWA under the RWWA Act;</w:t>
      </w:r>
    </w:p>
    <w:p w:rsidR="00710A10" w:rsidRDefault="007558B6">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rsidR="00710A10" w:rsidRDefault="007558B6">
      <w:pPr>
        <w:pStyle w:val="Defstart"/>
      </w:pPr>
      <w:r>
        <w:rPr>
          <w:b/>
        </w:rPr>
        <w:tab/>
      </w:r>
      <w:r>
        <w:rPr>
          <w:rStyle w:val="CharDefText"/>
        </w:rPr>
        <w:t>owner</w:t>
      </w:r>
      <w:r>
        <w:t xml:space="preserve"> means owner of a greyhound;</w:t>
      </w:r>
    </w:p>
    <w:p w:rsidR="00710A10" w:rsidRDefault="007558B6">
      <w:pPr>
        <w:pStyle w:val="Defstart"/>
      </w:pPr>
      <w:r>
        <w:rPr>
          <w:b/>
        </w:rPr>
        <w:tab/>
      </w:r>
      <w:r>
        <w:rPr>
          <w:rStyle w:val="CharDefText"/>
        </w:rPr>
        <w:t>race course</w:t>
      </w:r>
      <w:r>
        <w:t xml:space="preserve"> means any place at which greyhound racing is or may be conducted;</w:t>
      </w:r>
    </w:p>
    <w:p w:rsidR="00710A10" w:rsidRDefault="007558B6">
      <w:pPr>
        <w:pStyle w:val="Defstart"/>
      </w:pPr>
      <w:r>
        <w:rPr>
          <w:b/>
        </w:rPr>
        <w:tab/>
      </w:r>
      <w:r>
        <w:rPr>
          <w:rStyle w:val="CharDefText"/>
        </w:rPr>
        <w:t>race meeting</w:t>
      </w:r>
      <w:r>
        <w:t xml:space="preserve"> means a meeting for greyhound racing;</w:t>
      </w:r>
    </w:p>
    <w:p w:rsidR="00710A10" w:rsidRDefault="007558B6">
      <w:pPr>
        <w:pStyle w:val="Defstart"/>
      </w:pPr>
      <w:r>
        <w:tab/>
      </w:r>
      <w:r>
        <w:rPr>
          <w:rStyle w:val="CharDefText"/>
        </w:rPr>
        <w:t>registered</w:t>
      </w:r>
      <w:r>
        <w:t xml:space="preserve"> means registered by RWWA under the RWWA Act;</w:t>
      </w:r>
    </w:p>
    <w:p w:rsidR="00710A10" w:rsidRDefault="007558B6">
      <w:pPr>
        <w:pStyle w:val="Defstart"/>
      </w:pPr>
      <w:r>
        <w:tab/>
      </w:r>
      <w:r>
        <w:rPr>
          <w:rStyle w:val="CharDefText"/>
        </w:rPr>
        <w:t>rules of racing</w:t>
      </w:r>
      <w:r>
        <w:t xml:space="preserve"> means rules made by RWWA under section 45 of the RWWA Act;</w:t>
      </w:r>
    </w:p>
    <w:p w:rsidR="00710A10" w:rsidRDefault="007558B6">
      <w:pPr>
        <w:pStyle w:val="Defstart"/>
      </w:pPr>
      <w:r>
        <w:rPr>
          <w:b/>
        </w:rPr>
        <w:tab/>
      </w:r>
      <w:r>
        <w:rPr>
          <w:rStyle w:val="CharDefText"/>
        </w:rPr>
        <w:t>RWWA</w:t>
      </w:r>
      <w:r>
        <w:t xml:space="preserve"> means Racing and Wagering Western Australia established under the RWWA Act;</w:t>
      </w:r>
    </w:p>
    <w:p w:rsidR="00710A10" w:rsidRDefault="007558B6">
      <w:pPr>
        <w:pStyle w:val="Defstart"/>
      </w:pPr>
      <w:r>
        <w:tab/>
      </w:r>
      <w:r>
        <w:rPr>
          <w:rStyle w:val="CharDefText"/>
        </w:rPr>
        <w:t>RWWA Act</w:t>
      </w:r>
      <w:r>
        <w:t xml:space="preserve"> means the </w:t>
      </w:r>
      <w:r>
        <w:rPr>
          <w:i/>
        </w:rPr>
        <w:t>Racing and Wagering Western Australia Act 2003</w:t>
      </w:r>
      <w:r>
        <w:t>;</w:t>
      </w:r>
    </w:p>
    <w:p w:rsidR="00710A10" w:rsidRDefault="007558B6">
      <w:pPr>
        <w:pStyle w:val="Defstart"/>
      </w:pPr>
      <w:r>
        <w:rPr>
          <w:b/>
        </w:rPr>
        <w:tab/>
      </w:r>
      <w:r>
        <w:rPr>
          <w:rStyle w:val="CharDefText"/>
        </w:rPr>
        <w:t>trainer</w:t>
      </w:r>
      <w:r>
        <w:t xml:space="preserve"> means trainer of a greyhound.</w:t>
      </w:r>
    </w:p>
    <w:p w:rsidR="00710A10" w:rsidRDefault="007558B6">
      <w:pPr>
        <w:pStyle w:val="Footnotesection"/>
      </w:pPr>
      <w:r>
        <w:tab/>
        <w:t>[Section 4 amended by No. 23 of 1998 s. 4, 16(1) and 17(1); No. 35 of 2003 s. 199 and 218.]</w:t>
      </w:r>
    </w:p>
    <w:p w:rsidR="00710A10" w:rsidRDefault="007558B6">
      <w:pPr>
        <w:pStyle w:val="Heading2"/>
      </w:pPr>
      <w:bookmarkStart w:id="26" w:name="_Toc123002637"/>
      <w:bookmarkStart w:id="27" w:name="_Toc123002686"/>
      <w:bookmarkStart w:id="28" w:name="_Toc123014603"/>
      <w:bookmarkStart w:id="29" w:name="_Toc127678933"/>
      <w:bookmarkStart w:id="30" w:name="_Toc130196323"/>
      <w:bookmarkStart w:id="31" w:name="_Toc157309689"/>
      <w:bookmarkStart w:id="32" w:name="_Toc158014953"/>
      <w:bookmarkStart w:id="33" w:name="_Toc158015082"/>
      <w:bookmarkStart w:id="34" w:name="_Toc237758841"/>
      <w:bookmarkStart w:id="35" w:name="_Toc241290820"/>
      <w:r>
        <w:rPr>
          <w:rStyle w:val="CharPartNo"/>
        </w:rPr>
        <w:t>Part II</w:t>
      </w:r>
      <w:r>
        <w:rPr>
          <w:rStyle w:val="CharDivNo"/>
        </w:rPr>
        <w:t> </w:t>
      </w:r>
      <w:r>
        <w:t>—</w:t>
      </w:r>
      <w:r>
        <w:rPr>
          <w:rStyle w:val="CharDivText"/>
        </w:rPr>
        <w:t> </w:t>
      </w:r>
      <w:r>
        <w:rPr>
          <w:rStyle w:val="CharPartText"/>
        </w:rPr>
        <w:t>Western Australian Greyhound Racing Association</w:t>
      </w:r>
      <w:bookmarkEnd w:id="26"/>
      <w:bookmarkEnd w:id="27"/>
      <w:bookmarkEnd w:id="28"/>
      <w:bookmarkEnd w:id="29"/>
      <w:bookmarkEnd w:id="30"/>
      <w:bookmarkEnd w:id="31"/>
      <w:bookmarkEnd w:id="32"/>
      <w:bookmarkEnd w:id="33"/>
      <w:bookmarkEnd w:id="34"/>
      <w:bookmarkEnd w:id="35"/>
    </w:p>
    <w:p w:rsidR="00710A10" w:rsidRDefault="007558B6">
      <w:pPr>
        <w:pStyle w:val="Footnoteheading"/>
      </w:pPr>
      <w:r>
        <w:tab/>
        <w:t>[Heading amended by No. 23 of 1998 s. 16(1); No. 35 of 2003 s. 200.]</w:t>
      </w:r>
    </w:p>
    <w:p w:rsidR="00710A10" w:rsidRDefault="007558B6">
      <w:pPr>
        <w:pStyle w:val="Heading5"/>
        <w:spacing w:before="260"/>
        <w:rPr>
          <w:snapToGrid w:val="0"/>
        </w:rPr>
      </w:pPr>
      <w:bookmarkStart w:id="36" w:name="_Toc438262292"/>
      <w:bookmarkStart w:id="37" w:name="_Toc487528851"/>
      <w:bookmarkStart w:id="38" w:name="_Toc130196324"/>
      <w:bookmarkStart w:id="39" w:name="_Toc158015083"/>
      <w:bookmarkStart w:id="40" w:name="_Toc241290821"/>
      <w:r>
        <w:rPr>
          <w:rStyle w:val="CharSectno"/>
        </w:rPr>
        <w:t>5</w:t>
      </w:r>
      <w:r>
        <w:rPr>
          <w:snapToGrid w:val="0"/>
        </w:rPr>
        <w:t>.</w:t>
      </w:r>
      <w:r>
        <w:rPr>
          <w:snapToGrid w:val="0"/>
        </w:rPr>
        <w:tab/>
        <w:t xml:space="preserve">Establishment of </w:t>
      </w:r>
      <w:bookmarkEnd w:id="36"/>
      <w:bookmarkEnd w:id="37"/>
      <w:r>
        <w:t>Association</w:t>
      </w:r>
      <w:bookmarkEnd w:id="38"/>
      <w:bookmarkEnd w:id="39"/>
      <w:bookmarkEnd w:id="40"/>
    </w:p>
    <w:p w:rsidR="00710A10" w:rsidRDefault="007558B6">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rsidR="00710A10" w:rsidRDefault="007558B6">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rsidR="00710A10" w:rsidRDefault="007558B6">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rsidR="00710A10" w:rsidRDefault="007558B6">
      <w:pPr>
        <w:pStyle w:val="Indenta"/>
        <w:rPr>
          <w:snapToGrid w:val="0"/>
        </w:rPr>
      </w:pPr>
      <w:r>
        <w:rPr>
          <w:snapToGrid w:val="0"/>
        </w:rPr>
        <w:tab/>
        <w:t>(a)</w:t>
      </w:r>
      <w:r>
        <w:rPr>
          <w:snapToGrid w:val="0"/>
        </w:rPr>
        <w:tab/>
        <w:t>sue and be sued in any court;</w:t>
      </w:r>
    </w:p>
    <w:p w:rsidR="00710A10" w:rsidRDefault="007558B6">
      <w:pPr>
        <w:pStyle w:val="Indenta"/>
        <w:rPr>
          <w:snapToGrid w:val="0"/>
        </w:rPr>
      </w:pPr>
      <w:r>
        <w:rPr>
          <w:snapToGrid w:val="0"/>
        </w:rPr>
        <w:tab/>
        <w:t>(b)</w:t>
      </w:r>
      <w:r>
        <w:rPr>
          <w:snapToGrid w:val="0"/>
        </w:rPr>
        <w:tab/>
        <w:t>acquire, hold and dispose of real and personal property;</w:t>
      </w:r>
    </w:p>
    <w:p w:rsidR="00710A10" w:rsidRDefault="007558B6">
      <w:pPr>
        <w:pStyle w:val="Indenta"/>
        <w:rPr>
          <w:snapToGrid w:val="0"/>
        </w:rPr>
      </w:pPr>
      <w:r>
        <w:rPr>
          <w:snapToGrid w:val="0"/>
        </w:rPr>
        <w:tab/>
        <w:t>(c)</w:t>
      </w:r>
      <w:r>
        <w:rPr>
          <w:snapToGrid w:val="0"/>
        </w:rPr>
        <w:tab/>
        <w:t>enter into agreements, guarantees, indemnities and other contractual arrangements;</w:t>
      </w:r>
    </w:p>
    <w:p w:rsidR="00710A10" w:rsidRDefault="007558B6">
      <w:pPr>
        <w:pStyle w:val="Indenta"/>
        <w:rPr>
          <w:snapToGrid w:val="0"/>
        </w:rPr>
      </w:pPr>
      <w:r>
        <w:rPr>
          <w:snapToGrid w:val="0"/>
        </w:rPr>
        <w:tab/>
        <w:t>(d)</w:t>
      </w:r>
      <w:r>
        <w:rPr>
          <w:snapToGrid w:val="0"/>
        </w:rPr>
        <w:tab/>
        <w:t>borrow money;</w:t>
      </w:r>
    </w:p>
    <w:p w:rsidR="00710A10" w:rsidRDefault="007558B6">
      <w:pPr>
        <w:pStyle w:val="Indenta"/>
        <w:rPr>
          <w:snapToGrid w:val="0"/>
        </w:rPr>
      </w:pPr>
      <w:r>
        <w:rPr>
          <w:snapToGrid w:val="0"/>
        </w:rPr>
        <w:tab/>
        <w:t>(e)</w:t>
      </w:r>
      <w:r>
        <w:rPr>
          <w:snapToGrid w:val="0"/>
        </w:rPr>
        <w:tab/>
        <w:t>mortgage or charge any of its property as security for the repayment of any money borrowed; and</w:t>
      </w:r>
    </w:p>
    <w:p w:rsidR="00710A10" w:rsidRDefault="007558B6">
      <w:pPr>
        <w:pStyle w:val="Indenta"/>
        <w:rPr>
          <w:snapToGrid w:val="0"/>
        </w:rPr>
      </w:pPr>
      <w:r>
        <w:rPr>
          <w:snapToGrid w:val="0"/>
        </w:rPr>
        <w:tab/>
        <w:t>(f)</w:t>
      </w:r>
      <w:r>
        <w:rPr>
          <w:snapToGrid w:val="0"/>
        </w:rPr>
        <w:tab/>
        <w:t>do and suffer all such other acts and things as bodies corporate may lawfully do and suffer.</w:t>
      </w:r>
    </w:p>
    <w:p w:rsidR="00710A10" w:rsidRDefault="007558B6">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rsidR="00710A10" w:rsidRDefault="007558B6">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rsidR="00710A10" w:rsidRDefault="007558B6">
      <w:pPr>
        <w:pStyle w:val="Subsection"/>
        <w:keepNext/>
        <w:keepLines/>
      </w:pPr>
      <w:r>
        <w:tab/>
        <w:t>(6)</w:t>
      </w:r>
      <w:r>
        <w:tab/>
        <w:t>The Association is a racing club eligible for registration under the RWWA Act and, if so registered, the board is taken to be the committee of the racing club.</w:t>
      </w:r>
    </w:p>
    <w:p w:rsidR="00710A10" w:rsidRDefault="007558B6">
      <w:pPr>
        <w:pStyle w:val="Footnotesection"/>
      </w:pPr>
      <w:r>
        <w:tab/>
        <w:t>[Section 5 amended by No. 23 of 1998 s. 16(1); No. 35 of 2003 s. 201 and 218.]</w:t>
      </w:r>
    </w:p>
    <w:p w:rsidR="00710A10" w:rsidRDefault="007558B6">
      <w:pPr>
        <w:pStyle w:val="Heading5"/>
        <w:rPr>
          <w:snapToGrid w:val="0"/>
        </w:rPr>
      </w:pPr>
      <w:bookmarkStart w:id="41" w:name="_Toc438262293"/>
      <w:bookmarkStart w:id="42" w:name="_Toc487528852"/>
      <w:bookmarkStart w:id="43" w:name="_Toc130196325"/>
      <w:bookmarkStart w:id="44" w:name="_Toc158015084"/>
      <w:bookmarkStart w:id="45" w:name="_Toc241290822"/>
      <w:r>
        <w:rPr>
          <w:rStyle w:val="CharSectno"/>
        </w:rPr>
        <w:t>6</w:t>
      </w:r>
      <w:r>
        <w:rPr>
          <w:snapToGrid w:val="0"/>
        </w:rPr>
        <w:t>.</w:t>
      </w:r>
      <w:r>
        <w:rPr>
          <w:snapToGrid w:val="0"/>
        </w:rPr>
        <w:tab/>
      </w:r>
      <w:r>
        <w:t xml:space="preserve">Association </w:t>
      </w:r>
      <w:r>
        <w:rPr>
          <w:snapToGrid w:val="0"/>
        </w:rPr>
        <w:t>does not represent the Crown</w:t>
      </w:r>
      <w:bookmarkEnd w:id="41"/>
      <w:bookmarkEnd w:id="42"/>
      <w:bookmarkEnd w:id="43"/>
      <w:bookmarkEnd w:id="44"/>
      <w:bookmarkEnd w:id="45"/>
    </w:p>
    <w:p w:rsidR="00710A10" w:rsidRDefault="007558B6">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rsidR="00710A10" w:rsidRDefault="007558B6">
      <w:pPr>
        <w:pStyle w:val="Footnotesection"/>
      </w:pPr>
      <w:r>
        <w:tab/>
        <w:t>[Section 6 amended by No. 23 of 1998 s. 16(1); No. 35 of 2003 s. 218.]</w:t>
      </w:r>
    </w:p>
    <w:p w:rsidR="00710A10" w:rsidRDefault="007558B6">
      <w:pPr>
        <w:pStyle w:val="Heading5"/>
        <w:rPr>
          <w:snapToGrid w:val="0"/>
        </w:rPr>
      </w:pPr>
      <w:bookmarkStart w:id="46" w:name="_Toc438262294"/>
      <w:bookmarkStart w:id="47" w:name="_Toc487528853"/>
      <w:bookmarkStart w:id="48" w:name="_Toc130196326"/>
      <w:bookmarkStart w:id="49" w:name="_Toc158015085"/>
      <w:bookmarkStart w:id="50" w:name="_Toc241290823"/>
      <w:r>
        <w:rPr>
          <w:rStyle w:val="CharSectno"/>
        </w:rPr>
        <w:t>7</w:t>
      </w:r>
      <w:r>
        <w:rPr>
          <w:snapToGrid w:val="0"/>
        </w:rPr>
        <w:t>.</w:t>
      </w:r>
      <w:r>
        <w:rPr>
          <w:snapToGrid w:val="0"/>
        </w:rPr>
        <w:tab/>
        <w:t>Functions of</w:t>
      </w:r>
      <w:bookmarkEnd w:id="46"/>
      <w:bookmarkEnd w:id="47"/>
      <w:r>
        <w:rPr>
          <w:snapToGrid w:val="0"/>
        </w:rPr>
        <w:t> </w:t>
      </w:r>
      <w:r>
        <w:t>Association</w:t>
      </w:r>
      <w:bookmarkEnd w:id="48"/>
      <w:bookmarkEnd w:id="49"/>
      <w:bookmarkEnd w:id="50"/>
    </w:p>
    <w:p w:rsidR="00710A10" w:rsidRDefault="007558B6">
      <w:pPr>
        <w:pStyle w:val="Subsection"/>
        <w:rPr>
          <w:snapToGrid w:val="0"/>
        </w:rPr>
      </w:pPr>
      <w:r>
        <w:rPr>
          <w:snapToGrid w:val="0"/>
        </w:rPr>
        <w:tab/>
      </w:r>
      <w:r>
        <w:rPr>
          <w:snapToGrid w:val="0"/>
        </w:rPr>
        <w:tab/>
        <w:t xml:space="preserve">The functions of the </w:t>
      </w:r>
      <w:r>
        <w:t xml:space="preserve">Association </w:t>
      </w:r>
      <w:r>
        <w:rPr>
          <w:snapToGrid w:val="0"/>
        </w:rPr>
        <w:t>are —</w:t>
      </w:r>
    </w:p>
    <w:p w:rsidR="00710A10" w:rsidRDefault="007558B6">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rsidR="00710A10" w:rsidRDefault="007558B6">
      <w:pPr>
        <w:pStyle w:val="Indenta"/>
        <w:rPr>
          <w:snapToGrid w:val="0"/>
        </w:rPr>
      </w:pPr>
      <w:r>
        <w:rPr>
          <w:snapToGrid w:val="0"/>
        </w:rPr>
        <w:tab/>
        <w:t>(b)</w:t>
      </w:r>
      <w:r>
        <w:rPr>
          <w:snapToGrid w:val="0"/>
        </w:rPr>
        <w:tab/>
        <w:t>to conduct greyhound racing and provide facilities to enable greyhounds to compete in trials and be trained in racing;</w:t>
      </w:r>
    </w:p>
    <w:p w:rsidR="00710A10" w:rsidRDefault="007558B6">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rsidR="00710A10" w:rsidRDefault="007558B6">
      <w:pPr>
        <w:pStyle w:val="Footnotesection"/>
      </w:pPr>
      <w:r>
        <w:tab/>
        <w:t>[Section 7 amended by No. 23 of 1998 s. 5 and 16(1); No. 35 of 2003 s. 202 and 218.]</w:t>
      </w:r>
    </w:p>
    <w:p w:rsidR="00710A10" w:rsidRDefault="007558B6">
      <w:pPr>
        <w:pStyle w:val="Heading5"/>
        <w:rPr>
          <w:b w:val="0"/>
        </w:rPr>
      </w:pPr>
      <w:bookmarkStart w:id="51" w:name="_Toc438262295"/>
      <w:bookmarkStart w:id="52" w:name="_Toc487528854"/>
      <w:bookmarkStart w:id="53" w:name="_Toc130196327"/>
      <w:bookmarkStart w:id="54" w:name="_Toc158015086"/>
      <w:bookmarkStart w:id="55" w:name="_Toc241290824"/>
      <w:r>
        <w:rPr>
          <w:rStyle w:val="CharSectno"/>
        </w:rPr>
        <w:t>7A</w:t>
      </w:r>
      <w:r>
        <w:t>.</w:t>
      </w:r>
      <w:r>
        <w:tab/>
        <w:t xml:space="preserve">Powers of the </w:t>
      </w:r>
      <w:bookmarkEnd w:id="51"/>
      <w:bookmarkEnd w:id="52"/>
      <w:r>
        <w:t>Association</w:t>
      </w:r>
      <w:bookmarkEnd w:id="53"/>
      <w:bookmarkEnd w:id="54"/>
      <w:bookmarkEnd w:id="55"/>
    </w:p>
    <w:p w:rsidR="00710A10" w:rsidRDefault="007558B6">
      <w:pPr>
        <w:pStyle w:val="Subsection"/>
      </w:pPr>
      <w:r>
        <w:tab/>
        <w:t>(1)</w:t>
      </w:r>
      <w:r>
        <w:tab/>
        <w:t>The Association has all the powers it needs to perform its functions.</w:t>
      </w:r>
    </w:p>
    <w:p w:rsidR="00710A10" w:rsidRDefault="007558B6">
      <w:pPr>
        <w:pStyle w:val="Ednotesubsection"/>
      </w:pPr>
      <w:r>
        <w:tab/>
        <w:t>[(2)</w:t>
      </w:r>
      <w:r>
        <w:tab/>
        <w:t>deleted]</w:t>
      </w:r>
    </w:p>
    <w:p w:rsidR="00710A10" w:rsidRDefault="007558B6">
      <w:pPr>
        <w:pStyle w:val="Footnotesection"/>
      </w:pPr>
      <w:r>
        <w:tab/>
        <w:t>[Section 7A inserted by No. 23 of 1998 s. 6; amended by No. 35 of 2003 s. 203 and 218.]</w:t>
      </w:r>
    </w:p>
    <w:p w:rsidR="00710A10" w:rsidRDefault="007558B6">
      <w:pPr>
        <w:pStyle w:val="Ednotesection"/>
      </w:pPr>
      <w:bookmarkStart w:id="56" w:name="_Toc438262297"/>
      <w:bookmarkStart w:id="57" w:name="_Toc487528856"/>
      <w:r>
        <w:t>[</w:t>
      </w:r>
      <w:r>
        <w:rPr>
          <w:b/>
        </w:rPr>
        <w:t>7B.</w:t>
      </w:r>
      <w:r>
        <w:rPr>
          <w:b/>
        </w:rPr>
        <w:tab/>
      </w:r>
      <w:r>
        <w:t>Deleted by No. 35 of 2003 s. 204.]</w:t>
      </w:r>
    </w:p>
    <w:p w:rsidR="00710A10" w:rsidRDefault="007558B6">
      <w:pPr>
        <w:pStyle w:val="Heading5"/>
        <w:rPr>
          <w:snapToGrid w:val="0"/>
        </w:rPr>
      </w:pPr>
      <w:bookmarkStart w:id="58" w:name="_Toc130196328"/>
      <w:bookmarkStart w:id="59" w:name="_Toc158015087"/>
      <w:bookmarkStart w:id="60" w:name="_Toc241290825"/>
      <w:r>
        <w:rPr>
          <w:rStyle w:val="CharSectno"/>
        </w:rPr>
        <w:t>8</w:t>
      </w:r>
      <w:r>
        <w:rPr>
          <w:snapToGrid w:val="0"/>
        </w:rPr>
        <w:t>.</w:t>
      </w:r>
      <w:r>
        <w:rPr>
          <w:snapToGrid w:val="0"/>
        </w:rPr>
        <w:tab/>
        <w:t>Delegation</w:t>
      </w:r>
      <w:bookmarkEnd w:id="56"/>
      <w:bookmarkEnd w:id="57"/>
      <w:bookmarkEnd w:id="58"/>
      <w:bookmarkEnd w:id="59"/>
      <w:bookmarkEnd w:id="60"/>
    </w:p>
    <w:p w:rsidR="00710A10" w:rsidRDefault="007558B6">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rsidR="00710A10" w:rsidRDefault="007558B6">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rsidR="00710A10" w:rsidRDefault="007558B6">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rsidR="00710A10" w:rsidRDefault="007558B6">
      <w:pPr>
        <w:pStyle w:val="Indenta"/>
        <w:rPr>
          <w:snapToGrid w:val="0"/>
        </w:rPr>
      </w:pPr>
      <w:r>
        <w:rPr>
          <w:snapToGrid w:val="0"/>
        </w:rPr>
        <w:tab/>
        <w:t>(a)</w:t>
      </w:r>
      <w:r>
        <w:rPr>
          <w:snapToGrid w:val="0"/>
        </w:rPr>
        <w:tab/>
        <w:t>subject to and in accordance with the terms of the instrument of delegation; and</w:t>
      </w:r>
    </w:p>
    <w:p w:rsidR="00710A10" w:rsidRDefault="007558B6">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rsidR="00710A10" w:rsidRDefault="007558B6">
      <w:pPr>
        <w:pStyle w:val="Footnotesection"/>
      </w:pPr>
      <w:r>
        <w:tab/>
        <w:t>[Section 8 amended by No. 23 of 1998 s. 7, 16(1) and 17(1); No. 35 of 2003 s. 205 and 218.]</w:t>
      </w:r>
    </w:p>
    <w:p w:rsidR="00710A10" w:rsidRDefault="007558B6">
      <w:pPr>
        <w:pStyle w:val="Heading2"/>
      </w:pPr>
      <w:bookmarkStart w:id="61" w:name="_Toc123002643"/>
      <w:bookmarkStart w:id="62" w:name="_Toc123002692"/>
      <w:bookmarkStart w:id="63" w:name="_Toc123014609"/>
      <w:bookmarkStart w:id="64" w:name="_Toc127678939"/>
      <w:bookmarkStart w:id="65" w:name="_Toc130196329"/>
      <w:bookmarkStart w:id="66" w:name="_Toc157309695"/>
      <w:bookmarkStart w:id="67" w:name="_Toc158014959"/>
      <w:bookmarkStart w:id="68" w:name="_Toc158015088"/>
      <w:bookmarkStart w:id="69" w:name="_Toc237758847"/>
      <w:bookmarkStart w:id="70" w:name="_Toc241290826"/>
      <w:r>
        <w:rPr>
          <w:rStyle w:val="CharPartNo"/>
        </w:rPr>
        <w:t>Part III</w:t>
      </w:r>
      <w:r>
        <w:rPr>
          <w:rStyle w:val="CharDivNo"/>
        </w:rPr>
        <w:t> </w:t>
      </w:r>
      <w:r>
        <w:t>—</w:t>
      </w:r>
      <w:r>
        <w:rPr>
          <w:rStyle w:val="CharDivText"/>
        </w:rPr>
        <w:t> </w:t>
      </w:r>
      <w:r>
        <w:rPr>
          <w:rStyle w:val="CharPartText"/>
        </w:rPr>
        <w:t>The board, Chairman, Deputy Chairman and staff of the Association</w:t>
      </w:r>
      <w:bookmarkEnd w:id="61"/>
      <w:bookmarkEnd w:id="62"/>
      <w:bookmarkEnd w:id="63"/>
      <w:bookmarkEnd w:id="64"/>
      <w:bookmarkEnd w:id="65"/>
      <w:bookmarkEnd w:id="66"/>
      <w:bookmarkEnd w:id="67"/>
      <w:bookmarkEnd w:id="68"/>
      <w:bookmarkEnd w:id="69"/>
      <w:bookmarkEnd w:id="70"/>
    </w:p>
    <w:p w:rsidR="00710A10" w:rsidRDefault="007558B6">
      <w:pPr>
        <w:pStyle w:val="Footnoteheading"/>
      </w:pPr>
      <w:r>
        <w:tab/>
        <w:t>[Heading amended by No. 23 of 1998 s. 16(1) and 17(1); No. 35 of 2003 s. 200.]</w:t>
      </w:r>
    </w:p>
    <w:p w:rsidR="00710A10" w:rsidRDefault="007558B6">
      <w:pPr>
        <w:pStyle w:val="Heading5"/>
        <w:rPr>
          <w:snapToGrid w:val="0"/>
        </w:rPr>
      </w:pPr>
      <w:bookmarkStart w:id="71" w:name="_Toc438262298"/>
      <w:bookmarkStart w:id="72" w:name="_Toc487528857"/>
      <w:bookmarkStart w:id="73" w:name="_Toc130196330"/>
      <w:bookmarkStart w:id="74" w:name="_Toc158015089"/>
      <w:bookmarkStart w:id="75" w:name="_Toc241290827"/>
      <w:r>
        <w:rPr>
          <w:rStyle w:val="CharSectno"/>
        </w:rPr>
        <w:t>9</w:t>
      </w:r>
      <w:r>
        <w:rPr>
          <w:snapToGrid w:val="0"/>
        </w:rPr>
        <w:t>.</w:t>
      </w:r>
      <w:r>
        <w:rPr>
          <w:snapToGrid w:val="0"/>
        </w:rPr>
        <w:tab/>
        <w:t>The board</w:t>
      </w:r>
      <w:bookmarkEnd w:id="71"/>
      <w:bookmarkEnd w:id="72"/>
      <w:bookmarkEnd w:id="73"/>
      <w:bookmarkEnd w:id="74"/>
      <w:bookmarkEnd w:id="75"/>
    </w:p>
    <w:p w:rsidR="00710A10" w:rsidRDefault="007558B6">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rsidR="00710A10" w:rsidRDefault="007558B6">
      <w:pPr>
        <w:pStyle w:val="Footnotesection"/>
      </w:pPr>
      <w:r>
        <w:tab/>
        <w:t>[Section 9 amended by No. 23 of 1998 s. 16(1) and 17(1); No. 35 of 2003 s. 218.]</w:t>
      </w:r>
    </w:p>
    <w:p w:rsidR="00710A10" w:rsidRDefault="007558B6">
      <w:pPr>
        <w:pStyle w:val="Heading5"/>
        <w:rPr>
          <w:snapToGrid w:val="0"/>
        </w:rPr>
      </w:pPr>
      <w:bookmarkStart w:id="76" w:name="_Toc438262299"/>
      <w:bookmarkStart w:id="77" w:name="_Toc487528858"/>
      <w:bookmarkStart w:id="78" w:name="_Toc130196331"/>
      <w:bookmarkStart w:id="79" w:name="_Toc158015090"/>
      <w:bookmarkStart w:id="80" w:name="_Toc241290828"/>
      <w:r>
        <w:rPr>
          <w:rStyle w:val="CharSectno"/>
        </w:rPr>
        <w:t>10</w:t>
      </w:r>
      <w:r>
        <w:rPr>
          <w:snapToGrid w:val="0"/>
        </w:rPr>
        <w:t>.</w:t>
      </w:r>
      <w:r>
        <w:rPr>
          <w:snapToGrid w:val="0"/>
        </w:rPr>
        <w:tab/>
        <w:t>Functions, duties and powers</w:t>
      </w:r>
      <w:bookmarkEnd w:id="76"/>
      <w:bookmarkEnd w:id="77"/>
      <w:bookmarkEnd w:id="78"/>
      <w:bookmarkEnd w:id="79"/>
      <w:bookmarkEnd w:id="80"/>
    </w:p>
    <w:p w:rsidR="00710A10" w:rsidRDefault="007558B6">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rsidR="00710A10" w:rsidRDefault="007558B6">
      <w:pPr>
        <w:pStyle w:val="Footnotesection"/>
      </w:pPr>
      <w:r>
        <w:tab/>
        <w:t>[Section 10 amended by No. 23 of 1998 s. 16(1) and 17(1); No. 35 of 2003 s. 218.]</w:t>
      </w:r>
    </w:p>
    <w:p w:rsidR="00710A10" w:rsidRDefault="007558B6">
      <w:pPr>
        <w:pStyle w:val="Heading5"/>
        <w:rPr>
          <w:snapToGrid w:val="0"/>
        </w:rPr>
      </w:pPr>
      <w:bookmarkStart w:id="81" w:name="_Toc438262300"/>
      <w:bookmarkStart w:id="82" w:name="_Toc487528859"/>
      <w:bookmarkStart w:id="83" w:name="_Toc130196332"/>
      <w:bookmarkStart w:id="84" w:name="_Toc158015091"/>
      <w:bookmarkStart w:id="85" w:name="_Toc241290829"/>
      <w:r>
        <w:rPr>
          <w:rStyle w:val="CharSectno"/>
        </w:rPr>
        <w:t>11</w:t>
      </w:r>
      <w:r>
        <w:rPr>
          <w:snapToGrid w:val="0"/>
        </w:rPr>
        <w:t>.</w:t>
      </w:r>
      <w:r>
        <w:rPr>
          <w:snapToGrid w:val="0"/>
        </w:rPr>
        <w:tab/>
        <w:t>Board subject to Minister</w:t>
      </w:r>
      <w:bookmarkEnd w:id="81"/>
      <w:bookmarkEnd w:id="82"/>
      <w:bookmarkEnd w:id="83"/>
      <w:bookmarkEnd w:id="84"/>
      <w:bookmarkEnd w:id="85"/>
    </w:p>
    <w:p w:rsidR="00710A10" w:rsidRDefault="007558B6">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rsidR="00710A10" w:rsidRDefault="007558B6">
      <w:pPr>
        <w:pStyle w:val="Footnotesection"/>
      </w:pPr>
      <w:r>
        <w:tab/>
        <w:t>[Section 11 amended by No. 23 of 1998 s. 17(1).]</w:t>
      </w:r>
    </w:p>
    <w:p w:rsidR="00710A10" w:rsidRDefault="007558B6">
      <w:pPr>
        <w:pStyle w:val="Heading5"/>
        <w:rPr>
          <w:snapToGrid w:val="0"/>
        </w:rPr>
      </w:pPr>
      <w:bookmarkStart w:id="86" w:name="_Toc438262301"/>
      <w:bookmarkStart w:id="87" w:name="_Toc487528860"/>
      <w:bookmarkStart w:id="88" w:name="_Toc130196333"/>
      <w:bookmarkStart w:id="89" w:name="_Toc158015092"/>
      <w:bookmarkStart w:id="90" w:name="_Toc241290830"/>
      <w:r>
        <w:rPr>
          <w:rStyle w:val="CharSectno"/>
        </w:rPr>
        <w:t>12</w:t>
      </w:r>
      <w:r>
        <w:rPr>
          <w:snapToGrid w:val="0"/>
        </w:rPr>
        <w:t>.</w:t>
      </w:r>
      <w:r>
        <w:rPr>
          <w:snapToGrid w:val="0"/>
        </w:rPr>
        <w:tab/>
        <w:t>Composition of board</w:t>
      </w:r>
      <w:bookmarkEnd w:id="86"/>
      <w:bookmarkEnd w:id="87"/>
      <w:bookmarkEnd w:id="88"/>
      <w:bookmarkEnd w:id="89"/>
      <w:bookmarkEnd w:id="90"/>
    </w:p>
    <w:p w:rsidR="00710A10" w:rsidRDefault="007558B6">
      <w:pPr>
        <w:pStyle w:val="Subsection"/>
        <w:spacing w:before="120"/>
        <w:rPr>
          <w:snapToGrid w:val="0"/>
        </w:rPr>
      </w:pPr>
      <w:r>
        <w:rPr>
          <w:snapToGrid w:val="0"/>
        </w:rPr>
        <w:tab/>
      </w:r>
      <w:r>
        <w:rPr>
          <w:snapToGrid w:val="0"/>
        </w:rPr>
        <w:tab/>
        <w:t>The board shall consist of 5 members appointed by the Minister.</w:t>
      </w:r>
    </w:p>
    <w:p w:rsidR="00710A10" w:rsidRDefault="007558B6">
      <w:pPr>
        <w:pStyle w:val="Footnotesection"/>
      </w:pPr>
      <w:r>
        <w:tab/>
        <w:t>[Section 12 amended by No. 23 of 1998 s. 17(1); No. 35 of 2003 s. 206.]</w:t>
      </w:r>
    </w:p>
    <w:p w:rsidR="00710A10" w:rsidRDefault="007558B6">
      <w:pPr>
        <w:pStyle w:val="Heading5"/>
        <w:rPr>
          <w:snapToGrid w:val="0"/>
        </w:rPr>
      </w:pPr>
      <w:bookmarkStart w:id="91" w:name="_Toc438262302"/>
      <w:bookmarkStart w:id="92" w:name="_Toc487528861"/>
      <w:bookmarkStart w:id="93" w:name="_Toc130196334"/>
      <w:bookmarkStart w:id="94" w:name="_Toc158015093"/>
      <w:bookmarkStart w:id="95" w:name="_Toc241290831"/>
      <w:r>
        <w:rPr>
          <w:rStyle w:val="CharSectno"/>
        </w:rPr>
        <w:t>13</w:t>
      </w:r>
      <w:r>
        <w:rPr>
          <w:snapToGrid w:val="0"/>
        </w:rPr>
        <w:t>.</w:t>
      </w:r>
      <w:r>
        <w:rPr>
          <w:snapToGrid w:val="0"/>
        </w:rPr>
        <w:tab/>
        <w:t xml:space="preserve">Chairman and Deputy Chairman of </w:t>
      </w:r>
      <w:bookmarkEnd w:id="91"/>
      <w:bookmarkEnd w:id="92"/>
      <w:r>
        <w:t>Association</w:t>
      </w:r>
      <w:bookmarkEnd w:id="93"/>
      <w:bookmarkEnd w:id="94"/>
      <w:bookmarkEnd w:id="95"/>
    </w:p>
    <w:p w:rsidR="00710A10" w:rsidRDefault="007558B6">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rsidR="00710A10" w:rsidRDefault="007558B6">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rsidR="00710A10" w:rsidRDefault="007558B6">
      <w:pPr>
        <w:pStyle w:val="Footnotesection"/>
      </w:pPr>
      <w:r>
        <w:tab/>
        <w:t>[Section 13 amended by No. 23 of 1998 s. 16(1) and 17(1); No. 35 of 2003 s. 207 and 218.]</w:t>
      </w:r>
    </w:p>
    <w:p w:rsidR="00710A10" w:rsidRDefault="007558B6">
      <w:pPr>
        <w:pStyle w:val="Heading5"/>
        <w:rPr>
          <w:snapToGrid w:val="0"/>
        </w:rPr>
      </w:pPr>
      <w:bookmarkStart w:id="96" w:name="_Toc438262303"/>
      <w:bookmarkStart w:id="97" w:name="_Toc487528862"/>
      <w:bookmarkStart w:id="98" w:name="_Toc130196335"/>
      <w:bookmarkStart w:id="99" w:name="_Toc158015094"/>
      <w:bookmarkStart w:id="100" w:name="_Toc241290832"/>
      <w:r>
        <w:rPr>
          <w:rStyle w:val="CharSectno"/>
        </w:rPr>
        <w:t>14</w:t>
      </w:r>
      <w:r>
        <w:rPr>
          <w:snapToGrid w:val="0"/>
        </w:rPr>
        <w:t>.</w:t>
      </w:r>
      <w:r>
        <w:rPr>
          <w:snapToGrid w:val="0"/>
        </w:rPr>
        <w:tab/>
        <w:t>Schedule 1 applicable to board</w:t>
      </w:r>
      <w:bookmarkEnd w:id="96"/>
      <w:bookmarkEnd w:id="97"/>
      <w:bookmarkEnd w:id="98"/>
      <w:bookmarkEnd w:id="99"/>
      <w:bookmarkEnd w:id="100"/>
    </w:p>
    <w:p w:rsidR="00710A10" w:rsidRDefault="007558B6">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rsidR="00710A10" w:rsidRDefault="007558B6">
      <w:pPr>
        <w:pStyle w:val="Footnotesection"/>
      </w:pPr>
      <w:r>
        <w:tab/>
        <w:t>[Section 14 amended by No. 23 of 1998 s. 17(1)].</w:t>
      </w:r>
    </w:p>
    <w:p w:rsidR="00710A10" w:rsidRDefault="007558B6">
      <w:pPr>
        <w:pStyle w:val="Heading5"/>
        <w:rPr>
          <w:snapToGrid w:val="0"/>
        </w:rPr>
      </w:pPr>
      <w:bookmarkStart w:id="101" w:name="_Toc438262304"/>
      <w:bookmarkStart w:id="102" w:name="_Toc487528863"/>
      <w:bookmarkStart w:id="103" w:name="_Toc130196336"/>
      <w:bookmarkStart w:id="104" w:name="_Toc158015095"/>
      <w:bookmarkStart w:id="105" w:name="_Toc241290833"/>
      <w:r>
        <w:rPr>
          <w:rStyle w:val="CharSectno"/>
        </w:rPr>
        <w:t>15</w:t>
      </w:r>
      <w:r>
        <w:rPr>
          <w:snapToGrid w:val="0"/>
        </w:rPr>
        <w:t>.</w:t>
      </w:r>
      <w:r>
        <w:rPr>
          <w:snapToGrid w:val="0"/>
        </w:rPr>
        <w:tab/>
        <w:t xml:space="preserve">Staff of </w:t>
      </w:r>
      <w:bookmarkEnd w:id="101"/>
      <w:bookmarkEnd w:id="102"/>
      <w:r>
        <w:t>Association</w:t>
      </w:r>
      <w:bookmarkEnd w:id="103"/>
      <w:bookmarkEnd w:id="104"/>
      <w:bookmarkEnd w:id="105"/>
    </w:p>
    <w:p w:rsidR="00710A10" w:rsidRDefault="007558B6">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rsidR="00710A10" w:rsidRDefault="007558B6">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rsidR="00710A10" w:rsidRDefault="007558B6">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rsidR="00710A10" w:rsidRDefault="007558B6">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rsidR="00710A10" w:rsidRDefault="007558B6">
      <w:pPr>
        <w:pStyle w:val="Footnotesection"/>
      </w:pPr>
      <w:r>
        <w:tab/>
        <w:t>[Section 15 amended by No. 32 of 1994 s. 3(2); No. 23 of 1998 s. 8 and 16(1); No. 35 of 2003 s. 208 and 218.]</w:t>
      </w:r>
    </w:p>
    <w:p w:rsidR="00710A10" w:rsidRDefault="007558B6">
      <w:pPr>
        <w:pStyle w:val="Heading2"/>
      </w:pPr>
      <w:bookmarkStart w:id="106" w:name="_Toc123002651"/>
      <w:bookmarkStart w:id="107" w:name="_Toc123002700"/>
      <w:bookmarkStart w:id="108" w:name="_Toc123014617"/>
      <w:bookmarkStart w:id="109" w:name="_Toc127678947"/>
      <w:bookmarkStart w:id="110" w:name="_Toc130196337"/>
      <w:bookmarkStart w:id="111" w:name="_Toc157309703"/>
      <w:bookmarkStart w:id="112" w:name="_Toc158014967"/>
      <w:bookmarkStart w:id="113" w:name="_Toc158015096"/>
      <w:bookmarkStart w:id="114" w:name="_Toc237758855"/>
      <w:bookmarkStart w:id="115" w:name="_Toc241290834"/>
      <w:r>
        <w:rPr>
          <w:rStyle w:val="CharPartNo"/>
        </w:rPr>
        <w:t>Part IV</w:t>
      </w:r>
      <w:r>
        <w:rPr>
          <w:rStyle w:val="CharDivNo"/>
        </w:rPr>
        <w:t> </w:t>
      </w:r>
      <w:r>
        <w:t>—</w:t>
      </w:r>
      <w:r>
        <w:rPr>
          <w:rStyle w:val="CharDivText"/>
        </w:rPr>
        <w:t> </w:t>
      </w:r>
      <w:r>
        <w:rPr>
          <w:rStyle w:val="CharPartText"/>
        </w:rPr>
        <w:t>Finance</w:t>
      </w:r>
      <w:bookmarkEnd w:id="106"/>
      <w:bookmarkEnd w:id="107"/>
      <w:bookmarkEnd w:id="108"/>
      <w:bookmarkEnd w:id="109"/>
      <w:bookmarkEnd w:id="110"/>
      <w:bookmarkEnd w:id="111"/>
      <w:bookmarkEnd w:id="112"/>
      <w:bookmarkEnd w:id="113"/>
      <w:bookmarkEnd w:id="114"/>
      <w:bookmarkEnd w:id="115"/>
    </w:p>
    <w:p w:rsidR="00710A10" w:rsidRDefault="007558B6">
      <w:pPr>
        <w:pStyle w:val="Heading5"/>
        <w:spacing w:before="260"/>
        <w:rPr>
          <w:snapToGrid w:val="0"/>
        </w:rPr>
      </w:pPr>
      <w:bookmarkStart w:id="116" w:name="_Toc438262305"/>
      <w:bookmarkStart w:id="117" w:name="_Toc487528864"/>
      <w:bookmarkStart w:id="118" w:name="_Toc130196338"/>
      <w:bookmarkStart w:id="119" w:name="_Toc158015097"/>
      <w:bookmarkStart w:id="120" w:name="_Toc241290835"/>
      <w:r>
        <w:rPr>
          <w:rStyle w:val="CharSectno"/>
        </w:rPr>
        <w:t>16</w:t>
      </w:r>
      <w:r>
        <w:rPr>
          <w:snapToGrid w:val="0"/>
        </w:rPr>
        <w:t>.</w:t>
      </w:r>
      <w:r>
        <w:rPr>
          <w:snapToGrid w:val="0"/>
        </w:rPr>
        <w:tab/>
        <w:t>The Fund</w:t>
      </w:r>
      <w:bookmarkEnd w:id="116"/>
      <w:bookmarkEnd w:id="117"/>
      <w:bookmarkEnd w:id="118"/>
      <w:bookmarkEnd w:id="119"/>
      <w:bookmarkEnd w:id="120"/>
    </w:p>
    <w:p w:rsidR="00710A10" w:rsidRDefault="007558B6">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rsidR="00710A10" w:rsidRDefault="007558B6">
      <w:pPr>
        <w:pStyle w:val="Subsection"/>
        <w:spacing w:before="180"/>
        <w:rPr>
          <w:snapToGrid w:val="0"/>
        </w:rPr>
      </w:pPr>
      <w:r>
        <w:rPr>
          <w:snapToGrid w:val="0"/>
        </w:rPr>
        <w:tab/>
        <w:t>(2)</w:t>
      </w:r>
      <w:r>
        <w:rPr>
          <w:snapToGrid w:val="0"/>
        </w:rPr>
        <w:tab/>
        <w:t>There shall be paid to the credit of the Fund —</w:t>
      </w:r>
    </w:p>
    <w:p w:rsidR="00710A10" w:rsidRDefault="007558B6">
      <w:pPr>
        <w:pStyle w:val="Ednotepara"/>
        <w:spacing w:before="80"/>
        <w:rPr>
          <w:snapToGrid w:val="0"/>
        </w:rPr>
      </w:pPr>
      <w:r>
        <w:rPr>
          <w:snapToGrid w:val="0"/>
        </w:rPr>
        <w:tab/>
        <w:t>[(a)</w:t>
      </w:r>
      <w:r>
        <w:rPr>
          <w:snapToGrid w:val="0"/>
        </w:rPr>
        <w:tab/>
        <w:t>deleted]</w:t>
      </w:r>
    </w:p>
    <w:p w:rsidR="00710A10" w:rsidRDefault="007558B6">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rsidR="00710A10" w:rsidRDefault="007558B6">
      <w:pPr>
        <w:pStyle w:val="Indenta"/>
        <w:rPr>
          <w:snapToGrid w:val="0"/>
        </w:rPr>
      </w:pPr>
      <w:r>
        <w:rPr>
          <w:snapToGrid w:val="0"/>
        </w:rPr>
        <w:tab/>
        <w:t>(c)</w:t>
      </w:r>
      <w:r>
        <w:rPr>
          <w:snapToGrid w:val="0"/>
        </w:rPr>
        <w:tab/>
        <w:t>any moneys borrowed by the</w:t>
      </w:r>
      <w:r>
        <w:t xml:space="preserve"> Association</w:t>
      </w:r>
      <w:r>
        <w:rPr>
          <w:snapToGrid w:val="0"/>
        </w:rPr>
        <w:t>.</w:t>
      </w:r>
    </w:p>
    <w:p w:rsidR="00710A10" w:rsidRDefault="007558B6">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rsidR="00710A10" w:rsidRDefault="007558B6">
      <w:pPr>
        <w:pStyle w:val="Subsection"/>
        <w:spacing w:before="180"/>
        <w:rPr>
          <w:snapToGrid w:val="0"/>
        </w:rPr>
      </w:pPr>
      <w:r>
        <w:rPr>
          <w:snapToGrid w:val="0"/>
        </w:rPr>
        <w:tab/>
        <w:t>(4)</w:t>
      </w:r>
      <w:r>
        <w:rPr>
          <w:snapToGrid w:val="0"/>
        </w:rPr>
        <w:tab/>
        <w:t>All expenses, including —</w:t>
      </w:r>
    </w:p>
    <w:p w:rsidR="00710A10" w:rsidRDefault="007558B6">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rsidR="00710A10" w:rsidRDefault="007558B6">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rsidR="00710A10" w:rsidRDefault="007558B6">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rsidR="00710A10" w:rsidRDefault="007558B6">
      <w:pPr>
        <w:pStyle w:val="Footnotesection"/>
      </w:pPr>
      <w:r>
        <w:tab/>
        <w:t>[Section 16 amended by No. 23 of 1998 s. 9, 16(1) and 17(1); No. 35 of 2003 s. 209 and 218.]</w:t>
      </w:r>
    </w:p>
    <w:p w:rsidR="00710A10" w:rsidRDefault="007558B6">
      <w:pPr>
        <w:pStyle w:val="Ednotesection"/>
        <w:spacing w:before="260"/>
        <w:ind w:left="890" w:hanging="890"/>
      </w:pPr>
      <w:bookmarkStart w:id="121" w:name="_Toc438262307"/>
      <w:bookmarkStart w:id="122" w:name="_Toc487528866"/>
      <w:r>
        <w:t>[</w:t>
      </w:r>
      <w:r>
        <w:rPr>
          <w:b/>
        </w:rPr>
        <w:t>17.</w:t>
      </w:r>
      <w:r>
        <w:rPr>
          <w:b/>
        </w:rPr>
        <w:tab/>
      </w:r>
      <w:r>
        <w:t>Deleted by No. 35 of 2003 s. 210.]</w:t>
      </w:r>
    </w:p>
    <w:p w:rsidR="00710A10" w:rsidRDefault="007558B6">
      <w:pPr>
        <w:pStyle w:val="Heading5"/>
        <w:spacing w:before="260"/>
        <w:rPr>
          <w:snapToGrid w:val="0"/>
        </w:rPr>
      </w:pPr>
      <w:bookmarkStart w:id="123" w:name="_Toc130196339"/>
      <w:bookmarkStart w:id="124" w:name="_Toc158015098"/>
      <w:bookmarkStart w:id="125" w:name="_Toc241290836"/>
      <w:r>
        <w:rPr>
          <w:rStyle w:val="CharSectno"/>
        </w:rPr>
        <w:t>18</w:t>
      </w:r>
      <w:r>
        <w:rPr>
          <w:snapToGrid w:val="0"/>
        </w:rPr>
        <w:t>.</w:t>
      </w:r>
      <w:r>
        <w:rPr>
          <w:snapToGrid w:val="0"/>
        </w:rPr>
        <w:tab/>
        <w:t>Investment</w:t>
      </w:r>
      <w:bookmarkEnd w:id="121"/>
      <w:bookmarkEnd w:id="122"/>
      <w:bookmarkEnd w:id="123"/>
      <w:bookmarkEnd w:id="124"/>
      <w:bookmarkEnd w:id="125"/>
    </w:p>
    <w:p w:rsidR="00710A10" w:rsidRDefault="007558B6">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rsidR="00710A10" w:rsidRDefault="007558B6">
      <w:pPr>
        <w:pStyle w:val="Footnotesection"/>
      </w:pPr>
      <w:r>
        <w:tab/>
        <w:t>[Section 18 amended by No. 23 of 1998 s. 16(1); No. 35 of 2003 s. 218.]</w:t>
      </w:r>
    </w:p>
    <w:p w:rsidR="00710A10" w:rsidRDefault="007558B6">
      <w:pPr>
        <w:pStyle w:val="Heading5"/>
        <w:rPr>
          <w:snapToGrid w:val="0"/>
        </w:rPr>
      </w:pPr>
      <w:bookmarkStart w:id="126" w:name="_Toc438262308"/>
      <w:bookmarkStart w:id="127" w:name="_Toc487528867"/>
      <w:bookmarkStart w:id="128" w:name="_Toc130196340"/>
      <w:bookmarkStart w:id="129" w:name="_Toc158015099"/>
      <w:bookmarkStart w:id="130" w:name="_Toc241290837"/>
      <w:r>
        <w:rPr>
          <w:rStyle w:val="CharSectno"/>
        </w:rPr>
        <w:t>19</w:t>
      </w:r>
      <w:r>
        <w:rPr>
          <w:snapToGrid w:val="0"/>
        </w:rPr>
        <w:t>.</w:t>
      </w:r>
      <w:r>
        <w:rPr>
          <w:snapToGrid w:val="0"/>
        </w:rPr>
        <w:tab/>
        <w:t>Application of</w:t>
      </w:r>
      <w:bookmarkEnd w:id="126"/>
      <w:bookmarkEnd w:id="127"/>
      <w:bookmarkEnd w:id="128"/>
      <w:r>
        <w:rPr>
          <w:i/>
        </w:rPr>
        <w:t xml:space="preserve"> Financial Management Act 2006</w:t>
      </w:r>
      <w:r>
        <w:t xml:space="preserve"> and the </w:t>
      </w:r>
      <w:r>
        <w:rPr>
          <w:i/>
        </w:rPr>
        <w:t>Auditor General Act 2006</w:t>
      </w:r>
      <w:bookmarkEnd w:id="129"/>
      <w:bookmarkEnd w:id="130"/>
    </w:p>
    <w:p w:rsidR="00710A10" w:rsidRDefault="007558B6">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rsidR="00710A10" w:rsidRDefault="007558B6">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rsidR="00710A10" w:rsidRDefault="007558B6">
      <w:pPr>
        <w:pStyle w:val="Footnotesection"/>
      </w:pPr>
      <w:r>
        <w:tab/>
        <w:t>[Section 19 inserted by No. 98 of 1985 s. 3; amended by No. 23 of 1998 s. 16(1); No. 35 of 2003 s. 218; No. 77 of 2006 s. 17.]</w:t>
      </w:r>
    </w:p>
    <w:p w:rsidR="00710A10" w:rsidRDefault="007558B6">
      <w:pPr>
        <w:pStyle w:val="Ednotesection"/>
      </w:pPr>
      <w:r>
        <w:t>[</w:t>
      </w:r>
      <w:r>
        <w:rPr>
          <w:b/>
        </w:rPr>
        <w:t>20.</w:t>
      </w:r>
      <w:r>
        <w:t xml:space="preserve"> </w:t>
      </w:r>
      <w:r>
        <w:tab/>
        <w:t>Deleted by No. 98 of 1985 s. 3.]</w:t>
      </w:r>
    </w:p>
    <w:p w:rsidR="00710A10" w:rsidRDefault="007558B6">
      <w:pPr>
        <w:pStyle w:val="Heading2"/>
      </w:pPr>
      <w:bookmarkStart w:id="131" w:name="_Toc123002655"/>
      <w:bookmarkStart w:id="132" w:name="_Toc123002704"/>
      <w:bookmarkStart w:id="133" w:name="_Toc123014621"/>
      <w:bookmarkStart w:id="134" w:name="_Toc127678951"/>
      <w:bookmarkStart w:id="135" w:name="_Toc130196341"/>
      <w:bookmarkStart w:id="136" w:name="_Toc157309707"/>
      <w:bookmarkStart w:id="137" w:name="_Toc158014971"/>
      <w:bookmarkStart w:id="138" w:name="_Toc158015100"/>
      <w:bookmarkStart w:id="139" w:name="_Toc237758859"/>
      <w:bookmarkStart w:id="140" w:name="_Toc241290838"/>
      <w:r>
        <w:rPr>
          <w:rStyle w:val="CharPartNo"/>
        </w:rPr>
        <w:t>Part V</w:t>
      </w:r>
      <w:r>
        <w:t xml:space="preserve"> — </w:t>
      </w:r>
      <w:r>
        <w:rPr>
          <w:rStyle w:val="CharPartText"/>
        </w:rPr>
        <w:t>Offences and enforcement</w:t>
      </w:r>
      <w:bookmarkEnd w:id="131"/>
      <w:bookmarkEnd w:id="132"/>
      <w:bookmarkEnd w:id="133"/>
      <w:bookmarkEnd w:id="134"/>
      <w:bookmarkEnd w:id="135"/>
      <w:bookmarkEnd w:id="136"/>
      <w:bookmarkEnd w:id="137"/>
      <w:bookmarkEnd w:id="138"/>
      <w:bookmarkEnd w:id="139"/>
      <w:bookmarkEnd w:id="140"/>
    </w:p>
    <w:p w:rsidR="00710A10" w:rsidRDefault="007558B6">
      <w:pPr>
        <w:pStyle w:val="Footnoteheading"/>
      </w:pPr>
      <w:r>
        <w:tab/>
        <w:t>[Heading inserted by No. 23 of 1998 s. 11.]</w:t>
      </w:r>
    </w:p>
    <w:p w:rsidR="00710A10" w:rsidRDefault="007558B6">
      <w:pPr>
        <w:pStyle w:val="Heading5"/>
      </w:pPr>
      <w:bookmarkStart w:id="141" w:name="_Toc130196342"/>
      <w:bookmarkStart w:id="142" w:name="_Toc158015101"/>
      <w:bookmarkStart w:id="143" w:name="_Toc241290839"/>
      <w:bookmarkStart w:id="144" w:name="_Toc438262310"/>
      <w:bookmarkStart w:id="145" w:name="_Toc487528869"/>
      <w:r>
        <w:rPr>
          <w:rStyle w:val="CharSectno"/>
        </w:rPr>
        <w:t>21</w:t>
      </w:r>
      <w:r>
        <w:t>.</w:t>
      </w:r>
      <w:r>
        <w:tab/>
        <w:t>Preventing performance of powers and functions</w:t>
      </w:r>
      <w:bookmarkEnd w:id="141"/>
      <w:bookmarkEnd w:id="142"/>
      <w:bookmarkEnd w:id="143"/>
    </w:p>
    <w:p w:rsidR="00710A10" w:rsidRDefault="007558B6">
      <w:pPr>
        <w:pStyle w:val="Subsection"/>
      </w:pPr>
      <w:r>
        <w:tab/>
      </w:r>
      <w:r>
        <w:tab/>
        <w:t>A person shall not obstruct, threaten or insult the Association, the board, a member of the board or an officer, employee or agent of the Association.</w:t>
      </w:r>
    </w:p>
    <w:p w:rsidR="00710A10" w:rsidRDefault="007558B6">
      <w:pPr>
        <w:pStyle w:val="Penstart"/>
      </w:pPr>
      <w:r>
        <w:tab/>
        <w:t>Penalty: $5 000.</w:t>
      </w:r>
    </w:p>
    <w:p w:rsidR="00710A10" w:rsidRDefault="007558B6">
      <w:pPr>
        <w:pStyle w:val="Footnotesection"/>
      </w:pPr>
      <w:r>
        <w:tab/>
        <w:t>[Section 21 inserted by No. 35 of 2003 s. 211.]</w:t>
      </w:r>
    </w:p>
    <w:p w:rsidR="00710A10" w:rsidRDefault="007558B6">
      <w:pPr>
        <w:pStyle w:val="Heading5"/>
      </w:pPr>
      <w:bookmarkStart w:id="146" w:name="_Toc130196343"/>
      <w:bookmarkStart w:id="147" w:name="_Toc158015102"/>
      <w:bookmarkStart w:id="148" w:name="_Toc241290840"/>
      <w:r>
        <w:rPr>
          <w:rStyle w:val="CharSectno"/>
        </w:rPr>
        <w:t>22</w:t>
      </w:r>
      <w:r>
        <w:t>.</w:t>
      </w:r>
      <w:r>
        <w:tab/>
        <w:t>False or misleading statements</w:t>
      </w:r>
      <w:bookmarkEnd w:id="144"/>
      <w:bookmarkEnd w:id="145"/>
      <w:bookmarkEnd w:id="146"/>
      <w:bookmarkEnd w:id="147"/>
      <w:bookmarkEnd w:id="148"/>
    </w:p>
    <w:p w:rsidR="00710A10" w:rsidRDefault="007558B6">
      <w:pPr>
        <w:pStyle w:val="Subsection"/>
      </w:pPr>
      <w:r>
        <w:tab/>
        <w:t>(1)</w:t>
      </w:r>
      <w:r>
        <w:tab/>
        <w:t>A person shall not, in relation to greyhound racing, make a statement, whether oral or written, which is false or which is, or is likely to be, misleading.</w:t>
      </w:r>
    </w:p>
    <w:p w:rsidR="00710A10" w:rsidRDefault="007558B6">
      <w:pPr>
        <w:pStyle w:val="Penstart"/>
      </w:pPr>
      <w:r>
        <w:tab/>
        <w:t>Penalty: $5 000.</w:t>
      </w:r>
    </w:p>
    <w:p w:rsidR="00710A10" w:rsidRDefault="007558B6">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rsidR="00710A10" w:rsidRDefault="007558B6">
      <w:pPr>
        <w:pStyle w:val="Footnotesection"/>
      </w:pPr>
      <w:r>
        <w:tab/>
        <w:t>[Section 22 inserted by No. 23 of 1998 s. 11; amended by No. 35 of 2003 s. 212.]</w:t>
      </w:r>
    </w:p>
    <w:p w:rsidR="00710A10" w:rsidRDefault="007558B6">
      <w:pPr>
        <w:pStyle w:val="Ednotesection"/>
      </w:pPr>
      <w:r>
        <w:t>[</w:t>
      </w:r>
      <w:r>
        <w:rPr>
          <w:b/>
        </w:rPr>
        <w:t>23.</w:t>
      </w:r>
      <w:r>
        <w:tab/>
        <w:t>Deleted by No. 35 of 2003 s. 213.]</w:t>
      </w:r>
    </w:p>
    <w:p w:rsidR="00710A10" w:rsidRDefault="007558B6">
      <w:pPr>
        <w:pStyle w:val="Ednotesection"/>
      </w:pPr>
      <w:r>
        <w:t>[</w:t>
      </w:r>
      <w:r>
        <w:rPr>
          <w:b/>
        </w:rPr>
        <w:t>24</w:t>
      </w:r>
      <w:r>
        <w:rPr>
          <w:b/>
        </w:rPr>
        <w:noBreakHyphen/>
        <w:t>26.</w:t>
      </w:r>
      <w:r>
        <w:tab/>
        <w:t>Deleted by No. 23 of 1998 s. 11.]</w:t>
      </w:r>
    </w:p>
    <w:p w:rsidR="00710A10" w:rsidRDefault="007558B6">
      <w:pPr>
        <w:pStyle w:val="Ednotepart"/>
      </w:pPr>
      <w:r>
        <w:t>[Part VI (s. 27</w:t>
      </w:r>
      <w:r>
        <w:noBreakHyphen/>
        <w:t>31) deleted by No. 35 of 2003 s. 214.]</w:t>
      </w:r>
    </w:p>
    <w:p w:rsidR="00710A10" w:rsidRDefault="007558B6">
      <w:pPr>
        <w:pStyle w:val="Heading2"/>
      </w:pPr>
      <w:bookmarkStart w:id="149" w:name="_Toc123002658"/>
      <w:bookmarkStart w:id="150" w:name="_Toc123002707"/>
      <w:bookmarkStart w:id="151" w:name="_Toc123014624"/>
      <w:bookmarkStart w:id="152" w:name="_Toc127678954"/>
      <w:bookmarkStart w:id="153" w:name="_Toc130196344"/>
      <w:bookmarkStart w:id="154" w:name="_Toc157309710"/>
      <w:bookmarkStart w:id="155" w:name="_Toc158014974"/>
      <w:bookmarkStart w:id="156" w:name="_Toc158015103"/>
      <w:bookmarkStart w:id="157" w:name="_Toc237758862"/>
      <w:bookmarkStart w:id="158" w:name="_Toc241290841"/>
      <w:r>
        <w:rPr>
          <w:rStyle w:val="CharPartNo"/>
        </w:rPr>
        <w:t>Part VII</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p>
    <w:p w:rsidR="00710A10" w:rsidRDefault="007558B6">
      <w:pPr>
        <w:pStyle w:val="Heading5"/>
        <w:rPr>
          <w:snapToGrid w:val="0"/>
        </w:rPr>
      </w:pPr>
      <w:bookmarkStart w:id="159" w:name="_Toc438262317"/>
      <w:bookmarkStart w:id="160" w:name="_Toc487528876"/>
      <w:bookmarkStart w:id="161" w:name="_Toc130196345"/>
      <w:bookmarkStart w:id="162" w:name="_Toc158015104"/>
      <w:bookmarkStart w:id="163" w:name="_Toc241290842"/>
      <w:r>
        <w:rPr>
          <w:rStyle w:val="CharSectno"/>
        </w:rPr>
        <w:t>32</w:t>
      </w:r>
      <w:r>
        <w:rPr>
          <w:snapToGrid w:val="0"/>
        </w:rPr>
        <w:t>.</w:t>
      </w:r>
      <w:r>
        <w:rPr>
          <w:snapToGrid w:val="0"/>
        </w:rPr>
        <w:tab/>
        <w:t>Information and annual report</w:t>
      </w:r>
      <w:bookmarkEnd w:id="159"/>
      <w:bookmarkEnd w:id="160"/>
      <w:bookmarkEnd w:id="161"/>
      <w:bookmarkEnd w:id="162"/>
      <w:bookmarkEnd w:id="163"/>
    </w:p>
    <w:p w:rsidR="00710A10" w:rsidRDefault="007558B6">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rsidR="00710A10" w:rsidRDefault="007558B6">
      <w:pPr>
        <w:pStyle w:val="Ednotesubsection"/>
      </w:pPr>
      <w:r>
        <w:tab/>
        <w:t>[(2), (3)</w:t>
      </w:r>
      <w:r>
        <w:tab/>
        <w:t>deleted]</w:t>
      </w:r>
    </w:p>
    <w:p w:rsidR="00710A10" w:rsidRDefault="007558B6">
      <w:pPr>
        <w:pStyle w:val="Footnotesection"/>
      </w:pPr>
      <w:r>
        <w:tab/>
        <w:t>[Section 32 amended by No. 98 of 1985 s. 3; No. 23 of 1998 s. 16(1) and 17(1); No. 35 of 2003 s. 218.]</w:t>
      </w:r>
    </w:p>
    <w:p w:rsidR="00710A10" w:rsidRDefault="007558B6">
      <w:pPr>
        <w:pStyle w:val="Heading5"/>
        <w:rPr>
          <w:snapToGrid w:val="0"/>
        </w:rPr>
      </w:pPr>
      <w:bookmarkStart w:id="164" w:name="_Toc438262318"/>
      <w:bookmarkStart w:id="165" w:name="_Toc487528877"/>
      <w:bookmarkStart w:id="166" w:name="_Toc130196346"/>
      <w:bookmarkStart w:id="167" w:name="_Toc158015105"/>
      <w:bookmarkStart w:id="168" w:name="_Toc241290843"/>
      <w:r>
        <w:rPr>
          <w:rStyle w:val="CharSectno"/>
        </w:rPr>
        <w:t>33</w:t>
      </w:r>
      <w:r>
        <w:rPr>
          <w:snapToGrid w:val="0"/>
        </w:rPr>
        <w:t>.</w:t>
      </w:r>
      <w:r>
        <w:rPr>
          <w:snapToGrid w:val="0"/>
        </w:rPr>
        <w:tab/>
        <w:t>Recovery of money</w:t>
      </w:r>
      <w:bookmarkEnd w:id="164"/>
      <w:bookmarkEnd w:id="165"/>
      <w:bookmarkEnd w:id="166"/>
      <w:bookmarkEnd w:id="167"/>
      <w:bookmarkEnd w:id="168"/>
    </w:p>
    <w:p w:rsidR="00710A10" w:rsidRDefault="007558B6">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rsidR="00710A10" w:rsidRDefault="007558B6">
      <w:pPr>
        <w:pStyle w:val="Footnotesection"/>
      </w:pPr>
      <w:r>
        <w:tab/>
        <w:t>[Section 33 amended by No. 23 of 1998 s. 16(1); No. 35 of 2003 s. 218.]</w:t>
      </w:r>
    </w:p>
    <w:p w:rsidR="00710A10" w:rsidRDefault="007558B6">
      <w:pPr>
        <w:pStyle w:val="Heading5"/>
        <w:rPr>
          <w:snapToGrid w:val="0"/>
        </w:rPr>
      </w:pPr>
      <w:bookmarkStart w:id="169" w:name="_Toc438262319"/>
      <w:bookmarkStart w:id="170" w:name="_Toc487528878"/>
      <w:bookmarkStart w:id="171" w:name="_Toc130196347"/>
      <w:bookmarkStart w:id="172" w:name="_Toc158015106"/>
      <w:bookmarkStart w:id="173" w:name="_Toc241290844"/>
      <w:r>
        <w:rPr>
          <w:rStyle w:val="CharSectno"/>
        </w:rPr>
        <w:t>34</w:t>
      </w:r>
      <w:r>
        <w:rPr>
          <w:snapToGrid w:val="0"/>
        </w:rPr>
        <w:t>.</w:t>
      </w:r>
      <w:r>
        <w:rPr>
          <w:snapToGrid w:val="0"/>
        </w:rPr>
        <w:tab/>
        <w:t>How legal proceedings taken</w:t>
      </w:r>
      <w:bookmarkEnd w:id="169"/>
      <w:bookmarkEnd w:id="170"/>
      <w:bookmarkEnd w:id="171"/>
      <w:bookmarkEnd w:id="172"/>
      <w:bookmarkEnd w:id="173"/>
    </w:p>
    <w:p w:rsidR="00710A10" w:rsidRDefault="007558B6">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rsidR="00710A10" w:rsidRDefault="007558B6">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rsidR="00710A10" w:rsidRDefault="007558B6">
      <w:pPr>
        <w:pStyle w:val="Footnotesection"/>
      </w:pPr>
      <w:r>
        <w:tab/>
        <w:t>[Section 34 amended by No. 23 of 1998 s. 16(1) and 17(1); No. 35 of 2003 s. 218.]</w:t>
      </w:r>
    </w:p>
    <w:p w:rsidR="00710A10" w:rsidRDefault="007558B6">
      <w:pPr>
        <w:pStyle w:val="Heading5"/>
        <w:rPr>
          <w:snapToGrid w:val="0"/>
        </w:rPr>
      </w:pPr>
      <w:bookmarkStart w:id="174" w:name="_Toc438262320"/>
      <w:bookmarkStart w:id="175" w:name="_Toc487528879"/>
      <w:bookmarkStart w:id="176" w:name="_Toc130196348"/>
      <w:bookmarkStart w:id="177" w:name="_Toc158015107"/>
      <w:bookmarkStart w:id="178" w:name="_Toc241290845"/>
      <w:r>
        <w:rPr>
          <w:rStyle w:val="CharSectno"/>
        </w:rPr>
        <w:t>35</w:t>
      </w:r>
      <w:r>
        <w:rPr>
          <w:snapToGrid w:val="0"/>
        </w:rPr>
        <w:t>.</w:t>
      </w:r>
      <w:r>
        <w:rPr>
          <w:snapToGrid w:val="0"/>
        </w:rPr>
        <w:tab/>
        <w:t>Protection from liability etc.</w:t>
      </w:r>
      <w:bookmarkEnd w:id="174"/>
      <w:bookmarkEnd w:id="175"/>
      <w:bookmarkEnd w:id="176"/>
      <w:bookmarkEnd w:id="177"/>
      <w:bookmarkEnd w:id="178"/>
    </w:p>
    <w:p w:rsidR="00710A10" w:rsidRDefault="007558B6">
      <w:pPr>
        <w:pStyle w:val="Subsection"/>
        <w:keepNext/>
        <w:keepLines/>
        <w:rPr>
          <w:snapToGrid w:val="0"/>
        </w:rPr>
      </w:pPr>
      <w:r>
        <w:rPr>
          <w:snapToGrid w:val="0"/>
        </w:rPr>
        <w:tab/>
      </w:r>
      <w:r>
        <w:rPr>
          <w:snapToGrid w:val="0"/>
        </w:rPr>
        <w:tab/>
        <w:t>A matter or thing done or omitted by —</w:t>
      </w:r>
    </w:p>
    <w:p w:rsidR="00710A10" w:rsidRDefault="007558B6">
      <w:pPr>
        <w:pStyle w:val="Indenta"/>
        <w:rPr>
          <w:snapToGrid w:val="0"/>
        </w:rPr>
      </w:pPr>
      <w:r>
        <w:rPr>
          <w:snapToGrid w:val="0"/>
        </w:rPr>
        <w:tab/>
        <w:t>(a)</w:t>
      </w:r>
      <w:r>
        <w:rPr>
          <w:snapToGrid w:val="0"/>
        </w:rPr>
        <w:tab/>
        <w:t>a member of the board;</w:t>
      </w:r>
    </w:p>
    <w:p w:rsidR="00710A10" w:rsidRDefault="007558B6">
      <w:pPr>
        <w:pStyle w:val="Indenta"/>
        <w:rPr>
          <w:snapToGrid w:val="0"/>
        </w:rPr>
      </w:pPr>
      <w:r>
        <w:rPr>
          <w:snapToGrid w:val="0"/>
        </w:rPr>
        <w:tab/>
        <w:t>(b)</w:t>
      </w:r>
      <w:r>
        <w:rPr>
          <w:snapToGrid w:val="0"/>
        </w:rPr>
        <w:tab/>
        <w:t>an officer, employee or agent of the</w:t>
      </w:r>
      <w:r>
        <w:t xml:space="preserve"> Association</w:t>
      </w:r>
      <w:r>
        <w:rPr>
          <w:snapToGrid w:val="0"/>
        </w:rPr>
        <w:t>; or</w:t>
      </w:r>
    </w:p>
    <w:p w:rsidR="00710A10" w:rsidRDefault="007558B6">
      <w:pPr>
        <w:pStyle w:val="Indenta"/>
        <w:rPr>
          <w:snapToGrid w:val="0"/>
        </w:rPr>
      </w:pPr>
      <w:r>
        <w:rPr>
          <w:snapToGrid w:val="0"/>
        </w:rPr>
        <w:tab/>
        <w:t>(c)</w:t>
      </w:r>
      <w:r>
        <w:rPr>
          <w:snapToGrid w:val="0"/>
        </w:rPr>
        <w:tab/>
        <w:t>a person who otherwise performs a function under this Act,</w:t>
      </w:r>
    </w:p>
    <w:p w:rsidR="00710A10" w:rsidRDefault="007558B6">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rsidR="00710A10" w:rsidRDefault="007558B6">
      <w:pPr>
        <w:pStyle w:val="Footnotesection"/>
      </w:pPr>
      <w:r>
        <w:tab/>
        <w:t>[Section 35 inserted by No. 23 of 1998 s. 12; amended by No. 35 of 2003 s. 215 and 218.]</w:t>
      </w:r>
    </w:p>
    <w:p w:rsidR="00710A10" w:rsidRDefault="007558B6">
      <w:pPr>
        <w:pStyle w:val="Heading5"/>
        <w:rPr>
          <w:snapToGrid w:val="0"/>
        </w:rPr>
      </w:pPr>
      <w:bookmarkStart w:id="179" w:name="_Toc438262321"/>
      <w:bookmarkStart w:id="180" w:name="_Toc487528880"/>
      <w:bookmarkStart w:id="181" w:name="_Toc130196349"/>
      <w:bookmarkStart w:id="182" w:name="_Toc158015108"/>
      <w:bookmarkStart w:id="183" w:name="_Toc241290846"/>
      <w:r>
        <w:rPr>
          <w:rStyle w:val="CharSectno"/>
        </w:rPr>
        <w:t>36</w:t>
      </w:r>
      <w:r>
        <w:rPr>
          <w:snapToGrid w:val="0"/>
        </w:rPr>
        <w:t>.</w:t>
      </w:r>
      <w:r>
        <w:rPr>
          <w:snapToGrid w:val="0"/>
        </w:rPr>
        <w:tab/>
        <w:t>Publication of proceedings, etc., of greyhound racing inquiries privileged</w:t>
      </w:r>
      <w:bookmarkEnd w:id="179"/>
      <w:bookmarkEnd w:id="180"/>
      <w:bookmarkEnd w:id="181"/>
      <w:bookmarkEnd w:id="182"/>
      <w:bookmarkEnd w:id="183"/>
    </w:p>
    <w:p w:rsidR="00710A10" w:rsidRDefault="007558B6">
      <w:pPr>
        <w:pStyle w:val="Subsection"/>
        <w:rPr>
          <w:snapToGrid w:val="0"/>
        </w:rPr>
      </w:pPr>
      <w:r>
        <w:rPr>
          <w:snapToGrid w:val="0"/>
        </w:rPr>
        <w:tab/>
      </w:r>
      <w:r>
        <w:rPr>
          <w:snapToGrid w:val="0"/>
        </w:rPr>
        <w:tab/>
        <w:t>Without limiting the operation of section 35 no action, claim or demand whatever lies against —</w:t>
      </w:r>
    </w:p>
    <w:p w:rsidR="00710A10" w:rsidRDefault="007558B6">
      <w:pPr>
        <w:pStyle w:val="Ednotepara"/>
        <w:spacing w:before="80"/>
        <w:rPr>
          <w:snapToGrid w:val="0"/>
        </w:rPr>
      </w:pPr>
      <w:r>
        <w:rPr>
          <w:snapToGrid w:val="0"/>
        </w:rPr>
        <w:tab/>
        <w:t>[(a)</w:t>
      </w:r>
      <w:r>
        <w:rPr>
          <w:snapToGrid w:val="0"/>
        </w:rPr>
        <w:tab/>
        <w:t>deleted]</w:t>
      </w:r>
    </w:p>
    <w:p w:rsidR="00710A10" w:rsidRDefault="007558B6">
      <w:pPr>
        <w:pStyle w:val="Indenta"/>
        <w:rPr>
          <w:snapToGrid w:val="0"/>
        </w:rPr>
      </w:pPr>
      <w:r>
        <w:rPr>
          <w:snapToGrid w:val="0"/>
        </w:rPr>
        <w:tab/>
        <w:t>(b)</w:t>
      </w:r>
      <w:r>
        <w:rPr>
          <w:snapToGrid w:val="0"/>
        </w:rPr>
        <w:tab/>
        <w:t>any registered greyhound racing club or any managing body, member, officer, employee or agent of such a club; or</w:t>
      </w:r>
    </w:p>
    <w:p w:rsidR="00710A10" w:rsidRDefault="007558B6">
      <w:pPr>
        <w:pStyle w:val="Indenta"/>
        <w:rPr>
          <w:snapToGrid w:val="0"/>
        </w:rPr>
      </w:pPr>
      <w:r>
        <w:rPr>
          <w:snapToGrid w:val="0"/>
        </w:rPr>
        <w:tab/>
        <w:t>(c)</w:t>
      </w:r>
      <w:r>
        <w:rPr>
          <w:snapToGrid w:val="0"/>
        </w:rPr>
        <w:tab/>
        <w:t>the proprietor, editor, printer or publisher of any newspaper, journal or periodical,</w:t>
      </w:r>
    </w:p>
    <w:p w:rsidR="00710A10" w:rsidRDefault="007558B6">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rsidR="00710A10" w:rsidRDefault="007558B6">
      <w:pPr>
        <w:pStyle w:val="Footnotesection"/>
      </w:pPr>
      <w:r>
        <w:tab/>
        <w:t>[Section 36 amended by No. 23 of 1998 s. 13, 16(1), 17(1) and (2); No. 35 of 2003 s. 216.]</w:t>
      </w:r>
    </w:p>
    <w:p w:rsidR="00710A10" w:rsidRDefault="007558B6">
      <w:pPr>
        <w:pStyle w:val="Heading5"/>
        <w:rPr>
          <w:snapToGrid w:val="0"/>
        </w:rPr>
      </w:pPr>
      <w:bookmarkStart w:id="184" w:name="_Toc438262322"/>
      <w:bookmarkStart w:id="185" w:name="_Toc487528881"/>
      <w:bookmarkStart w:id="186" w:name="_Toc130196350"/>
      <w:bookmarkStart w:id="187" w:name="_Toc158015109"/>
      <w:bookmarkStart w:id="188" w:name="_Toc241290847"/>
      <w:r>
        <w:rPr>
          <w:rStyle w:val="CharSectno"/>
        </w:rPr>
        <w:t>37</w:t>
      </w:r>
      <w:r>
        <w:rPr>
          <w:snapToGrid w:val="0"/>
        </w:rPr>
        <w:t>.</w:t>
      </w:r>
      <w:r>
        <w:rPr>
          <w:snapToGrid w:val="0"/>
        </w:rPr>
        <w:tab/>
        <w:t>Regulations</w:t>
      </w:r>
      <w:bookmarkEnd w:id="184"/>
      <w:bookmarkEnd w:id="185"/>
      <w:bookmarkEnd w:id="186"/>
      <w:bookmarkEnd w:id="187"/>
      <w:bookmarkEnd w:id="188"/>
    </w:p>
    <w:p w:rsidR="00710A10" w:rsidRDefault="007558B6">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rsidR="00710A10" w:rsidRDefault="007558B6">
      <w:pPr>
        <w:pStyle w:val="Ednotesection"/>
        <w:keepLines/>
      </w:pPr>
      <w:r>
        <w:t>[</w:t>
      </w:r>
      <w:r>
        <w:rPr>
          <w:b/>
        </w:rPr>
        <w:t>38.</w:t>
      </w:r>
      <w:r>
        <w:tab/>
        <w:t>Deleted by No. 23 of 1998 s. 14.]</w:t>
      </w:r>
    </w:p>
    <w:p w:rsidR="00710A10" w:rsidRDefault="007558B6">
      <w:pPr>
        <w:pStyle w:val="Heading2"/>
      </w:pPr>
      <w:bookmarkStart w:id="189" w:name="_Toc123002665"/>
      <w:bookmarkStart w:id="190" w:name="_Toc123002714"/>
      <w:bookmarkStart w:id="191" w:name="_Toc123014631"/>
      <w:bookmarkStart w:id="192" w:name="_Toc127678961"/>
      <w:bookmarkStart w:id="193" w:name="_Toc130196351"/>
      <w:bookmarkStart w:id="194" w:name="_Toc157309717"/>
      <w:bookmarkStart w:id="195" w:name="_Toc158014981"/>
      <w:bookmarkStart w:id="196" w:name="_Toc158015110"/>
      <w:bookmarkStart w:id="197" w:name="_Toc237758869"/>
      <w:bookmarkStart w:id="198" w:name="_Toc241290848"/>
      <w:r>
        <w:rPr>
          <w:rStyle w:val="CharPartNo"/>
        </w:rPr>
        <w:t>Part VIII</w:t>
      </w:r>
      <w:r>
        <w:rPr>
          <w:rStyle w:val="CharDivNo"/>
        </w:rPr>
        <w:t> </w:t>
      </w:r>
      <w:r>
        <w:t>—</w:t>
      </w:r>
      <w:r>
        <w:rPr>
          <w:rStyle w:val="CharDivText"/>
        </w:rPr>
        <w:t> </w:t>
      </w:r>
      <w:r>
        <w:rPr>
          <w:rStyle w:val="CharPartText"/>
        </w:rPr>
        <w:t>Repeal, transitional and saving</w:t>
      </w:r>
      <w:bookmarkEnd w:id="189"/>
      <w:bookmarkEnd w:id="190"/>
      <w:bookmarkEnd w:id="191"/>
      <w:bookmarkEnd w:id="192"/>
      <w:bookmarkEnd w:id="193"/>
      <w:bookmarkEnd w:id="194"/>
      <w:bookmarkEnd w:id="195"/>
      <w:bookmarkEnd w:id="196"/>
      <w:bookmarkEnd w:id="197"/>
      <w:bookmarkEnd w:id="198"/>
    </w:p>
    <w:p w:rsidR="00710A10" w:rsidRDefault="007558B6">
      <w:pPr>
        <w:pStyle w:val="Ednotesection"/>
      </w:pPr>
      <w:r>
        <w:t>[</w:t>
      </w:r>
      <w:r>
        <w:rPr>
          <w:b/>
        </w:rPr>
        <w:t>39.</w:t>
      </w:r>
      <w:r>
        <w:tab/>
        <w:t>Omitted under the Reprints Act 1984 s. 7(4)(f).]</w:t>
      </w:r>
    </w:p>
    <w:p w:rsidR="00710A10" w:rsidRDefault="007558B6">
      <w:pPr>
        <w:pStyle w:val="Heading5"/>
        <w:rPr>
          <w:snapToGrid w:val="0"/>
        </w:rPr>
      </w:pPr>
      <w:bookmarkStart w:id="199" w:name="_Toc438262324"/>
      <w:bookmarkStart w:id="200" w:name="_Toc487528883"/>
      <w:bookmarkStart w:id="201" w:name="_Toc130196352"/>
      <w:bookmarkStart w:id="202" w:name="_Toc158015111"/>
      <w:bookmarkStart w:id="203" w:name="_Toc241290849"/>
      <w:r>
        <w:rPr>
          <w:rStyle w:val="CharSectno"/>
        </w:rPr>
        <w:t>40</w:t>
      </w:r>
      <w:r>
        <w:rPr>
          <w:snapToGrid w:val="0"/>
        </w:rPr>
        <w:t>.</w:t>
      </w:r>
      <w:r>
        <w:rPr>
          <w:snapToGrid w:val="0"/>
        </w:rPr>
        <w:tab/>
        <w:t>Conduct of greyhound racing at Cannington race course</w:t>
      </w:r>
      <w:bookmarkEnd w:id="199"/>
      <w:bookmarkEnd w:id="200"/>
      <w:bookmarkEnd w:id="201"/>
      <w:bookmarkEnd w:id="202"/>
      <w:bookmarkEnd w:id="203"/>
    </w:p>
    <w:p w:rsidR="00710A10" w:rsidRDefault="007558B6">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rsidR="00710A10" w:rsidRDefault="007558B6">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rsidR="00710A10" w:rsidRDefault="007558B6">
      <w:pPr>
        <w:pStyle w:val="Footnotesection"/>
      </w:pPr>
      <w:r>
        <w:tab/>
        <w:t>[Section 40 amended by No. 23 of 1998 s. 16(1); No. 35 of 2003 s. 218.]</w:t>
      </w:r>
    </w:p>
    <w:p w:rsidR="00710A10" w:rsidRDefault="00710A10">
      <w:pPr>
        <w:rPr>
          <w:rStyle w:val="CharDivText"/>
        </w:rPr>
        <w:sectPr w:rsidR="00710A1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10A10" w:rsidRDefault="007558B6">
      <w:pPr>
        <w:pStyle w:val="yScheduleHeading"/>
      </w:pPr>
      <w:bookmarkStart w:id="204" w:name="_Toc123002668"/>
      <w:bookmarkStart w:id="205" w:name="_Toc123002717"/>
      <w:bookmarkStart w:id="206" w:name="_Toc123014634"/>
      <w:bookmarkStart w:id="207" w:name="_Toc127678963"/>
      <w:bookmarkStart w:id="208" w:name="_Toc130196353"/>
      <w:bookmarkStart w:id="209" w:name="_Toc157309719"/>
      <w:bookmarkStart w:id="210" w:name="_Toc158014983"/>
      <w:bookmarkStart w:id="211" w:name="_Toc158015112"/>
      <w:bookmarkStart w:id="212" w:name="_Toc237758871"/>
      <w:bookmarkStart w:id="213" w:name="_Toc241290850"/>
      <w:r>
        <w:rPr>
          <w:rStyle w:val="CharSchNo"/>
        </w:rPr>
        <w:t>Schedule 1</w:t>
      </w:r>
      <w:bookmarkEnd w:id="204"/>
      <w:bookmarkEnd w:id="205"/>
      <w:bookmarkEnd w:id="206"/>
      <w:bookmarkEnd w:id="207"/>
      <w:bookmarkEnd w:id="208"/>
      <w:bookmarkEnd w:id="209"/>
      <w:bookmarkEnd w:id="210"/>
      <w:bookmarkEnd w:id="211"/>
      <w:bookmarkEnd w:id="212"/>
      <w:bookmarkEnd w:id="213"/>
    </w:p>
    <w:p w:rsidR="00710A10" w:rsidRDefault="007558B6">
      <w:pPr>
        <w:pStyle w:val="yShoulderClause"/>
        <w:rPr>
          <w:snapToGrid w:val="0"/>
        </w:rPr>
      </w:pPr>
      <w:r>
        <w:rPr>
          <w:snapToGrid w:val="0"/>
        </w:rPr>
        <w:t>[s. 14.]</w:t>
      </w:r>
    </w:p>
    <w:p w:rsidR="00710A10" w:rsidRDefault="007558B6">
      <w:pPr>
        <w:pStyle w:val="yHeading2"/>
      </w:pPr>
      <w:bookmarkStart w:id="214" w:name="_Toc237758872"/>
      <w:bookmarkStart w:id="215" w:name="_Toc241290851"/>
      <w:r>
        <w:rPr>
          <w:rStyle w:val="CharSchText"/>
        </w:rPr>
        <w:t>Provisions as to board</w:t>
      </w:r>
      <w:bookmarkEnd w:id="214"/>
      <w:bookmarkEnd w:id="215"/>
    </w:p>
    <w:p w:rsidR="00710A10" w:rsidRDefault="007558B6">
      <w:pPr>
        <w:pStyle w:val="yFootnoteheading"/>
        <w:rPr>
          <w:snapToGrid w:val="0"/>
        </w:rPr>
      </w:pPr>
      <w:r>
        <w:rPr>
          <w:snapToGrid w:val="0"/>
        </w:rPr>
        <w:tab/>
        <w:t>[Heading amended by No. 23 of 1998 s. 17(1).]</w:t>
      </w:r>
    </w:p>
    <w:p w:rsidR="00710A10" w:rsidRDefault="007558B6">
      <w:pPr>
        <w:pStyle w:val="yHeading5"/>
      </w:pPr>
      <w:bookmarkStart w:id="216" w:name="_Toc487528884"/>
      <w:bookmarkStart w:id="217" w:name="_Toc130196354"/>
      <w:bookmarkStart w:id="218" w:name="_Toc158015113"/>
      <w:bookmarkStart w:id="219" w:name="_Toc241290852"/>
      <w:r>
        <w:rPr>
          <w:rStyle w:val="CharSClsNo"/>
        </w:rPr>
        <w:t>1</w:t>
      </w:r>
      <w:r>
        <w:t>.</w:t>
      </w:r>
      <w:r>
        <w:tab/>
        <w:t>Term of office of member</w:t>
      </w:r>
      <w:bookmarkEnd w:id="216"/>
      <w:bookmarkEnd w:id="217"/>
      <w:bookmarkEnd w:id="218"/>
      <w:bookmarkEnd w:id="219"/>
    </w:p>
    <w:p w:rsidR="00710A10" w:rsidRDefault="007558B6">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rsidR="00710A10" w:rsidRDefault="007558B6">
      <w:pPr>
        <w:pStyle w:val="ySubsection"/>
        <w:rPr>
          <w:snapToGrid w:val="0"/>
        </w:rPr>
      </w:pPr>
      <w:r>
        <w:rPr>
          <w:snapToGrid w:val="0"/>
        </w:rPr>
        <w:tab/>
        <w:t>(2)</w:t>
      </w:r>
      <w:r>
        <w:rPr>
          <w:snapToGrid w:val="0"/>
        </w:rPr>
        <w:tab/>
        <w:t>The Minister may grant leave of absence to a member on such terms and conditions as the Minister determines.</w:t>
      </w:r>
    </w:p>
    <w:p w:rsidR="00710A10" w:rsidRDefault="007558B6">
      <w:pPr>
        <w:pStyle w:val="ySubsection"/>
        <w:rPr>
          <w:snapToGrid w:val="0"/>
        </w:rPr>
      </w:pPr>
      <w:r>
        <w:rPr>
          <w:snapToGrid w:val="0"/>
        </w:rPr>
        <w:tab/>
        <w:t>(3)</w:t>
      </w:r>
      <w:r>
        <w:rPr>
          <w:snapToGrid w:val="0"/>
        </w:rPr>
        <w:tab/>
        <w:t>The Minister may terminate the appointment of a member for inability, inefficiency, or misbehaviour.</w:t>
      </w:r>
    </w:p>
    <w:p w:rsidR="00710A10" w:rsidRDefault="007558B6">
      <w:pPr>
        <w:pStyle w:val="ySubsection"/>
        <w:rPr>
          <w:snapToGrid w:val="0"/>
        </w:rPr>
      </w:pPr>
      <w:r>
        <w:rPr>
          <w:snapToGrid w:val="0"/>
        </w:rPr>
        <w:tab/>
        <w:t>(4)</w:t>
      </w:r>
      <w:r>
        <w:rPr>
          <w:snapToGrid w:val="0"/>
        </w:rPr>
        <w:tab/>
        <w:t>The office of a member becomes vacant if —</w:t>
      </w:r>
    </w:p>
    <w:p w:rsidR="00710A10" w:rsidRDefault="007558B6">
      <w:pPr>
        <w:pStyle w:val="yIndenta"/>
        <w:rPr>
          <w:snapToGrid w:val="0"/>
        </w:rPr>
      </w:pPr>
      <w:r>
        <w:rPr>
          <w:snapToGrid w:val="0"/>
        </w:rPr>
        <w:tab/>
        <w:t>(a)</w:t>
      </w:r>
      <w:r>
        <w:rPr>
          <w:snapToGrid w:val="0"/>
        </w:rPr>
        <w:tab/>
        <w:t>his term of office expires; or</w:t>
      </w:r>
    </w:p>
    <w:p w:rsidR="00710A10" w:rsidRDefault="007558B6">
      <w:pPr>
        <w:pStyle w:val="yIndenta"/>
        <w:rPr>
          <w:snapToGrid w:val="0"/>
        </w:rPr>
      </w:pPr>
      <w:r>
        <w:rPr>
          <w:snapToGrid w:val="0"/>
        </w:rPr>
        <w:tab/>
        <w:t>(b)</w:t>
      </w:r>
      <w:r>
        <w:rPr>
          <w:snapToGrid w:val="0"/>
        </w:rPr>
        <w:tab/>
        <w:t>his appointment is terminated pursuant to subclause (3); or</w:t>
      </w:r>
    </w:p>
    <w:p w:rsidR="00710A10" w:rsidRDefault="007558B6">
      <w:pPr>
        <w:pStyle w:val="yIndenta"/>
      </w:pPr>
      <w:r>
        <w:tab/>
        <w:t>(c)</w:t>
      </w:r>
      <w:r>
        <w:tab/>
        <w:t xml:space="preserve">he is, according to the </w:t>
      </w:r>
      <w:r>
        <w:rPr>
          <w:i/>
        </w:rPr>
        <w:t>Interpretation Act 1984</w:t>
      </w:r>
      <w:r>
        <w:t xml:space="preserve"> section 13D, a bankrupt or a person whose affairs are under insolvency laws; or</w:t>
      </w:r>
    </w:p>
    <w:p w:rsidR="00710A10" w:rsidRDefault="007558B6">
      <w:pPr>
        <w:pStyle w:val="yIndenta"/>
        <w:rPr>
          <w:snapToGrid w:val="0"/>
        </w:rPr>
      </w:pPr>
      <w:r>
        <w:rPr>
          <w:snapToGrid w:val="0"/>
        </w:rPr>
        <w:tab/>
        <w:t>(d)</w:t>
      </w:r>
      <w:r>
        <w:rPr>
          <w:snapToGrid w:val="0"/>
        </w:rPr>
        <w:tab/>
        <w:t>he becomes permanently incapable of performing his duties as a member; or</w:t>
      </w:r>
    </w:p>
    <w:p w:rsidR="00710A10" w:rsidRDefault="007558B6">
      <w:pPr>
        <w:pStyle w:val="yIndenta"/>
        <w:rPr>
          <w:snapToGrid w:val="0"/>
        </w:rPr>
      </w:pPr>
      <w:r>
        <w:rPr>
          <w:snapToGrid w:val="0"/>
        </w:rPr>
        <w:tab/>
        <w:t>(e)</w:t>
      </w:r>
      <w:r>
        <w:rPr>
          <w:snapToGrid w:val="0"/>
        </w:rPr>
        <w:tab/>
        <w:t>he resigns his office by written notice addressed to the Minister; or</w:t>
      </w:r>
    </w:p>
    <w:p w:rsidR="00710A10" w:rsidRDefault="007558B6">
      <w:pPr>
        <w:pStyle w:val="yIndenta"/>
        <w:rPr>
          <w:snapToGrid w:val="0"/>
        </w:rPr>
      </w:pPr>
      <w:r>
        <w:rPr>
          <w:snapToGrid w:val="0"/>
        </w:rPr>
        <w:tab/>
        <w:t>(f)</w:t>
      </w:r>
      <w:r>
        <w:rPr>
          <w:snapToGrid w:val="0"/>
        </w:rPr>
        <w:tab/>
        <w:t>he absents himself, except on leave duly granted by the Minister from 3 consecutive meetings of the board.</w:t>
      </w:r>
    </w:p>
    <w:p w:rsidR="00710A10" w:rsidRDefault="007558B6">
      <w:pPr>
        <w:pStyle w:val="yFootnotesection"/>
      </w:pPr>
      <w:r>
        <w:tab/>
        <w:t>[Clause 1 amended by No. 42 of 1997 s. 8; No. 23 of 1998 s. 17(1); No. 35 of 2003 s. 217(1); No. 18 of 2009 s. 91.]</w:t>
      </w:r>
    </w:p>
    <w:p w:rsidR="00710A10" w:rsidRDefault="007558B6">
      <w:pPr>
        <w:pStyle w:val="yHeading5"/>
        <w:rPr>
          <w:snapToGrid w:val="0"/>
        </w:rPr>
      </w:pPr>
      <w:bookmarkStart w:id="220" w:name="_Toc487528885"/>
      <w:bookmarkStart w:id="221" w:name="_Toc130196355"/>
      <w:bookmarkStart w:id="222" w:name="_Toc158015114"/>
      <w:bookmarkStart w:id="223" w:name="_Toc241290853"/>
      <w:r>
        <w:rPr>
          <w:rStyle w:val="CharSClsNo"/>
        </w:rPr>
        <w:t>2</w:t>
      </w:r>
      <w:r>
        <w:rPr>
          <w:snapToGrid w:val="0"/>
        </w:rPr>
        <w:t>.</w:t>
      </w:r>
      <w:r>
        <w:rPr>
          <w:snapToGrid w:val="0"/>
        </w:rPr>
        <w:tab/>
        <w:t>Term of office of Chairman and Deputy Chairman</w:t>
      </w:r>
      <w:bookmarkEnd w:id="220"/>
      <w:bookmarkEnd w:id="221"/>
      <w:bookmarkEnd w:id="222"/>
      <w:bookmarkEnd w:id="223"/>
    </w:p>
    <w:p w:rsidR="00710A10" w:rsidRDefault="007558B6">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rsidR="00710A10" w:rsidRDefault="007558B6">
      <w:pPr>
        <w:pStyle w:val="ySubsection"/>
        <w:keepNext/>
        <w:rPr>
          <w:snapToGrid w:val="0"/>
        </w:rPr>
      </w:pPr>
      <w:r>
        <w:rPr>
          <w:snapToGrid w:val="0"/>
        </w:rPr>
        <w:tab/>
        <w:t>(2)</w:t>
      </w:r>
      <w:r>
        <w:rPr>
          <w:snapToGrid w:val="0"/>
        </w:rPr>
        <w:tab/>
        <w:t>The office of the Chairman or Deputy Chairman becomes vacant if —</w:t>
      </w:r>
    </w:p>
    <w:p w:rsidR="00710A10" w:rsidRDefault="007558B6">
      <w:pPr>
        <w:pStyle w:val="yIndenta"/>
        <w:rPr>
          <w:snapToGrid w:val="0"/>
        </w:rPr>
      </w:pPr>
      <w:r>
        <w:rPr>
          <w:snapToGrid w:val="0"/>
        </w:rPr>
        <w:tab/>
        <w:t>(a)</w:t>
      </w:r>
      <w:r>
        <w:rPr>
          <w:snapToGrid w:val="0"/>
        </w:rPr>
        <w:tab/>
        <w:t>his term of office expires;</w:t>
      </w:r>
    </w:p>
    <w:p w:rsidR="00710A10" w:rsidRDefault="007558B6">
      <w:pPr>
        <w:pStyle w:val="yIndenta"/>
        <w:rPr>
          <w:snapToGrid w:val="0"/>
        </w:rPr>
      </w:pPr>
      <w:r>
        <w:rPr>
          <w:snapToGrid w:val="0"/>
        </w:rPr>
        <w:tab/>
        <w:t>(b)</w:t>
      </w:r>
      <w:r>
        <w:rPr>
          <w:snapToGrid w:val="0"/>
        </w:rPr>
        <w:tab/>
        <w:t>his office as a member becomes vacant;</w:t>
      </w:r>
    </w:p>
    <w:p w:rsidR="00710A10" w:rsidRDefault="007558B6">
      <w:pPr>
        <w:pStyle w:val="yIndenta"/>
        <w:rPr>
          <w:snapToGrid w:val="0"/>
        </w:rPr>
      </w:pPr>
      <w:r>
        <w:rPr>
          <w:snapToGrid w:val="0"/>
        </w:rPr>
        <w:tab/>
        <w:t>(c)</w:t>
      </w:r>
      <w:r>
        <w:rPr>
          <w:snapToGrid w:val="0"/>
        </w:rPr>
        <w:tab/>
        <w:t>he resigns his office by written notice addressed to the Minister;</w:t>
      </w:r>
    </w:p>
    <w:p w:rsidR="00710A10" w:rsidRDefault="007558B6">
      <w:pPr>
        <w:pStyle w:val="yIndenta"/>
        <w:rPr>
          <w:snapToGrid w:val="0"/>
        </w:rPr>
      </w:pPr>
      <w:r>
        <w:rPr>
          <w:snapToGrid w:val="0"/>
        </w:rPr>
        <w:tab/>
        <w:t>(d)</w:t>
      </w:r>
      <w:r>
        <w:rPr>
          <w:snapToGrid w:val="0"/>
        </w:rPr>
        <w:tab/>
        <w:t>in the case of the Chairman, he ceases to be capable of continuing in his office pursuant to section 13(1); or</w:t>
      </w:r>
    </w:p>
    <w:p w:rsidR="00710A10" w:rsidRDefault="007558B6">
      <w:pPr>
        <w:pStyle w:val="yIndenta"/>
        <w:rPr>
          <w:snapToGrid w:val="0"/>
        </w:rPr>
      </w:pPr>
      <w:r>
        <w:rPr>
          <w:snapToGrid w:val="0"/>
        </w:rPr>
        <w:tab/>
        <w:t>(e)</w:t>
      </w:r>
      <w:r>
        <w:rPr>
          <w:snapToGrid w:val="0"/>
        </w:rPr>
        <w:tab/>
        <w:t>in the case of the Deputy Chairman, he is appointed to the office of Chairman.</w:t>
      </w:r>
    </w:p>
    <w:p w:rsidR="00710A10" w:rsidRDefault="007558B6">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rsidR="00710A10" w:rsidRDefault="007558B6">
      <w:pPr>
        <w:pStyle w:val="yHeading5"/>
        <w:rPr>
          <w:snapToGrid w:val="0"/>
        </w:rPr>
      </w:pPr>
      <w:bookmarkStart w:id="224" w:name="_Toc487528886"/>
      <w:bookmarkStart w:id="225" w:name="_Toc130196356"/>
      <w:bookmarkStart w:id="226" w:name="_Toc158015115"/>
      <w:bookmarkStart w:id="227" w:name="_Toc241290854"/>
      <w:r>
        <w:rPr>
          <w:rStyle w:val="CharSClsNo"/>
        </w:rPr>
        <w:t>3</w:t>
      </w:r>
      <w:r>
        <w:rPr>
          <w:snapToGrid w:val="0"/>
        </w:rPr>
        <w:t>.</w:t>
      </w:r>
      <w:r>
        <w:rPr>
          <w:snapToGrid w:val="0"/>
        </w:rPr>
        <w:tab/>
        <w:t>Meetings of the board</w:t>
      </w:r>
      <w:bookmarkEnd w:id="224"/>
      <w:bookmarkEnd w:id="225"/>
      <w:bookmarkEnd w:id="226"/>
      <w:bookmarkEnd w:id="227"/>
    </w:p>
    <w:p w:rsidR="00710A10" w:rsidRDefault="007558B6">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rsidR="00710A10" w:rsidRDefault="007558B6">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rsidR="00710A10" w:rsidRDefault="007558B6">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rsidR="00710A10" w:rsidRDefault="007558B6">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rsidR="00710A10" w:rsidRDefault="007558B6">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rsidR="00710A10" w:rsidRDefault="007558B6">
      <w:pPr>
        <w:pStyle w:val="ySubsection"/>
        <w:rPr>
          <w:snapToGrid w:val="0"/>
        </w:rPr>
      </w:pPr>
      <w:r>
        <w:rPr>
          <w:snapToGrid w:val="0"/>
        </w:rPr>
        <w:tab/>
        <w:t>(6)</w:t>
      </w:r>
      <w:r>
        <w:rPr>
          <w:snapToGrid w:val="0"/>
        </w:rPr>
        <w:tab/>
        <w:t>The board shall cause accurate minutes to be kept of its proceedings at its meetings.</w:t>
      </w:r>
    </w:p>
    <w:p w:rsidR="00710A10" w:rsidRDefault="007558B6">
      <w:pPr>
        <w:pStyle w:val="ySubsection"/>
        <w:rPr>
          <w:snapToGrid w:val="0"/>
        </w:rPr>
      </w:pPr>
      <w:r>
        <w:rPr>
          <w:snapToGrid w:val="0"/>
        </w:rPr>
        <w:tab/>
        <w:t>(7)</w:t>
      </w:r>
      <w:r>
        <w:rPr>
          <w:snapToGrid w:val="0"/>
        </w:rPr>
        <w:tab/>
        <w:t>To the extent that it is not set out in this Schedule or in regulations the board shall determine its own procedure.</w:t>
      </w:r>
    </w:p>
    <w:p w:rsidR="00710A10" w:rsidRDefault="007558B6">
      <w:pPr>
        <w:pStyle w:val="yFootnotesection"/>
      </w:pPr>
      <w:bookmarkStart w:id="228" w:name="_Toc487528887"/>
      <w:r>
        <w:tab/>
        <w:t>[Clause 3 amended by No. 23 of 1998 s. 15 and 17(1).]</w:t>
      </w:r>
    </w:p>
    <w:p w:rsidR="00710A10" w:rsidRDefault="007558B6">
      <w:pPr>
        <w:pStyle w:val="yHeading5"/>
        <w:rPr>
          <w:snapToGrid w:val="0"/>
        </w:rPr>
      </w:pPr>
      <w:bookmarkStart w:id="229" w:name="_Toc130196357"/>
      <w:bookmarkStart w:id="230" w:name="_Toc158015116"/>
      <w:bookmarkStart w:id="231" w:name="_Toc241290855"/>
      <w:r>
        <w:rPr>
          <w:rStyle w:val="CharSClsNo"/>
        </w:rPr>
        <w:t>4</w:t>
      </w:r>
      <w:r>
        <w:rPr>
          <w:snapToGrid w:val="0"/>
        </w:rPr>
        <w:t>.</w:t>
      </w:r>
      <w:r>
        <w:rPr>
          <w:snapToGrid w:val="0"/>
        </w:rPr>
        <w:tab/>
        <w:t>Remuneration</w:t>
      </w:r>
      <w:bookmarkEnd w:id="228"/>
      <w:bookmarkEnd w:id="229"/>
      <w:bookmarkEnd w:id="230"/>
      <w:bookmarkEnd w:id="231"/>
    </w:p>
    <w:p w:rsidR="00710A10" w:rsidRDefault="007558B6">
      <w:pPr>
        <w:pStyle w:val="ySubsection"/>
        <w:rPr>
          <w:snapToGrid w:val="0"/>
        </w:rPr>
      </w:pPr>
      <w:r>
        <w:rPr>
          <w:snapToGrid w:val="0"/>
        </w:rPr>
        <w:tab/>
        <w:t>(1)</w:t>
      </w:r>
      <w:r>
        <w:rPr>
          <w:snapToGrid w:val="0"/>
        </w:rPr>
        <w:tab/>
        <w:t>Members shall be entitled to be paid such remuneration and allowances as are determined by the Minister.</w:t>
      </w:r>
    </w:p>
    <w:p w:rsidR="00710A10" w:rsidRDefault="007558B6">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rsidR="00710A10" w:rsidRDefault="007558B6">
      <w:pPr>
        <w:pStyle w:val="yFootnotesection"/>
      </w:pPr>
      <w:bookmarkStart w:id="232" w:name="_Toc487528888"/>
      <w:r>
        <w:tab/>
        <w:t>[Clause 4 amended by No. 32 of 1994 s. 3; No. 35 of 2003 s. 217(2).]</w:t>
      </w:r>
    </w:p>
    <w:p w:rsidR="00710A10" w:rsidRDefault="007558B6">
      <w:pPr>
        <w:pStyle w:val="yHeading5"/>
        <w:rPr>
          <w:snapToGrid w:val="0"/>
        </w:rPr>
      </w:pPr>
      <w:bookmarkStart w:id="233" w:name="_Toc130196358"/>
      <w:bookmarkStart w:id="234" w:name="_Toc158015117"/>
      <w:bookmarkStart w:id="235" w:name="_Toc241290856"/>
      <w:r>
        <w:rPr>
          <w:rStyle w:val="CharSClsNo"/>
        </w:rPr>
        <w:t>5</w:t>
      </w:r>
      <w:r>
        <w:rPr>
          <w:snapToGrid w:val="0"/>
        </w:rPr>
        <w:t>.</w:t>
      </w:r>
      <w:r>
        <w:rPr>
          <w:snapToGrid w:val="0"/>
        </w:rPr>
        <w:tab/>
        <w:t>Validity of acts</w:t>
      </w:r>
      <w:bookmarkEnd w:id="232"/>
      <w:bookmarkEnd w:id="233"/>
      <w:bookmarkEnd w:id="234"/>
      <w:bookmarkEnd w:id="235"/>
    </w:p>
    <w:p w:rsidR="00710A10" w:rsidRDefault="007558B6">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rsidR="00710A10" w:rsidRDefault="007558B6">
      <w:pPr>
        <w:pStyle w:val="yFootnotesection"/>
      </w:pPr>
      <w:r>
        <w:tab/>
        <w:t>[Clause 5 amended by No. 23 of 1998 s. 17(1).]</w:t>
      </w:r>
    </w:p>
    <w:p w:rsidR="00710A10" w:rsidRDefault="007558B6">
      <w:pPr>
        <w:pStyle w:val="yEdnotesection"/>
      </w:pPr>
      <w:r>
        <w:t>[Schedule 2 omitted under the Reprints Act 1984 s. 7(4)(e).]</w:t>
      </w:r>
    </w:p>
    <w:p w:rsidR="00710A10" w:rsidRDefault="007558B6">
      <w:pPr>
        <w:pStyle w:val="yScheduleHeading"/>
      </w:pPr>
      <w:bookmarkStart w:id="236" w:name="_Toc123002674"/>
      <w:bookmarkStart w:id="237" w:name="_Toc123002723"/>
      <w:bookmarkStart w:id="238" w:name="_Toc123014640"/>
      <w:bookmarkStart w:id="239" w:name="_Toc127678969"/>
      <w:bookmarkStart w:id="240" w:name="_Toc130196359"/>
      <w:bookmarkStart w:id="241" w:name="_Toc157309725"/>
      <w:bookmarkStart w:id="242" w:name="_Toc158014989"/>
      <w:bookmarkStart w:id="243" w:name="_Toc158015118"/>
      <w:bookmarkStart w:id="244" w:name="_Toc237758878"/>
      <w:bookmarkStart w:id="245" w:name="_Toc241290857"/>
      <w:r>
        <w:rPr>
          <w:rStyle w:val="CharSchNo"/>
        </w:rPr>
        <w:t>Schedule 3</w:t>
      </w:r>
      <w:bookmarkEnd w:id="236"/>
      <w:bookmarkEnd w:id="237"/>
      <w:bookmarkEnd w:id="238"/>
      <w:bookmarkEnd w:id="239"/>
      <w:bookmarkEnd w:id="240"/>
      <w:bookmarkEnd w:id="241"/>
      <w:bookmarkEnd w:id="242"/>
      <w:bookmarkEnd w:id="243"/>
      <w:bookmarkEnd w:id="244"/>
      <w:bookmarkEnd w:id="245"/>
    </w:p>
    <w:p w:rsidR="00710A10" w:rsidRDefault="007558B6">
      <w:pPr>
        <w:pStyle w:val="yShoulderClause"/>
        <w:rPr>
          <w:snapToGrid w:val="0"/>
        </w:rPr>
      </w:pPr>
      <w:r>
        <w:rPr>
          <w:snapToGrid w:val="0"/>
        </w:rPr>
        <w:t>[Section 40.]</w:t>
      </w:r>
    </w:p>
    <w:p w:rsidR="00710A10" w:rsidRDefault="007558B6">
      <w:pPr>
        <w:pStyle w:val="yScheduleHeading2"/>
      </w:pPr>
      <w:r>
        <w:rPr>
          <w:rStyle w:val="CharSchText"/>
        </w:rPr>
        <w:t>Provisions as to take</w:t>
      </w:r>
      <w:r>
        <w:rPr>
          <w:rStyle w:val="CharSchText"/>
        </w:rPr>
        <w:noBreakHyphen/>
        <w:t>over by Association of conduct of operations at Cannington race course</w:t>
      </w:r>
    </w:p>
    <w:p w:rsidR="00710A10" w:rsidRDefault="007558B6">
      <w:pPr>
        <w:pStyle w:val="yHeading5"/>
        <w:rPr>
          <w:snapToGrid w:val="0"/>
        </w:rPr>
      </w:pPr>
      <w:bookmarkStart w:id="246" w:name="_Toc487528889"/>
      <w:bookmarkStart w:id="247" w:name="_Toc130196360"/>
      <w:bookmarkStart w:id="248" w:name="_Toc158015119"/>
      <w:bookmarkStart w:id="249" w:name="_Toc241290858"/>
      <w:r>
        <w:rPr>
          <w:rStyle w:val="CharSClsNo"/>
        </w:rPr>
        <w:t>1</w:t>
      </w:r>
      <w:r>
        <w:rPr>
          <w:snapToGrid w:val="0"/>
        </w:rPr>
        <w:t>.</w:t>
      </w:r>
      <w:r>
        <w:rPr>
          <w:snapToGrid w:val="0"/>
        </w:rPr>
        <w:tab/>
        <w:t>Definitions of terms in this Schedule</w:t>
      </w:r>
      <w:bookmarkEnd w:id="246"/>
      <w:bookmarkEnd w:id="247"/>
      <w:bookmarkEnd w:id="248"/>
      <w:bookmarkEnd w:id="249"/>
    </w:p>
    <w:p w:rsidR="00710A10" w:rsidRDefault="007558B6">
      <w:pPr>
        <w:pStyle w:val="ySubsection"/>
        <w:rPr>
          <w:snapToGrid w:val="0"/>
        </w:rPr>
      </w:pPr>
      <w:r>
        <w:rPr>
          <w:snapToGrid w:val="0"/>
        </w:rPr>
        <w:tab/>
      </w:r>
      <w:r>
        <w:rPr>
          <w:snapToGrid w:val="0"/>
        </w:rPr>
        <w:tab/>
        <w:t>In this Schedule —</w:t>
      </w:r>
    </w:p>
    <w:p w:rsidR="00710A10" w:rsidRDefault="007558B6">
      <w:pPr>
        <w:pStyle w:val="yDefstart"/>
      </w:pPr>
      <w:r>
        <w:rPr>
          <w:b/>
        </w:rPr>
        <w:tab/>
      </w:r>
      <w:r>
        <w:rPr>
          <w:rStyle w:val="CharDefText"/>
        </w:rPr>
        <w:t>appointed day</w:t>
      </w:r>
      <w:r>
        <w:t xml:space="preserve"> means the day fixed by the Minister pursuant to section 40(1);</w:t>
      </w:r>
    </w:p>
    <w:p w:rsidR="00710A10" w:rsidRDefault="007558B6">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rsidR="00710A10" w:rsidRDefault="007558B6">
      <w:pPr>
        <w:pStyle w:val="yDefstart"/>
      </w:pPr>
      <w:r>
        <w:rPr>
          <w:b/>
        </w:rPr>
        <w:tab/>
      </w:r>
      <w:r>
        <w:rPr>
          <w:rStyle w:val="CharDefText"/>
        </w:rPr>
        <w:t>the club</w:t>
      </w:r>
      <w:r>
        <w:t xml:space="preserve"> means the Canning Greyhound Racing Association (W.A.) (Inc.);</w:t>
      </w:r>
    </w:p>
    <w:p w:rsidR="00710A10" w:rsidRDefault="007558B6">
      <w:pPr>
        <w:pStyle w:val="yDefstart"/>
      </w:pPr>
      <w:r>
        <w:rPr>
          <w:b/>
        </w:rPr>
        <w:tab/>
      </w:r>
      <w:r>
        <w:rPr>
          <w:rStyle w:val="CharDefText"/>
        </w:rPr>
        <w:t>the Society</w:t>
      </w:r>
      <w:r>
        <w:t xml:space="preserve"> means the Canning Agricultural Horticultural and Recreational Society (Inc.).</w:t>
      </w:r>
    </w:p>
    <w:p w:rsidR="00710A10" w:rsidRDefault="007558B6">
      <w:pPr>
        <w:pStyle w:val="yHeading5"/>
        <w:rPr>
          <w:snapToGrid w:val="0"/>
        </w:rPr>
      </w:pPr>
      <w:bookmarkStart w:id="250" w:name="_Toc487528890"/>
      <w:bookmarkStart w:id="251" w:name="_Toc130196361"/>
      <w:bookmarkStart w:id="252" w:name="_Toc158015120"/>
      <w:bookmarkStart w:id="253" w:name="_Toc241290859"/>
      <w:r>
        <w:rPr>
          <w:rStyle w:val="CharSClsNo"/>
        </w:rPr>
        <w:t>2</w:t>
      </w:r>
      <w:r>
        <w:rPr>
          <w:snapToGrid w:val="0"/>
        </w:rPr>
        <w:t>.</w:t>
      </w:r>
      <w:r>
        <w:rPr>
          <w:snapToGrid w:val="0"/>
        </w:rPr>
        <w:tab/>
        <w:t>Lease of Cannington race course</w:t>
      </w:r>
      <w:bookmarkEnd w:id="250"/>
      <w:bookmarkEnd w:id="251"/>
      <w:bookmarkEnd w:id="252"/>
      <w:bookmarkEnd w:id="253"/>
    </w:p>
    <w:p w:rsidR="00710A10" w:rsidRDefault="007558B6">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rsidR="00710A10" w:rsidRDefault="007558B6">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rsidR="00710A10" w:rsidRDefault="007558B6">
      <w:pPr>
        <w:pStyle w:val="yHeading5"/>
        <w:rPr>
          <w:snapToGrid w:val="0"/>
        </w:rPr>
      </w:pPr>
      <w:bookmarkStart w:id="254" w:name="_Toc487528891"/>
      <w:bookmarkStart w:id="255" w:name="_Toc130196362"/>
      <w:bookmarkStart w:id="256" w:name="_Toc158015121"/>
      <w:bookmarkStart w:id="257" w:name="_Toc241290860"/>
      <w:r>
        <w:rPr>
          <w:rStyle w:val="CharSClsNo"/>
        </w:rPr>
        <w:t>3</w:t>
      </w:r>
      <w:r>
        <w:rPr>
          <w:snapToGrid w:val="0"/>
        </w:rPr>
        <w:t>.</w:t>
      </w:r>
      <w:r>
        <w:rPr>
          <w:snapToGrid w:val="0"/>
        </w:rPr>
        <w:tab/>
        <w:t>Termination of licence and permit</w:t>
      </w:r>
      <w:bookmarkEnd w:id="254"/>
      <w:bookmarkEnd w:id="255"/>
      <w:bookmarkEnd w:id="256"/>
      <w:bookmarkEnd w:id="257"/>
    </w:p>
    <w:p w:rsidR="00710A10" w:rsidRDefault="007558B6">
      <w:pPr>
        <w:pStyle w:val="ySubsection"/>
        <w:rPr>
          <w:snapToGrid w:val="0"/>
        </w:rPr>
      </w:pPr>
      <w:r>
        <w:rPr>
          <w:snapToGrid w:val="0"/>
        </w:rPr>
        <w:tab/>
      </w:r>
      <w:r>
        <w:rPr>
          <w:snapToGrid w:val="0"/>
        </w:rPr>
        <w:tab/>
        <w:t>On or after the appointed day a licence or permit —</w:t>
      </w:r>
    </w:p>
    <w:p w:rsidR="00710A10" w:rsidRDefault="007558B6">
      <w:pPr>
        <w:pStyle w:val="yIndenta"/>
        <w:rPr>
          <w:snapToGrid w:val="0"/>
        </w:rPr>
      </w:pPr>
      <w:r>
        <w:rPr>
          <w:snapToGrid w:val="0"/>
        </w:rPr>
        <w:tab/>
        <w:t>(a)</w:t>
      </w:r>
      <w:r>
        <w:rPr>
          <w:snapToGrid w:val="0"/>
        </w:rPr>
        <w:tab/>
        <w:t>issued or deemed to have been issued under Part VI in respect of the Cannington race course; and</w:t>
      </w:r>
    </w:p>
    <w:p w:rsidR="00710A10" w:rsidRDefault="007558B6">
      <w:pPr>
        <w:pStyle w:val="yIndenta"/>
        <w:keepNext/>
        <w:rPr>
          <w:snapToGrid w:val="0"/>
        </w:rPr>
      </w:pPr>
      <w:r>
        <w:rPr>
          <w:snapToGrid w:val="0"/>
        </w:rPr>
        <w:tab/>
        <w:t>(b)</w:t>
      </w:r>
      <w:r>
        <w:rPr>
          <w:snapToGrid w:val="0"/>
        </w:rPr>
        <w:tab/>
        <w:t>in force immediately before that day,</w:t>
      </w:r>
    </w:p>
    <w:p w:rsidR="00710A10" w:rsidRDefault="007558B6">
      <w:pPr>
        <w:pStyle w:val="ySubsection"/>
        <w:rPr>
          <w:snapToGrid w:val="0"/>
        </w:rPr>
      </w:pPr>
      <w:r>
        <w:rPr>
          <w:snapToGrid w:val="0"/>
        </w:rPr>
        <w:tab/>
      </w:r>
      <w:r>
        <w:rPr>
          <w:snapToGrid w:val="0"/>
        </w:rPr>
        <w:tab/>
        <w:t>shall have no effect.</w:t>
      </w:r>
    </w:p>
    <w:p w:rsidR="00710A10" w:rsidRDefault="007558B6">
      <w:pPr>
        <w:pStyle w:val="yHeading5"/>
        <w:rPr>
          <w:snapToGrid w:val="0"/>
        </w:rPr>
      </w:pPr>
      <w:bookmarkStart w:id="258" w:name="_Toc487528892"/>
      <w:bookmarkStart w:id="259" w:name="_Toc130196363"/>
      <w:bookmarkStart w:id="260" w:name="_Toc158015122"/>
      <w:bookmarkStart w:id="261" w:name="_Toc241290861"/>
      <w:r>
        <w:rPr>
          <w:rStyle w:val="CharSClsNo"/>
        </w:rPr>
        <w:t>4</w:t>
      </w:r>
      <w:r>
        <w:rPr>
          <w:snapToGrid w:val="0"/>
        </w:rPr>
        <w:t>.</w:t>
      </w:r>
      <w:r>
        <w:rPr>
          <w:snapToGrid w:val="0"/>
        </w:rPr>
        <w:tab/>
        <w:t>Transfer of assets, liabilities, obligations and staff of club</w:t>
      </w:r>
      <w:bookmarkEnd w:id="258"/>
      <w:bookmarkEnd w:id="259"/>
      <w:bookmarkEnd w:id="260"/>
      <w:bookmarkEnd w:id="261"/>
    </w:p>
    <w:p w:rsidR="00710A10" w:rsidRDefault="007558B6">
      <w:pPr>
        <w:pStyle w:val="ySubsection"/>
        <w:rPr>
          <w:snapToGrid w:val="0"/>
        </w:rPr>
      </w:pPr>
      <w:r>
        <w:rPr>
          <w:snapToGrid w:val="0"/>
        </w:rPr>
        <w:tab/>
        <w:t>(1)</w:t>
      </w:r>
      <w:r>
        <w:rPr>
          <w:snapToGrid w:val="0"/>
        </w:rPr>
        <w:tab/>
        <w:t>On the appointed day —</w:t>
      </w:r>
    </w:p>
    <w:p w:rsidR="00710A10" w:rsidRDefault="007558B6">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rsidR="00710A10" w:rsidRDefault="007558B6">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rsidR="00710A10" w:rsidRDefault="007558B6">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rsidR="00710A10" w:rsidRDefault="007558B6">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rsidR="00710A10" w:rsidRDefault="007558B6">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rsidR="00710A10" w:rsidRDefault="007558B6">
      <w:pPr>
        <w:pStyle w:val="yPenstart"/>
        <w:rPr>
          <w:snapToGrid w:val="0"/>
        </w:rPr>
      </w:pPr>
      <w:r>
        <w:rPr>
          <w:snapToGrid w:val="0"/>
        </w:rPr>
        <w:tab/>
        <w:t>Penalty: $1 000.</w:t>
      </w:r>
    </w:p>
    <w:p w:rsidR="00710A10" w:rsidRDefault="007558B6">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rsidR="00710A10" w:rsidRDefault="007558B6">
      <w:pPr>
        <w:pStyle w:val="yIndenta"/>
        <w:rPr>
          <w:snapToGrid w:val="0"/>
        </w:rPr>
      </w:pPr>
      <w:r>
        <w:rPr>
          <w:snapToGrid w:val="0"/>
        </w:rPr>
        <w:tab/>
        <w:t>(a)</w:t>
      </w:r>
      <w:r>
        <w:rPr>
          <w:snapToGrid w:val="0"/>
        </w:rPr>
        <w:tab/>
        <w:t>the Association were substituted for the club as a party to the agreement or instrument; and</w:t>
      </w:r>
    </w:p>
    <w:p w:rsidR="00710A10" w:rsidRDefault="007558B6">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rsidR="00710A10" w:rsidRDefault="007558B6">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rsidR="00710A10" w:rsidRDefault="007558B6">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rsidR="00710A10" w:rsidRDefault="007558B6">
      <w:pPr>
        <w:pStyle w:val="yHeading5"/>
        <w:rPr>
          <w:snapToGrid w:val="0"/>
        </w:rPr>
      </w:pPr>
      <w:bookmarkStart w:id="262" w:name="_Toc487528893"/>
      <w:bookmarkStart w:id="263" w:name="_Toc130196364"/>
      <w:bookmarkStart w:id="264" w:name="_Toc158015123"/>
      <w:bookmarkStart w:id="265" w:name="_Toc241290862"/>
      <w:r>
        <w:rPr>
          <w:rStyle w:val="CharSClsNo"/>
        </w:rPr>
        <w:t>5</w:t>
      </w:r>
      <w:r>
        <w:rPr>
          <w:snapToGrid w:val="0"/>
        </w:rPr>
        <w:t>.</w:t>
      </w:r>
      <w:r>
        <w:rPr>
          <w:snapToGrid w:val="0"/>
        </w:rPr>
        <w:tab/>
        <w:t>Staff</w:t>
      </w:r>
      <w:bookmarkEnd w:id="262"/>
      <w:bookmarkEnd w:id="263"/>
      <w:bookmarkEnd w:id="264"/>
      <w:bookmarkEnd w:id="265"/>
    </w:p>
    <w:p w:rsidR="00710A10" w:rsidRDefault="007558B6">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rsidR="00710A10" w:rsidRDefault="007558B6">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rsidR="00710A10" w:rsidRDefault="00710A10">
      <w:pPr>
        <w:sectPr w:rsidR="00710A10">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10A10" w:rsidRDefault="007558B6">
      <w:pPr>
        <w:pStyle w:val="nHeading2"/>
      </w:pPr>
      <w:bookmarkStart w:id="266" w:name="_Toc123002680"/>
      <w:bookmarkStart w:id="267" w:name="_Toc123002729"/>
      <w:bookmarkStart w:id="268" w:name="_Toc123014646"/>
      <w:bookmarkStart w:id="269" w:name="_Toc127678975"/>
      <w:bookmarkStart w:id="270" w:name="_Toc130196365"/>
      <w:bookmarkStart w:id="271" w:name="_Toc157309731"/>
      <w:bookmarkStart w:id="272" w:name="_Toc158014995"/>
      <w:bookmarkStart w:id="273" w:name="_Toc158015124"/>
      <w:bookmarkStart w:id="274" w:name="_Toc237758884"/>
      <w:bookmarkStart w:id="275" w:name="_Toc241290863"/>
      <w:r>
        <w:t>Notes</w:t>
      </w:r>
      <w:bookmarkEnd w:id="266"/>
      <w:bookmarkEnd w:id="267"/>
      <w:bookmarkEnd w:id="268"/>
      <w:bookmarkEnd w:id="269"/>
      <w:bookmarkEnd w:id="270"/>
      <w:bookmarkEnd w:id="271"/>
      <w:bookmarkEnd w:id="272"/>
      <w:bookmarkEnd w:id="273"/>
      <w:bookmarkEnd w:id="274"/>
      <w:bookmarkEnd w:id="275"/>
    </w:p>
    <w:p w:rsidR="00710A10" w:rsidRDefault="007558B6">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Greyhound Racing Association Act 1981</w:t>
      </w:r>
      <w:r>
        <w:rPr>
          <w:snapToGrid w:val="0"/>
        </w:rPr>
        <w:t xml:space="preserve"> and includes the amendments made by the other written laws referred to in the following table.  The table also contains information about any reprint.</w:t>
      </w:r>
    </w:p>
    <w:p w:rsidR="00710A10" w:rsidRDefault="007558B6">
      <w:pPr>
        <w:pStyle w:val="nHeading3"/>
      </w:pPr>
      <w:bookmarkStart w:id="276" w:name="_Toc130196366"/>
      <w:bookmarkStart w:id="277" w:name="_Toc158015125"/>
      <w:bookmarkStart w:id="278" w:name="_Toc241290864"/>
      <w:r>
        <w:t>Compilation table</w:t>
      </w:r>
      <w:bookmarkEnd w:id="276"/>
      <w:bookmarkEnd w:id="277"/>
      <w:bookmarkEnd w:id="27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rsidR="00710A10">
        <w:trPr>
          <w:gridAfter w:val="1"/>
          <w:wAfter w:w="6" w:type="dxa"/>
          <w:cantSplit/>
          <w:tblHeader/>
        </w:trPr>
        <w:tc>
          <w:tcPr>
            <w:tcW w:w="2268" w:type="dxa"/>
            <w:tcBorders>
              <w:top w:val="single" w:sz="8" w:space="0" w:color="auto"/>
              <w:bottom w:val="single" w:sz="8" w:space="0" w:color="auto"/>
            </w:tcBorders>
          </w:tcPr>
          <w:p w:rsidR="00710A10" w:rsidRDefault="007558B6">
            <w:pPr>
              <w:pStyle w:val="nTable"/>
              <w:spacing w:after="40"/>
              <w:rPr>
                <w:b/>
                <w:sz w:val="19"/>
              </w:rPr>
            </w:pPr>
            <w:r>
              <w:rPr>
                <w:b/>
                <w:sz w:val="19"/>
              </w:rPr>
              <w:t>Short title</w:t>
            </w:r>
          </w:p>
        </w:tc>
        <w:tc>
          <w:tcPr>
            <w:tcW w:w="1134" w:type="dxa"/>
            <w:tcBorders>
              <w:top w:val="single" w:sz="8" w:space="0" w:color="auto"/>
              <w:bottom w:val="single" w:sz="8" w:space="0" w:color="auto"/>
            </w:tcBorders>
          </w:tcPr>
          <w:p w:rsidR="00710A10" w:rsidRDefault="007558B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10A10" w:rsidRDefault="007558B6">
            <w:pPr>
              <w:pStyle w:val="nTable"/>
              <w:spacing w:after="40"/>
              <w:rPr>
                <w:b/>
                <w:sz w:val="19"/>
              </w:rPr>
            </w:pPr>
            <w:r>
              <w:rPr>
                <w:b/>
                <w:sz w:val="19"/>
              </w:rPr>
              <w:t>Assent</w:t>
            </w:r>
          </w:p>
        </w:tc>
        <w:tc>
          <w:tcPr>
            <w:tcW w:w="2551" w:type="dxa"/>
            <w:tcBorders>
              <w:top w:val="single" w:sz="8" w:space="0" w:color="auto"/>
              <w:bottom w:val="single" w:sz="8" w:space="0" w:color="auto"/>
            </w:tcBorders>
          </w:tcPr>
          <w:p w:rsidR="00710A10" w:rsidRDefault="007558B6">
            <w:pPr>
              <w:pStyle w:val="nTable"/>
              <w:spacing w:after="40"/>
              <w:rPr>
                <w:b/>
                <w:sz w:val="19"/>
              </w:rPr>
            </w:pPr>
            <w:r>
              <w:rPr>
                <w:b/>
                <w:sz w:val="19"/>
              </w:rPr>
              <w:t>Commencement</w:t>
            </w:r>
          </w:p>
        </w:tc>
      </w:tr>
      <w:tr w:rsidR="00710A10">
        <w:trPr>
          <w:gridAfter w:val="1"/>
          <w:wAfter w:w="6" w:type="dxa"/>
          <w:cantSplit/>
        </w:trPr>
        <w:tc>
          <w:tcPr>
            <w:tcW w:w="2268" w:type="dxa"/>
            <w:tcBorders>
              <w:top w:val="single" w:sz="8" w:space="0" w:color="auto"/>
            </w:tcBorders>
          </w:tcPr>
          <w:p w:rsidR="00710A10" w:rsidRDefault="007558B6">
            <w:pPr>
              <w:pStyle w:val="nTable"/>
              <w:spacing w:after="40"/>
              <w:rPr>
                <w:iCs/>
                <w:sz w:val="19"/>
              </w:rPr>
            </w:pPr>
            <w:r>
              <w:rPr>
                <w:i/>
                <w:sz w:val="19"/>
              </w:rPr>
              <w:t>Western Australian Greyhound Racing Association Act 1981</w:t>
            </w:r>
            <w:r>
              <w:rPr>
                <w:iCs/>
                <w:sz w:val="19"/>
                <w:vertAlign w:val="superscript"/>
              </w:rPr>
              <w:t> 6</w:t>
            </w:r>
          </w:p>
        </w:tc>
        <w:tc>
          <w:tcPr>
            <w:tcW w:w="1134" w:type="dxa"/>
            <w:tcBorders>
              <w:top w:val="single" w:sz="8" w:space="0" w:color="auto"/>
            </w:tcBorders>
          </w:tcPr>
          <w:p w:rsidR="00710A10" w:rsidRDefault="007558B6">
            <w:pPr>
              <w:pStyle w:val="nTable"/>
              <w:spacing w:after="40"/>
              <w:rPr>
                <w:sz w:val="19"/>
              </w:rPr>
            </w:pPr>
            <w:r>
              <w:rPr>
                <w:sz w:val="19"/>
              </w:rPr>
              <w:t>10 of 1981</w:t>
            </w:r>
          </w:p>
        </w:tc>
        <w:tc>
          <w:tcPr>
            <w:tcW w:w="1134" w:type="dxa"/>
            <w:tcBorders>
              <w:top w:val="single" w:sz="8" w:space="0" w:color="auto"/>
            </w:tcBorders>
          </w:tcPr>
          <w:p w:rsidR="00710A10" w:rsidRDefault="007558B6">
            <w:pPr>
              <w:pStyle w:val="nTable"/>
              <w:spacing w:after="40"/>
              <w:rPr>
                <w:sz w:val="19"/>
              </w:rPr>
            </w:pPr>
            <w:r>
              <w:rPr>
                <w:sz w:val="19"/>
              </w:rPr>
              <w:t>22 May 1981</w:t>
            </w:r>
          </w:p>
        </w:tc>
        <w:tc>
          <w:tcPr>
            <w:tcW w:w="2551" w:type="dxa"/>
            <w:tcBorders>
              <w:top w:val="single" w:sz="8" w:space="0" w:color="auto"/>
            </w:tcBorders>
          </w:tcPr>
          <w:p w:rsidR="00710A10" w:rsidRDefault="007558B6">
            <w:pPr>
              <w:pStyle w:val="nTable"/>
              <w:spacing w:after="40"/>
              <w:rPr>
                <w:sz w:val="19"/>
              </w:rPr>
            </w:pPr>
            <w:r>
              <w:rPr>
                <w:sz w:val="19"/>
              </w:rPr>
              <w:t xml:space="preserve">15 Jun 1981 (see s. 2 and </w:t>
            </w:r>
            <w:r>
              <w:rPr>
                <w:i/>
                <w:sz w:val="19"/>
              </w:rPr>
              <w:t xml:space="preserve">Gazette </w:t>
            </w:r>
            <w:r>
              <w:rPr>
                <w:sz w:val="19"/>
              </w:rPr>
              <w:t>12 Jun 1981 p. 2048)</w:t>
            </w:r>
          </w:p>
        </w:tc>
      </w:tr>
      <w:tr w:rsidR="00710A10">
        <w:trPr>
          <w:gridAfter w:val="1"/>
          <w:wAfter w:w="6" w:type="dxa"/>
          <w:cantSplit/>
        </w:trPr>
        <w:tc>
          <w:tcPr>
            <w:tcW w:w="2268" w:type="dxa"/>
          </w:tcPr>
          <w:p w:rsidR="00710A10" w:rsidRDefault="007558B6">
            <w:pPr>
              <w:pStyle w:val="nTable"/>
              <w:spacing w:after="40"/>
              <w:rPr>
                <w:sz w:val="19"/>
              </w:rPr>
            </w:pPr>
            <w:r>
              <w:rPr>
                <w:i/>
                <w:sz w:val="19"/>
              </w:rPr>
              <w:t>Acts Amendment (Financial Administration and Audit) Act 1985</w:t>
            </w:r>
            <w:r>
              <w:rPr>
                <w:sz w:val="19"/>
              </w:rPr>
              <w:t xml:space="preserve"> s. 3</w:t>
            </w:r>
          </w:p>
        </w:tc>
        <w:tc>
          <w:tcPr>
            <w:tcW w:w="1134" w:type="dxa"/>
          </w:tcPr>
          <w:p w:rsidR="00710A10" w:rsidRDefault="007558B6">
            <w:pPr>
              <w:pStyle w:val="nTable"/>
              <w:spacing w:after="40"/>
              <w:rPr>
                <w:sz w:val="19"/>
              </w:rPr>
            </w:pPr>
            <w:r>
              <w:rPr>
                <w:sz w:val="19"/>
              </w:rPr>
              <w:t>98 of 1985</w:t>
            </w:r>
          </w:p>
        </w:tc>
        <w:tc>
          <w:tcPr>
            <w:tcW w:w="1134" w:type="dxa"/>
          </w:tcPr>
          <w:p w:rsidR="00710A10" w:rsidRDefault="007558B6">
            <w:pPr>
              <w:pStyle w:val="nTable"/>
              <w:spacing w:after="40"/>
              <w:rPr>
                <w:sz w:val="19"/>
              </w:rPr>
            </w:pPr>
            <w:r>
              <w:rPr>
                <w:sz w:val="19"/>
              </w:rPr>
              <w:t>4 Dec 1985</w:t>
            </w:r>
          </w:p>
        </w:tc>
        <w:tc>
          <w:tcPr>
            <w:tcW w:w="2551" w:type="dxa"/>
          </w:tcPr>
          <w:p w:rsidR="00710A10" w:rsidRDefault="007558B6">
            <w:pPr>
              <w:pStyle w:val="nTable"/>
              <w:spacing w:after="40"/>
              <w:rPr>
                <w:sz w:val="19"/>
              </w:rPr>
            </w:pPr>
            <w:r>
              <w:rPr>
                <w:sz w:val="19"/>
              </w:rPr>
              <w:t xml:space="preserve">1 Jul 1986 (see s. 2 and </w:t>
            </w:r>
            <w:r>
              <w:rPr>
                <w:i/>
                <w:sz w:val="19"/>
              </w:rPr>
              <w:t>Gazette</w:t>
            </w:r>
            <w:r>
              <w:rPr>
                <w:sz w:val="19"/>
              </w:rPr>
              <w:t xml:space="preserve"> 30 Jun 1986 p. 2255)</w:t>
            </w:r>
          </w:p>
        </w:tc>
      </w:tr>
      <w:tr w:rsidR="00710A10">
        <w:trPr>
          <w:gridAfter w:val="1"/>
          <w:wAfter w:w="6" w:type="dxa"/>
          <w:cantSplit/>
        </w:trPr>
        <w:tc>
          <w:tcPr>
            <w:tcW w:w="2268" w:type="dxa"/>
          </w:tcPr>
          <w:p w:rsidR="00710A10" w:rsidRDefault="007558B6">
            <w:pPr>
              <w:pStyle w:val="nTable"/>
              <w:spacing w:after="40"/>
              <w:rPr>
                <w:sz w:val="19"/>
              </w:rPr>
            </w:pPr>
            <w:r>
              <w:rPr>
                <w:i/>
                <w:sz w:val="19"/>
              </w:rPr>
              <w:t>Acts Amendment (Public Sector Management) Act 1994</w:t>
            </w:r>
            <w:r>
              <w:rPr>
                <w:sz w:val="19"/>
              </w:rPr>
              <w:t xml:space="preserve"> s. 3(2)</w:t>
            </w:r>
          </w:p>
        </w:tc>
        <w:tc>
          <w:tcPr>
            <w:tcW w:w="1134" w:type="dxa"/>
          </w:tcPr>
          <w:p w:rsidR="00710A10" w:rsidRDefault="007558B6">
            <w:pPr>
              <w:pStyle w:val="nTable"/>
              <w:spacing w:after="40"/>
              <w:rPr>
                <w:sz w:val="19"/>
              </w:rPr>
            </w:pPr>
            <w:r>
              <w:rPr>
                <w:sz w:val="19"/>
              </w:rPr>
              <w:t>32 of 1994</w:t>
            </w:r>
          </w:p>
        </w:tc>
        <w:tc>
          <w:tcPr>
            <w:tcW w:w="1134" w:type="dxa"/>
          </w:tcPr>
          <w:p w:rsidR="00710A10" w:rsidRDefault="007558B6">
            <w:pPr>
              <w:pStyle w:val="nTable"/>
              <w:spacing w:after="40"/>
              <w:rPr>
                <w:sz w:val="19"/>
              </w:rPr>
            </w:pPr>
            <w:r>
              <w:rPr>
                <w:sz w:val="19"/>
              </w:rPr>
              <w:t>29 Jun 1994</w:t>
            </w:r>
          </w:p>
        </w:tc>
        <w:tc>
          <w:tcPr>
            <w:tcW w:w="2551" w:type="dxa"/>
          </w:tcPr>
          <w:p w:rsidR="00710A10" w:rsidRDefault="007558B6">
            <w:pPr>
              <w:pStyle w:val="nTable"/>
              <w:spacing w:after="40"/>
              <w:rPr>
                <w:sz w:val="19"/>
              </w:rPr>
            </w:pPr>
            <w:r>
              <w:rPr>
                <w:sz w:val="19"/>
              </w:rPr>
              <w:t xml:space="preserve">1 Oct 1994 (see s. 2 and </w:t>
            </w:r>
            <w:r>
              <w:rPr>
                <w:i/>
                <w:sz w:val="19"/>
              </w:rPr>
              <w:t>Gazette</w:t>
            </w:r>
            <w:r>
              <w:rPr>
                <w:sz w:val="19"/>
              </w:rPr>
              <w:t xml:space="preserve"> 30 Sep 1994 p. 4948)</w:t>
            </w:r>
          </w:p>
        </w:tc>
      </w:tr>
      <w:tr w:rsidR="00710A10">
        <w:trPr>
          <w:gridAfter w:val="1"/>
          <w:wAfter w:w="6" w:type="dxa"/>
          <w:cantSplit/>
        </w:trPr>
        <w:tc>
          <w:tcPr>
            <w:tcW w:w="2268" w:type="dxa"/>
          </w:tcPr>
          <w:p w:rsidR="00710A10" w:rsidRDefault="007558B6">
            <w:pPr>
              <w:pStyle w:val="nTable"/>
              <w:spacing w:after="40"/>
              <w:rPr>
                <w:sz w:val="19"/>
              </w:rPr>
            </w:pPr>
            <w:r>
              <w:rPr>
                <w:i/>
                <w:sz w:val="19"/>
              </w:rPr>
              <w:t>Equal Opportunity Amendment Act (No. 3) 1997</w:t>
            </w:r>
            <w:r>
              <w:rPr>
                <w:sz w:val="19"/>
              </w:rPr>
              <w:t xml:space="preserve"> s. 8</w:t>
            </w:r>
          </w:p>
        </w:tc>
        <w:tc>
          <w:tcPr>
            <w:tcW w:w="1134" w:type="dxa"/>
          </w:tcPr>
          <w:p w:rsidR="00710A10" w:rsidRDefault="007558B6">
            <w:pPr>
              <w:pStyle w:val="nTable"/>
              <w:spacing w:after="40"/>
              <w:rPr>
                <w:sz w:val="19"/>
              </w:rPr>
            </w:pPr>
            <w:r>
              <w:rPr>
                <w:sz w:val="19"/>
              </w:rPr>
              <w:t>42 of 1997</w:t>
            </w:r>
          </w:p>
        </w:tc>
        <w:tc>
          <w:tcPr>
            <w:tcW w:w="1134" w:type="dxa"/>
          </w:tcPr>
          <w:p w:rsidR="00710A10" w:rsidRDefault="007558B6">
            <w:pPr>
              <w:pStyle w:val="nTable"/>
              <w:spacing w:after="40"/>
              <w:rPr>
                <w:sz w:val="19"/>
              </w:rPr>
            </w:pPr>
            <w:r>
              <w:rPr>
                <w:sz w:val="19"/>
              </w:rPr>
              <w:t>9 Dec 1997</w:t>
            </w:r>
          </w:p>
        </w:tc>
        <w:tc>
          <w:tcPr>
            <w:tcW w:w="2551" w:type="dxa"/>
          </w:tcPr>
          <w:p w:rsidR="00710A10" w:rsidRDefault="007558B6">
            <w:pPr>
              <w:pStyle w:val="nTable"/>
              <w:spacing w:after="40"/>
              <w:rPr>
                <w:sz w:val="19"/>
              </w:rPr>
            </w:pPr>
            <w:r>
              <w:rPr>
                <w:sz w:val="19"/>
              </w:rPr>
              <w:t>6 Jan 1998 (see s. 2(1))</w:t>
            </w:r>
          </w:p>
        </w:tc>
      </w:tr>
      <w:tr w:rsidR="00710A10">
        <w:trPr>
          <w:gridAfter w:val="1"/>
          <w:wAfter w:w="6" w:type="dxa"/>
          <w:cantSplit/>
        </w:trPr>
        <w:tc>
          <w:tcPr>
            <w:tcW w:w="2268" w:type="dxa"/>
          </w:tcPr>
          <w:p w:rsidR="00710A10" w:rsidRDefault="007558B6">
            <w:pPr>
              <w:pStyle w:val="nTable"/>
              <w:spacing w:after="40"/>
              <w:rPr>
                <w:sz w:val="19"/>
              </w:rPr>
            </w:pPr>
            <w:r>
              <w:rPr>
                <w:i/>
                <w:sz w:val="19"/>
              </w:rPr>
              <w:t>Western Australian Greyhound Racing Association Amendment Act 1998</w:t>
            </w:r>
            <w:r>
              <w:rPr>
                <w:sz w:val="19"/>
              </w:rPr>
              <w:t xml:space="preserve"> </w:t>
            </w:r>
            <w:r>
              <w:rPr>
                <w:sz w:val="19"/>
                <w:vertAlign w:val="superscript"/>
              </w:rPr>
              <w:t>2, 3, 4</w:t>
            </w:r>
          </w:p>
        </w:tc>
        <w:tc>
          <w:tcPr>
            <w:tcW w:w="1134" w:type="dxa"/>
          </w:tcPr>
          <w:p w:rsidR="00710A10" w:rsidRDefault="007558B6">
            <w:pPr>
              <w:pStyle w:val="nTable"/>
              <w:spacing w:after="40"/>
              <w:rPr>
                <w:sz w:val="19"/>
              </w:rPr>
            </w:pPr>
            <w:r>
              <w:rPr>
                <w:sz w:val="19"/>
              </w:rPr>
              <w:t>23 of 1998</w:t>
            </w:r>
          </w:p>
        </w:tc>
        <w:tc>
          <w:tcPr>
            <w:tcW w:w="1134" w:type="dxa"/>
          </w:tcPr>
          <w:p w:rsidR="00710A10" w:rsidRDefault="007558B6">
            <w:pPr>
              <w:pStyle w:val="nTable"/>
              <w:spacing w:after="40"/>
              <w:rPr>
                <w:sz w:val="19"/>
              </w:rPr>
            </w:pPr>
            <w:r>
              <w:rPr>
                <w:sz w:val="19"/>
              </w:rPr>
              <w:t>30 Jun 1998</w:t>
            </w:r>
          </w:p>
        </w:tc>
        <w:tc>
          <w:tcPr>
            <w:tcW w:w="2551" w:type="dxa"/>
          </w:tcPr>
          <w:p w:rsidR="00710A10" w:rsidRDefault="007558B6">
            <w:pPr>
              <w:pStyle w:val="nTable"/>
              <w:spacing w:after="40"/>
              <w:rPr>
                <w:sz w:val="19"/>
              </w:rPr>
            </w:pPr>
            <w:r>
              <w:rPr>
                <w:sz w:val="19"/>
              </w:rPr>
              <w:t xml:space="preserve">1 Aug 1998 (see s. 3 and </w:t>
            </w:r>
            <w:r>
              <w:rPr>
                <w:i/>
                <w:sz w:val="19"/>
              </w:rPr>
              <w:t>Gazette</w:t>
            </w:r>
            <w:r>
              <w:rPr>
                <w:sz w:val="19"/>
              </w:rPr>
              <w:t xml:space="preserve"> 21 Jul 1998 p. 3825)</w:t>
            </w:r>
          </w:p>
        </w:tc>
      </w:tr>
      <w:tr w:rsidR="00710A10">
        <w:trPr>
          <w:gridAfter w:val="1"/>
          <w:wAfter w:w="6" w:type="dxa"/>
          <w:cantSplit/>
        </w:trPr>
        <w:tc>
          <w:tcPr>
            <w:tcW w:w="7087" w:type="dxa"/>
            <w:gridSpan w:val="4"/>
          </w:tcPr>
          <w:p w:rsidR="00710A10" w:rsidRDefault="007558B6">
            <w:pPr>
              <w:pStyle w:val="nTable"/>
              <w:spacing w:after="40"/>
              <w:rPr>
                <w:sz w:val="19"/>
              </w:rPr>
            </w:pPr>
            <w:r>
              <w:rPr>
                <w:b/>
                <w:sz w:val="19"/>
              </w:rPr>
              <w:t xml:space="preserve">Reprint of the </w:t>
            </w:r>
            <w:r>
              <w:rPr>
                <w:b/>
                <w:i/>
                <w:sz w:val="19"/>
              </w:rPr>
              <w:t xml:space="preserve">Western Australian Greyhound Racing Authority Act 1981 </w:t>
            </w:r>
            <w:r>
              <w:rPr>
                <w:b/>
                <w:sz w:val="19"/>
              </w:rPr>
              <w:t>as at 1 Jan 1999</w:t>
            </w:r>
            <w:r>
              <w:rPr>
                <w:sz w:val="19"/>
              </w:rPr>
              <w:t xml:space="preserve"> (includes amendments listed above)</w:t>
            </w:r>
          </w:p>
        </w:tc>
      </w:tr>
      <w:tr w:rsidR="00710A10">
        <w:trPr>
          <w:gridAfter w:val="1"/>
          <w:wAfter w:w="6" w:type="dxa"/>
          <w:cantSplit/>
        </w:trPr>
        <w:tc>
          <w:tcPr>
            <w:tcW w:w="2268" w:type="dxa"/>
          </w:tcPr>
          <w:p w:rsidR="00710A10" w:rsidRDefault="007558B6">
            <w:pPr>
              <w:pStyle w:val="nTable"/>
              <w:spacing w:after="40"/>
              <w:rPr>
                <w:i/>
                <w:sz w:val="19"/>
              </w:rPr>
            </w:pPr>
            <w:r>
              <w:rPr>
                <w:i/>
                <w:sz w:val="19"/>
              </w:rPr>
              <w:t>Statutes (Repeals and Minor Amendments) Act 2000</w:t>
            </w:r>
            <w:r>
              <w:rPr>
                <w:sz w:val="19"/>
              </w:rPr>
              <w:t xml:space="preserve"> s. 46</w:t>
            </w:r>
          </w:p>
        </w:tc>
        <w:tc>
          <w:tcPr>
            <w:tcW w:w="1134" w:type="dxa"/>
          </w:tcPr>
          <w:p w:rsidR="00710A10" w:rsidRDefault="007558B6">
            <w:pPr>
              <w:pStyle w:val="nTable"/>
              <w:spacing w:after="40"/>
              <w:rPr>
                <w:sz w:val="19"/>
              </w:rPr>
            </w:pPr>
            <w:r>
              <w:rPr>
                <w:sz w:val="19"/>
              </w:rPr>
              <w:t>24 of 2000</w:t>
            </w:r>
          </w:p>
        </w:tc>
        <w:tc>
          <w:tcPr>
            <w:tcW w:w="1134" w:type="dxa"/>
          </w:tcPr>
          <w:p w:rsidR="00710A10" w:rsidRDefault="007558B6">
            <w:pPr>
              <w:pStyle w:val="nTable"/>
              <w:spacing w:after="40"/>
              <w:rPr>
                <w:sz w:val="19"/>
              </w:rPr>
            </w:pPr>
            <w:r>
              <w:rPr>
                <w:sz w:val="19"/>
              </w:rPr>
              <w:t>4 Jul 2000</w:t>
            </w:r>
          </w:p>
        </w:tc>
        <w:tc>
          <w:tcPr>
            <w:tcW w:w="2551" w:type="dxa"/>
          </w:tcPr>
          <w:p w:rsidR="00710A10" w:rsidRDefault="007558B6">
            <w:pPr>
              <w:pStyle w:val="nTable"/>
              <w:spacing w:after="40"/>
              <w:rPr>
                <w:sz w:val="19"/>
              </w:rPr>
            </w:pPr>
            <w:r>
              <w:rPr>
                <w:sz w:val="19"/>
              </w:rPr>
              <w:t>4 Jul 2000 (see s. 2)</w:t>
            </w:r>
          </w:p>
        </w:tc>
      </w:tr>
      <w:tr w:rsidR="00710A10">
        <w:trPr>
          <w:gridAfter w:val="1"/>
          <w:wAfter w:w="6" w:type="dxa"/>
          <w:cantSplit/>
        </w:trPr>
        <w:tc>
          <w:tcPr>
            <w:tcW w:w="2268" w:type="dxa"/>
          </w:tcPr>
          <w:p w:rsidR="00710A10" w:rsidRDefault="007558B6">
            <w:pPr>
              <w:pStyle w:val="nTable"/>
              <w:spacing w:after="40"/>
              <w:rPr>
                <w:i/>
                <w:sz w:val="19"/>
              </w:rPr>
            </w:pPr>
            <w:r>
              <w:rPr>
                <w:i/>
                <w:sz w:val="19"/>
              </w:rPr>
              <w:t>Racing and Gambling Legislation Amendment and Repeal Act 2003</w:t>
            </w:r>
            <w:r>
              <w:rPr>
                <w:sz w:val="19"/>
              </w:rPr>
              <w:t xml:space="preserve"> Pt. 12 Div. 1</w:t>
            </w:r>
            <w:r>
              <w:rPr>
                <w:sz w:val="19"/>
                <w:vertAlign w:val="superscript"/>
              </w:rPr>
              <w:t> 5</w:t>
            </w:r>
          </w:p>
        </w:tc>
        <w:tc>
          <w:tcPr>
            <w:tcW w:w="1134" w:type="dxa"/>
          </w:tcPr>
          <w:p w:rsidR="00710A10" w:rsidRDefault="007558B6">
            <w:pPr>
              <w:pStyle w:val="nTable"/>
              <w:spacing w:after="40"/>
              <w:rPr>
                <w:sz w:val="19"/>
              </w:rPr>
            </w:pPr>
            <w:r>
              <w:rPr>
                <w:sz w:val="19"/>
              </w:rPr>
              <w:t>35 of 2003</w:t>
            </w:r>
          </w:p>
        </w:tc>
        <w:tc>
          <w:tcPr>
            <w:tcW w:w="1134" w:type="dxa"/>
          </w:tcPr>
          <w:p w:rsidR="00710A10" w:rsidRDefault="007558B6">
            <w:pPr>
              <w:pStyle w:val="nTable"/>
              <w:spacing w:after="40"/>
              <w:rPr>
                <w:sz w:val="19"/>
              </w:rPr>
            </w:pPr>
            <w:r>
              <w:rPr>
                <w:sz w:val="19"/>
              </w:rPr>
              <w:t>26 Jun 2003</w:t>
            </w:r>
          </w:p>
        </w:tc>
        <w:tc>
          <w:tcPr>
            <w:tcW w:w="2551" w:type="dxa"/>
          </w:tcPr>
          <w:p w:rsidR="00710A10" w:rsidRDefault="007558B6">
            <w:pPr>
              <w:pStyle w:val="nTable"/>
              <w:spacing w:after="40"/>
              <w:rPr>
                <w:sz w:val="19"/>
              </w:rPr>
            </w:pPr>
            <w:r>
              <w:rPr>
                <w:sz w:val="19"/>
              </w:rPr>
              <w:t>s. 195</w:t>
            </w:r>
            <w:r>
              <w:rPr>
                <w:sz w:val="19"/>
              </w:rPr>
              <w:noBreakHyphen/>
              <w:t>206, 207(1)(a) and (2), 208</w:t>
            </w:r>
            <w:r>
              <w:rPr>
                <w:sz w:val="19"/>
              </w:rPr>
              <w:noBreakHyphen/>
              <w:t xml:space="preserve">218: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r w:rsidR="00710A10">
        <w:trPr>
          <w:gridAfter w:val="1"/>
          <w:wAfter w:w="6" w:type="dxa"/>
          <w:cantSplit/>
        </w:trPr>
        <w:tc>
          <w:tcPr>
            <w:tcW w:w="7087" w:type="dxa"/>
            <w:gridSpan w:val="4"/>
          </w:tcPr>
          <w:p w:rsidR="00710A10" w:rsidRDefault="007558B6">
            <w:pPr>
              <w:pStyle w:val="nTable"/>
              <w:spacing w:after="40"/>
              <w:rPr>
                <w:sz w:val="19"/>
              </w:rPr>
            </w:pPr>
            <w:r>
              <w:rPr>
                <w:b/>
                <w:sz w:val="19"/>
              </w:rPr>
              <w:t xml:space="preserve">Reprint 2: The </w:t>
            </w:r>
            <w:r>
              <w:rPr>
                <w:b/>
                <w:i/>
                <w:sz w:val="19"/>
              </w:rPr>
              <w:t xml:space="preserve">Western Australian Greyhound Racing Association Act 1981 </w:t>
            </w:r>
            <w:r>
              <w:rPr>
                <w:b/>
                <w:sz w:val="19"/>
              </w:rPr>
              <w:t>as at 10 Feb 2006</w:t>
            </w:r>
            <w:r>
              <w:rPr>
                <w:sz w:val="19"/>
              </w:rPr>
              <w:t xml:space="preserve"> (includes amendments listed above)</w:t>
            </w:r>
          </w:p>
        </w:tc>
      </w:tr>
      <w:tr w:rsidR="00710A10">
        <w:trPr>
          <w:gridAfter w:val="1"/>
          <w:wAfter w:w="6" w:type="dxa"/>
          <w:cantSplit/>
        </w:trPr>
        <w:tc>
          <w:tcPr>
            <w:tcW w:w="2268" w:type="dxa"/>
          </w:tcPr>
          <w:p w:rsidR="00710A10" w:rsidRDefault="007558B6">
            <w:pPr>
              <w:pStyle w:val="nTable"/>
              <w:spacing w:after="40"/>
              <w:rPr>
                <w:i/>
                <w:sz w:val="19"/>
              </w:rPr>
            </w:pPr>
            <w:r>
              <w:rPr>
                <w:i/>
                <w:sz w:val="19"/>
              </w:rPr>
              <w:t>Financial Legislation Amendment and Repeal Act 2006</w:t>
            </w:r>
            <w:r>
              <w:rPr>
                <w:sz w:val="19"/>
              </w:rPr>
              <w:t xml:space="preserve"> s. 17</w:t>
            </w:r>
          </w:p>
        </w:tc>
        <w:tc>
          <w:tcPr>
            <w:tcW w:w="1134" w:type="dxa"/>
          </w:tcPr>
          <w:p w:rsidR="00710A10" w:rsidRDefault="007558B6">
            <w:pPr>
              <w:pStyle w:val="nTable"/>
              <w:spacing w:after="40"/>
              <w:rPr>
                <w:sz w:val="19"/>
              </w:rPr>
            </w:pPr>
            <w:r>
              <w:rPr>
                <w:sz w:val="19"/>
              </w:rPr>
              <w:t>77 of 2006</w:t>
            </w:r>
          </w:p>
        </w:tc>
        <w:tc>
          <w:tcPr>
            <w:tcW w:w="1134" w:type="dxa"/>
          </w:tcPr>
          <w:p w:rsidR="00710A10" w:rsidRDefault="007558B6">
            <w:pPr>
              <w:pStyle w:val="nTable"/>
              <w:spacing w:after="40"/>
              <w:rPr>
                <w:sz w:val="19"/>
              </w:rPr>
            </w:pPr>
            <w:r>
              <w:rPr>
                <w:sz w:val="19"/>
              </w:rPr>
              <w:t>21 Dec 2006</w:t>
            </w:r>
          </w:p>
        </w:tc>
        <w:tc>
          <w:tcPr>
            <w:tcW w:w="2551" w:type="dxa"/>
          </w:tcPr>
          <w:p w:rsidR="00710A10" w:rsidRDefault="007558B6">
            <w:pPr>
              <w:pStyle w:val="nTable"/>
              <w:spacing w:after="40"/>
              <w:rPr>
                <w:sz w:val="19"/>
              </w:rPr>
            </w:pPr>
            <w:r>
              <w:rPr>
                <w:sz w:val="19"/>
              </w:rPr>
              <w:t xml:space="preserve">1 Feb 2007 (see s. 2(1) and </w:t>
            </w:r>
            <w:r>
              <w:rPr>
                <w:i/>
                <w:sz w:val="19"/>
              </w:rPr>
              <w:t>Gazette</w:t>
            </w:r>
            <w:r>
              <w:rPr>
                <w:sz w:val="19"/>
              </w:rPr>
              <w:t xml:space="preserve"> 19 Jan 2007 p. 137)</w:t>
            </w:r>
          </w:p>
        </w:tc>
      </w:tr>
      <w:tr w:rsidR="00710A10">
        <w:trPr>
          <w:cantSplit/>
        </w:trPr>
        <w:tc>
          <w:tcPr>
            <w:tcW w:w="2269" w:type="dxa"/>
            <w:tcBorders>
              <w:bottom w:val="single" w:sz="4" w:space="0" w:color="auto"/>
            </w:tcBorders>
          </w:tcPr>
          <w:p w:rsidR="00710A10" w:rsidRDefault="007558B6">
            <w:pPr>
              <w:pStyle w:val="nTable"/>
              <w:spacing w:after="40"/>
              <w:rPr>
                <w:iCs/>
                <w:snapToGrid w:val="0"/>
                <w:sz w:val="19"/>
              </w:rPr>
            </w:pPr>
            <w:r>
              <w:rPr>
                <w:i/>
                <w:snapToGrid w:val="0"/>
                <w:sz w:val="19"/>
              </w:rPr>
              <w:t>Acts Amendment (Bankruptcy) Act 2009</w:t>
            </w:r>
            <w:r>
              <w:rPr>
                <w:iCs/>
                <w:snapToGrid w:val="0"/>
                <w:sz w:val="19"/>
              </w:rPr>
              <w:t xml:space="preserve"> s. 91</w:t>
            </w:r>
          </w:p>
        </w:tc>
        <w:tc>
          <w:tcPr>
            <w:tcW w:w="1134" w:type="dxa"/>
            <w:tcBorders>
              <w:bottom w:val="single" w:sz="4" w:space="0" w:color="auto"/>
            </w:tcBorders>
          </w:tcPr>
          <w:p w:rsidR="00710A10" w:rsidRDefault="007558B6">
            <w:pPr>
              <w:pStyle w:val="nTable"/>
              <w:spacing w:after="40"/>
              <w:rPr>
                <w:sz w:val="19"/>
              </w:rPr>
            </w:pPr>
            <w:r>
              <w:rPr>
                <w:sz w:val="19"/>
              </w:rPr>
              <w:t>18 of 2009</w:t>
            </w:r>
          </w:p>
        </w:tc>
        <w:tc>
          <w:tcPr>
            <w:tcW w:w="1134" w:type="dxa"/>
            <w:tcBorders>
              <w:bottom w:val="single" w:sz="4" w:space="0" w:color="auto"/>
            </w:tcBorders>
          </w:tcPr>
          <w:p w:rsidR="00710A10" w:rsidRDefault="007558B6">
            <w:pPr>
              <w:pStyle w:val="nTable"/>
              <w:spacing w:after="40"/>
              <w:rPr>
                <w:sz w:val="19"/>
              </w:rPr>
            </w:pPr>
            <w:r>
              <w:rPr>
                <w:sz w:val="19"/>
              </w:rPr>
              <w:t>16 Sep 2009</w:t>
            </w:r>
          </w:p>
        </w:tc>
        <w:tc>
          <w:tcPr>
            <w:tcW w:w="2552" w:type="dxa"/>
            <w:gridSpan w:val="2"/>
            <w:tcBorders>
              <w:bottom w:val="single" w:sz="4" w:space="0" w:color="auto"/>
            </w:tcBorders>
          </w:tcPr>
          <w:p w:rsidR="00710A10" w:rsidRDefault="007558B6">
            <w:pPr>
              <w:pStyle w:val="nTable"/>
              <w:spacing w:after="40"/>
              <w:rPr>
                <w:sz w:val="19"/>
              </w:rPr>
            </w:pPr>
            <w:r>
              <w:rPr>
                <w:sz w:val="19"/>
              </w:rPr>
              <w:t>17 Sep 2009 (see s. 2(b))</w:t>
            </w:r>
          </w:p>
        </w:tc>
      </w:tr>
    </w:tbl>
    <w:p w:rsidR="00710A10" w:rsidRDefault="007558B6">
      <w:pPr>
        <w:pStyle w:val="nSubsection"/>
        <w:keepNext/>
        <w:keepLines/>
      </w:pPr>
      <w:bookmarkStart w:id="279" w:name="UpToHere"/>
      <w:bookmarkEnd w:id="279"/>
      <w:r>
        <w:rPr>
          <w:vertAlign w:val="superscript"/>
        </w:rPr>
        <w:t>2</w:t>
      </w:r>
      <w:r>
        <w:tab/>
        <w:t xml:space="preserve">The </w:t>
      </w:r>
      <w:r>
        <w:rPr>
          <w:i/>
        </w:rPr>
        <w:t>Western Australian Greyhound Racing Association Amendment Act 1998</w:t>
      </w:r>
      <w:r>
        <w:t xml:space="preserve"> s. 16(2), (3) and (4) read as follows:</w:t>
      </w:r>
    </w:p>
    <w:p w:rsidR="00710A10" w:rsidRDefault="007558B6">
      <w:pPr>
        <w:pStyle w:val="MiscOpen"/>
      </w:pPr>
      <w:r>
        <w:t>“</w:t>
      </w:r>
    </w:p>
    <w:p w:rsidR="00710A10" w:rsidRDefault="007558B6">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rsidR="00710A10" w:rsidRDefault="007558B6">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rsidR="00710A10" w:rsidRDefault="007558B6">
      <w:pPr>
        <w:pStyle w:val="nzSubsection"/>
      </w:pPr>
      <w:r>
        <w:tab/>
        <w:t>(4)</w:t>
      </w:r>
      <w:r>
        <w:tab/>
        <w:t>Where, in a written law (including the principal Act on or after the commencement of this Act) or in any document of any kind, there is —</w:t>
      </w:r>
    </w:p>
    <w:p w:rsidR="00710A10" w:rsidRDefault="007558B6">
      <w:pPr>
        <w:pStyle w:val="nzIndenta"/>
      </w:pPr>
      <w:r>
        <w:tab/>
        <w:t>(a)</w:t>
      </w:r>
      <w:r>
        <w:tab/>
        <w:t>a reference to the Western Australian Greyhound Racing Association; or</w:t>
      </w:r>
    </w:p>
    <w:p w:rsidR="00710A10" w:rsidRDefault="007558B6">
      <w:pPr>
        <w:pStyle w:val="nzIndenta"/>
      </w:pPr>
      <w:r>
        <w:tab/>
        <w:t>(b)</w:t>
      </w:r>
      <w:r>
        <w:tab/>
        <w:t>a reference that was directed by clause 7 of Schedule 2 to the principal Act to be read and construed as a reference to the Western Australian Greyhound Racing Association,</w:t>
      </w:r>
    </w:p>
    <w:p w:rsidR="00710A10" w:rsidRDefault="007558B6">
      <w:pPr>
        <w:pStyle w:val="nzSubsection"/>
      </w:pPr>
      <w:r>
        <w:tab/>
      </w:r>
      <w:r>
        <w:tab/>
        <w:t>that reference is, unless because of the context it would be inappropriate to do so, to be read and construed as if it had been amended to be a reference to the Western Australian Greyhound Racing Authority.</w:t>
      </w:r>
    </w:p>
    <w:p w:rsidR="00710A10" w:rsidRDefault="007558B6">
      <w:pPr>
        <w:pStyle w:val="MiscClose"/>
      </w:pPr>
      <w:r>
        <w:t>”.</w:t>
      </w:r>
    </w:p>
    <w:p w:rsidR="00710A10" w:rsidRDefault="007558B6">
      <w:pPr>
        <w:pStyle w:val="nSubsection"/>
      </w:pPr>
      <w:r>
        <w:rPr>
          <w:vertAlign w:val="superscript"/>
        </w:rPr>
        <w:t>3</w:t>
      </w:r>
      <w:r>
        <w:tab/>
        <w:t xml:space="preserve">The </w:t>
      </w:r>
      <w:r>
        <w:rPr>
          <w:i/>
        </w:rPr>
        <w:t>Western Australian Greyhound Racing Association Amendment Act 1998</w:t>
      </w:r>
      <w:r>
        <w:t xml:space="preserve"> s. 17(3) and (4) read as follows:</w:t>
      </w:r>
    </w:p>
    <w:p w:rsidR="00710A10" w:rsidRDefault="007558B6">
      <w:pPr>
        <w:pStyle w:val="MiscOpen"/>
      </w:pPr>
      <w:r>
        <w:t>“</w:t>
      </w:r>
    </w:p>
    <w:p w:rsidR="00710A10" w:rsidRDefault="007558B6">
      <w:pPr>
        <w:pStyle w:val="nzSubsection"/>
        <w:spacing w:before="0"/>
      </w:pPr>
      <w:r>
        <w:tab/>
        <w:t>(3)</w:t>
      </w:r>
      <w:r>
        <w:tab/>
        <w:t>The body renamed as the board by subsection (1) is the same body as the Committee previously established under section 9 of the principal Act.</w:t>
      </w:r>
    </w:p>
    <w:p w:rsidR="00710A10" w:rsidRDefault="007558B6">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rsidR="00710A10" w:rsidRDefault="007558B6">
      <w:pPr>
        <w:pStyle w:val="MiscClose"/>
      </w:pPr>
      <w:r>
        <w:t>”.</w:t>
      </w:r>
    </w:p>
    <w:p w:rsidR="00710A10" w:rsidRDefault="007558B6">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rsidR="00710A10" w:rsidRDefault="007558B6">
      <w:pPr>
        <w:pStyle w:val="MiscOpen"/>
      </w:pPr>
      <w:r>
        <w:t>“</w:t>
      </w:r>
    </w:p>
    <w:p w:rsidR="00710A10" w:rsidRDefault="007558B6">
      <w:pPr>
        <w:pStyle w:val="nzHeading5"/>
        <w:spacing w:before="0"/>
      </w:pPr>
      <w:r>
        <w:t>18.</w:t>
      </w:r>
      <w:r>
        <w:tab/>
        <w:t>Validation of rules</w:t>
      </w:r>
    </w:p>
    <w:p w:rsidR="00710A10" w:rsidRDefault="007558B6">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rsidR="00710A10" w:rsidRDefault="007558B6">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rsidR="00710A10" w:rsidRDefault="007558B6">
      <w:pPr>
        <w:pStyle w:val="nzHeading5"/>
        <w:spacing w:before="240"/>
      </w:pPr>
      <w:r>
        <w:t>19.</w:t>
      </w:r>
      <w:r>
        <w:tab/>
        <w:t>Transitional provision regarding rules</w:t>
      </w:r>
    </w:p>
    <w:p w:rsidR="00710A10" w:rsidRDefault="007558B6">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rsidR="00710A10" w:rsidRDefault="007558B6">
      <w:pPr>
        <w:pStyle w:val="MiscClose"/>
      </w:pPr>
      <w:r>
        <w:t>”.</w:t>
      </w:r>
    </w:p>
    <w:p w:rsidR="00710A10" w:rsidRDefault="007558B6">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rsidR="00710A10" w:rsidRDefault="007558B6">
      <w:pPr>
        <w:pStyle w:val="MiscOpen"/>
      </w:pPr>
      <w:r>
        <w:t>“</w:t>
      </w:r>
    </w:p>
    <w:p w:rsidR="00710A10" w:rsidRDefault="007558B6">
      <w:pPr>
        <w:pStyle w:val="nzHeading5"/>
        <w:spacing w:before="0"/>
      </w:pPr>
      <w:bookmarkStart w:id="280" w:name="_Toc44146558"/>
      <w:r>
        <w:rPr>
          <w:rStyle w:val="CharSectno"/>
        </w:rPr>
        <w:t>3</w:t>
      </w:r>
      <w:r>
        <w:t>.</w:t>
      </w:r>
      <w:r>
        <w:tab/>
        <w:t>Definitions</w:t>
      </w:r>
      <w:bookmarkEnd w:id="280"/>
    </w:p>
    <w:p w:rsidR="00710A10" w:rsidRDefault="007558B6">
      <w:pPr>
        <w:pStyle w:val="nzSubsection"/>
      </w:pPr>
      <w:r>
        <w:tab/>
      </w:r>
      <w:r>
        <w:tab/>
        <w:t>In this Act —</w:t>
      </w:r>
    </w:p>
    <w:p w:rsidR="00710A10" w:rsidRDefault="007558B6">
      <w:pPr>
        <w:pStyle w:val="nzDefstart"/>
      </w:pPr>
      <w:r>
        <w:rPr>
          <w:b/>
        </w:rPr>
        <w:tab/>
      </w:r>
      <w:r>
        <w:rPr>
          <w:rStyle w:val="CharDefText"/>
        </w:rPr>
        <w:t>appointed day</w:t>
      </w:r>
      <w:r>
        <w:t xml:space="preserve"> means the day fixed by order under section 7;</w:t>
      </w:r>
    </w:p>
    <w:p w:rsidR="00710A10" w:rsidRDefault="007558B6">
      <w:pPr>
        <w:pStyle w:val="nzDefstart"/>
      </w:pPr>
      <w:r>
        <w:rPr>
          <w:b/>
        </w:rPr>
        <w:tab/>
      </w:r>
      <w:r>
        <w:rPr>
          <w:rStyle w:val="CharDefText"/>
        </w:rPr>
        <w:t>assets</w:t>
      </w:r>
      <w:r>
        <w:t xml:space="preserve"> means —</w:t>
      </w:r>
    </w:p>
    <w:p w:rsidR="00710A10" w:rsidRDefault="007558B6">
      <w:pPr>
        <w:pStyle w:val="nzDefpara"/>
      </w:pPr>
      <w:r>
        <w:tab/>
        <w:t>(a)</w:t>
      </w:r>
      <w:r>
        <w:tab/>
        <w:t>property of every kind whether tangible or intangible, real or personal, corporeal or incorporeal; and</w:t>
      </w:r>
    </w:p>
    <w:p w:rsidR="00710A10" w:rsidRDefault="007558B6">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710A10" w:rsidRDefault="007558B6">
      <w:pPr>
        <w:pStyle w:val="nzDefstart"/>
      </w:pPr>
      <w:r>
        <w:rPr>
          <w:b/>
        </w:rPr>
        <w:tab/>
      </w:r>
      <w:r>
        <w:rPr>
          <w:rStyle w:val="CharDefText"/>
        </w:rPr>
        <w:t>commencement day</w:t>
      </w:r>
      <w:r>
        <w:t xml:space="preserve"> means the day of which Part 1 of the RWWA Act comes into operation;</w:t>
      </w:r>
    </w:p>
    <w:p w:rsidR="00710A10" w:rsidRDefault="007558B6">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rsidR="00710A10" w:rsidRDefault="007558B6">
      <w:pPr>
        <w:pStyle w:val="nzDefstart"/>
      </w:pPr>
      <w:r>
        <w:rPr>
          <w:b/>
        </w:rPr>
        <w:tab/>
      </w:r>
      <w:r>
        <w:rPr>
          <w:rStyle w:val="CharDefText"/>
        </w:rPr>
        <w:t>right</w:t>
      </w:r>
      <w:r>
        <w:t xml:space="preserve"> means any right, power, privilege or immunity whether actual, contingent or prospective;</w:t>
      </w:r>
    </w:p>
    <w:p w:rsidR="00710A10" w:rsidRDefault="007558B6">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rsidR="00710A10" w:rsidRDefault="007558B6">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rsidR="00710A10" w:rsidRDefault="007558B6">
      <w:pPr>
        <w:pStyle w:val="MiscClose"/>
      </w:pPr>
      <w:r>
        <w:t>”</w:t>
      </w:r>
    </w:p>
    <w:p w:rsidR="00710A10" w:rsidRDefault="007558B6">
      <w:pPr>
        <w:pStyle w:val="MiscOpen"/>
      </w:pPr>
      <w:r>
        <w:t>“</w:t>
      </w:r>
    </w:p>
    <w:p w:rsidR="00710A10" w:rsidRDefault="007558B6">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rsidR="00710A10" w:rsidRDefault="007558B6">
      <w:pPr>
        <w:pStyle w:val="nzHeading5"/>
      </w:pPr>
      <w:bookmarkStart w:id="281" w:name="_Toc44146559"/>
      <w:r>
        <w:rPr>
          <w:rStyle w:val="CharSectno"/>
        </w:rPr>
        <w:t>4</w:t>
      </w:r>
      <w:r>
        <w:t>.</w:t>
      </w:r>
      <w:r>
        <w:tab/>
        <w:t>Definitions</w:t>
      </w:r>
      <w:bookmarkEnd w:id="281"/>
    </w:p>
    <w:p w:rsidR="00710A10" w:rsidRDefault="007558B6">
      <w:pPr>
        <w:pStyle w:val="nzSubsection"/>
      </w:pPr>
      <w:r>
        <w:tab/>
        <w:t>(1)</w:t>
      </w:r>
      <w:r>
        <w:tab/>
        <w:t>In this Part, unless the contrary intention appears —</w:t>
      </w:r>
    </w:p>
    <w:p w:rsidR="00710A10" w:rsidRDefault="007558B6">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rsidR="00710A10" w:rsidRDefault="007558B6">
      <w:pPr>
        <w:pStyle w:val="nzDefstart"/>
      </w:pPr>
      <w:r>
        <w:rPr>
          <w:b/>
        </w:rPr>
        <w:tab/>
      </w:r>
      <w:r>
        <w:rPr>
          <w:rStyle w:val="CharDefText"/>
        </w:rPr>
        <w:t>old Rules of Harness Racing</w:t>
      </w:r>
      <w:r>
        <w:t xml:space="preserve"> means the Rules of Harness Racing 1999 made</w:t>
      </w:r>
      <w:bookmarkStart w:id="282" w:name="_Hlt25572520"/>
      <w:bookmarkEnd w:id="282"/>
      <w:r>
        <w:t xml:space="preserve"> or adopted under by</w:t>
      </w:r>
      <w:r>
        <w:noBreakHyphen/>
        <w:t xml:space="preserve">laws under the </w:t>
      </w:r>
      <w:r>
        <w:rPr>
          <w:i/>
        </w:rPr>
        <w:t xml:space="preserve">Western Australian Trotting Association Act 1946 </w:t>
      </w:r>
      <w:r>
        <w:t>and in force immediately before commencement day;</w:t>
      </w:r>
    </w:p>
    <w:p w:rsidR="00710A10" w:rsidRDefault="007558B6">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rsidR="00710A10" w:rsidRDefault="007558B6">
      <w:pPr>
        <w:pStyle w:val="nzDefstart"/>
      </w:pPr>
      <w:r>
        <w:rPr>
          <w:b/>
        </w:rPr>
        <w:tab/>
      </w:r>
      <w:r>
        <w:rPr>
          <w:rStyle w:val="CharDefText"/>
        </w:rPr>
        <w:t>TAB</w:t>
      </w:r>
      <w:r>
        <w:t xml:space="preserve"> means the Totalisator Agency Board established under the </w:t>
      </w:r>
      <w:r>
        <w:rPr>
          <w:i/>
        </w:rPr>
        <w:t>Totalisator Agency Board Betting Act 1960</w:t>
      </w:r>
      <w:r>
        <w:t>;</w:t>
      </w:r>
    </w:p>
    <w:p w:rsidR="00710A10" w:rsidRDefault="007558B6">
      <w:pPr>
        <w:pStyle w:val="nzDefstart"/>
      </w:pPr>
      <w:r>
        <w:rPr>
          <w:b/>
        </w:rPr>
        <w:tab/>
      </w:r>
      <w:r>
        <w:rPr>
          <w:rStyle w:val="CharDefText"/>
        </w:rPr>
        <w:t>TABB Act</w:t>
      </w:r>
      <w:r>
        <w:t xml:space="preserve"> means the </w:t>
      </w:r>
      <w:r>
        <w:rPr>
          <w:i/>
        </w:rPr>
        <w:t>Totalisator Agency Board Betting Act 1960</w:t>
      </w:r>
      <w:r>
        <w:t>.</w:t>
      </w:r>
    </w:p>
    <w:p w:rsidR="00710A10" w:rsidRDefault="007558B6">
      <w:pPr>
        <w:pStyle w:val="nzSubsection"/>
      </w:pPr>
      <w:r>
        <w:tab/>
        <w:t>(2)</w:t>
      </w:r>
      <w:r>
        <w:tab/>
        <w:t>Unless otherwise specified or a contrary intention appears, words and expressions in this Part have the same meaning as in the RWWA Act.</w:t>
      </w:r>
    </w:p>
    <w:p w:rsidR="00710A10" w:rsidRDefault="007558B6">
      <w:pPr>
        <w:pStyle w:val="nzHeading5"/>
      </w:pPr>
      <w:bookmarkStart w:id="283" w:name="_Toc44146560"/>
      <w:r>
        <w:rPr>
          <w:rStyle w:val="CharSectno"/>
        </w:rPr>
        <w:t>5</w:t>
      </w:r>
      <w:r>
        <w:t>.</w:t>
      </w:r>
      <w:r>
        <w:tab/>
        <w:t>First appointments to the board</w:t>
      </w:r>
      <w:bookmarkEnd w:id="283"/>
    </w:p>
    <w:p w:rsidR="00710A10" w:rsidRDefault="007558B6">
      <w:pPr>
        <w:pStyle w:val="nzSubsection"/>
      </w:pPr>
      <w:r>
        <w:tab/>
        <w:t>(1)</w:t>
      </w:r>
      <w:r>
        <w:tab/>
        <w:t>Despite sections 11 and 12 of the RWWA Act, for the purpose of the first appointments of directors to the board —</w:t>
      </w:r>
    </w:p>
    <w:p w:rsidR="00710A10" w:rsidRDefault="007558B6">
      <w:pPr>
        <w:pStyle w:val="nzIndenta"/>
      </w:pPr>
      <w:r>
        <w:tab/>
        <w:t>(a)</w:t>
      </w:r>
      <w:r>
        <w:tab/>
        <w:t>the following bodies are eligible thoroughbred racing bodies for the purposes of sections 8(1)(b) and 11(2)(c) of the RWWA Act —</w:t>
      </w:r>
    </w:p>
    <w:p w:rsidR="00710A10" w:rsidRDefault="007558B6">
      <w:pPr>
        <w:pStyle w:val="nzIndenti"/>
      </w:pPr>
      <w:r>
        <w:tab/>
        <w:t>(i)</w:t>
      </w:r>
      <w:r>
        <w:tab/>
        <w:t>The Western Australian Turf Club;</w:t>
      </w:r>
    </w:p>
    <w:p w:rsidR="00710A10" w:rsidRDefault="007558B6">
      <w:pPr>
        <w:pStyle w:val="nzIndenti"/>
      </w:pPr>
      <w:r>
        <w:tab/>
        <w:t>(ii)</w:t>
      </w:r>
      <w:r>
        <w:tab/>
        <w:t>the Western Australian Provincial Thoroughbred Racing Association;</w:t>
      </w:r>
    </w:p>
    <w:p w:rsidR="00710A10" w:rsidRDefault="007558B6">
      <w:pPr>
        <w:pStyle w:val="nzIndenti"/>
      </w:pPr>
      <w:r>
        <w:tab/>
        <w:t>(iii)</w:t>
      </w:r>
      <w:r>
        <w:tab/>
        <w:t>the Country Racing Association;</w:t>
      </w:r>
    </w:p>
    <w:p w:rsidR="00710A10" w:rsidRDefault="007558B6">
      <w:pPr>
        <w:pStyle w:val="nzIndenti"/>
      </w:pPr>
      <w:r>
        <w:tab/>
        <w:t>(iv)</w:t>
      </w:r>
      <w:r>
        <w:tab/>
        <w:t>the Western Australian Thoroughbred Racing Industry Council;</w:t>
      </w:r>
    </w:p>
    <w:p w:rsidR="00710A10" w:rsidRDefault="007558B6">
      <w:pPr>
        <w:pStyle w:val="nzIndenta"/>
      </w:pPr>
      <w:r>
        <w:tab/>
        <w:t>(b)</w:t>
      </w:r>
      <w:r>
        <w:tab/>
        <w:t>the following bodies are eligible harness racing bodies for the purposes of sections 8(1)(c) and 11(2)(d) of the RWWA Act —</w:t>
      </w:r>
    </w:p>
    <w:p w:rsidR="00710A10" w:rsidRDefault="007558B6">
      <w:pPr>
        <w:pStyle w:val="nzIndenti"/>
      </w:pPr>
      <w:r>
        <w:tab/>
        <w:t>(i)</w:t>
      </w:r>
      <w:r>
        <w:tab/>
        <w:t>the Western Australian Trotting Association;</w:t>
      </w:r>
    </w:p>
    <w:p w:rsidR="00710A10" w:rsidRDefault="007558B6">
      <w:pPr>
        <w:pStyle w:val="nzIndenti"/>
      </w:pPr>
      <w:r>
        <w:tab/>
        <w:t>(ii)</w:t>
      </w:r>
      <w:r>
        <w:tab/>
        <w:t>the Fremantle Trotting Club (Inc.);</w:t>
      </w:r>
    </w:p>
    <w:p w:rsidR="00710A10" w:rsidRDefault="007558B6">
      <w:pPr>
        <w:pStyle w:val="nzIndenti"/>
      </w:pPr>
      <w:r>
        <w:tab/>
        <w:t>(iii)</w:t>
      </w:r>
      <w:r>
        <w:tab/>
        <w:t>the Western Australian Country Trotting Association;</w:t>
      </w:r>
    </w:p>
    <w:p w:rsidR="00710A10" w:rsidRDefault="007558B6">
      <w:pPr>
        <w:pStyle w:val="nzIndenti"/>
      </w:pPr>
      <w:r>
        <w:tab/>
        <w:t>(iv)</w:t>
      </w:r>
      <w:r>
        <w:tab/>
        <w:t>the Western Australian Standardbred Breeders’ Association Inc.;</w:t>
      </w:r>
    </w:p>
    <w:p w:rsidR="00710A10" w:rsidRDefault="007558B6">
      <w:pPr>
        <w:pStyle w:val="nzIndenti"/>
      </w:pPr>
      <w:r>
        <w:tab/>
        <w:t>(v)</w:t>
      </w:r>
      <w:r>
        <w:tab/>
        <w:t>the Western Australian Harness Racing Breeders, Owners, Trainers and Reinspersons’ Association (Inc.);</w:t>
      </w:r>
    </w:p>
    <w:p w:rsidR="00710A10" w:rsidRDefault="007558B6">
      <w:pPr>
        <w:pStyle w:val="nzIndenti"/>
      </w:pPr>
      <w:r>
        <w:tab/>
        <w:t>(vi)</w:t>
      </w:r>
      <w:r>
        <w:tab/>
        <w:t>the Harness Racing Owners’ Association of WA Incorporated;</w:t>
      </w:r>
    </w:p>
    <w:p w:rsidR="00710A10" w:rsidRDefault="007558B6">
      <w:pPr>
        <w:pStyle w:val="nzIndenta"/>
      </w:pPr>
      <w:r>
        <w:tab/>
        <w:t>(c)</w:t>
      </w:r>
      <w:r>
        <w:tab/>
        <w:t>the following bodies are eligible greyhound racing bodies for the purposes of sections 8(1)(d) and 11(2)(e) of the RWWA Act —</w:t>
      </w:r>
    </w:p>
    <w:p w:rsidR="00710A10" w:rsidRDefault="007558B6">
      <w:pPr>
        <w:pStyle w:val="nzIndenti"/>
      </w:pPr>
      <w:r>
        <w:tab/>
        <w:t>(i)</w:t>
      </w:r>
      <w:r>
        <w:tab/>
        <w:t>the Western Australian Greyhound Racing Authority;</w:t>
      </w:r>
    </w:p>
    <w:p w:rsidR="00710A10" w:rsidRDefault="007558B6">
      <w:pPr>
        <w:pStyle w:val="nzIndenti"/>
      </w:pPr>
      <w:r>
        <w:tab/>
        <w:t>(ii)</w:t>
      </w:r>
      <w:r>
        <w:tab/>
        <w:t>the Avon Valley Greyhound Racing Association;</w:t>
      </w:r>
    </w:p>
    <w:p w:rsidR="00710A10" w:rsidRDefault="007558B6">
      <w:pPr>
        <w:pStyle w:val="nzIndenti"/>
      </w:pPr>
      <w:r>
        <w:tab/>
        <w:t>(iii)</w:t>
      </w:r>
      <w:r>
        <w:tab/>
        <w:t>the Western Australian Greyhound Breeders, Owners and Trainers Association;</w:t>
      </w:r>
    </w:p>
    <w:p w:rsidR="00710A10" w:rsidRDefault="007558B6">
      <w:pPr>
        <w:pStyle w:val="nzIndenta"/>
      </w:pPr>
      <w:r>
        <w:tab/>
      </w:r>
      <w:r>
        <w:tab/>
        <w:t>and</w:t>
      </w:r>
    </w:p>
    <w:p w:rsidR="00710A10" w:rsidRDefault="007558B6">
      <w:pPr>
        <w:pStyle w:val="nzIndenta"/>
      </w:pPr>
      <w:r>
        <w:tab/>
        <w:t>(d)</w:t>
      </w:r>
      <w:r>
        <w:tab/>
        <w:t>the Minister is to nominate a person for the purposes of section 11(2)(b) of the RWWA Act instead of the board.</w:t>
      </w:r>
    </w:p>
    <w:p w:rsidR="00710A10" w:rsidRDefault="007558B6">
      <w:pPr>
        <w:pStyle w:val="nzSubsection"/>
      </w:pPr>
      <w:r>
        <w:tab/>
        <w:t>(2)</w:t>
      </w:r>
      <w:r>
        <w:tab/>
        <w:t>The Minister may give directions for facilitating the constitution of the first board of directors of RWWA and those directions have the same effect as an order made under section 9 of the RWWA Act.</w:t>
      </w:r>
    </w:p>
    <w:p w:rsidR="00710A10" w:rsidRDefault="007558B6">
      <w:pPr>
        <w:pStyle w:val="nzHeading5"/>
      </w:pPr>
      <w:bookmarkStart w:id="284" w:name="_Toc44146561"/>
      <w:r>
        <w:rPr>
          <w:rStyle w:val="CharSectno"/>
        </w:rPr>
        <w:t>6</w:t>
      </w:r>
      <w:r>
        <w:t>.</w:t>
      </w:r>
      <w:r>
        <w:tab/>
        <w:t>Acting CEO</w:t>
      </w:r>
      <w:bookmarkEnd w:id="284"/>
    </w:p>
    <w:p w:rsidR="00710A10" w:rsidRDefault="007558B6">
      <w:pPr>
        <w:pStyle w:val="nzSubsection"/>
      </w:pPr>
      <w:r>
        <w:tab/>
      </w:r>
      <w:r>
        <w:tab/>
        <w:t>The Minister may appoint a person to act in the office of CEO under section 20 of the RWWA Act during the period before the board first appoints a CEO under that section.</w:t>
      </w:r>
    </w:p>
    <w:p w:rsidR="00710A10" w:rsidRDefault="007558B6">
      <w:pPr>
        <w:pStyle w:val="nzHeading5"/>
      </w:pPr>
      <w:bookmarkStart w:id="285" w:name="_Toc44146562"/>
      <w:r>
        <w:rPr>
          <w:rStyle w:val="CharSectno"/>
        </w:rPr>
        <w:t>7</w:t>
      </w:r>
      <w:r>
        <w:t>.</w:t>
      </w:r>
      <w:r>
        <w:tab/>
        <w:t>RWWA not to exercise gambling functions until appointed day</w:t>
      </w:r>
      <w:bookmarkEnd w:id="285"/>
    </w:p>
    <w:p w:rsidR="00710A10" w:rsidRDefault="007558B6">
      <w:pPr>
        <w:pStyle w:val="nzSubsection"/>
      </w:pPr>
      <w:r>
        <w:tab/>
        <w:t>(1)</w:t>
      </w:r>
      <w:r>
        <w:tab/>
        <w:t>RWWA must not exercise any of its functions under Part 5 of the RWWA Act until the day fixed under subsection (2).</w:t>
      </w:r>
    </w:p>
    <w:p w:rsidR="00710A10" w:rsidRDefault="007558B6">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rsidR="00710A10" w:rsidRDefault="007558B6">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rsidR="00710A10" w:rsidRDefault="007558B6">
      <w:pPr>
        <w:pStyle w:val="nzHeading5"/>
      </w:pPr>
      <w:bookmarkStart w:id="286" w:name="_Toc44146563"/>
      <w:r>
        <w:rPr>
          <w:rStyle w:val="CharSectno"/>
        </w:rPr>
        <w:t>8</w:t>
      </w:r>
      <w:r>
        <w:t>.</w:t>
      </w:r>
      <w:r>
        <w:tab/>
        <w:t>Strategic development plan</w:t>
      </w:r>
      <w:bookmarkEnd w:id="286"/>
    </w:p>
    <w:p w:rsidR="00710A10" w:rsidRDefault="007558B6">
      <w:pPr>
        <w:pStyle w:val="nzSubsection"/>
      </w:pPr>
      <w:r>
        <w:tab/>
        <w:t>(1)</w:t>
      </w:r>
      <w:r>
        <w:tab/>
        <w:t>The first strategic development plan for RWWA under Part 6 Division 1 of the RWWA Act is to be for a period starting 1 August 2004.</w:t>
      </w:r>
    </w:p>
    <w:p w:rsidR="00710A10" w:rsidRDefault="007558B6">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rsidR="00710A10" w:rsidRDefault="007558B6">
      <w:pPr>
        <w:pStyle w:val="nzHeading5"/>
      </w:pPr>
      <w:bookmarkStart w:id="287" w:name="_Toc44146564"/>
      <w:r>
        <w:rPr>
          <w:rStyle w:val="CharSectno"/>
        </w:rPr>
        <w:t>9</w:t>
      </w:r>
      <w:r>
        <w:t>.</w:t>
      </w:r>
      <w:r>
        <w:tab/>
        <w:t>Statement of corporate intent</w:t>
      </w:r>
      <w:bookmarkEnd w:id="287"/>
    </w:p>
    <w:p w:rsidR="00710A10" w:rsidRDefault="007558B6">
      <w:pPr>
        <w:pStyle w:val="nzSubsection"/>
      </w:pPr>
      <w:r>
        <w:tab/>
        <w:t>(1)</w:t>
      </w:r>
      <w:r>
        <w:tab/>
        <w:t>The first statement of corporate intent for RWWA under Part 6 Division 2 of the RWWA Act is to be for the financial year commencing 1 August 2004.</w:t>
      </w:r>
    </w:p>
    <w:p w:rsidR="00710A10" w:rsidRDefault="007558B6">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rsidR="00710A10" w:rsidRDefault="007558B6">
      <w:pPr>
        <w:pStyle w:val="nzHeading5"/>
      </w:pPr>
      <w:bookmarkStart w:id="288" w:name="_Toc44146565"/>
      <w:r>
        <w:rPr>
          <w:rStyle w:val="CharSectno"/>
        </w:rPr>
        <w:t>10</w:t>
      </w:r>
      <w:r>
        <w:t>.</w:t>
      </w:r>
      <w:r>
        <w:tab/>
        <w:t>Borrowing limits</w:t>
      </w:r>
      <w:bookmarkEnd w:id="288"/>
    </w:p>
    <w:p w:rsidR="00710A10" w:rsidRDefault="007558B6">
      <w:pPr>
        <w:pStyle w:val="nzSubsection"/>
      </w:pPr>
      <w:r>
        <w:tab/>
      </w:r>
      <w:r>
        <w:tab/>
        <w:t>The first monetary limits under section 98 of the RWWA Act are to be determined in relation to the first financial year of RWWA to start on or after commencement day.</w:t>
      </w:r>
    </w:p>
    <w:p w:rsidR="00710A10" w:rsidRDefault="007558B6">
      <w:pPr>
        <w:pStyle w:val="nzHeading5"/>
      </w:pPr>
      <w:bookmarkStart w:id="289" w:name="_Toc44146566"/>
      <w:r>
        <w:rPr>
          <w:rStyle w:val="CharSectno"/>
        </w:rPr>
        <w:t>11</w:t>
      </w:r>
      <w:r>
        <w:t>.</w:t>
      </w:r>
      <w:r>
        <w:tab/>
        <w:t>Rules of racing — continuation and expiry</w:t>
      </w:r>
      <w:bookmarkEnd w:id="289"/>
    </w:p>
    <w:p w:rsidR="00710A10" w:rsidRDefault="007558B6">
      <w:pPr>
        <w:pStyle w:val="nzSubsection"/>
        <w:keepNext/>
      </w:pPr>
      <w:r>
        <w:tab/>
        <w:t>(1)</w:t>
      </w:r>
      <w:r>
        <w:tab/>
        <w:t>Subject to subsection (5), the old Rules of Harness Racing continue in force with such changes as are necessary on and after commencement day —</w:t>
      </w:r>
    </w:p>
    <w:p w:rsidR="00710A10" w:rsidRDefault="007558B6">
      <w:pPr>
        <w:pStyle w:val="nzIndenta"/>
      </w:pPr>
      <w:r>
        <w:tab/>
        <w:t>(a)</w:t>
      </w:r>
      <w:r>
        <w:tab/>
        <w:t>to the extent that the rules deal with matters of racing, as if the rules were made by RWWA as Rules of Harness Racing under section 45 of the RWWA Act; and</w:t>
      </w:r>
    </w:p>
    <w:p w:rsidR="00710A10" w:rsidRDefault="007558B6">
      <w:pPr>
        <w:pStyle w:val="nzIndenta"/>
      </w:pPr>
      <w:r>
        <w:tab/>
        <w:t>(b)</w:t>
      </w:r>
      <w:r>
        <w:tab/>
        <w:t>to the extent that the rules deal with totalisators on racecourses —</w:t>
      </w:r>
    </w:p>
    <w:p w:rsidR="00710A10" w:rsidRDefault="007558B6">
      <w:pPr>
        <w:pStyle w:val="nzIndenti"/>
      </w:pPr>
      <w:r>
        <w:tab/>
        <w:t>(i)</w:t>
      </w:r>
      <w:r>
        <w:tab/>
        <w:t>before the appointed day as if the rules were not affected by this Act or the RWWA Act; and</w:t>
      </w:r>
    </w:p>
    <w:p w:rsidR="00710A10" w:rsidRDefault="007558B6">
      <w:pPr>
        <w:pStyle w:val="nzIndenti"/>
      </w:pPr>
      <w:r>
        <w:tab/>
        <w:t>(ii)</w:t>
      </w:r>
      <w:r>
        <w:tab/>
        <w:t>on and after the appointed day as if the rules were made and approved as rules of wagering under section 120 of the RWWA Act.</w:t>
      </w:r>
    </w:p>
    <w:p w:rsidR="00710A10" w:rsidRDefault="007558B6">
      <w:pPr>
        <w:pStyle w:val="nzSubsection"/>
      </w:pPr>
      <w:r>
        <w:tab/>
        <w:t>(2)</w:t>
      </w:r>
      <w:r>
        <w:tab/>
        <w:t>Subject to subsection (5), the old Rules of Racing continue in force with such changes as are necessary on and after commencement day —</w:t>
      </w:r>
    </w:p>
    <w:p w:rsidR="00710A10" w:rsidRDefault="007558B6">
      <w:pPr>
        <w:pStyle w:val="nzIndenta"/>
      </w:pPr>
      <w:r>
        <w:tab/>
        <w:t>(a)</w:t>
      </w:r>
      <w:r>
        <w:tab/>
        <w:t>to the extent that the rules deal with matters of racing, as if the rules were made by RWWA as Rules of Thoroughbred Racing under section 45 of the RWWA Act; and</w:t>
      </w:r>
    </w:p>
    <w:p w:rsidR="00710A10" w:rsidRDefault="007558B6">
      <w:pPr>
        <w:pStyle w:val="nzIndenta"/>
      </w:pPr>
      <w:r>
        <w:tab/>
        <w:t>(b)</w:t>
      </w:r>
      <w:r>
        <w:tab/>
        <w:t>to the extent that the rules deal with totalisators on racecourses —</w:t>
      </w:r>
    </w:p>
    <w:p w:rsidR="00710A10" w:rsidRDefault="007558B6">
      <w:pPr>
        <w:pStyle w:val="nzIndenti"/>
      </w:pPr>
      <w:r>
        <w:tab/>
        <w:t>(i)</w:t>
      </w:r>
      <w:r>
        <w:tab/>
        <w:t>before the appointed day as if the rules were not affected by this Act or the RWWA Act; and</w:t>
      </w:r>
    </w:p>
    <w:p w:rsidR="00710A10" w:rsidRDefault="007558B6">
      <w:pPr>
        <w:pStyle w:val="nzIndenti"/>
      </w:pPr>
      <w:r>
        <w:tab/>
        <w:t>(ii)</w:t>
      </w:r>
      <w:r>
        <w:tab/>
        <w:t>on and after the appointed day as if the rules were made and approved as rules of wagering under section 120 of the RWWA Act.</w:t>
      </w:r>
    </w:p>
    <w:p w:rsidR="00710A10" w:rsidRDefault="007558B6">
      <w:pPr>
        <w:pStyle w:val="nzSubsection"/>
      </w:pPr>
      <w:r>
        <w:tab/>
        <w:t>(3)</w:t>
      </w:r>
      <w:r>
        <w:tab/>
        <w:t>Subject to subsection (5), the old Greyhound Racing Rules continue in force with such changes as are necessary on and after commencement day —</w:t>
      </w:r>
    </w:p>
    <w:p w:rsidR="00710A10" w:rsidRDefault="007558B6">
      <w:pPr>
        <w:pStyle w:val="nzIndenta"/>
      </w:pPr>
      <w:r>
        <w:tab/>
        <w:t>(a)</w:t>
      </w:r>
      <w:r>
        <w:tab/>
        <w:t>to the extent that the rules relate to racing, as if the rules were made by RWWA as Rules of Greyhound Racing under section 45 of the RWWA Act; and</w:t>
      </w:r>
    </w:p>
    <w:p w:rsidR="00710A10" w:rsidRDefault="007558B6">
      <w:pPr>
        <w:pStyle w:val="nzIndenta"/>
        <w:keepNext/>
        <w:keepLines/>
      </w:pPr>
      <w:r>
        <w:tab/>
        <w:t>(b)</w:t>
      </w:r>
      <w:r>
        <w:tab/>
        <w:t>to the extent that the rules deal with totalisators on racecourses —</w:t>
      </w:r>
    </w:p>
    <w:p w:rsidR="00710A10" w:rsidRDefault="007558B6">
      <w:pPr>
        <w:pStyle w:val="nzIndenti"/>
      </w:pPr>
      <w:r>
        <w:tab/>
        <w:t>(i)</w:t>
      </w:r>
      <w:r>
        <w:tab/>
        <w:t>before the appointed day as if the rules were not affected by this Act or the RWWA Act; and</w:t>
      </w:r>
    </w:p>
    <w:p w:rsidR="00710A10" w:rsidRDefault="007558B6">
      <w:pPr>
        <w:pStyle w:val="nzIndenti"/>
      </w:pPr>
      <w:r>
        <w:tab/>
        <w:t>(ii)</w:t>
      </w:r>
      <w:r>
        <w:tab/>
        <w:t>on and after the appointed day as if the rules were made and approved as rules of wagering under section 120 of the RWWA Act.</w:t>
      </w:r>
    </w:p>
    <w:p w:rsidR="00710A10" w:rsidRDefault="007558B6">
      <w:pPr>
        <w:pStyle w:val="nzSubsection"/>
      </w:pPr>
      <w:r>
        <w:tab/>
        <w:t>(4)</w:t>
      </w:r>
      <w:r>
        <w:tab/>
        <w:t>A reference in the RWWA Act to the rules of racing or the rules of wagering includes a reference to the rules in force under this section.</w:t>
      </w:r>
    </w:p>
    <w:p w:rsidR="00710A10" w:rsidRDefault="007558B6">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rsidR="00710A10" w:rsidRDefault="007558B6">
      <w:pPr>
        <w:pStyle w:val="nzSubsection"/>
      </w:pPr>
      <w:r>
        <w:tab/>
        <w:t>(6)</w:t>
      </w:r>
      <w:r>
        <w:tab/>
        <w:t>Nothing in this section affects the operation of sections 36, 37 and 38 of the RWWA Act.</w:t>
      </w:r>
    </w:p>
    <w:p w:rsidR="00710A10" w:rsidRDefault="007558B6">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rsidR="00710A10" w:rsidRDefault="007558B6">
      <w:pPr>
        <w:pStyle w:val="nzHeading5"/>
      </w:pPr>
      <w:bookmarkStart w:id="290" w:name="_Toc44146567"/>
      <w:r>
        <w:rPr>
          <w:rStyle w:val="CharSectno"/>
        </w:rPr>
        <w:t>12</w:t>
      </w:r>
      <w:r>
        <w:t>.</w:t>
      </w:r>
      <w:r>
        <w:tab/>
        <w:t>Licences, permits, approvals and registrations</w:t>
      </w:r>
      <w:bookmarkEnd w:id="290"/>
    </w:p>
    <w:p w:rsidR="00710A10" w:rsidRDefault="007558B6">
      <w:pPr>
        <w:pStyle w:val="nzSubsection"/>
      </w:pPr>
      <w:r>
        <w:tab/>
        <w:t>(1)</w:t>
      </w:r>
      <w:r>
        <w:tab/>
        <w:t>In this section —</w:t>
      </w:r>
    </w:p>
    <w:p w:rsidR="00710A10" w:rsidRDefault="007558B6">
      <w:pPr>
        <w:pStyle w:val="nzDefstart"/>
      </w:pPr>
      <w:r>
        <w:tab/>
      </w:r>
      <w:r>
        <w:rPr>
          <w:rStyle w:val="CharDefText"/>
        </w:rPr>
        <w:t>authorisation</w:t>
      </w:r>
      <w:r>
        <w:t xml:space="preserve"> means —</w:t>
      </w:r>
    </w:p>
    <w:p w:rsidR="00710A10" w:rsidRDefault="007558B6">
      <w:pPr>
        <w:pStyle w:val="nzDefpara"/>
      </w:pPr>
      <w:r>
        <w:tab/>
        <w:t>(a)</w:t>
      </w:r>
      <w:r>
        <w:tab/>
        <w:t>a licence to train;</w:t>
      </w:r>
    </w:p>
    <w:p w:rsidR="00710A10" w:rsidRDefault="007558B6">
      <w:pPr>
        <w:pStyle w:val="nzDefpara"/>
      </w:pPr>
      <w:r>
        <w:tab/>
        <w:t>(b)</w:t>
      </w:r>
      <w:r>
        <w:tab/>
        <w:t>a licence of a bookmaker;</w:t>
      </w:r>
    </w:p>
    <w:p w:rsidR="00710A10" w:rsidRDefault="007558B6">
      <w:pPr>
        <w:pStyle w:val="nzDefpara"/>
      </w:pPr>
      <w:r>
        <w:tab/>
        <w:t>(c)</w:t>
      </w:r>
      <w:r>
        <w:tab/>
        <w:t>a licence of a driver;</w:t>
      </w:r>
    </w:p>
    <w:p w:rsidR="00710A10" w:rsidRDefault="007558B6">
      <w:pPr>
        <w:pStyle w:val="nzDefpara"/>
      </w:pPr>
      <w:r>
        <w:tab/>
        <w:t>(d)</w:t>
      </w:r>
      <w:r>
        <w:tab/>
        <w:t>a licence of a trainer;</w:t>
      </w:r>
    </w:p>
    <w:p w:rsidR="00710A10" w:rsidRDefault="007558B6">
      <w:pPr>
        <w:pStyle w:val="nzDefpara"/>
      </w:pPr>
      <w:r>
        <w:tab/>
        <w:t>(e)</w:t>
      </w:r>
      <w:r>
        <w:tab/>
        <w:t>a licence of a stablehand;</w:t>
      </w:r>
    </w:p>
    <w:p w:rsidR="00710A10" w:rsidRDefault="007558B6">
      <w:pPr>
        <w:pStyle w:val="nzDefpara"/>
      </w:pPr>
      <w:r>
        <w:tab/>
        <w:t>(f)</w:t>
      </w:r>
      <w:r>
        <w:tab/>
        <w:t>a licence of a studmaster or artificial breeding technician;</w:t>
      </w:r>
    </w:p>
    <w:p w:rsidR="00710A10" w:rsidRDefault="007558B6">
      <w:pPr>
        <w:pStyle w:val="nzDefpara"/>
      </w:pPr>
      <w:r>
        <w:tab/>
        <w:t>(g)</w:t>
      </w:r>
      <w:r>
        <w:tab/>
        <w:t>a permit to train;</w:t>
      </w:r>
    </w:p>
    <w:p w:rsidR="00710A10" w:rsidRDefault="007558B6">
      <w:pPr>
        <w:pStyle w:val="nzDefpara"/>
      </w:pPr>
      <w:r>
        <w:tab/>
        <w:t>(h)</w:t>
      </w:r>
      <w:r>
        <w:tab/>
        <w:t>registration of a racing club;</w:t>
      </w:r>
    </w:p>
    <w:p w:rsidR="00710A10" w:rsidRDefault="007558B6">
      <w:pPr>
        <w:pStyle w:val="nzDefpara"/>
      </w:pPr>
      <w:r>
        <w:tab/>
        <w:t>(i)</w:t>
      </w:r>
      <w:r>
        <w:tab/>
        <w:t>registration as a driver, trainer, owner, stable hand, bookmaker or bookmaker’s clerk;</w:t>
      </w:r>
    </w:p>
    <w:p w:rsidR="00710A10" w:rsidRDefault="007558B6">
      <w:pPr>
        <w:pStyle w:val="nzDefpara"/>
      </w:pPr>
      <w:r>
        <w:tab/>
        <w:t>(j)</w:t>
      </w:r>
      <w:r>
        <w:tab/>
        <w:t>registration of a horse, foal, stud or sire (or for a certificate of service) or of any transfer, lease or cancellation of lease of a horse;</w:t>
      </w:r>
    </w:p>
    <w:p w:rsidR="00710A10" w:rsidRDefault="007558B6">
      <w:pPr>
        <w:pStyle w:val="nzDefpara"/>
      </w:pPr>
      <w:r>
        <w:tab/>
        <w:t>(k)</w:t>
      </w:r>
      <w:r>
        <w:tab/>
        <w:t>registration of a syndicate;</w:t>
      </w:r>
    </w:p>
    <w:p w:rsidR="00710A10" w:rsidRDefault="007558B6">
      <w:pPr>
        <w:pStyle w:val="nzDefpara"/>
        <w:keepNext/>
      </w:pPr>
      <w:r>
        <w:tab/>
        <w:t>(l)</w:t>
      </w:r>
      <w:r>
        <w:tab/>
        <w:t>registration of colours;</w:t>
      </w:r>
    </w:p>
    <w:p w:rsidR="00710A10" w:rsidRDefault="007558B6">
      <w:pPr>
        <w:pStyle w:val="nzDefpara"/>
      </w:pPr>
      <w:r>
        <w:tab/>
        <w:t>(m)</w:t>
      </w:r>
      <w:r>
        <w:tab/>
        <w:t>any other licence, permit, approval or registration.</w:t>
      </w:r>
    </w:p>
    <w:p w:rsidR="00710A10" w:rsidRDefault="007558B6">
      <w:pPr>
        <w:pStyle w:val="nzSubsection"/>
      </w:pPr>
      <w:r>
        <w:tab/>
        <w:t>(2)</w:t>
      </w:r>
      <w:r>
        <w:tab/>
        <w:t>Subject to the RWWA Act, any authorisation given or issued under —</w:t>
      </w:r>
    </w:p>
    <w:p w:rsidR="00710A10" w:rsidRDefault="007558B6">
      <w:pPr>
        <w:pStyle w:val="nzIndenta"/>
      </w:pPr>
      <w:r>
        <w:tab/>
        <w:t>(a)</w:t>
      </w:r>
      <w:r>
        <w:tab/>
        <w:t>the old Greyhound Racing Rules;</w:t>
      </w:r>
    </w:p>
    <w:p w:rsidR="00710A10" w:rsidRDefault="007558B6">
      <w:pPr>
        <w:pStyle w:val="nzIndenta"/>
      </w:pPr>
      <w:r>
        <w:tab/>
        <w:t>(b)</w:t>
      </w:r>
      <w:r>
        <w:tab/>
        <w:t>the old Rules of Harness Racing;</w:t>
      </w:r>
    </w:p>
    <w:p w:rsidR="00710A10" w:rsidRDefault="007558B6">
      <w:pPr>
        <w:pStyle w:val="nzIndenta"/>
      </w:pPr>
      <w:r>
        <w:tab/>
        <w:t>(c)</w:t>
      </w:r>
      <w:r>
        <w:tab/>
        <w:t>the by</w:t>
      </w:r>
      <w:r>
        <w:noBreakHyphen/>
        <w:t xml:space="preserve">laws of the Western Australian Trotting Association under the </w:t>
      </w:r>
      <w:r>
        <w:rPr>
          <w:i/>
        </w:rPr>
        <w:t>Western Australian Trotting Association Act 1946</w:t>
      </w:r>
      <w:r>
        <w:t>; or</w:t>
      </w:r>
    </w:p>
    <w:p w:rsidR="00710A10" w:rsidRDefault="007558B6">
      <w:pPr>
        <w:pStyle w:val="nzIndenta"/>
      </w:pPr>
      <w:r>
        <w:tab/>
        <w:t>(d)</w:t>
      </w:r>
      <w:r>
        <w:tab/>
        <w:t>the old Rules of Racing,</w:t>
      </w:r>
    </w:p>
    <w:p w:rsidR="00710A10" w:rsidRDefault="007558B6">
      <w:pPr>
        <w:pStyle w:val="nzSubsection"/>
      </w:pPr>
      <w:r>
        <w:tab/>
      </w:r>
      <w:r>
        <w:tab/>
        <w:t>and in force immediately before commencement day continues in force on and after commencement day as if it were given by RWWA under the RWWA Act.</w:t>
      </w:r>
    </w:p>
    <w:p w:rsidR="00710A10" w:rsidRDefault="007558B6">
      <w:pPr>
        <w:pStyle w:val="nzHeading5"/>
      </w:pPr>
      <w:bookmarkStart w:id="291" w:name="_Toc44146568"/>
      <w:r>
        <w:rPr>
          <w:rStyle w:val="CharSectno"/>
        </w:rPr>
        <w:t>13</w:t>
      </w:r>
      <w:r>
        <w:t>.</w:t>
      </w:r>
      <w:r>
        <w:tab/>
        <w:t>Appointment of stewards and other officials</w:t>
      </w:r>
      <w:bookmarkEnd w:id="291"/>
    </w:p>
    <w:p w:rsidR="00710A10" w:rsidRDefault="007558B6">
      <w:pPr>
        <w:pStyle w:val="nzSubsection"/>
      </w:pPr>
      <w:r>
        <w:tab/>
        <w:t>(1)</w:t>
      </w:r>
      <w:r>
        <w:tab/>
        <w:t>Subject to the RWWA Act and unless otherwise determined in writing by RWWA, any appointment of a steward or other racing official made under —</w:t>
      </w:r>
    </w:p>
    <w:p w:rsidR="00710A10" w:rsidRDefault="007558B6">
      <w:pPr>
        <w:pStyle w:val="nzIndenta"/>
      </w:pPr>
      <w:r>
        <w:tab/>
        <w:t>(a)</w:t>
      </w:r>
      <w:r>
        <w:tab/>
        <w:t>the old Greyhound Racing Rules;</w:t>
      </w:r>
    </w:p>
    <w:p w:rsidR="00710A10" w:rsidRDefault="007558B6">
      <w:pPr>
        <w:pStyle w:val="nzIndenta"/>
      </w:pPr>
      <w:r>
        <w:tab/>
        <w:t>(b)</w:t>
      </w:r>
      <w:r>
        <w:tab/>
        <w:t>the old Rules of Harness Racing; or</w:t>
      </w:r>
    </w:p>
    <w:p w:rsidR="00710A10" w:rsidRDefault="007558B6">
      <w:pPr>
        <w:pStyle w:val="nzIndenta"/>
      </w:pPr>
      <w:r>
        <w:tab/>
        <w:t>(c)</w:t>
      </w:r>
      <w:r>
        <w:tab/>
        <w:t>the old Rules of Racing,</w:t>
      </w:r>
    </w:p>
    <w:p w:rsidR="00710A10" w:rsidRDefault="007558B6">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rsidR="00710A10" w:rsidRDefault="007558B6">
      <w:pPr>
        <w:pStyle w:val="nzSubsection"/>
      </w:pPr>
      <w:r>
        <w:tab/>
        <w:t>(2)</w:t>
      </w:r>
      <w:r>
        <w:tab/>
        <w:t>Nothing in —</w:t>
      </w:r>
    </w:p>
    <w:p w:rsidR="00710A10" w:rsidRDefault="007558B6">
      <w:pPr>
        <w:pStyle w:val="nzIndenta"/>
      </w:pPr>
      <w:r>
        <w:tab/>
        <w:t>(a)</w:t>
      </w:r>
      <w:r>
        <w:tab/>
        <w:t>the old Greyhound Racing Rules;</w:t>
      </w:r>
    </w:p>
    <w:p w:rsidR="00710A10" w:rsidRDefault="007558B6">
      <w:pPr>
        <w:pStyle w:val="nzIndenta"/>
      </w:pPr>
      <w:r>
        <w:tab/>
        <w:t>(b)</w:t>
      </w:r>
      <w:r>
        <w:tab/>
        <w:t>the old Rules of Harness Racing; or</w:t>
      </w:r>
    </w:p>
    <w:p w:rsidR="00710A10" w:rsidRDefault="007558B6">
      <w:pPr>
        <w:pStyle w:val="nzIndenta"/>
      </w:pPr>
      <w:r>
        <w:tab/>
        <w:t>(c)</w:t>
      </w:r>
      <w:r>
        <w:tab/>
        <w:t>the old Rules of Racing,</w:t>
      </w:r>
    </w:p>
    <w:p w:rsidR="00710A10" w:rsidRDefault="007558B6">
      <w:pPr>
        <w:pStyle w:val="nzSubsection"/>
      </w:pPr>
      <w:r>
        <w:tab/>
      </w:r>
      <w:r>
        <w:tab/>
        <w:t>operates so as to prevent or restrict —</w:t>
      </w:r>
    </w:p>
    <w:p w:rsidR="00710A10" w:rsidRDefault="007558B6">
      <w:pPr>
        <w:pStyle w:val="nzIndenta"/>
      </w:pPr>
      <w:r>
        <w:tab/>
        <w:t>(d)</w:t>
      </w:r>
      <w:r>
        <w:tab/>
        <w:t>the continuation of the appointment of an employee of a racing club as a steward or other racing official for the purposes of the RWWA Act; or</w:t>
      </w:r>
    </w:p>
    <w:p w:rsidR="00710A10" w:rsidRDefault="007558B6">
      <w:pPr>
        <w:pStyle w:val="nzIndenta"/>
      </w:pPr>
      <w:r>
        <w:tab/>
        <w:t>(e)</w:t>
      </w:r>
      <w:r>
        <w:tab/>
        <w:t>the appointment by RWWA of an employee of a racing club as a steward or other racing official for the purposes of the RWWA Act.</w:t>
      </w:r>
    </w:p>
    <w:p w:rsidR="00710A10" w:rsidRDefault="007558B6">
      <w:pPr>
        <w:pStyle w:val="nzHeading5"/>
      </w:pPr>
      <w:bookmarkStart w:id="292" w:name="_Toc44146569"/>
      <w:r>
        <w:rPr>
          <w:rStyle w:val="CharSectno"/>
        </w:rPr>
        <w:t>14</w:t>
      </w:r>
      <w:r>
        <w:t>.</w:t>
      </w:r>
      <w:r>
        <w:tab/>
        <w:t>Race meetings</w:t>
      </w:r>
      <w:bookmarkEnd w:id="292"/>
    </w:p>
    <w:p w:rsidR="00710A10" w:rsidRDefault="007558B6">
      <w:pPr>
        <w:pStyle w:val="nzSubsection"/>
        <w:keepNext/>
        <w:keepLines/>
      </w:pPr>
      <w:r>
        <w:tab/>
      </w:r>
      <w:r>
        <w:tab/>
        <w:t>On and after commencement day a date or time for a race meeting that has been fixed by or under —</w:t>
      </w:r>
    </w:p>
    <w:p w:rsidR="00710A10" w:rsidRDefault="007558B6">
      <w:pPr>
        <w:pStyle w:val="nzIndenta"/>
      </w:pPr>
      <w:r>
        <w:tab/>
        <w:t>(a)</w:t>
      </w:r>
      <w:r>
        <w:tab/>
        <w:t>the old Greyhound Racing Rules;</w:t>
      </w:r>
    </w:p>
    <w:p w:rsidR="00710A10" w:rsidRDefault="007558B6">
      <w:pPr>
        <w:pStyle w:val="nzIndenta"/>
      </w:pPr>
      <w:r>
        <w:tab/>
        <w:t>(b)</w:t>
      </w:r>
      <w:r>
        <w:tab/>
        <w:t>the old Rules of Harness Racing;</w:t>
      </w:r>
    </w:p>
    <w:p w:rsidR="00710A10" w:rsidRDefault="007558B6">
      <w:pPr>
        <w:pStyle w:val="nzIndenta"/>
      </w:pPr>
      <w:r>
        <w:tab/>
        <w:t>(c)</w:t>
      </w:r>
      <w:r>
        <w:tab/>
        <w:t>the by</w:t>
      </w:r>
      <w:r>
        <w:noBreakHyphen/>
        <w:t xml:space="preserve">laws of the Western Australian Trotting Association under the </w:t>
      </w:r>
      <w:r>
        <w:rPr>
          <w:i/>
        </w:rPr>
        <w:t>Western Australian Trotting Association Act 1946</w:t>
      </w:r>
      <w:r>
        <w:t>; or</w:t>
      </w:r>
    </w:p>
    <w:p w:rsidR="00710A10" w:rsidRDefault="007558B6">
      <w:pPr>
        <w:pStyle w:val="nzIndenta"/>
        <w:keepNext/>
        <w:keepLines/>
      </w:pPr>
      <w:r>
        <w:tab/>
        <w:t>(d)</w:t>
      </w:r>
      <w:r>
        <w:tab/>
        <w:t>the old Rules of Racing,</w:t>
      </w:r>
    </w:p>
    <w:p w:rsidR="00710A10" w:rsidRDefault="007558B6">
      <w:pPr>
        <w:pStyle w:val="nzSubsection"/>
      </w:pPr>
      <w:r>
        <w:tab/>
      </w:r>
      <w:r>
        <w:tab/>
        <w:t>and in force immediately before commencement day, is to be taken to be the date or time of the race meeting as if it had been fixed by RWWA under the RWWA Act.</w:t>
      </w:r>
    </w:p>
    <w:p w:rsidR="00710A10" w:rsidRDefault="007558B6">
      <w:pPr>
        <w:pStyle w:val="nzHeading5"/>
      </w:pPr>
      <w:bookmarkStart w:id="293" w:name="_Toc44146570"/>
      <w:r>
        <w:rPr>
          <w:rStyle w:val="CharSectno"/>
        </w:rPr>
        <w:t>15</w:t>
      </w:r>
      <w:r>
        <w:t>.</w:t>
      </w:r>
      <w:r>
        <w:tab/>
        <w:t>Appeals</w:t>
      </w:r>
      <w:bookmarkEnd w:id="293"/>
    </w:p>
    <w:p w:rsidR="00710A10" w:rsidRDefault="007558B6">
      <w:pPr>
        <w:pStyle w:val="nzSubsection"/>
      </w:pPr>
      <w:r>
        <w:tab/>
        <w:t>(1)</w:t>
      </w:r>
      <w:r>
        <w:tab/>
        <w:t>Any appeal under —</w:t>
      </w:r>
    </w:p>
    <w:p w:rsidR="00710A10" w:rsidRDefault="007558B6">
      <w:pPr>
        <w:pStyle w:val="nzIndenta"/>
      </w:pPr>
      <w:r>
        <w:tab/>
        <w:t>(a)</w:t>
      </w:r>
      <w:r>
        <w:tab/>
        <w:t>the old Greyhound Racing Rules;</w:t>
      </w:r>
    </w:p>
    <w:p w:rsidR="00710A10" w:rsidRDefault="007558B6">
      <w:pPr>
        <w:pStyle w:val="nzIndenta"/>
      </w:pPr>
      <w:r>
        <w:tab/>
        <w:t>(b)</w:t>
      </w:r>
      <w:r>
        <w:tab/>
        <w:t>the old Rules of Harness Racing;</w:t>
      </w:r>
    </w:p>
    <w:p w:rsidR="00710A10" w:rsidRDefault="007558B6">
      <w:pPr>
        <w:pStyle w:val="nzIndenta"/>
      </w:pPr>
      <w:r>
        <w:tab/>
        <w:t>(c)</w:t>
      </w:r>
      <w:r>
        <w:tab/>
        <w:t>the by</w:t>
      </w:r>
      <w:r>
        <w:noBreakHyphen/>
        <w:t xml:space="preserve">laws of the Western Australian Trotting Association under the </w:t>
      </w:r>
      <w:r>
        <w:rPr>
          <w:i/>
        </w:rPr>
        <w:t>Western Australian Trotting Association Act 1946</w:t>
      </w:r>
      <w:r>
        <w:t>; or</w:t>
      </w:r>
    </w:p>
    <w:p w:rsidR="00710A10" w:rsidRDefault="007558B6">
      <w:pPr>
        <w:pStyle w:val="nzIndenta"/>
      </w:pPr>
      <w:r>
        <w:tab/>
        <w:t>(d)</w:t>
      </w:r>
      <w:r>
        <w:tab/>
        <w:t>the old Rules of Racing,</w:t>
      </w:r>
    </w:p>
    <w:p w:rsidR="00710A10" w:rsidRDefault="007558B6">
      <w:pPr>
        <w:pStyle w:val="nzSubsection"/>
      </w:pPr>
      <w:r>
        <w:tab/>
      </w:r>
      <w:r>
        <w:tab/>
        <w:t>that has been commenced but not completed immediately before commencement day, is taken to be an appeal against a decision of RWWA.</w:t>
      </w:r>
    </w:p>
    <w:p w:rsidR="00710A10" w:rsidRDefault="007558B6">
      <w:pPr>
        <w:pStyle w:val="nzSubsection"/>
      </w:pPr>
      <w:r>
        <w:tab/>
        <w:t>(2)</w:t>
      </w:r>
      <w:r>
        <w:tab/>
        <w:t>A right of appeal under —</w:t>
      </w:r>
    </w:p>
    <w:p w:rsidR="00710A10" w:rsidRDefault="007558B6">
      <w:pPr>
        <w:pStyle w:val="nzIndenta"/>
      </w:pPr>
      <w:r>
        <w:tab/>
        <w:t>(a)</w:t>
      </w:r>
      <w:r>
        <w:tab/>
        <w:t>the old Greyhound Racing Rules;</w:t>
      </w:r>
    </w:p>
    <w:p w:rsidR="00710A10" w:rsidRDefault="007558B6">
      <w:pPr>
        <w:pStyle w:val="nzIndenta"/>
      </w:pPr>
      <w:r>
        <w:tab/>
        <w:t>(b)</w:t>
      </w:r>
      <w:r>
        <w:tab/>
        <w:t>the old Rules of Harness Racing;</w:t>
      </w:r>
    </w:p>
    <w:p w:rsidR="00710A10" w:rsidRDefault="007558B6">
      <w:pPr>
        <w:pStyle w:val="nzIndenta"/>
      </w:pPr>
      <w:r>
        <w:tab/>
        <w:t>(c)</w:t>
      </w:r>
      <w:r>
        <w:tab/>
        <w:t>the by</w:t>
      </w:r>
      <w:r>
        <w:noBreakHyphen/>
        <w:t xml:space="preserve">laws of the Western Australian Trotting Association under the </w:t>
      </w:r>
      <w:r>
        <w:rPr>
          <w:i/>
        </w:rPr>
        <w:t>Western Australian Trotting Association Act 1946</w:t>
      </w:r>
      <w:r>
        <w:t>; or</w:t>
      </w:r>
    </w:p>
    <w:p w:rsidR="00710A10" w:rsidRDefault="007558B6">
      <w:pPr>
        <w:pStyle w:val="nzIndenta"/>
      </w:pPr>
      <w:r>
        <w:tab/>
        <w:t>(d)</w:t>
      </w:r>
      <w:r>
        <w:tab/>
        <w:t>the old Rules of Racing,</w:t>
      </w:r>
    </w:p>
    <w:p w:rsidR="00710A10" w:rsidRDefault="007558B6">
      <w:pPr>
        <w:pStyle w:val="nzSubsection"/>
      </w:pPr>
      <w:r>
        <w:tab/>
      </w:r>
      <w:r>
        <w:tab/>
        <w:t>that is in existence but has not been exercised immediately before commencement day, is taken to be a right of appeal against a decision of RWWA.</w:t>
      </w:r>
    </w:p>
    <w:p w:rsidR="00710A10" w:rsidRDefault="007558B6">
      <w:pPr>
        <w:pStyle w:val="nzHeading5"/>
      </w:pPr>
      <w:bookmarkStart w:id="294" w:name="_Toc44146571"/>
      <w:r>
        <w:rPr>
          <w:rStyle w:val="CharSectno"/>
        </w:rPr>
        <w:t>16</w:t>
      </w:r>
      <w:r>
        <w:t>.</w:t>
      </w:r>
      <w:r>
        <w:tab/>
        <w:t>TAB Sports Betting Account</w:t>
      </w:r>
      <w:bookmarkEnd w:id="294"/>
    </w:p>
    <w:p w:rsidR="00710A10" w:rsidRDefault="007558B6">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rsidR="00710A10" w:rsidRDefault="007558B6">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rsidR="00710A10" w:rsidRDefault="007558B6">
      <w:pPr>
        <w:pStyle w:val="nzHeading5"/>
      </w:pPr>
      <w:bookmarkStart w:id="295" w:name="_Toc44146572"/>
      <w:r>
        <w:rPr>
          <w:rStyle w:val="CharSectno"/>
        </w:rPr>
        <w:t>17</w:t>
      </w:r>
      <w:r>
        <w:t>.</w:t>
      </w:r>
      <w:r>
        <w:tab/>
        <w:t>Sports Betting Promotion Account</w:t>
      </w:r>
      <w:bookmarkEnd w:id="295"/>
    </w:p>
    <w:p w:rsidR="00710A10" w:rsidRDefault="007558B6">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rsidR="00710A10" w:rsidRDefault="007558B6">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rsidR="00710A10" w:rsidRDefault="007558B6">
      <w:pPr>
        <w:pStyle w:val="nzHeading5"/>
      </w:pPr>
      <w:bookmarkStart w:id="296" w:name="_Toc44146573"/>
      <w:r>
        <w:rPr>
          <w:rStyle w:val="CharSectno"/>
        </w:rPr>
        <w:t>18</w:t>
      </w:r>
      <w:r>
        <w:t>.</w:t>
      </w:r>
      <w:r>
        <w:tab/>
        <w:t>Further transitional provisions may be made</w:t>
      </w:r>
      <w:bookmarkEnd w:id="296"/>
    </w:p>
    <w:p w:rsidR="00710A10" w:rsidRDefault="007558B6">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rsidR="00710A10" w:rsidRDefault="007558B6">
      <w:pPr>
        <w:pStyle w:val="nzSubsection"/>
      </w:pPr>
      <w:r>
        <w:tab/>
        <w:t>(2)</w:t>
      </w:r>
      <w:r>
        <w:tab/>
        <w:t>In subsection (1) —</w:t>
      </w:r>
    </w:p>
    <w:p w:rsidR="00710A10" w:rsidRDefault="007558B6">
      <w:pPr>
        <w:pStyle w:val="nzDefstart"/>
      </w:pPr>
      <w:r>
        <w:rPr>
          <w:b/>
        </w:rPr>
        <w:tab/>
      </w:r>
      <w:r>
        <w:rPr>
          <w:rStyle w:val="CharDefText"/>
        </w:rPr>
        <w:t>transitional matter</w:t>
      </w:r>
      <w:r>
        <w:t xml:space="preserve"> means a matter that needs to be dealt with for the purpose of —</w:t>
      </w:r>
    </w:p>
    <w:p w:rsidR="00710A10" w:rsidRDefault="007558B6">
      <w:pPr>
        <w:pStyle w:val="nzDefpara"/>
      </w:pPr>
      <w:r>
        <w:tab/>
        <w:t>(a)</w:t>
      </w:r>
      <w:r>
        <w:tab/>
        <w:t>effecting the transition from the provisions of the TABB Act to the provisions of the RWWA Act; or</w:t>
      </w:r>
    </w:p>
    <w:p w:rsidR="00710A10" w:rsidRDefault="007558B6">
      <w:pPr>
        <w:pStyle w:val="nzDefpara"/>
      </w:pPr>
      <w:r>
        <w:tab/>
        <w:t>(b)</w:t>
      </w:r>
      <w:r>
        <w:tab/>
        <w:t>effecting the transition from the provisions of an Act amended by this Act as in force before this Act comes into operation to the provisions of that Act as in force after this Act comes into operation.</w:t>
      </w:r>
    </w:p>
    <w:p w:rsidR="00710A10" w:rsidRDefault="007558B6">
      <w:pPr>
        <w:pStyle w:val="nzSubsection"/>
      </w:pPr>
      <w:r>
        <w:tab/>
        <w:t>(3)</w:t>
      </w:r>
      <w:r>
        <w:tab/>
        <w:t>Regulations made under subsection (1) may provide that specific provisions of the RWWA Act or an Act amended by this Act —</w:t>
      </w:r>
    </w:p>
    <w:p w:rsidR="00710A10" w:rsidRDefault="007558B6">
      <w:pPr>
        <w:pStyle w:val="nzIndenta"/>
      </w:pPr>
      <w:r>
        <w:tab/>
        <w:t>(a)</w:t>
      </w:r>
      <w:r>
        <w:tab/>
        <w:t>do not apply; or</w:t>
      </w:r>
    </w:p>
    <w:p w:rsidR="00710A10" w:rsidRDefault="007558B6">
      <w:pPr>
        <w:pStyle w:val="nzIndenta"/>
      </w:pPr>
      <w:r>
        <w:tab/>
        <w:t>(b)</w:t>
      </w:r>
      <w:r>
        <w:tab/>
        <w:t>apply with specific modifications,</w:t>
      </w:r>
    </w:p>
    <w:p w:rsidR="00710A10" w:rsidRDefault="007558B6">
      <w:pPr>
        <w:pStyle w:val="nzSubsection"/>
      </w:pPr>
      <w:r>
        <w:tab/>
      </w:r>
      <w:r>
        <w:tab/>
        <w:t>to or in relation to any matter.</w:t>
      </w:r>
    </w:p>
    <w:p w:rsidR="00710A10" w:rsidRDefault="007558B6">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710A10" w:rsidRDefault="007558B6">
      <w:pPr>
        <w:pStyle w:val="nzSubsection"/>
      </w:pPr>
      <w:r>
        <w:tab/>
        <w:t>(5)</w:t>
      </w:r>
      <w:r>
        <w:tab/>
        <w:t>In subsection (4) —</w:t>
      </w:r>
    </w:p>
    <w:p w:rsidR="00710A10" w:rsidRDefault="007558B6">
      <w:pPr>
        <w:pStyle w:val="nzDefstart"/>
      </w:pPr>
      <w:r>
        <w:rPr>
          <w:b/>
        </w:rPr>
        <w:tab/>
      </w:r>
      <w:r>
        <w:rPr>
          <w:rStyle w:val="CharDefText"/>
        </w:rPr>
        <w:t>specified</w:t>
      </w:r>
      <w:r>
        <w:t xml:space="preserve"> means specified or described in the regulations.</w:t>
      </w:r>
    </w:p>
    <w:p w:rsidR="00710A10" w:rsidRDefault="007558B6">
      <w:pPr>
        <w:pStyle w:val="nzSubsection"/>
        <w:keepNext/>
        <w:keepLines/>
      </w:pPr>
      <w:r>
        <w:tab/>
        <w:t>(6)</w:t>
      </w:r>
      <w:r>
        <w:tab/>
        <w:t>If regulations contain a provision referred to in subsection (4), the provision does not operate so as —</w:t>
      </w:r>
    </w:p>
    <w:p w:rsidR="00710A10" w:rsidRDefault="007558B6">
      <w:pPr>
        <w:pStyle w:val="nzIndenta"/>
      </w:pPr>
      <w:r>
        <w:tab/>
        <w:t>(a)</w:t>
      </w:r>
      <w:r>
        <w:tab/>
        <w:t>to affect in a manner prejudicial to any person (other than the State), the rights of that person existing before the day of publication of those regulations; or</w:t>
      </w:r>
    </w:p>
    <w:p w:rsidR="00710A10" w:rsidRDefault="007558B6">
      <w:pPr>
        <w:pStyle w:val="nzIndenta"/>
      </w:pPr>
      <w:r>
        <w:tab/>
        <w:t>(b)</w:t>
      </w:r>
      <w:r>
        <w:tab/>
        <w:t>to impose liabilities on any person (other than the State or an authority of the State) in respect of anything done or omitted to be done before the day of publication of those regulations.</w:t>
      </w:r>
    </w:p>
    <w:p w:rsidR="00710A10" w:rsidRDefault="007558B6">
      <w:pPr>
        <w:pStyle w:val="MiscClose"/>
      </w:pPr>
      <w:r>
        <w:t>”</w:t>
      </w:r>
    </w:p>
    <w:p w:rsidR="00710A10" w:rsidRDefault="007558B6">
      <w:pPr>
        <w:pStyle w:val="MiscOpen"/>
      </w:pPr>
      <w:r>
        <w:t>“</w:t>
      </w:r>
    </w:p>
    <w:p w:rsidR="00710A10" w:rsidRDefault="007558B6">
      <w:pPr>
        <w:pStyle w:val="nzHeading5"/>
      </w:pPr>
      <w:bookmarkStart w:id="297" w:name="_Toc20219085"/>
      <w:bookmarkStart w:id="298" w:name="_Toc20710666"/>
      <w:bookmarkStart w:id="299" w:name="_Toc22632825"/>
      <w:bookmarkStart w:id="300" w:name="_Toc44146574"/>
      <w:r>
        <w:rPr>
          <w:rStyle w:val="CharSectno"/>
        </w:rPr>
        <w:t>19</w:t>
      </w:r>
      <w:r>
        <w:t>.</w:t>
      </w:r>
      <w:r>
        <w:tab/>
        <w:t>Power to amend regulations</w:t>
      </w:r>
      <w:bookmarkEnd w:id="297"/>
      <w:bookmarkEnd w:id="298"/>
      <w:bookmarkEnd w:id="299"/>
      <w:bookmarkEnd w:id="300"/>
    </w:p>
    <w:p w:rsidR="00710A10" w:rsidRDefault="007558B6">
      <w:pPr>
        <w:pStyle w:val="nzSubsection"/>
      </w:pPr>
      <w:r>
        <w:tab/>
        <w:t>(1)</w:t>
      </w:r>
      <w:r>
        <w:tab/>
        <w:t>The Governor, on the recommendation of the Minister, may make regulations amending subsidiary legislation made under any Act.</w:t>
      </w:r>
    </w:p>
    <w:p w:rsidR="00710A10" w:rsidRDefault="007558B6">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710A10" w:rsidRDefault="007558B6">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710A10" w:rsidRDefault="007558B6">
      <w:pPr>
        <w:pStyle w:val="MiscClose"/>
      </w:pPr>
      <w:r>
        <w:t>”.</w:t>
      </w:r>
    </w:p>
    <w:p w:rsidR="00710A10" w:rsidRDefault="007558B6">
      <w:pPr>
        <w:pStyle w:val="MiscOpen"/>
      </w:pPr>
      <w:r>
        <w:t>“</w:t>
      </w:r>
    </w:p>
    <w:p w:rsidR="00710A10" w:rsidRDefault="007558B6">
      <w:pPr>
        <w:pStyle w:val="nzHeading3"/>
      </w:pPr>
      <w:r>
        <w:rPr>
          <w:rStyle w:val="CharDivNo"/>
        </w:rPr>
        <w:t>Division 2</w:t>
      </w:r>
      <w:r>
        <w:t> — </w:t>
      </w:r>
      <w:r>
        <w:rPr>
          <w:rStyle w:val="CharDivText"/>
        </w:rPr>
        <w:t>Transitional provision</w:t>
      </w:r>
    </w:p>
    <w:p w:rsidR="00710A10" w:rsidRDefault="007558B6">
      <w:pPr>
        <w:pStyle w:val="nzHeading5"/>
      </w:pPr>
      <w:bookmarkStart w:id="301" w:name="_Toc44146774"/>
      <w:r>
        <w:rPr>
          <w:rStyle w:val="CharSectno"/>
        </w:rPr>
        <w:t>219</w:t>
      </w:r>
      <w:r>
        <w:t>.</w:t>
      </w:r>
      <w:r>
        <w:tab/>
        <w:t>Renamed body is same body</w:t>
      </w:r>
      <w:bookmarkEnd w:id="301"/>
    </w:p>
    <w:p w:rsidR="00710A10" w:rsidRDefault="007558B6">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rsidR="00710A10" w:rsidRDefault="007558B6">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rsidR="00710A10" w:rsidRDefault="00710A10">
      <w:pPr>
        <w:pStyle w:val="MiscClose"/>
      </w:pPr>
    </w:p>
    <w:p w:rsidR="00710A10" w:rsidRDefault="007558B6">
      <w:pPr>
        <w:pStyle w:val="MiscClose"/>
      </w:pPr>
      <w:r>
        <w:t>”.</w:t>
      </w:r>
    </w:p>
    <w:p w:rsidR="00710A10" w:rsidRDefault="007558B6">
      <w:pPr>
        <w:pStyle w:val="nSubsection"/>
      </w:pPr>
      <w:r>
        <w:rPr>
          <w:vertAlign w:val="superscript"/>
        </w:rPr>
        <w:t>6</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rsidR="00710A10" w:rsidRDefault="00710A10"/>
    <w:p w:rsidR="00710A10" w:rsidRDefault="00710A10">
      <w:pPr>
        <w:sectPr w:rsidR="00710A10">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710A10" w:rsidRDefault="00710A10"/>
    <w:sectPr w:rsidR="00710A10">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A10" w:rsidRDefault="007558B6">
      <w:r>
        <w:separator/>
      </w:r>
    </w:p>
  </w:endnote>
  <w:endnote w:type="continuationSeparator" w:id="0">
    <w:p w:rsidR="00710A10" w:rsidRDefault="00755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p>
  <w:p w:rsidR="00710A10" w:rsidRDefault="007558B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710A10" w:rsidRDefault="007558B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710A10" w:rsidRDefault="007558B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677F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p>
  <w:p w:rsidR="00710A10" w:rsidRDefault="007558B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677F0">
      <w:rPr>
        <w:rStyle w:val="PageNumber"/>
        <w:rFonts w:ascii="Arial" w:hAnsi="Arial" w:cs="Arial"/>
        <w:noProof/>
      </w:rPr>
      <w:t>iii</w:t>
    </w:r>
    <w:r>
      <w:rPr>
        <w:rStyle w:val="PageNumber"/>
        <w:rFonts w:ascii="Arial" w:hAnsi="Arial" w:cs="Arial"/>
      </w:rPr>
      <w:fldChar w:fldCharType="end"/>
    </w:r>
  </w:p>
  <w:p w:rsidR="00710A10" w:rsidRDefault="007558B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677F0">
      <w:rPr>
        <w:rStyle w:val="PageNumber"/>
        <w:rFonts w:ascii="Arial" w:hAnsi="Arial" w:cs="Arial"/>
        <w:noProof/>
      </w:rPr>
      <w:t>i</w:t>
    </w:r>
    <w:r>
      <w:rPr>
        <w:rStyle w:val="PageNumber"/>
        <w:rFonts w:ascii="Arial" w:hAnsi="Arial" w:cs="Arial"/>
      </w:rPr>
      <w:fldChar w:fldCharType="end"/>
    </w:r>
  </w:p>
  <w:p w:rsidR="00710A10" w:rsidRDefault="007558B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77F0">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710A10" w:rsidRDefault="007558B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77F0">
      <w:rPr>
        <w:rStyle w:val="CharPageNo"/>
        <w:rFonts w:ascii="Arial" w:hAnsi="Arial"/>
        <w:noProof/>
      </w:rPr>
      <w:t>35</w:t>
    </w:r>
    <w:r>
      <w:rPr>
        <w:rStyle w:val="CharPageNo"/>
        <w:rFonts w:ascii="Arial" w:hAnsi="Arial"/>
      </w:rPr>
      <w:fldChar w:fldCharType="end"/>
    </w:r>
  </w:p>
  <w:p w:rsidR="00710A10" w:rsidRDefault="007558B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Footer"/>
      <w:tabs>
        <w:tab w:val="clear" w:pos="4153"/>
        <w:tab w:val="right" w:pos="7088"/>
      </w:tabs>
      <w:rPr>
        <w:rStyle w:val="PageNumber"/>
      </w:rPr>
    </w:pPr>
  </w:p>
  <w:p w:rsidR="00710A10" w:rsidRDefault="007558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677F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677F0">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677F0">
      <w:rPr>
        <w:rStyle w:val="CharPageNo"/>
        <w:rFonts w:ascii="Arial" w:hAnsi="Arial"/>
        <w:noProof/>
      </w:rPr>
      <w:t>1</w:t>
    </w:r>
    <w:r>
      <w:rPr>
        <w:rStyle w:val="CharPageNo"/>
        <w:rFonts w:ascii="Arial" w:hAnsi="Arial"/>
      </w:rPr>
      <w:fldChar w:fldCharType="end"/>
    </w:r>
  </w:p>
  <w:p w:rsidR="00710A10" w:rsidRDefault="007558B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A10" w:rsidRDefault="007558B6">
      <w:r>
        <w:separator/>
      </w:r>
    </w:p>
  </w:footnote>
  <w:footnote w:type="continuationSeparator" w:id="0">
    <w:p w:rsidR="00710A10" w:rsidRDefault="007558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7F0" w:rsidRDefault="004677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7F0" w:rsidRDefault="004677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7F0" w:rsidRDefault="004677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0A10">
      <w:trPr>
        <w:cantSplit/>
      </w:trPr>
      <w:tc>
        <w:tcPr>
          <w:tcW w:w="7263" w:type="dxa"/>
          <w:gridSpan w:val="2"/>
        </w:tcPr>
        <w:p w:rsidR="00710A10" w:rsidRDefault="007558B6">
          <w:pPr>
            <w:pStyle w:val="HeaderActNameLeft"/>
          </w:pPr>
          <w:fldSimple w:instr=" STYLEREF &quot;Name of Act/Reg&quot; \* MERGEFORMAT ">
            <w:r w:rsidR="004677F0">
              <w:rPr>
                <w:noProof/>
              </w:rPr>
              <w:t>Western Australian Greyhound Racing Association Act 1981</w:t>
            </w:r>
          </w:fldSimple>
        </w:p>
      </w:tc>
    </w:tr>
    <w:tr w:rsidR="00710A10">
      <w:tc>
        <w:tcPr>
          <w:tcW w:w="1548" w:type="dxa"/>
        </w:tcPr>
        <w:p w:rsidR="00710A10" w:rsidRDefault="00710A10">
          <w:pPr>
            <w:pStyle w:val="HeaderNumberLeft"/>
            <w:rPr>
              <w:b w:val="0"/>
            </w:rPr>
          </w:pPr>
        </w:p>
      </w:tc>
      <w:tc>
        <w:tcPr>
          <w:tcW w:w="5715" w:type="dxa"/>
        </w:tcPr>
        <w:p w:rsidR="00710A10" w:rsidRDefault="00710A10">
          <w:pPr>
            <w:pStyle w:val="HeaderTextLeft"/>
          </w:pPr>
        </w:p>
      </w:tc>
    </w:tr>
    <w:tr w:rsidR="00710A10">
      <w:tc>
        <w:tcPr>
          <w:tcW w:w="1548" w:type="dxa"/>
        </w:tcPr>
        <w:p w:rsidR="00710A10" w:rsidRDefault="00710A10">
          <w:pPr>
            <w:pStyle w:val="HeaderNumberLeft"/>
            <w:rPr>
              <w:b w:val="0"/>
            </w:rPr>
          </w:pPr>
        </w:p>
      </w:tc>
      <w:tc>
        <w:tcPr>
          <w:tcW w:w="5715" w:type="dxa"/>
        </w:tcPr>
        <w:p w:rsidR="00710A10" w:rsidRDefault="00710A10">
          <w:pPr>
            <w:pStyle w:val="HeaderTextLeft"/>
          </w:pPr>
        </w:p>
      </w:tc>
    </w:tr>
    <w:tr w:rsidR="00710A10">
      <w:trPr>
        <w:cantSplit/>
      </w:trPr>
      <w:tc>
        <w:tcPr>
          <w:tcW w:w="7263" w:type="dxa"/>
          <w:gridSpan w:val="2"/>
        </w:tcPr>
        <w:p w:rsidR="00710A10" w:rsidRDefault="007558B6">
          <w:pPr>
            <w:pStyle w:val="HeaderTextLeft"/>
          </w:pPr>
          <w:r>
            <w:t>Contents</w:t>
          </w:r>
        </w:p>
      </w:tc>
    </w:tr>
  </w:tbl>
  <w:p w:rsidR="00710A10" w:rsidRDefault="00710A10">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10A10">
      <w:trPr>
        <w:cantSplit/>
      </w:trPr>
      <w:tc>
        <w:tcPr>
          <w:tcW w:w="7263" w:type="dxa"/>
          <w:gridSpan w:val="2"/>
        </w:tcPr>
        <w:p w:rsidR="00710A10" w:rsidRDefault="007558B6">
          <w:pPr>
            <w:pStyle w:val="HeaderActNameRight"/>
            <w:ind w:right="28"/>
          </w:pPr>
          <w:fldSimple w:instr=" STYLEREF &quot;Name of Act/Reg&quot; \* MERGEFORMAT ">
            <w:r w:rsidR="004677F0">
              <w:rPr>
                <w:noProof/>
              </w:rPr>
              <w:t>Western Australian Greyhound Racing Association Act 1981</w:t>
            </w:r>
          </w:fldSimple>
        </w:p>
      </w:tc>
    </w:tr>
    <w:tr w:rsidR="00710A10">
      <w:tc>
        <w:tcPr>
          <w:tcW w:w="5715" w:type="dxa"/>
        </w:tcPr>
        <w:p w:rsidR="00710A10" w:rsidRDefault="007558B6">
          <w:pPr>
            <w:pStyle w:val="HeaderTextRight"/>
          </w:pPr>
          <w:r>
            <w:fldChar w:fldCharType="begin"/>
          </w:r>
          <w:r>
            <w:instrText xml:space="preserve"> styleref CharPartText </w:instrText>
          </w:r>
          <w:r>
            <w:fldChar w:fldCharType="end"/>
          </w:r>
        </w:p>
      </w:tc>
      <w:tc>
        <w:tcPr>
          <w:tcW w:w="1548" w:type="dxa"/>
        </w:tcPr>
        <w:p w:rsidR="00710A10" w:rsidRDefault="007558B6">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710A10">
      <w:tc>
        <w:tcPr>
          <w:tcW w:w="5715" w:type="dxa"/>
        </w:tcPr>
        <w:p w:rsidR="00710A10" w:rsidRDefault="007558B6">
          <w:pPr>
            <w:pStyle w:val="HeaderTextRight"/>
          </w:pPr>
          <w:r>
            <w:fldChar w:fldCharType="begin"/>
          </w:r>
          <w:r>
            <w:instrText xml:space="preserve"> styleref CharDivText </w:instrText>
          </w:r>
          <w:r>
            <w:fldChar w:fldCharType="end"/>
          </w:r>
        </w:p>
      </w:tc>
      <w:tc>
        <w:tcPr>
          <w:tcW w:w="1548" w:type="dxa"/>
        </w:tcPr>
        <w:p w:rsidR="00710A10" w:rsidRDefault="007558B6">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710A10">
      <w:trPr>
        <w:cantSplit/>
      </w:trPr>
      <w:tc>
        <w:tcPr>
          <w:tcW w:w="7263" w:type="dxa"/>
          <w:gridSpan w:val="2"/>
        </w:tcPr>
        <w:p w:rsidR="00710A10" w:rsidRDefault="007558B6">
          <w:pPr>
            <w:pStyle w:val="HeaderNumberRight"/>
            <w:ind w:right="28"/>
            <w:rPr>
              <w:b w:val="0"/>
            </w:rPr>
          </w:pPr>
          <w:r>
            <w:rPr>
              <w:b w:val="0"/>
            </w:rPr>
            <w:t>Contents</w:t>
          </w:r>
        </w:p>
      </w:tc>
    </w:tr>
  </w:tbl>
  <w:p w:rsidR="00710A10" w:rsidRDefault="00710A10">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10A10">
      <w:trPr>
        <w:cantSplit/>
      </w:trPr>
      <w:tc>
        <w:tcPr>
          <w:tcW w:w="7312" w:type="dxa"/>
          <w:gridSpan w:val="2"/>
        </w:tcPr>
        <w:p w:rsidR="00710A10" w:rsidRDefault="007558B6">
          <w:pPr>
            <w:pStyle w:val="HeaderActNameLeft"/>
          </w:pPr>
          <w:fldSimple w:instr=" Styleref &quot;Name of Act/Reg&quot; ">
            <w:r w:rsidR="004677F0">
              <w:rPr>
                <w:noProof/>
              </w:rPr>
              <w:t>Western Australian Greyhound Racing Association Act 1981</w:t>
            </w:r>
          </w:fldSimple>
        </w:p>
      </w:tc>
    </w:tr>
    <w:tr w:rsidR="00710A10">
      <w:tc>
        <w:tcPr>
          <w:tcW w:w="1305" w:type="dxa"/>
        </w:tcPr>
        <w:p w:rsidR="00710A10" w:rsidRDefault="007558B6">
          <w:pPr>
            <w:pStyle w:val="HeaderNumberLeft"/>
          </w:pPr>
          <w:r>
            <w:fldChar w:fldCharType="begin"/>
          </w:r>
          <w:r>
            <w:instrText xml:space="preserve"> styleref CharPartNo </w:instrText>
          </w:r>
          <w:r>
            <w:fldChar w:fldCharType="end"/>
          </w:r>
        </w:p>
      </w:tc>
      <w:tc>
        <w:tcPr>
          <w:tcW w:w="6007" w:type="dxa"/>
          <w:vAlign w:val="bottom"/>
        </w:tcPr>
        <w:p w:rsidR="00710A10" w:rsidRDefault="007558B6">
          <w:pPr>
            <w:pStyle w:val="HeaderTextLeft"/>
          </w:pPr>
          <w:r>
            <w:fldChar w:fldCharType="begin"/>
          </w:r>
          <w:r>
            <w:instrText xml:space="preserve"> styleref CharPartText </w:instrText>
          </w:r>
          <w:r>
            <w:fldChar w:fldCharType="end"/>
          </w:r>
        </w:p>
      </w:tc>
    </w:tr>
    <w:tr w:rsidR="00710A10">
      <w:tc>
        <w:tcPr>
          <w:tcW w:w="1305" w:type="dxa"/>
        </w:tcPr>
        <w:p w:rsidR="00710A10" w:rsidRDefault="007558B6">
          <w:pPr>
            <w:pStyle w:val="HeaderNumberLeft"/>
          </w:pPr>
          <w:r>
            <w:fldChar w:fldCharType="begin"/>
          </w:r>
          <w:r>
            <w:instrText xml:space="preserve"> styleref CharDivNo </w:instrText>
          </w:r>
          <w:r>
            <w:fldChar w:fldCharType="end"/>
          </w:r>
        </w:p>
      </w:tc>
      <w:tc>
        <w:tcPr>
          <w:tcW w:w="6007" w:type="dxa"/>
          <w:vAlign w:val="bottom"/>
        </w:tcPr>
        <w:p w:rsidR="00710A10" w:rsidRDefault="007558B6">
          <w:pPr>
            <w:pStyle w:val="HeaderTextLeft"/>
          </w:pPr>
          <w:r>
            <w:fldChar w:fldCharType="begin"/>
          </w:r>
          <w:r>
            <w:instrText xml:space="preserve"> styleref CharDivText </w:instrText>
          </w:r>
          <w:r>
            <w:fldChar w:fldCharType="end"/>
          </w:r>
        </w:p>
      </w:tc>
    </w:tr>
    <w:tr w:rsidR="00710A10">
      <w:trPr>
        <w:cantSplit/>
      </w:trPr>
      <w:tc>
        <w:tcPr>
          <w:tcW w:w="7312" w:type="dxa"/>
          <w:gridSpan w:val="2"/>
        </w:tcPr>
        <w:p w:rsidR="00710A10" w:rsidRDefault="007558B6">
          <w:pPr>
            <w:pStyle w:val="HeaderSectionLeft"/>
          </w:pPr>
          <w:r>
            <w:t xml:space="preserve">s. </w:t>
          </w:r>
          <w:fldSimple w:instr=" styleref CharSectno ">
            <w:r w:rsidR="004677F0">
              <w:rPr>
                <w:noProof/>
              </w:rPr>
              <w:t>1</w:t>
            </w:r>
          </w:fldSimple>
        </w:p>
      </w:tc>
    </w:tr>
  </w:tbl>
  <w:p w:rsidR="00710A10" w:rsidRDefault="00710A10">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rsidR="00710A10">
      <w:trPr>
        <w:cantSplit/>
      </w:trPr>
      <w:tc>
        <w:tcPr>
          <w:tcW w:w="7272" w:type="dxa"/>
          <w:gridSpan w:val="2"/>
        </w:tcPr>
        <w:p w:rsidR="00710A10" w:rsidRDefault="007558B6">
          <w:pPr>
            <w:pStyle w:val="HeaderActNameRight"/>
          </w:pPr>
          <w:fldSimple w:instr=" Styleref &quot;Name of Act/Reg&quot; ">
            <w:r w:rsidR="004677F0">
              <w:rPr>
                <w:noProof/>
              </w:rPr>
              <w:t>Western Australian Greyhound Racing Association Act 1981</w:t>
            </w:r>
          </w:fldSimple>
        </w:p>
      </w:tc>
    </w:tr>
    <w:tr w:rsidR="00710A10">
      <w:tc>
        <w:tcPr>
          <w:tcW w:w="5985" w:type="dxa"/>
          <w:vAlign w:val="bottom"/>
        </w:tcPr>
        <w:p w:rsidR="00710A10" w:rsidRDefault="007558B6">
          <w:pPr>
            <w:pStyle w:val="HeaderTextRight"/>
          </w:pPr>
          <w:r>
            <w:fldChar w:fldCharType="begin"/>
          </w:r>
          <w:r>
            <w:instrText xml:space="preserve"> styleref CharPartText </w:instrText>
          </w:r>
          <w:r>
            <w:fldChar w:fldCharType="end"/>
          </w:r>
        </w:p>
      </w:tc>
      <w:tc>
        <w:tcPr>
          <w:tcW w:w="1287" w:type="dxa"/>
        </w:tcPr>
        <w:p w:rsidR="00710A10" w:rsidRDefault="007558B6">
          <w:pPr>
            <w:pStyle w:val="HeaderNumberRight"/>
          </w:pPr>
          <w:r>
            <w:fldChar w:fldCharType="begin"/>
          </w:r>
          <w:r>
            <w:instrText xml:space="preserve"> styleref CharPartNo </w:instrText>
          </w:r>
          <w:r>
            <w:fldChar w:fldCharType="end"/>
          </w:r>
        </w:p>
      </w:tc>
    </w:tr>
    <w:tr w:rsidR="00710A10">
      <w:tc>
        <w:tcPr>
          <w:tcW w:w="5985" w:type="dxa"/>
          <w:vAlign w:val="bottom"/>
        </w:tcPr>
        <w:p w:rsidR="00710A10" w:rsidRDefault="007558B6">
          <w:pPr>
            <w:pStyle w:val="HeaderTextRight"/>
          </w:pPr>
          <w:r>
            <w:fldChar w:fldCharType="begin"/>
          </w:r>
          <w:r>
            <w:instrText xml:space="preserve"> styleref CharDivText </w:instrText>
          </w:r>
          <w:r>
            <w:fldChar w:fldCharType="end"/>
          </w:r>
        </w:p>
      </w:tc>
      <w:tc>
        <w:tcPr>
          <w:tcW w:w="1287" w:type="dxa"/>
        </w:tcPr>
        <w:p w:rsidR="00710A10" w:rsidRDefault="007558B6">
          <w:pPr>
            <w:pStyle w:val="HeaderNumberRight"/>
          </w:pPr>
          <w:r>
            <w:fldChar w:fldCharType="begin"/>
          </w:r>
          <w:r>
            <w:instrText xml:space="preserve"> styleref CharDivNo </w:instrText>
          </w:r>
          <w:r>
            <w:fldChar w:fldCharType="end"/>
          </w:r>
        </w:p>
      </w:tc>
    </w:tr>
    <w:tr w:rsidR="00710A10">
      <w:trPr>
        <w:cantSplit/>
      </w:trPr>
      <w:tc>
        <w:tcPr>
          <w:tcW w:w="7272" w:type="dxa"/>
          <w:gridSpan w:val="2"/>
        </w:tcPr>
        <w:p w:rsidR="00710A10" w:rsidRDefault="007558B6">
          <w:pPr>
            <w:pStyle w:val="HeaderSectionRight"/>
          </w:pPr>
          <w:r>
            <w:t xml:space="preserve">s. </w:t>
          </w:r>
          <w:fldSimple w:instr=" styleref CharSectno ">
            <w:r w:rsidR="004677F0">
              <w:rPr>
                <w:noProof/>
              </w:rPr>
              <w:t>1</w:t>
            </w:r>
          </w:fldSimple>
        </w:p>
      </w:tc>
    </w:tr>
  </w:tbl>
  <w:p w:rsidR="00710A10" w:rsidRDefault="00710A1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10A10">
      <w:trPr>
        <w:cantSplit/>
      </w:trPr>
      <w:tc>
        <w:tcPr>
          <w:tcW w:w="7263" w:type="dxa"/>
          <w:gridSpan w:val="2"/>
        </w:tcPr>
        <w:p w:rsidR="00710A10" w:rsidRDefault="007558B6">
          <w:pPr>
            <w:pStyle w:val="HeaderActNameLeft"/>
          </w:pPr>
          <w:fldSimple w:instr=" STYLEREF &quot;Name of Act/Reg&quot; \* MERGEFORMAT ">
            <w:r w:rsidR="004677F0">
              <w:rPr>
                <w:noProof/>
              </w:rPr>
              <w:t>Western Australian Greyhound Racing Association Act 1981</w:t>
            </w:r>
          </w:fldSimple>
        </w:p>
      </w:tc>
    </w:tr>
    <w:tr w:rsidR="00710A10">
      <w:tc>
        <w:tcPr>
          <w:tcW w:w="1548" w:type="dxa"/>
        </w:tcPr>
        <w:p w:rsidR="00710A10" w:rsidRDefault="007558B6">
          <w:pPr>
            <w:pStyle w:val="HeaderNumberLeft"/>
            <w:rPr>
              <w:b w:val="0"/>
            </w:rPr>
          </w:pPr>
          <w:r>
            <w:fldChar w:fldCharType="begin"/>
          </w:r>
          <w:r>
            <w:instrText xml:space="preserve"> styleref CharSchno </w:instrText>
          </w:r>
          <w:r>
            <w:fldChar w:fldCharType="end"/>
          </w:r>
        </w:p>
      </w:tc>
      <w:tc>
        <w:tcPr>
          <w:tcW w:w="5715" w:type="dxa"/>
          <w:vAlign w:val="bottom"/>
        </w:tcPr>
        <w:p w:rsidR="00710A10" w:rsidRDefault="007558B6">
          <w:pPr>
            <w:pStyle w:val="HeaderTextLeft"/>
          </w:pPr>
          <w:fldSimple w:instr=" styleref CharSchText ">
            <w:r w:rsidR="004677F0">
              <w:rPr>
                <w:noProof/>
              </w:rPr>
              <w:t>Provisions as to board</w:t>
            </w:r>
          </w:fldSimple>
        </w:p>
      </w:tc>
    </w:tr>
    <w:tr w:rsidR="00710A10">
      <w:tc>
        <w:tcPr>
          <w:tcW w:w="1548" w:type="dxa"/>
        </w:tcPr>
        <w:p w:rsidR="00710A10" w:rsidRDefault="00710A10">
          <w:pPr>
            <w:pStyle w:val="HeaderNumberLeft"/>
            <w:rPr>
              <w:b w:val="0"/>
            </w:rPr>
          </w:pPr>
        </w:p>
      </w:tc>
      <w:tc>
        <w:tcPr>
          <w:tcW w:w="5715" w:type="dxa"/>
          <w:vAlign w:val="bottom"/>
        </w:tcPr>
        <w:p w:rsidR="00710A10" w:rsidRDefault="00710A10">
          <w:pPr>
            <w:pStyle w:val="HeaderTextLeft"/>
          </w:pPr>
        </w:p>
      </w:tc>
    </w:tr>
    <w:tr w:rsidR="00710A10">
      <w:tc>
        <w:tcPr>
          <w:tcW w:w="1548" w:type="dxa"/>
        </w:tcPr>
        <w:p w:rsidR="00710A10" w:rsidRDefault="007558B6">
          <w:pPr>
            <w:pStyle w:val="HeaderNumberLeft"/>
          </w:pPr>
          <w:r>
            <w:t xml:space="preserve">cl. </w:t>
          </w:r>
          <w:r>
            <w:fldChar w:fldCharType="begin"/>
          </w:r>
          <w:r>
            <w:instrText xml:space="preserve"> IF </w:instrText>
          </w:r>
          <w:fldSimple w:instr=" StyleRef CharSClsNo ">
            <w:r w:rsidR="004677F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4677F0">
              <w:rPr>
                <w:noProof/>
              </w:rPr>
              <w:instrText>1</w:instrText>
            </w:r>
          </w:fldSimple>
          <w:r>
            <w:instrText xml:space="preserve"> </w:instrText>
          </w:r>
          <w:r>
            <w:fldChar w:fldCharType="separate"/>
          </w:r>
          <w:r w:rsidR="004677F0">
            <w:rPr>
              <w:noProof/>
            </w:rPr>
            <w:t>1</w:t>
          </w:r>
          <w:r>
            <w:fldChar w:fldCharType="end"/>
          </w:r>
        </w:p>
      </w:tc>
      <w:tc>
        <w:tcPr>
          <w:tcW w:w="5715" w:type="dxa"/>
        </w:tcPr>
        <w:p w:rsidR="00710A10" w:rsidRDefault="00710A10">
          <w:pPr>
            <w:pStyle w:val="HeaderTextLeft"/>
          </w:pPr>
        </w:p>
      </w:tc>
    </w:tr>
  </w:tbl>
  <w:p w:rsidR="00710A10" w:rsidRDefault="00710A1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710A10">
      <w:trPr>
        <w:cantSplit/>
      </w:trPr>
      <w:tc>
        <w:tcPr>
          <w:tcW w:w="7160" w:type="dxa"/>
          <w:gridSpan w:val="2"/>
        </w:tcPr>
        <w:p w:rsidR="00710A10" w:rsidRDefault="007558B6">
          <w:pPr>
            <w:pStyle w:val="HeaderActNameRight"/>
            <w:ind w:right="-64"/>
          </w:pPr>
          <w:fldSimple w:instr=" STYLEREF &quot;Name of Act/Reg&quot; \* MERGEFORMAT ">
            <w:r w:rsidR="004677F0">
              <w:rPr>
                <w:noProof/>
              </w:rPr>
              <w:t>Western Australian Greyhound Racing Association Act 1981</w:t>
            </w:r>
          </w:fldSimple>
        </w:p>
      </w:tc>
    </w:tr>
    <w:tr w:rsidR="00710A10">
      <w:tc>
        <w:tcPr>
          <w:tcW w:w="5715" w:type="dxa"/>
          <w:vAlign w:val="bottom"/>
        </w:tcPr>
        <w:p w:rsidR="00710A10" w:rsidRDefault="007558B6">
          <w:pPr>
            <w:pStyle w:val="HeaderTextRight"/>
          </w:pPr>
          <w:fldSimple w:instr=" styleref CharSchText ">
            <w:r w:rsidR="004677F0">
              <w:rPr>
                <w:noProof/>
              </w:rPr>
              <w:t>Provisions as to board</w:t>
            </w:r>
          </w:fldSimple>
        </w:p>
      </w:tc>
      <w:tc>
        <w:tcPr>
          <w:tcW w:w="1445" w:type="dxa"/>
        </w:tcPr>
        <w:p w:rsidR="00710A10" w:rsidRDefault="007558B6">
          <w:pPr>
            <w:pStyle w:val="HeaderNumberRight"/>
            <w:ind w:right="-64"/>
            <w:rPr>
              <w:b w:val="0"/>
            </w:rPr>
          </w:pPr>
          <w:r>
            <w:fldChar w:fldCharType="begin"/>
          </w:r>
          <w:r>
            <w:instrText xml:space="preserve"> styleref CharSchno </w:instrText>
          </w:r>
          <w:r>
            <w:fldChar w:fldCharType="end"/>
          </w:r>
        </w:p>
      </w:tc>
    </w:tr>
    <w:tr w:rsidR="00710A10">
      <w:tc>
        <w:tcPr>
          <w:tcW w:w="5715" w:type="dxa"/>
          <w:vAlign w:val="bottom"/>
        </w:tcPr>
        <w:p w:rsidR="00710A10" w:rsidRDefault="00710A10">
          <w:pPr>
            <w:pStyle w:val="HeaderTextRight"/>
          </w:pPr>
        </w:p>
      </w:tc>
      <w:tc>
        <w:tcPr>
          <w:tcW w:w="1445" w:type="dxa"/>
        </w:tcPr>
        <w:p w:rsidR="00710A10" w:rsidRDefault="00710A10">
          <w:pPr>
            <w:pStyle w:val="HeaderNumberRight"/>
            <w:ind w:right="-64"/>
          </w:pPr>
        </w:p>
      </w:tc>
    </w:tr>
    <w:tr w:rsidR="00710A10">
      <w:tc>
        <w:tcPr>
          <w:tcW w:w="5715" w:type="dxa"/>
        </w:tcPr>
        <w:p w:rsidR="00710A10" w:rsidRDefault="00710A10">
          <w:pPr>
            <w:pStyle w:val="HeaderTextLeft"/>
            <w:jc w:val="right"/>
          </w:pPr>
        </w:p>
      </w:tc>
      <w:tc>
        <w:tcPr>
          <w:tcW w:w="1445" w:type="dxa"/>
        </w:tcPr>
        <w:p w:rsidR="00710A10" w:rsidRDefault="007558B6">
          <w:pPr>
            <w:pStyle w:val="HeaderNumberRight"/>
            <w:ind w:right="-64"/>
          </w:pPr>
          <w:r>
            <w:t xml:space="preserve">cl. </w:t>
          </w:r>
          <w:r>
            <w:fldChar w:fldCharType="begin"/>
          </w:r>
          <w:r>
            <w:instrText xml:space="preserve"> IF </w:instrText>
          </w:r>
          <w:fldSimple w:instr=" StyleRef CharSClsNo ">
            <w:r w:rsidR="004677F0">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4677F0">
              <w:rPr>
                <w:noProof/>
              </w:rPr>
              <w:instrText>1</w:instrText>
            </w:r>
          </w:fldSimple>
          <w:r>
            <w:instrText xml:space="preserve"> </w:instrText>
          </w:r>
          <w:r>
            <w:fldChar w:fldCharType="separate"/>
          </w:r>
          <w:r w:rsidR="004677F0">
            <w:rPr>
              <w:noProof/>
            </w:rPr>
            <w:t>1</w:t>
          </w:r>
          <w:r>
            <w:fldChar w:fldCharType="end"/>
          </w:r>
        </w:p>
      </w:tc>
    </w:tr>
  </w:tbl>
  <w:p w:rsidR="00710A10" w:rsidRDefault="00710A1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10A10">
      <w:trPr>
        <w:cantSplit/>
      </w:trPr>
      <w:tc>
        <w:tcPr>
          <w:tcW w:w="7160" w:type="dxa"/>
          <w:gridSpan w:val="2"/>
        </w:tcPr>
        <w:p w:rsidR="00710A10" w:rsidRDefault="007558B6">
          <w:pPr>
            <w:pStyle w:val="HeaderActNameLeft"/>
          </w:pPr>
          <w:fldSimple w:instr=" Styleref &quot;Name of Act/Reg&quot; ">
            <w:r w:rsidR="004677F0">
              <w:rPr>
                <w:noProof/>
              </w:rPr>
              <w:t>Western Australian Greyhound Racing Association Act 1981</w:t>
            </w:r>
          </w:fldSimple>
        </w:p>
      </w:tc>
    </w:tr>
    <w:tr w:rsidR="00710A10">
      <w:tc>
        <w:tcPr>
          <w:tcW w:w="1548" w:type="dxa"/>
        </w:tcPr>
        <w:p w:rsidR="00710A10" w:rsidRDefault="00710A10">
          <w:pPr>
            <w:pStyle w:val="HeaderNumberLeft"/>
          </w:pPr>
        </w:p>
      </w:tc>
      <w:tc>
        <w:tcPr>
          <w:tcW w:w="5612" w:type="dxa"/>
        </w:tcPr>
        <w:p w:rsidR="00710A10" w:rsidRDefault="00710A10">
          <w:pPr>
            <w:pStyle w:val="HeaderTextLeft"/>
          </w:pPr>
        </w:p>
      </w:tc>
    </w:tr>
    <w:tr w:rsidR="00710A10">
      <w:tc>
        <w:tcPr>
          <w:tcW w:w="1548" w:type="dxa"/>
        </w:tcPr>
        <w:p w:rsidR="00710A10" w:rsidRDefault="00710A10">
          <w:pPr>
            <w:pStyle w:val="HeaderNumberLeft"/>
          </w:pPr>
        </w:p>
      </w:tc>
      <w:tc>
        <w:tcPr>
          <w:tcW w:w="5612" w:type="dxa"/>
        </w:tcPr>
        <w:p w:rsidR="00710A10" w:rsidRDefault="00710A10">
          <w:pPr>
            <w:pStyle w:val="HeaderTextLeft"/>
          </w:pPr>
        </w:p>
      </w:tc>
    </w:tr>
    <w:tr w:rsidR="00710A10">
      <w:trPr>
        <w:cantSplit/>
      </w:trPr>
      <w:tc>
        <w:tcPr>
          <w:tcW w:w="7160" w:type="dxa"/>
          <w:gridSpan w:val="2"/>
        </w:tcPr>
        <w:p w:rsidR="00710A10" w:rsidRDefault="00710A10">
          <w:pPr>
            <w:pStyle w:val="HeaderSectionLeft"/>
          </w:pPr>
        </w:p>
      </w:tc>
    </w:tr>
  </w:tbl>
  <w:p w:rsidR="00710A10" w:rsidRDefault="00710A1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10A10">
      <w:trPr>
        <w:cantSplit/>
      </w:trPr>
      <w:tc>
        <w:tcPr>
          <w:tcW w:w="7160" w:type="dxa"/>
          <w:gridSpan w:val="2"/>
        </w:tcPr>
        <w:p w:rsidR="00710A10" w:rsidRDefault="007558B6">
          <w:pPr>
            <w:pStyle w:val="HeaderActNameRight"/>
          </w:pPr>
          <w:fldSimple w:instr=" Styleref &quot;Name of Act/Reg&quot; ">
            <w:r w:rsidR="004677F0">
              <w:rPr>
                <w:noProof/>
              </w:rPr>
              <w:t>Western Australian Greyhound Racing Association Act 1981</w:t>
            </w:r>
          </w:fldSimple>
        </w:p>
      </w:tc>
    </w:tr>
    <w:tr w:rsidR="00710A10">
      <w:tc>
        <w:tcPr>
          <w:tcW w:w="5760" w:type="dxa"/>
        </w:tcPr>
        <w:p w:rsidR="00710A10" w:rsidRDefault="00710A10">
          <w:pPr>
            <w:pStyle w:val="HeaderTextRight"/>
          </w:pPr>
        </w:p>
      </w:tc>
      <w:tc>
        <w:tcPr>
          <w:tcW w:w="1400" w:type="dxa"/>
        </w:tcPr>
        <w:p w:rsidR="00710A10" w:rsidRDefault="00710A10">
          <w:pPr>
            <w:pStyle w:val="HeaderNumberRight"/>
          </w:pPr>
        </w:p>
      </w:tc>
    </w:tr>
    <w:tr w:rsidR="00710A10">
      <w:tc>
        <w:tcPr>
          <w:tcW w:w="5760" w:type="dxa"/>
        </w:tcPr>
        <w:p w:rsidR="00710A10" w:rsidRDefault="00710A10">
          <w:pPr>
            <w:pStyle w:val="HeaderTextRight"/>
          </w:pPr>
        </w:p>
      </w:tc>
      <w:tc>
        <w:tcPr>
          <w:tcW w:w="1400" w:type="dxa"/>
        </w:tcPr>
        <w:p w:rsidR="00710A10" w:rsidRDefault="00710A10">
          <w:pPr>
            <w:pStyle w:val="HeaderNumberRight"/>
          </w:pPr>
        </w:p>
      </w:tc>
    </w:tr>
    <w:tr w:rsidR="00710A10">
      <w:trPr>
        <w:cantSplit/>
      </w:trPr>
      <w:tc>
        <w:tcPr>
          <w:tcW w:w="7160" w:type="dxa"/>
          <w:gridSpan w:val="2"/>
        </w:tcPr>
        <w:p w:rsidR="00710A10" w:rsidRDefault="00710A10">
          <w:pPr>
            <w:pStyle w:val="HeaderSectionRight"/>
          </w:pPr>
        </w:p>
      </w:tc>
    </w:tr>
  </w:tbl>
  <w:p w:rsidR="00710A10" w:rsidRDefault="00710A1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558B6">
    <w:pPr>
      <w:pStyle w:val="headerpartodd"/>
      <w:ind w:left="0" w:firstLine="0"/>
      <w:rPr>
        <w:i/>
      </w:rPr>
    </w:pPr>
    <w:r>
      <w:rPr>
        <w:i/>
      </w:rPr>
      <w:fldChar w:fldCharType="begin"/>
    </w:r>
    <w:r>
      <w:rPr>
        <w:i/>
      </w:rPr>
      <w:instrText xml:space="preserve"> Styleref "Name of Act/Reg" </w:instrText>
    </w:r>
    <w:r>
      <w:rPr>
        <w:i/>
      </w:rPr>
      <w:fldChar w:fldCharType="separate"/>
    </w:r>
    <w:r w:rsidR="004677F0">
      <w:rPr>
        <w:i/>
        <w:noProof/>
      </w:rPr>
      <w:t>Western Australian Greyhound Racing Association Act 1981</w:t>
    </w:r>
    <w:r>
      <w:rPr>
        <w:i/>
      </w:rPr>
      <w:fldChar w:fldCharType="end"/>
    </w:r>
  </w:p>
  <w:p w:rsidR="00710A10" w:rsidRDefault="00710A10">
    <w:pPr>
      <w:pStyle w:val="headerpartodd"/>
      <w:ind w:left="0" w:firstLine="0"/>
      <w:rPr>
        <w:b w:val="0"/>
        <w:i/>
      </w:rPr>
    </w:pPr>
  </w:p>
  <w:p w:rsidR="00710A10" w:rsidRDefault="00710A10">
    <w:pPr>
      <w:pStyle w:val="headerpart"/>
    </w:pPr>
  </w:p>
  <w:p w:rsidR="00710A10" w:rsidRDefault="00710A10">
    <w:pPr>
      <w:pStyle w:val="headerpart"/>
    </w:pPr>
  </w:p>
  <w:p w:rsidR="00710A10" w:rsidRDefault="00710A10">
    <w:pPr>
      <w:pBdr>
        <w:bottom w:val="single" w:sz="6" w:space="1" w:color="auto"/>
      </w:pBdr>
      <w:rPr>
        <w:b/>
      </w:rPr>
    </w:pPr>
  </w:p>
  <w:p w:rsidR="00710A10" w:rsidRDefault="00710A1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558B6">
    <w:pPr>
      <w:pStyle w:val="headerpartodd"/>
      <w:ind w:left="0" w:firstLine="0"/>
      <w:jc w:val="right"/>
      <w:rPr>
        <w:i/>
      </w:rPr>
    </w:pPr>
    <w:r>
      <w:rPr>
        <w:i/>
      </w:rPr>
      <w:fldChar w:fldCharType="begin"/>
    </w:r>
    <w:r>
      <w:rPr>
        <w:i/>
      </w:rPr>
      <w:instrText xml:space="preserve"> Styleref "Name of Act/Reg" </w:instrText>
    </w:r>
    <w:r>
      <w:rPr>
        <w:i/>
      </w:rPr>
      <w:fldChar w:fldCharType="separate"/>
    </w:r>
    <w:r w:rsidR="004677F0">
      <w:rPr>
        <w:i/>
        <w:noProof/>
      </w:rPr>
      <w:t>Western Australian Greyhound Racing Association Act 1981</w:t>
    </w:r>
    <w:r>
      <w:rPr>
        <w:i/>
      </w:rPr>
      <w:fldChar w:fldCharType="end"/>
    </w:r>
  </w:p>
  <w:p w:rsidR="00710A10" w:rsidRDefault="00710A10">
    <w:pPr>
      <w:pStyle w:val="headerpartodd"/>
      <w:ind w:left="0" w:firstLine="0"/>
      <w:jc w:val="right"/>
      <w:rPr>
        <w:b w:val="0"/>
        <w:i/>
      </w:rPr>
    </w:pPr>
  </w:p>
  <w:p w:rsidR="00710A10" w:rsidRDefault="00710A10">
    <w:pPr>
      <w:pStyle w:val="headerpart"/>
      <w:jc w:val="right"/>
    </w:pPr>
  </w:p>
  <w:p w:rsidR="00710A10" w:rsidRDefault="00710A10">
    <w:pPr>
      <w:pStyle w:val="headerpart"/>
      <w:jc w:val="right"/>
    </w:pPr>
  </w:p>
  <w:p w:rsidR="00710A10" w:rsidRDefault="00710A10">
    <w:pPr>
      <w:pBdr>
        <w:bottom w:val="single" w:sz="6" w:space="1" w:color="auto"/>
      </w:pBdr>
      <w:jc w:val="right"/>
      <w:rPr>
        <w:b/>
      </w:rPr>
    </w:pPr>
  </w:p>
  <w:p w:rsidR="00710A10" w:rsidRDefault="00710A1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A10" w:rsidRDefault="00710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8B6"/>
    <w:rsid w:val="004677F0"/>
    <w:rsid w:val="00572825"/>
    <w:rsid w:val="00710A10"/>
    <w:rsid w:val="007558B6"/>
    <w:rsid w:val="00C939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8793</Words>
  <Characters>41504</Characters>
  <Application>Microsoft Office Word</Application>
  <DocSecurity>0</DocSecurity>
  <Lines>1152</Lines>
  <Paragraphs>670</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Ministry of Justice</Company>
  <LinksUpToDate>false</LinksUpToDate>
  <CharactersWithSpaces>49627</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1981 - 02-c0-01</dc:title>
  <dc:subject>ActIF_W</dc:subject>
  <dc:creator>Matthew Pether</dc:creator>
  <cp:keywords/>
  <dc:description/>
  <cp:lastModifiedBy>svcMRProcess</cp:lastModifiedBy>
  <cp:revision>4</cp:revision>
  <cp:lastPrinted>2006-02-20T00:59:00Z</cp:lastPrinted>
  <dcterms:created xsi:type="dcterms:W3CDTF">2013-02-20T21:33:00Z</dcterms:created>
  <dcterms:modified xsi:type="dcterms:W3CDTF">2013-02-20T21:33:00Z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02-c0-01</vt:lpwstr>
  </property>
</Properties>
</file>