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Betting Control Act 1954</w:t>
      </w:r>
    </w:p>
    <w:p>
      <w:pPr>
        <w:pStyle w:val="NameofActRegPage1"/>
        <w:spacing w:before="1800" w:after="4200"/>
      </w:pPr>
      <w:r>
        <w:fldChar w:fldCharType="begin"/>
      </w:r>
      <w:r>
        <w:instrText xml:space="preserve"> STYLEREF "Name Of Act/Reg"</w:instrText>
      </w:r>
      <w:r>
        <w:fldChar w:fldCharType="separate"/>
      </w:r>
      <w:r>
        <w:rPr>
          <w:noProof/>
        </w:rPr>
        <w:t>Betting Control Regulations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_Toc241571073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Transitional provision</w:t>
      </w:r>
      <w:r>
        <w:tab/>
      </w:r>
      <w:r>
        <w:fldChar w:fldCharType="begin"/>
      </w:r>
      <w:r>
        <w:instrText xml:space="preserve"> PAGEREF _Toc241571074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_Toc241571075 \h </w:instrText>
      </w:r>
      <w:r>
        <w:fldChar w:fldCharType="separate"/>
      </w:r>
      <w:r>
        <w:t>1</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Licences, fees and commissions</w:t>
      </w:r>
    </w:p>
    <w:p>
      <w:pPr>
        <w:pStyle w:val="TOC8"/>
        <w:rPr>
          <w:sz w:val="24"/>
          <w:szCs w:val="24"/>
        </w:rPr>
      </w:pPr>
      <w:r>
        <w:rPr>
          <w:szCs w:val="24"/>
        </w:rPr>
        <w:t>9</w:t>
      </w:r>
      <w:r>
        <w:rPr>
          <w:snapToGrid w:val="0"/>
          <w:szCs w:val="24"/>
        </w:rPr>
        <w:t>.</w:t>
      </w:r>
      <w:r>
        <w:rPr>
          <w:snapToGrid w:val="0"/>
          <w:szCs w:val="24"/>
        </w:rPr>
        <w:tab/>
        <w:t>Application for licence</w:t>
      </w:r>
      <w:r>
        <w:tab/>
      </w:r>
      <w:r>
        <w:fldChar w:fldCharType="begin"/>
      </w:r>
      <w:r>
        <w:instrText xml:space="preserve"> PAGEREF _Toc241571077 \h </w:instrText>
      </w:r>
      <w:r>
        <w:fldChar w:fldCharType="separate"/>
      </w:r>
      <w:r>
        <w:t>5</w:t>
      </w:r>
      <w:r>
        <w:fldChar w:fldCharType="end"/>
      </w:r>
    </w:p>
    <w:p>
      <w:pPr>
        <w:pStyle w:val="TOC8"/>
        <w:rPr>
          <w:sz w:val="24"/>
          <w:szCs w:val="24"/>
        </w:rPr>
      </w:pPr>
      <w:r>
        <w:rPr>
          <w:szCs w:val="24"/>
        </w:rPr>
        <w:t>9A.</w:t>
      </w:r>
      <w:r>
        <w:rPr>
          <w:szCs w:val="24"/>
        </w:rPr>
        <w:tab/>
        <w:t>Application to conduct a designated sporting event</w:t>
      </w:r>
      <w:r>
        <w:tab/>
      </w:r>
      <w:r>
        <w:fldChar w:fldCharType="begin"/>
      </w:r>
      <w:r>
        <w:instrText xml:space="preserve"> PAGEREF _Toc241571078 \h </w:instrText>
      </w:r>
      <w:r>
        <w:fldChar w:fldCharType="separate"/>
      </w:r>
      <w:r>
        <w:t>5</w:t>
      </w:r>
      <w:r>
        <w:fldChar w:fldCharType="end"/>
      </w:r>
    </w:p>
    <w:p>
      <w:pPr>
        <w:pStyle w:val="TOC8"/>
        <w:rPr>
          <w:sz w:val="24"/>
          <w:szCs w:val="24"/>
        </w:rPr>
      </w:pPr>
      <w:r>
        <w:rPr>
          <w:szCs w:val="24"/>
        </w:rPr>
        <w:t>10.</w:t>
      </w:r>
      <w:r>
        <w:rPr>
          <w:szCs w:val="24"/>
        </w:rPr>
        <w:tab/>
        <w:t>Application for approval</w:t>
      </w:r>
      <w:r>
        <w:tab/>
      </w:r>
      <w:r>
        <w:fldChar w:fldCharType="begin"/>
      </w:r>
      <w:r>
        <w:instrText xml:space="preserve"> PAGEREF _Toc241571079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When a licence may be renewed</w:t>
      </w:r>
      <w:r>
        <w:tab/>
      </w:r>
      <w:r>
        <w:fldChar w:fldCharType="begin"/>
      </w:r>
      <w:r>
        <w:instrText xml:space="preserve"> PAGEREF _Toc241571080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Grant of a licence</w:t>
      </w:r>
      <w:r>
        <w:tab/>
      </w:r>
      <w:r>
        <w:fldChar w:fldCharType="begin"/>
      </w:r>
      <w:r>
        <w:instrText xml:space="preserve"> PAGEREF _Toc241571081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Effect of a licence</w:t>
      </w:r>
      <w:r>
        <w:tab/>
      </w:r>
      <w:r>
        <w:fldChar w:fldCharType="begin"/>
      </w:r>
      <w:r>
        <w:instrText xml:space="preserve"> PAGEREF _Toc241571082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Duplicate licences</w:t>
      </w:r>
      <w:r>
        <w:tab/>
      </w:r>
      <w:r>
        <w:fldChar w:fldCharType="begin"/>
      </w:r>
      <w:r>
        <w:instrText xml:space="preserve"> PAGEREF _Toc241571083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Fees and charges</w:t>
      </w:r>
      <w:r>
        <w:tab/>
      </w:r>
      <w:r>
        <w:fldChar w:fldCharType="begin"/>
      </w:r>
      <w:r>
        <w:instrText xml:space="preserve"> PAGEREF _Toc241571084 \h </w:instrText>
      </w:r>
      <w:r>
        <w:fldChar w:fldCharType="separate"/>
      </w:r>
      <w:r>
        <w:t>9</w:t>
      </w:r>
      <w:r>
        <w:fldChar w:fldCharType="end"/>
      </w:r>
    </w:p>
    <w:p>
      <w:pPr>
        <w:pStyle w:val="TOC8"/>
        <w:rPr>
          <w:sz w:val="24"/>
          <w:szCs w:val="24"/>
        </w:rPr>
      </w:pPr>
      <w:r>
        <w:rPr>
          <w:szCs w:val="24"/>
        </w:rPr>
        <w:t>17A</w:t>
      </w:r>
      <w:r>
        <w:rPr>
          <w:snapToGrid w:val="0"/>
          <w:szCs w:val="24"/>
        </w:rPr>
        <w:t>.</w:t>
      </w:r>
      <w:r>
        <w:rPr>
          <w:snapToGrid w:val="0"/>
          <w:szCs w:val="24"/>
        </w:rPr>
        <w:tab/>
        <w:t>Bookmakers’ annual licence fee</w:t>
      </w:r>
      <w:r>
        <w:tab/>
      </w:r>
      <w:r>
        <w:fldChar w:fldCharType="begin"/>
      </w:r>
      <w:r>
        <w:instrText xml:space="preserve"> PAGEREF _Toc241571085 \h </w:instrText>
      </w:r>
      <w:r>
        <w:fldChar w:fldCharType="separate"/>
      </w:r>
      <w:r>
        <w:t>10</w:t>
      </w:r>
      <w:r>
        <w:fldChar w:fldCharType="end"/>
      </w:r>
    </w:p>
    <w:p>
      <w:pPr>
        <w:pStyle w:val="TOC8"/>
        <w:rPr>
          <w:sz w:val="24"/>
          <w:szCs w:val="24"/>
        </w:rPr>
      </w:pPr>
      <w:r>
        <w:rPr>
          <w:szCs w:val="24"/>
        </w:rPr>
        <w:t>17B</w:t>
      </w:r>
      <w:r>
        <w:rPr>
          <w:snapToGrid w:val="0"/>
          <w:szCs w:val="24"/>
        </w:rPr>
        <w:t>.</w:t>
      </w:r>
      <w:r>
        <w:rPr>
          <w:snapToGrid w:val="0"/>
          <w:szCs w:val="24"/>
        </w:rPr>
        <w:tab/>
        <w:t>On</w:t>
      </w:r>
      <w:r>
        <w:rPr>
          <w:snapToGrid w:val="0"/>
          <w:szCs w:val="24"/>
        </w:rPr>
        <w:noBreakHyphen/>
        <w:t>course totalisator annual licence fee</w:t>
      </w:r>
      <w:r>
        <w:tab/>
      </w:r>
      <w:r>
        <w:fldChar w:fldCharType="begin"/>
      </w:r>
      <w:r>
        <w:instrText xml:space="preserve"> PAGEREF _Toc241571086 \h </w:instrText>
      </w:r>
      <w:r>
        <w:fldChar w:fldCharType="separate"/>
      </w:r>
      <w:r>
        <w:t>12</w:t>
      </w:r>
      <w:r>
        <w:fldChar w:fldCharType="end"/>
      </w:r>
    </w:p>
    <w:p>
      <w:pPr>
        <w:pStyle w:val="TOC8"/>
        <w:rPr>
          <w:sz w:val="24"/>
          <w:szCs w:val="24"/>
        </w:rPr>
      </w:pPr>
      <w:r>
        <w:rPr>
          <w:szCs w:val="24"/>
        </w:rPr>
        <w:t>17C</w:t>
      </w:r>
      <w:r>
        <w:rPr>
          <w:spacing w:val="-2"/>
          <w:szCs w:val="24"/>
        </w:rPr>
        <w:t>.</w:t>
      </w:r>
      <w:r>
        <w:rPr>
          <w:spacing w:val="-2"/>
          <w:szCs w:val="24"/>
        </w:rPr>
        <w:tab/>
      </w:r>
      <w:r>
        <w:rPr>
          <w:szCs w:val="24"/>
        </w:rPr>
        <w:t>Percentage of bets to belong to RWWA</w:t>
      </w:r>
      <w:r>
        <w:tab/>
      </w:r>
      <w:r>
        <w:fldChar w:fldCharType="begin"/>
      </w:r>
      <w:r>
        <w:instrText xml:space="preserve"> PAGEREF _Toc241571087 \h </w:instrText>
      </w:r>
      <w:r>
        <w:fldChar w:fldCharType="separate"/>
      </w:r>
      <w:r>
        <w:t>13</w:t>
      </w:r>
      <w:r>
        <w:fldChar w:fldCharType="end"/>
      </w:r>
    </w:p>
    <w:p>
      <w:pPr>
        <w:pStyle w:val="TOC8"/>
        <w:rPr>
          <w:sz w:val="24"/>
          <w:szCs w:val="24"/>
        </w:rPr>
      </w:pPr>
      <w:r>
        <w:rPr>
          <w:szCs w:val="24"/>
        </w:rPr>
        <w:t>17D.</w:t>
      </w:r>
      <w:r>
        <w:rPr>
          <w:szCs w:val="24"/>
        </w:rPr>
        <w:tab/>
        <w:t>Percentage of bets to belong to racing club</w:t>
      </w:r>
      <w:r>
        <w:tab/>
      </w:r>
      <w:r>
        <w:fldChar w:fldCharType="begin"/>
      </w:r>
      <w:r>
        <w:instrText xml:space="preserve"> PAGEREF _Toc241571088 \h </w:instrText>
      </w:r>
      <w:r>
        <w:fldChar w:fldCharType="separate"/>
      </w:r>
      <w:r>
        <w:t>14</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relating to bookmakers</w:t>
      </w:r>
    </w:p>
    <w:p>
      <w:pPr>
        <w:pStyle w:val="TOC8"/>
        <w:rPr>
          <w:sz w:val="24"/>
          <w:szCs w:val="24"/>
        </w:rPr>
      </w:pPr>
      <w:r>
        <w:rPr>
          <w:szCs w:val="24"/>
        </w:rPr>
        <w:t>17E.</w:t>
      </w:r>
      <w:r>
        <w:rPr>
          <w:szCs w:val="24"/>
        </w:rPr>
        <w:tab/>
        <w:t>Levy which may be retained</w:t>
      </w:r>
      <w:r>
        <w:tab/>
      </w:r>
      <w:r>
        <w:fldChar w:fldCharType="begin"/>
      </w:r>
      <w:r>
        <w:instrText xml:space="preserve"> PAGEREF _Toc241571090 \h </w:instrText>
      </w:r>
      <w:r>
        <w:fldChar w:fldCharType="separate"/>
      </w:r>
      <w:r>
        <w:t>15</w:t>
      </w:r>
      <w:r>
        <w:fldChar w:fldCharType="end"/>
      </w:r>
    </w:p>
    <w:p>
      <w:pPr>
        <w:pStyle w:val="TOC8"/>
        <w:rPr>
          <w:sz w:val="24"/>
          <w:szCs w:val="24"/>
        </w:rPr>
      </w:pPr>
      <w:r>
        <w:rPr>
          <w:szCs w:val="24"/>
        </w:rPr>
        <w:t>18.</w:t>
      </w:r>
      <w:r>
        <w:rPr>
          <w:szCs w:val="24"/>
        </w:rPr>
        <w:tab/>
        <w:t>Security to be given</w:t>
      </w:r>
      <w:r>
        <w:tab/>
      </w:r>
      <w:r>
        <w:fldChar w:fldCharType="begin"/>
      </w:r>
      <w:r>
        <w:instrText xml:space="preserve"> PAGEREF _Toc241571091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Register</w:t>
      </w:r>
      <w:r>
        <w:tab/>
      </w:r>
      <w:r>
        <w:fldChar w:fldCharType="begin"/>
      </w:r>
      <w:r>
        <w:instrText xml:space="preserve"> PAGEREF _Toc241571092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Change of address</w:t>
      </w:r>
      <w:r>
        <w:tab/>
      </w:r>
      <w:r>
        <w:fldChar w:fldCharType="begin"/>
      </w:r>
      <w:r>
        <w:instrText xml:space="preserve"> PAGEREF _Toc241571093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Return of licence</w:t>
      </w:r>
      <w:r>
        <w:tab/>
      </w:r>
      <w:r>
        <w:fldChar w:fldCharType="begin"/>
      </w:r>
      <w:r>
        <w:instrText xml:space="preserve"> PAGEREF _Toc241571094 \h </w:instrText>
      </w:r>
      <w:r>
        <w:fldChar w:fldCharType="separate"/>
      </w:r>
      <w:r>
        <w:t>17</w:t>
      </w:r>
      <w:r>
        <w:fldChar w:fldCharType="end"/>
      </w:r>
    </w:p>
    <w:p>
      <w:pPr>
        <w:pStyle w:val="TOC8"/>
        <w:rPr>
          <w:sz w:val="24"/>
          <w:szCs w:val="24"/>
        </w:rPr>
      </w:pPr>
      <w:r>
        <w:rPr>
          <w:szCs w:val="24"/>
        </w:rPr>
        <w:lastRenderedPageBreak/>
        <w:t>29</w:t>
      </w:r>
      <w:r>
        <w:rPr>
          <w:snapToGrid w:val="0"/>
          <w:szCs w:val="24"/>
        </w:rPr>
        <w:t>.</w:t>
      </w:r>
      <w:r>
        <w:rPr>
          <w:snapToGrid w:val="0"/>
          <w:szCs w:val="24"/>
        </w:rPr>
        <w:tab/>
        <w:t>Production of a licence</w:t>
      </w:r>
      <w:r>
        <w:tab/>
      </w:r>
      <w:r>
        <w:fldChar w:fldCharType="begin"/>
      </w:r>
      <w:r>
        <w:instrText xml:space="preserve"> PAGEREF _Toc241571095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Advertising</w:t>
      </w:r>
      <w:r>
        <w:tab/>
      </w:r>
      <w:r>
        <w:fldChar w:fldCharType="begin"/>
      </w:r>
      <w:r>
        <w:instrText xml:space="preserve"> PAGEREF _Toc241571096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Betting tickets</w:t>
      </w:r>
      <w:r>
        <w:tab/>
      </w:r>
      <w:r>
        <w:fldChar w:fldCharType="begin"/>
      </w:r>
      <w:r>
        <w:instrText xml:space="preserve"> PAGEREF _Toc241571097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The written record of betting transactions</w:t>
      </w:r>
      <w:r>
        <w:tab/>
      </w:r>
      <w:r>
        <w:fldChar w:fldCharType="begin"/>
      </w:r>
      <w:r>
        <w:instrText xml:space="preserve"> PAGEREF _Toc241571098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Supply of books</w:t>
      </w:r>
      <w:r>
        <w:tab/>
      </w:r>
      <w:r>
        <w:fldChar w:fldCharType="begin"/>
      </w:r>
      <w:r>
        <w:instrText xml:space="preserve"> PAGEREF _Toc241571099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Loss of books etc.</w:t>
      </w:r>
      <w:r>
        <w:tab/>
      </w:r>
      <w:r>
        <w:fldChar w:fldCharType="begin"/>
      </w:r>
      <w:r>
        <w:instrText xml:space="preserve"> PAGEREF _Toc241571100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Betting material</w:t>
      </w:r>
      <w:r>
        <w:tab/>
      </w:r>
      <w:r>
        <w:fldChar w:fldCharType="begin"/>
      </w:r>
      <w:r>
        <w:instrText xml:space="preserve"> PAGEREF _Toc241571101 \h </w:instrText>
      </w:r>
      <w:r>
        <w:fldChar w:fldCharType="separate"/>
      </w:r>
      <w:r>
        <w:t>23</w:t>
      </w:r>
      <w:r>
        <w:fldChar w:fldCharType="end"/>
      </w:r>
    </w:p>
    <w:p>
      <w:pPr>
        <w:pStyle w:val="TOC8"/>
        <w:rPr>
          <w:sz w:val="24"/>
          <w:szCs w:val="24"/>
        </w:rPr>
      </w:pPr>
      <w:r>
        <w:rPr>
          <w:szCs w:val="24"/>
        </w:rPr>
        <w:t>48</w:t>
      </w:r>
      <w:r>
        <w:rPr>
          <w:snapToGrid w:val="0"/>
          <w:szCs w:val="24"/>
        </w:rPr>
        <w:t>.</w:t>
      </w:r>
      <w:r>
        <w:rPr>
          <w:snapToGrid w:val="0"/>
          <w:szCs w:val="24"/>
        </w:rPr>
        <w:tab/>
        <w:t>Rules of Betting</w:t>
      </w:r>
      <w:r>
        <w:tab/>
      </w:r>
      <w:r>
        <w:fldChar w:fldCharType="begin"/>
      </w:r>
      <w:r>
        <w:instrText xml:space="preserve"> PAGEREF _Toc241571102 \h </w:instrText>
      </w:r>
      <w:r>
        <w:fldChar w:fldCharType="separate"/>
      </w:r>
      <w:r>
        <w:t>24</w:t>
      </w:r>
      <w:r>
        <w:fldChar w:fldCharType="end"/>
      </w:r>
    </w:p>
    <w:p>
      <w:pPr>
        <w:pStyle w:val="TOC8"/>
        <w:rPr>
          <w:sz w:val="24"/>
          <w:szCs w:val="24"/>
        </w:rPr>
      </w:pPr>
      <w:r>
        <w:rPr>
          <w:szCs w:val="24"/>
        </w:rPr>
        <w:t>48A.</w:t>
      </w:r>
      <w:r>
        <w:rPr>
          <w:szCs w:val="24"/>
        </w:rPr>
        <w:tab/>
        <w:t>Minimum bet obligations</w:t>
      </w:r>
      <w:r>
        <w:tab/>
      </w:r>
      <w:r>
        <w:fldChar w:fldCharType="begin"/>
      </w:r>
      <w:r>
        <w:instrText xml:space="preserve"> PAGEREF _Toc241571103 \h </w:instrText>
      </w:r>
      <w:r>
        <w:fldChar w:fldCharType="separate"/>
      </w:r>
      <w:r>
        <w:t>24</w:t>
      </w:r>
      <w:r>
        <w:fldChar w:fldCharType="end"/>
      </w:r>
    </w:p>
    <w:p>
      <w:pPr>
        <w:pStyle w:val="TOC8"/>
        <w:rPr>
          <w:sz w:val="24"/>
          <w:szCs w:val="24"/>
        </w:rPr>
      </w:pPr>
      <w:r>
        <w:rPr>
          <w:szCs w:val="24"/>
        </w:rPr>
        <w:t>49.</w:t>
      </w:r>
      <w:r>
        <w:rPr>
          <w:szCs w:val="24"/>
        </w:rPr>
        <w:tab/>
        <w:t>Bets on more than one result</w:t>
      </w:r>
      <w:r>
        <w:tab/>
      </w:r>
      <w:r>
        <w:fldChar w:fldCharType="begin"/>
      </w:r>
      <w:r>
        <w:instrText xml:space="preserve"> PAGEREF _Toc241571104 \h </w:instrText>
      </w:r>
      <w:r>
        <w:fldChar w:fldCharType="separate"/>
      </w:r>
      <w:r>
        <w:t>24</w:t>
      </w:r>
      <w:r>
        <w:fldChar w:fldCharType="end"/>
      </w:r>
    </w:p>
    <w:p>
      <w:pPr>
        <w:pStyle w:val="TOC8"/>
        <w:rPr>
          <w:sz w:val="24"/>
          <w:szCs w:val="24"/>
        </w:rPr>
      </w:pPr>
      <w:r>
        <w:rPr>
          <w:szCs w:val="24"/>
        </w:rPr>
        <w:t>50.</w:t>
      </w:r>
      <w:r>
        <w:rPr>
          <w:szCs w:val="24"/>
        </w:rPr>
        <w:tab/>
        <w:t>Permitted bets</w:t>
      </w:r>
      <w:r>
        <w:tab/>
      </w:r>
      <w:r>
        <w:fldChar w:fldCharType="begin"/>
      </w:r>
      <w:r>
        <w:instrText xml:space="preserve"> PAGEREF _Toc241571105 \h </w:instrText>
      </w:r>
      <w:r>
        <w:fldChar w:fldCharType="separate"/>
      </w:r>
      <w:r>
        <w:t>25</w:t>
      </w:r>
      <w:r>
        <w:fldChar w:fldCharType="end"/>
      </w:r>
    </w:p>
    <w:p>
      <w:pPr>
        <w:pStyle w:val="TOC8"/>
        <w:rPr>
          <w:sz w:val="24"/>
          <w:szCs w:val="24"/>
        </w:rPr>
      </w:pPr>
      <w:r>
        <w:rPr>
          <w:szCs w:val="24"/>
        </w:rPr>
        <w:t>51</w:t>
      </w:r>
      <w:r>
        <w:rPr>
          <w:snapToGrid w:val="0"/>
          <w:szCs w:val="24"/>
        </w:rPr>
        <w:t>.</w:t>
      </w:r>
      <w:r>
        <w:rPr>
          <w:snapToGrid w:val="0"/>
          <w:szCs w:val="24"/>
        </w:rPr>
        <w:tab/>
        <w:t>Place betting</w:t>
      </w:r>
      <w:r>
        <w:tab/>
      </w:r>
      <w:r>
        <w:fldChar w:fldCharType="begin"/>
      </w:r>
      <w:r>
        <w:instrText xml:space="preserve"> PAGEREF _Toc241571106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Concession betting</w:t>
      </w:r>
      <w:r>
        <w:tab/>
      </w:r>
      <w:r>
        <w:fldChar w:fldCharType="begin"/>
      </w:r>
      <w:r>
        <w:instrText xml:space="preserve"> PAGEREF _Toc241571107 \h </w:instrText>
      </w:r>
      <w:r>
        <w:fldChar w:fldCharType="separate"/>
      </w:r>
      <w:r>
        <w:t>26</w:t>
      </w:r>
      <w:r>
        <w:fldChar w:fldCharType="end"/>
      </w:r>
    </w:p>
    <w:p>
      <w:pPr>
        <w:pStyle w:val="TOC8"/>
        <w:rPr>
          <w:sz w:val="24"/>
          <w:szCs w:val="24"/>
        </w:rPr>
      </w:pPr>
      <w:r>
        <w:rPr>
          <w:szCs w:val="24"/>
        </w:rPr>
        <w:t>53</w:t>
      </w:r>
      <w:r>
        <w:rPr>
          <w:snapToGrid w:val="0"/>
          <w:szCs w:val="24"/>
        </w:rPr>
        <w:t>.</w:t>
      </w:r>
      <w:r>
        <w:rPr>
          <w:snapToGrid w:val="0"/>
          <w:szCs w:val="24"/>
        </w:rPr>
        <w:tab/>
        <w:t>Doubles other than multiple doubles</w:t>
      </w:r>
      <w:r>
        <w:tab/>
      </w:r>
      <w:r>
        <w:fldChar w:fldCharType="begin"/>
      </w:r>
      <w:r>
        <w:instrText xml:space="preserve"> PAGEREF _Toc241571108 \h </w:instrText>
      </w:r>
      <w:r>
        <w:fldChar w:fldCharType="separate"/>
      </w:r>
      <w:r>
        <w:t>26</w:t>
      </w:r>
      <w:r>
        <w:fldChar w:fldCharType="end"/>
      </w:r>
    </w:p>
    <w:p>
      <w:pPr>
        <w:pStyle w:val="TOC8"/>
        <w:rPr>
          <w:sz w:val="24"/>
          <w:szCs w:val="24"/>
        </w:rPr>
      </w:pPr>
      <w:r>
        <w:rPr>
          <w:szCs w:val="24"/>
        </w:rPr>
        <w:t>54</w:t>
      </w:r>
      <w:r>
        <w:rPr>
          <w:snapToGrid w:val="0"/>
          <w:szCs w:val="24"/>
        </w:rPr>
        <w:t>.</w:t>
      </w:r>
      <w:r>
        <w:rPr>
          <w:snapToGrid w:val="0"/>
          <w:szCs w:val="24"/>
        </w:rPr>
        <w:tab/>
        <w:t>Trebles</w:t>
      </w:r>
      <w:r>
        <w:tab/>
      </w:r>
      <w:r>
        <w:fldChar w:fldCharType="begin"/>
      </w:r>
      <w:r>
        <w:instrText xml:space="preserve"> PAGEREF _Toc241571109 \h </w:instrText>
      </w:r>
      <w:r>
        <w:fldChar w:fldCharType="separate"/>
      </w:r>
      <w:r>
        <w:t>26</w:t>
      </w:r>
      <w:r>
        <w:fldChar w:fldCharType="end"/>
      </w:r>
    </w:p>
    <w:p>
      <w:pPr>
        <w:pStyle w:val="TOC8"/>
        <w:rPr>
          <w:sz w:val="24"/>
          <w:szCs w:val="24"/>
        </w:rPr>
      </w:pPr>
      <w:r>
        <w:rPr>
          <w:szCs w:val="24"/>
        </w:rPr>
        <w:t>55</w:t>
      </w:r>
      <w:r>
        <w:rPr>
          <w:snapToGrid w:val="0"/>
          <w:szCs w:val="24"/>
        </w:rPr>
        <w:t>.</w:t>
      </w:r>
      <w:r>
        <w:rPr>
          <w:snapToGrid w:val="0"/>
          <w:szCs w:val="24"/>
        </w:rPr>
        <w:tab/>
        <w:t>All</w:t>
      </w:r>
      <w:r>
        <w:rPr>
          <w:snapToGrid w:val="0"/>
          <w:szCs w:val="24"/>
        </w:rPr>
        <w:noBreakHyphen/>
        <w:t>up</w:t>
      </w:r>
      <w:r>
        <w:tab/>
      </w:r>
      <w:r>
        <w:fldChar w:fldCharType="begin"/>
      </w:r>
      <w:r>
        <w:instrText xml:space="preserve"> PAGEREF _Toc241571110 \h </w:instrText>
      </w:r>
      <w:r>
        <w:fldChar w:fldCharType="separate"/>
      </w:r>
      <w:r>
        <w:t>27</w:t>
      </w:r>
      <w:r>
        <w:fldChar w:fldCharType="end"/>
      </w:r>
    </w:p>
    <w:p>
      <w:pPr>
        <w:pStyle w:val="TOC8"/>
        <w:rPr>
          <w:sz w:val="24"/>
          <w:szCs w:val="24"/>
        </w:rPr>
      </w:pPr>
      <w:r>
        <w:rPr>
          <w:szCs w:val="24"/>
        </w:rPr>
        <w:t>57</w:t>
      </w:r>
      <w:r>
        <w:rPr>
          <w:snapToGrid w:val="0"/>
          <w:szCs w:val="24"/>
        </w:rPr>
        <w:t>.</w:t>
      </w:r>
      <w:r>
        <w:rPr>
          <w:snapToGrid w:val="0"/>
          <w:szCs w:val="24"/>
        </w:rPr>
        <w:tab/>
        <w:t>Stand</w:t>
      </w:r>
      <w:r>
        <w:tab/>
      </w:r>
      <w:r>
        <w:fldChar w:fldCharType="begin"/>
      </w:r>
      <w:r>
        <w:instrText xml:space="preserve"> PAGEREF _Toc241571111 \h </w:instrText>
      </w:r>
      <w:r>
        <w:fldChar w:fldCharType="separate"/>
      </w:r>
      <w:r>
        <w:t>27</w:t>
      </w:r>
      <w:r>
        <w:fldChar w:fldCharType="end"/>
      </w:r>
    </w:p>
    <w:p>
      <w:pPr>
        <w:pStyle w:val="TOC8"/>
        <w:rPr>
          <w:sz w:val="24"/>
          <w:szCs w:val="24"/>
        </w:rPr>
      </w:pPr>
      <w:r>
        <w:rPr>
          <w:szCs w:val="24"/>
        </w:rPr>
        <w:t>58</w:t>
      </w:r>
      <w:r>
        <w:rPr>
          <w:snapToGrid w:val="0"/>
          <w:szCs w:val="24"/>
        </w:rPr>
        <w:t>.</w:t>
      </w:r>
      <w:r>
        <w:rPr>
          <w:snapToGrid w:val="0"/>
          <w:szCs w:val="24"/>
        </w:rPr>
        <w:tab/>
        <w:t>Use of stand</w:t>
      </w:r>
      <w:r>
        <w:tab/>
      </w:r>
      <w:r>
        <w:fldChar w:fldCharType="begin"/>
      </w:r>
      <w:r>
        <w:instrText xml:space="preserve"> PAGEREF _Toc241571112 \h </w:instrText>
      </w:r>
      <w:r>
        <w:fldChar w:fldCharType="separate"/>
      </w:r>
      <w:r>
        <w:t>27</w:t>
      </w:r>
      <w:r>
        <w:fldChar w:fldCharType="end"/>
      </w:r>
    </w:p>
    <w:p>
      <w:pPr>
        <w:pStyle w:val="TOC8"/>
        <w:rPr>
          <w:sz w:val="24"/>
          <w:szCs w:val="24"/>
        </w:rPr>
      </w:pPr>
      <w:r>
        <w:rPr>
          <w:szCs w:val="24"/>
        </w:rPr>
        <w:t>59.</w:t>
      </w:r>
      <w:r>
        <w:rPr>
          <w:szCs w:val="24"/>
        </w:rPr>
        <w:tab/>
        <w:t>Name of bookmaker to be shown</w:t>
      </w:r>
      <w:r>
        <w:tab/>
      </w:r>
      <w:r>
        <w:fldChar w:fldCharType="begin"/>
      </w:r>
      <w:r>
        <w:instrText xml:space="preserve"> PAGEREF _Toc241571113 \h </w:instrText>
      </w:r>
      <w:r>
        <w:fldChar w:fldCharType="separate"/>
      </w:r>
      <w:r>
        <w:t>28</w:t>
      </w:r>
      <w:r>
        <w:fldChar w:fldCharType="end"/>
      </w:r>
    </w:p>
    <w:p>
      <w:pPr>
        <w:pStyle w:val="TOC8"/>
        <w:rPr>
          <w:sz w:val="24"/>
          <w:szCs w:val="24"/>
        </w:rPr>
      </w:pPr>
      <w:r>
        <w:rPr>
          <w:szCs w:val="24"/>
        </w:rPr>
        <w:t>60</w:t>
      </w:r>
      <w:r>
        <w:rPr>
          <w:snapToGrid w:val="0"/>
          <w:szCs w:val="24"/>
        </w:rPr>
        <w:t>.</w:t>
      </w:r>
      <w:r>
        <w:rPr>
          <w:snapToGrid w:val="0"/>
          <w:szCs w:val="24"/>
        </w:rPr>
        <w:tab/>
        <w:t>Betting boards etc. to be approved</w:t>
      </w:r>
      <w:r>
        <w:tab/>
      </w:r>
      <w:r>
        <w:fldChar w:fldCharType="begin"/>
      </w:r>
      <w:r>
        <w:instrText xml:space="preserve"> PAGEREF _Toc241571114 \h </w:instrText>
      </w:r>
      <w:r>
        <w:fldChar w:fldCharType="separate"/>
      </w:r>
      <w:r>
        <w:t>28</w:t>
      </w:r>
      <w:r>
        <w:fldChar w:fldCharType="end"/>
      </w:r>
    </w:p>
    <w:p>
      <w:pPr>
        <w:pStyle w:val="TOC8"/>
        <w:rPr>
          <w:sz w:val="24"/>
          <w:szCs w:val="24"/>
        </w:rPr>
      </w:pPr>
      <w:r>
        <w:rPr>
          <w:szCs w:val="24"/>
        </w:rPr>
        <w:t>61</w:t>
      </w:r>
      <w:r>
        <w:rPr>
          <w:snapToGrid w:val="0"/>
          <w:szCs w:val="24"/>
        </w:rPr>
        <w:t>.</w:t>
      </w:r>
      <w:r>
        <w:rPr>
          <w:snapToGrid w:val="0"/>
          <w:szCs w:val="24"/>
        </w:rPr>
        <w:tab/>
        <w:t>Betting boards</w:t>
      </w:r>
      <w:r>
        <w:tab/>
      </w:r>
      <w:r>
        <w:fldChar w:fldCharType="begin"/>
      </w:r>
      <w:r>
        <w:instrText xml:space="preserve"> PAGEREF _Toc241571115 \h </w:instrText>
      </w:r>
      <w:r>
        <w:fldChar w:fldCharType="separate"/>
      </w:r>
      <w:r>
        <w:t>29</w:t>
      </w:r>
      <w:r>
        <w:fldChar w:fldCharType="end"/>
      </w:r>
    </w:p>
    <w:p>
      <w:pPr>
        <w:pStyle w:val="TOC8"/>
        <w:rPr>
          <w:sz w:val="24"/>
          <w:szCs w:val="24"/>
        </w:rPr>
      </w:pPr>
      <w:r>
        <w:rPr>
          <w:szCs w:val="24"/>
        </w:rPr>
        <w:t>62</w:t>
      </w:r>
      <w:r>
        <w:rPr>
          <w:snapToGrid w:val="0"/>
          <w:szCs w:val="24"/>
        </w:rPr>
        <w:t>.</w:t>
      </w:r>
      <w:r>
        <w:rPr>
          <w:snapToGrid w:val="0"/>
          <w:szCs w:val="24"/>
        </w:rPr>
        <w:tab/>
        <w:t>Omissions from betting board etc.</w:t>
      </w:r>
      <w:r>
        <w:tab/>
      </w:r>
      <w:r>
        <w:fldChar w:fldCharType="begin"/>
      </w:r>
      <w:r>
        <w:instrText xml:space="preserve"> PAGEREF _Toc241571116 \h </w:instrText>
      </w:r>
      <w:r>
        <w:fldChar w:fldCharType="separate"/>
      </w:r>
      <w:r>
        <w:t>29</w:t>
      </w:r>
      <w:r>
        <w:fldChar w:fldCharType="end"/>
      </w:r>
    </w:p>
    <w:p>
      <w:pPr>
        <w:pStyle w:val="TOC8"/>
        <w:rPr>
          <w:sz w:val="24"/>
          <w:szCs w:val="24"/>
        </w:rPr>
      </w:pPr>
      <w:r>
        <w:rPr>
          <w:szCs w:val="24"/>
        </w:rPr>
        <w:t>63</w:t>
      </w:r>
      <w:r>
        <w:rPr>
          <w:snapToGrid w:val="0"/>
          <w:szCs w:val="24"/>
        </w:rPr>
        <w:t>.</w:t>
      </w:r>
      <w:r>
        <w:rPr>
          <w:snapToGrid w:val="0"/>
          <w:szCs w:val="24"/>
        </w:rPr>
        <w:tab/>
        <w:t>Bets with other bookmakers</w:t>
      </w:r>
      <w:r>
        <w:tab/>
      </w:r>
      <w:r>
        <w:fldChar w:fldCharType="begin"/>
      </w:r>
      <w:r>
        <w:instrText xml:space="preserve"> PAGEREF _Toc241571117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 xml:space="preserve">Cooperation with the </w:t>
      </w:r>
      <w:r>
        <w:rPr>
          <w:szCs w:val="24"/>
        </w:rPr>
        <w:t>Commission</w:t>
      </w:r>
      <w:r>
        <w:rPr>
          <w:snapToGrid w:val="0"/>
          <w:szCs w:val="24"/>
        </w:rPr>
        <w:t xml:space="preserve"> in matters relating to betting disputes</w:t>
      </w:r>
      <w:r>
        <w:tab/>
      </w:r>
      <w:r>
        <w:fldChar w:fldCharType="begin"/>
      </w:r>
      <w:r>
        <w:instrText xml:space="preserve"> PAGEREF _Toc241571118 \h </w:instrText>
      </w:r>
      <w:r>
        <w:fldChar w:fldCharType="separate"/>
      </w:r>
      <w:r>
        <w:t>31</w:t>
      </w:r>
      <w:r>
        <w:fldChar w:fldCharType="end"/>
      </w:r>
    </w:p>
    <w:p>
      <w:pPr>
        <w:pStyle w:val="TOC8"/>
        <w:rPr>
          <w:sz w:val="24"/>
          <w:szCs w:val="24"/>
        </w:rPr>
      </w:pPr>
      <w:r>
        <w:rPr>
          <w:szCs w:val="24"/>
        </w:rPr>
        <w:t>71</w:t>
      </w:r>
      <w:r>
        <w:rPr>
          <w:snapToGrid w:val="0"/>
          <w:szCs w:val="24"/>
        </w:rPr>
        <w:t>.</w:t>
      </w:r>
      <w:r>
        <w:rPr>
          <w:snapToGrid w:val="0"/>
          <w:szCs w:val="24"/>
        </w:rPr>
        <w:tab/>
        <w:t>Telephone betting on sporting events</w:t>
      </w:r>
      <w:r>
        <w:tab/>
      </w:r>
      <w:r>
        <w:fldChar w:fldCharType="begin"/>
      </w:r>
      <w:r>
        <w:instrText xml:space="preserve"> PAGEREF _Toc241571119 \h </w:instrText>
      </w:r>
      <w:r>
        <w:fldChar w:fldCharType="separate"/>
      </w:r>
      <w:r>
        <w:t>32</w:t>
      </w:r>
      <w:r>
        <w:fldChar w:fldCharType="end"/>
      </w:r>
    </w:p>
    <w:p>
      <w:pPr>
        <w:pStyle w:val="TOC8"/>
        <w:rPr>
          <w:sz w:val="24"/>
          <w:szCs w:val="24"/>
        </w:rPr>
      </w:pPr>
      <w:r>
        <w:rPr>
          <w:szCs w:val="24"/>
        </w:rPr>
        <w:t>72</w:t>
      </w:r>
      <w:r>
        <w:rPr>
          <w:snapToGrid w:val="0"/>
          <w:szCs w:val="24"/>
        </w:rPr>
        <w:t>.</w:t>
      </w:r>
      <w:r>
        <w:rPr>
          <w:snapToGrid w:val="0"/>
          <w:szCs w:val="24"/>
        </w:rPr>
        <w:tab/>
        <w:t>Telephone betting on racing</w:t>
      </w:r>
      <w:r>
        <w:tab/>
      </w:r>
      <w:r>
        <w:fldChar w:fldCharType="begin"/>
      </w:r>
      <w:r>
        <w:instrText xml:space="preserve"> PAGEREF _Toc241571120 \h </w:instrText>
      </w:r>
      <w:r>
        <w:fldChar w:fldCharType="separate"/>
      </w:r>
      <w:r>
        <w:t>33</w:t>
      </w:r>
      <w:r>
        <w:fldChar w:fldCharType="end"/>
      </w:r>
    </w:p>
    <w:p>
      <w:pPr>
        <w:pStyle w:val="TOC8"/>
        <w:rPr>
          <w:sz w:val="24"/>
          <w:szCs w:val="24"/>
        </w:rPr>
      </w:pPr>
      <w:r>
        <w:rPr>
          <w:szCs w:val="24"/>
        </w:rPr>
        <w:t>73.</w:t>
      </w:r>
      <w:r>
        <w:rPr>
          <w:szCs w:val="24"/>
        </w:rPr>
        <w:tab/>
        <w:t>Credit betting other than by telephone</w:t>
      </w:r>
      <w:r>
        <w:tab/>
      </w:r>
      <w:r>
        <w:fldChar w:fldCharType="begin"/>
      </w:r>
      <w:r>
        <w:instrText xml:space="preserve"> PAGEREF _Toc241571121 \h </w:instrText>
      </w:r>
      <w:r>
        <w:fldChar w:fldCharType="separate"/>
      </w:r>
      <w:r>
        <w:t>35</w:t>
      </w:r>
      <w:r>
        <w:fldChar w:fldCharType="end"/>
      </w:r>
    </w:p>
    <w:p>
      <w:pPr>
        <w:pStyle w:val="TOC8"/>
        <w:rPr>
          <w:sz w:val="24"/>
          <w:szCs w:val="24"/>
        </w:rPr>
      </w:pPr>
      <w:r>
        <w:rPr>
          <w:szCs w:val="24"/>
        </w:rPr>
        <w:t>74.</w:t>
      </w:r>
      <w:r>
        <w:rPr>
          <w:szCs w:val="24"/>
        </w:rPr>
        <w:tab/>
        <w:t>Internet betting (sporting events)</w:t>
      </w:r>
      <w:r>
        <w:tab/>
      </w:r>
      <w:r>
        <w:fldChar w:fldCharType="begin"/>
      </w:r>
      <w:r>
        <w:instrText xml:space="preserve"> PAGEREF _Toc241571122 \h </w:instrText>
      </w:r>
      <w:r>
        <w:fldChar w:fldCharType="separate"/>
      </w:r>
      <w:r>
        <w:t>35</w:t>
      </w:r>
      <w:r>
        <w:fldChar w:fldCharType="end"/>
      </w:r>
    </w:p>
    <w:p>
      <w:pPr>
        <w:pStyle w:val="TOC8"/>
        <w:rPr>
          <w:sz w:val="24"/>
          <w:szCs w:val="24"/>
        </w:rPr>
      </w:pPr>
      <w:r>
        <w:rPr>
          <w:szCs w:val="24"/>
        </w:rPr>
        <w:t>75.</w:t>
      </w:r>
      <w:r>
        <w:rPr>
          <w:szCs w:val="24"/>
        </w:rPr>
        <w:tab/>
        <w:t>Internet betting (racing)</w:t>
      </w:r>
      <w:r>
        <w:tab/>
      </w:r>
      <w:r>
        <w:fldChar w:fldCharType="begin"/>
      </w:r>
      <w:r>
        <w:instrText xml:space="preserve"> PAGEREF _Toc241571123 \h </w:instrText>
      </w:r>
      <w:r>
        <w:fldChar w:fldCharType="separate"/>
      </w:r>
      <w:r>
        <w:t>36</w:t>
      </w:r>
      <w:r>
        <w:fldChar w:fldCharType="end"/>
      </w:r>
    </w:p>
    <w:p>
      <w:pPr>
        <w:pStyle w:val="TOC8"/>
        <w:rPr>
          <w:sz w:val="24"/>
          <w:szCs w:val="24"/>
        </w:rPr>
      </w:pPr>
      <w:r>
        <w:rPr>
          <w:szCs w:val="24"/>
        </w:rPr>
        <w:t>76.</w:t>
      </w:r>
      <w:r>
        <w:rPr>
          <w:szCs w:val="24"/>
        </w:rPr>
        <w:tab/>
        <w:t>Procedures for internet betting</w:t>
      </w:r>
      <w:r>
        <w:tab/>
      </w:r>
      <w:r>
        <w:fldChar w:fldCharType="begin"/>
      </w:r>
      <w:r>
        <w:instrText xml:space="preserve"> PAGEREF _Toc241571124 \h </w:instrText>
      </w:r>
      <w:r>
        <w:fldChar w:fldCharType="separate"/>
      </w:r>
      <w:r>
        <w:t>36</w:t>
      </w:r>
      <w:r>
        <w:fldChar w:fldCharType="end"/>
      </w:r>
    </w:p>
    <w:p>
      <w:pPr>
        <w:pStyle w:val="TOC8"/>
        <w:rPr>
          <w:sz w:val="24"/>
          <w:szCs w:val="24"/>
        </w:rPr>
      </w:pPr>
      <w:r>
        <w:rPr>
          <w:szCs w:val="24"/>
        </w:rPr>
        <w:t>77.</w:t>
      </w:r>
      <w:r>
        <w:rPr>
          <w:szCs w:val="24"/>
        </w:rPr>
        <w:tab/>
        <w:t>Form of search warrant</w:t>
      </w:r>
      <w:r>
        <w:tab/>
      </w:r>
      <w:r>
        <w:fldChar w:fldCharType="begin"/>
      </w:r>
      <w:r>
        <w:instrText xml:space="preserve"> PAGEREF _Toc241571125 \h </w:instrText>
      </w:r>
      <w:r>
        <w:fldChar w:fldCharType="separate"/>
      </w:r>
      <w:r>
        <w:t>37</w:t>
      </w:r>
      <w:r>
        <w:fldChar w:fldCharType="end"/>
      </w:r>
    </w:p>
    <w:p>
      <w:pPr>
        <w:pStyle w:val="TOC2"/>
        <w:tabs>
          <w:tab w:val="right" w:leader="dot" w:pos="7086"/>
        </w:tabs>
        <w:rPr>
          <w:b w:val="0"/>
          <w:sz w:val="24"/>
          <w:szCs w:val="24"/>
        </w:rPr>
      </w:pPr>
      <w:r>
        <w:rPr>
          <w:szCs w:val="30"/>
        </w:rPr>
        <w:t>Part 4 — General conditions relating to bets made at or through on</w:t>
      </w:r>
      <w:r>
        <w:rPr>
          <w:szCs w:val="30"/>
        </w:rPr>
        <w:noBreakHyphen/>
        <w:t>course totalisators and local on</w:t>
      </w:r>
      <w:r>
        <w:rPr>
          <w:szCs w:val="30"/>
        </w:rPr>
        <w:noBreakHyphen/>
        <w:t>course totalisators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78.</w:t>
      </w:r>
      <w:r>
        <w:rPr>
          <w:szCs w:val="24"/>
        </w:rPr>
        <w:tab/>
        <w:t>Terms used in this Part</w:t>
      </w:r>
      <w:r>
        <w:tab/>
      </w:r>
      <w:r>
        <w:fldChar w:fldCharType="begin"/>
      </w:r>
      <w:r>
        <w:instrText xml:space="preserve"> PAGEREF _Toc241571128 \h </w:instrText>
      </w:r>
      <w:r>
        <w:fldChar w:fldCharType="separate"/>
      </w:r>
      <w:r>
        <w:t>38</w:t>
      </w:r>
      <w:r>
        <w:fldChar w:fldCharType="end"/>
      </w:r>
    </w:p>
    <w:p>
      <w:pPr>
        <w:pStyle w:val="TOC4"/>
        <w:tabs>
          <w:tab w:val="right" w:leader="dot" w:pos="7086"/>
        </w:tabs>
        <w:rPr>
          <w:b w:val="0"/>
          <w:sz w:val="24"/>
          <w:szCs w:val="24"/>
        </w:rPr>
      </w:pPr>
      <w:r>
        <w:rPr>
          <w:szCs w:val="26"/>
        </w:rPr>
        <w:t>Division 2 — Betting with on</w:t>
      </w:r>
      <w:r>
        <w:rPr>
          <w:szCs w:val="26"/>
        </w:rPr>
        <w:noBreakHyphen/>
        <w:t>course and local on</w:t>
      </w:r>
      <w:r>
        <w:rPr>
          <w:szCs w:val="26"/>
        </w:rPr>
        <w:noBreakHyphen/>
        <w:t>course totalisators</w:t>
      </w:r>
    </w:p>
    <w:p>
      <w:pPr>
        <w:pStyle w:val="TOC8"/>
        <w:rPr>
          <w:sz w:val="24"/>
          <w:szCs w:val="24"/>
        </w:rPr>
      </w:pPr>
      <w:r>
        <w:rPr>
          <w:szCs w:val="24"/>
        </w:rPr>
        <w:t>79.</w:t>
      </w:r>
      <w:r>
        <w:rPr>
          <w:szCs w:val="24"/>
        </w:rPr>
        <w:tab/>
        <w:t>On</w:t>
      </w:r>
      <w:r>
        <w:rPr>
          <w:szCs w:val="24"/>
        </w:rPr>
        <w:noBreakHyphen/>
        <w:t>course totalisator bets accepted subject to the rules and these regulations</w:t>
      </w:r>
      <w:r>
        <w:tab/>
      </w:r>
      <w:r>
        <w:fldChar w:fldCharType="begin"/>
      </w:r>
      <w:r>
        <w:instrText xml:space="preserve"> PAGEREF _Toc241571130 \h </w:instrText>
      </w:r>
      <w:r>
        <w:fldChar w:fldCharType="separate"/>
      </w:r>
      <w:r>
        <w:t>39</w:t>
      </w:r>
      <w:r>
        <w:fldChar w:fldCharType="end"/>
      </w:r>
    </w:p>
    <w:p>
      <w:pPr>
        <w:pStyle w:val="TOC8"/>
        <w:rPr>
          <w:sz w:val="24"/>
          <w:szCs w:val="24"/>
        </w:rPr>
      </w:pPr>
      <w:r>
        <w:rPr>
          <w:szCs w:val="24"/>
        </w:rPr>
        <w:t>80.</w:t>
      </w:r>
      <w:r>
        <w:rPr>
          <w:szCs w:val="24"/>
        </w:rPr>
        <w:tab/>
        <w:t>Local on</w:t>
      </w:r>
      <w:r>
        <w:rPr>
          <w:szCs w:val="24"/>
        </w:rPr>
        <w:noBreakHyphen/>
        <w:t>course totalisator bets accepted subject to the rules and these regulations</w:t>
      </w:r>
      <w:r>
        <w:tab/>
      </w:r>
      <w:r>
        <w:fldChar w:fldCharType="begin"/>
      </w:r>
      <w:r>
        <w:instrText xml:space="preserve"> PAGEREF _Toc241571131 \h </w:instrText>
      </w:r>
      <w:r>
        <w:fldChar w:fldCharType="separate"/>
      </w:r>
      <w:r>
        <w:t>40</w:t>
      </w:r>
      <w:r>
        <w:fldChar w:fldCharType="end"/>
      </w:r>
    </w:p>
    <w:p>
      <w:pPr>
        <w:pStyle w:val="TOC8"/>
        <w:rPr>
          <w:sz w:val="24"/>
          <w:szCs w:val="24"/>
        </w:rPr>
      </w:pPr>
      <w:r>
        <w:rPr>
          <w:szCs w:val="24"/>
        </w:rPr>
        <w:t>81.</w:t>
      </w:r>
      <w:r>
        <w:rPr>
          <w:szCs w:val="24"/>
        </w:rPr>
        <w:tab/>
        <w:t>All bets to be 50 cents or multiples of 50 cents</w:t>
      </w:r>
      <w:r>
        <w:tab/>
      </w:r>
      <w:r>
        <w:fldChar w:fldCharType="begin"/>
      </w:r>
      <w:r>
        <w:instrText xml:space="preserve"> PAGEREF _Toc241571132 \h </w:instrText>
      </w:r>
      <w:r>
        <w:fldChar w:fldCharType="separate"/>
      </w:r>
      <w:r>
        <w:t>40</w:t>
      </w:r>
      <w:r>
        <w:fldChar w:fldCharType="end"/>
      </w:r>
    </w:p>
    <w:p>
      <w:pPr>
        <w:pStyle w:val="TOC8"/>
        <w:rPr>
          <w:sz w:val="24"/>
          <w:szCs w:val="24"/>
        </w:rPr>
      </w:pPr>
      <w:r>
        <w:rPr>
          <w:szCs w:val="24"/>
        </w:rPr>
        <w:t>82.</w:t>
      </w:r>
      <w:r>
        <w:rPr>
          <w:szCs w:val="24"/>
        </w:rPr>
        <w:tab/>
        <w:t>On</w:t>
      </w:r>
      <w:r>
        <w:rPr>
          <w:szCs w:val="24"/>
        </w:rPr>
        <w:noBreakHyphen/>
        <w:t>course totalisator dividend as declared</w:t>
      </w:r>
      <w:r>
        <w:tab/>
      </w:r>
      <w:r>
        <w:fldChar w:fldCharType="begin"/>
      </w:r>
      <w:r>
        <w:instrText xml:space="preserve"> PAGEREF _Toc241571133 \h </w:instrText>
      </w:r>
      <w:r>
        <w:fldChar w:fldCharType="separate"/>
      </w:r>
      <w:r>
        <w:t>41</w:t>
      </w:r>
      <w:r>
        <w:fldChar w:fldCharType="end"/>
      </w:r>
    </w:p>
    <w:p>
      <w:pPr>
        <w:pStyle w:val="TOC8"/>
        <w:rPr>
          <w:sz w:val="24"/>
          <w:szCs w:val="24"/>
        </w:rPr>
      </w:pPr>
      <w:r>
        <w:rPr>
          <w:szCs w:val="24"/>
        </w:rPr>
        <w:t>83.</w:t>
      </w:r>
      <w:r>
        <w:rPr>
          <w:szCs w:val="24"/>
        </w:rPr>
        <w:tab/>
        <w:t>Local on</w:t>
      </w:r>
      <w:r>
        <w:rPr>
          <w:szCs w:val="24"/>
        </w:rPr>
        <w:noBreakHyphen/>
        <w:t>course totalisator dividend as declared</w:t>
      </w:r>
      <w:r>
        <w:tab/>
      </w:r>
      <w:r>
        <w:fldChar w:fldCharType="begin"/>
      </w:r>
      <w:r>
        <w:instrText xml:space="preserve"> PAGEREF _Toc241571134 \h </w:instrText>
      </w:r>
      <w:r>
        <w:fldChar w:fldCharType="separate"/>
      </w:r>
      <w:r>
        <w:t>42</w:t>
      </w:r>
      <w:r>
        <w:fldChar w:fldCharType="end"/>
      </w:r>
    </w:p>
    <w:p>
      <w:pPr>
        <w:pStyle w:val="TOC8"/>
        <w:rPr>
          <w:sz w:val="24"/>
          <w:szCs w:val="24"/>
        </w:rPr>
      </w:pPr>
      <w:r>
        <w:rPr>
          <w:szCs w:val="24"/>
        </w:rPr>
        <w:t>84.</w:t>
      </w:r>
      <w:r>
        <w:rPr>
          <w:szCs w:val="24"/>
        </w:rPr>
        <w:tab/>
        <w:t>Bets may be refused</w:t>
      </w:r>
      <w:r>
        <w:tab/>
      </w:r>
      <w:r>
        <w:fldChar w:fldCharType="begin"/>
      </w:r>
      <w:r>
        <w:instrText xml:space="preserve"> PAGEREF _Toc241571135 \h </w:instrText>
      </w:r>
      <w:r>
        <w:fldChar w:fldCharType="separate"/>
      </w:r>
      <w:r>
        <w:t>42</w:t>
      </w:r>
      <w:r>
        <w:fldChar w:fldCharType="end"/>
      </w:r>
    </w:p>
    <w:p>
      <w:pPr>
        <w:pStyle w:val="TOC8"/>
        <w:rPr>
          <w:sz w:val="24"/>
          <w:szCs w:val="24"/>
        </w:rPr>
      </w:pPr>
      <w:r>
        <w:rPr>
          <w:szCs w:val="24"/>
        </w:rPr>
        <w:t>85.</w:t>
      </w:r>
      <w:r>
        <w:rPr>
          <w:szCs w:val="24"/>
        </w:rPr>
        <w:tab/>
        <w:t>Only authorised bets to be accepted</w:t>
      </w:r>
      <w:r>
        <w:tab/>
      </w:r>
      <w:r>
        <w:fldChar w:fldCharType="begin"/>
      </w:r>
      <w:r>
        <w:instrText xml:space="preserve"> PAGEREF _Toc241571136 \h </w:instrText>
      </w:r>
      <w:r>
        <w:fldChar w:fldCharType="separate"/>
      </w:r>
      <w:r>
        <w:t>43</w:t>
      </w:r>
      <w:r>
        <w:fldChar w:fldCharType="end"/>
      </w:r>
    </w:p>
    <w:p>
      <w:pPr>
        <w:pStyle w:val="TOC8"/>
        <w:rPr>
          <w:sz w:val="24"/>
          <w:szCs w:val="24"/>
        </w:rPr>
      </w:pPr>
      <w:r>
        <w:rPr>
          <w:szCs w:val="24"/>
        </w:rPr>
        <w:t>86.</w:t>
      </w:r>
      <w:r>
        <w:rPr>
          <w:szCs w:val="24"/>
        </w:rPr>
        <w:tab/>
        <w:t>Hours for opening</w:t>
      </w:r>
      <w:r>
        <w:tab/>
      </w:r>
      <w:r>
        <w:fldChar w:fldCharType="begin"/>
      </w:r>
      <w:r>
        <w:instrText xml:space="preserve"> PAGEREF _Toc241571137 \h </w:instrText>
      </w:r>
      <w:r>
        <w:fldChar w:fldCharType="separate"/>
      </w:r>
      <w:r>
        <w:t>43</w:t>
      </w:r>
      <w:r>
        <w:fldChar w:fldCharType="end"/>
      </w:r>
    </w:p>
    <w:p>
      <w:pPr>
        <w:pStyle w:val="TOC8"/>
        <w:rPr>
          <w:sz w:val="24"/>
          <w:szCs w:val="24"/>
        </w:rPr>
      </w:pPr>
      <w:r>
        <w:rPr>
          <w:szCs w:val="24"/>
        </w:rPr>
        <w:t>87.</w:t>
      </w:r>
      <w:r>
        <w:rPr>
          <w:szCs w:val="24"/>
        </w:rPr>
        <w:tab/>
        <w:t>Bets may be made by various methods</w:t>
      </w:r>
      <w:r>
        <w:tab/>
      </w:r>
      <w:r>
        <w:fldChar w:fldCharType="begin"/>
      </w:r>
      <w:r>
        <w:instrText xml:space="preserve"> PAGEREF _Toc241571138 \h </w:instrText>
      </w:r>
      <w:r>
        <w:fldChar w:fldCharType="separate"/>
      </w:r>
      <w:r>
        <w:t>44</w:t>
      </w:r>
      <w:r>
        <w:fldChar w:fldCharType="end"/>
      </w:r>
    </w:p>
    <w:p>
      <w:pPr>
        <w:pStyle w:val="TOC8"/>
        <w:rPr>
          <w:sz w:val="24"/>
          <w:szCs w:val="24"/>
        </w:rPr>
      </w:pPr>
      <w:r>
        <w:rPr>
          <w:szCs w:val="24"/>
        </w:rPr>
        <w:t>88.</w:t>
      </w:r>
      <w:r>
        <w:rPr>
          <w:szCs w:val="24"/>
        </w:rPr>
        <w:tab/>
        <w:t>On</w:t>
      </w:r>
      <w:r>
        <w:rPr>
          <w:szCs w:val="24"/>
        </w:rPr>
        <w:noBreakHyphen/>
        <w:t>course totalisator bets to be properly marked</w:t>
      </w:r>
      <w:r>
        <w:tab/>
      </w:r>
      <w:r>
        <w:fldChar w:fldCharType="begin"/>
      </w:r>
      <w:r>
        <w:instrText xml:space="preserve"> PAGEREF _Toc241571139 \h </w:instrText>
      </w:r>
      <w:r>
        <w:fldChar w:fldCharType="separate"/>
      </w:r>
      <w:r>
        <w:t>45</w:t>
      </w:r>
      <w:r>
        <w:fldChar w:fldCharType="end"/>
      </w:r>
    </w:p>
    <w:p>
      <w:pPr>
        <w:pStyle w:val="TOC8"/>
        <w:rPr>
          <w:sz w:val="24"/>
          <w:szCs w:val="24"/>
        </w:rPr>
      </w:pPr>
      <w:r>
        <w:rPr>
          <w:szCs w:val="24"/>
        </w:rPr>
        <w:t>89.</w:t>
      </w:r>
      <w:r>
        <w:rPr>
          <w:szCs w:val="24"/>
        </w:rPr>
        <w:tab/>
        <w:t>Local on</w:t>
      </w:r>
      <w:r>
        <w:rPr>
          <w:szCs w:val="24"/>
        </w:rPr>
        <w:noBreakHyphen/>
        <w:t>course totalisator bets to be properly marked</w:t>
      </w:r>
      <w:r>
        <w:tab/>
      </w:r>
      <w:r>
        <w:fldChar w:fldCharType="begin"/>
      </w:r>
      <w:r>
        <w:instrText xml:space="preserve"> PAGEREF _Toc241571140 \h </w:instrText>
      </w:r>
      <w:r>
        <w:fldChar w:fldCharType="separate"/>
      </w:r>
      <w:r>
        <w:t>45</w:t>
      </w:r>
      <w:r>
        <w:fldChar w:fldCharType="end"/>
      </w:r>
    </w:p>
    <w:p>
      <w:pPr>
        <w:pStyle w:val="TOC8"/>
        <w:rPr>
          <w:sz w:val="24"/>
          <w:szCs w:val="24"/>
        </w:rPr>
      </w:pPr>
      <w:r>
        <w:rPr>
          <w:szCs w:val="24"/>
        </w:rPr>
        <w:t>90.</w:t>
      </w:r>
      <w:r>
        <w:rPr>
          <w:szCs w:val="24"/>
        </w:rPr>
        <w:tab/>
        <w:t>Tickets to be properly marked</w:t>
      </w:r>
      <w:r>
        <w:tab/>
      </w:r>
      <w:r>
        <w:fldChar w:fldCharType="begin"/>
      </w:r>
      <w:r>
        <w:instrText xml:space="preserve"> PAGEREF _Toc241571141 \h </w:instrText>
      </w:r>
      <w:r>
        <w:fldChar w:fldCharType="separate"/>
      </w:r>
      <w:r>
        <w:t>45</w:t>
      </w:r>
      <w:r>
        <w:fldChar w:fldCharType="end"/>
      </w:r>
    </w:p>
    <w:p>
      <w:pPr>
        <w:pStyle w:val="TOC8"/>
        <w:rPr>
          <w:sz w:val="24"/>
          <w:szCs w:val="24"/>
        </w:rPr>
      </w:pPr>
      <w:r>
        <w:rPr>
          <w:szCs w:val="24"/>
        </w:rPr>
        <w:t>91.</w:t>
      </w:r>
      <w:r>
        <w:rPr>
          <w:szCs w:val="24"/>
        </w:rPr>
        <w:tab/>
        <w:t>Host racing club to exhibit notices at on</w:t>
      </w:r>
      <w:r>
        <w:rPr>
          <w:szCs w:val="24"/>
        </w:rPr>
        <w:noBreakHyphen/>
        <w:t>course totalisator and local on</w:t>
      </w:r>
      <w:r>
        <w:rPr>
          <w:szCs w:val="24"/>
        </w:rPr>
        <w:noBreakHyphen/>
        <w:t>course totalisator</w:t>
      </w:r>
      <w:r>
        <w:tab/>
      </w:r>
      <w:r>
        <w:fldChar w:fldCharType="begin"/>
      </w:r>
      <w:r>
        <w:instrText xml:space="preserve"> PAGEREF _Toc241571142 \h </w:instrText>
      </w:r>
      <w:r>
        <w:fldChar w:fldCharType="separate"/>
      </w:r>
      <w:r>
        <w:t>46</w:t>
      </w:r>
      <w:r>
        <w:fldChar w:fldCharType="end"/>
      </w:r>
    </w:p>
    <w:p>
      <w:pPr>
        <w:pStyle w:val="TOC8"/>
        <w:rPr>
          <w:sz w:val="24"/>
          <w:szCs w:val="24"/>
        </w:rPr>
      </w:pPr>
      <w:r>
        <w:rPr>
          <w:szCs w:val="24"/>
        </w:rPr>
        <w:t>92.</w:t>
      </w:r>
      <w:r>
        <w:rPr>
          <w:szCs w:val="24"/>
        </w:rPr>
        <w:tab/>
        <w:t>Correction of errors and omissions and the giving of certain refunds</w:t>
      </w:r>
      <w:r>
        <w:tab/>
      </w:r>
      <w:r>
        <w:fldChar w:fldCharType="begin"/>
      </w:r>
      <w:r>
        <w:instrText xml:space="preserve"> PAGEREF _Toc241571143 \h </w:instrText>
      </w:r>
      <w:r>
        <w:fldChar w:fldCharType="separate"/>
      </w:r>
      <w:r>
        <w:t>47</w:t>
      </w:r>
      <w:r>
        <w:fldChar w:fldCharType="end"/>
      </w:r>
    </w:p>
    <w:p>
      <w:pPr>
        <w:pStyle w:val="TOC8"/>
        <w:rPr>
          <w:sz w:val="24"/>
          <w:szCs w:val="24"/>
        </w:rPr>
      </w:pPr>
      <w:r>
        <w:rPr>
          <w:szCs w:val="24"/>
        </w:rPr>
        <w:t>93.</w:t>
      </w:r>
      <w:r>
        <w:rPr>
          <w:szCs w:val="24"/>
        </w:rPr>
        <w:tab/>
        <w:t>Time for payment of dividends or refunds for cash bets</w:t>
      </w:r>
      <w:r>
        <w:tab/>
      </w:r>
      <w:r>
        <w:fldChar w:fldCharType="begin"/>
      </w:r>
      <w:r>
        <w:instrText xml:space="preserve"> PAGEREF _Toc241571144 \h </w:instrText>
      </w:r>
      <w:r>
        <w:fldChar w:fldCharType="separate"/>
      </w:r>
      <w:r>
        <w:t>49</w:t>
      </w:r>
      <w:r>
        <w:fldChar w:fldCharType="end"/>
      </w:r>
    </w:p>
    <w:p>
      <w:pPr>
        <w:pStyle w:val="TOC8"/>
        <w:rPr>
          <w:sz w:val="24"/>
          <w:szCs w:val="24"/>
        </w:rPr>
      </w:pPr>
      <w:r>
        <w:rPr>
          <w:szCs w:val="24"/>
        </w:rPr>
        <w:t>94.</w:t>
      </w:r>
      <w:r>
        <w:rPr>
          <w:szCs w:val="24"/>
        </w:rPr>
        <w:tab/>
        <w:t>Presentation of tickets or claims</w:t>
      </w:r>
      <w:r>
        <w:tab/>
      </w:r>
      <w:r>
        <w:fldChar w:fldCharType="begin"/>
      </w:r>
      <w:r>
        <w:instrText xml:space="preserve"> PAGEREF _Toc241571145 \h </w:instrText>
      </w:r>
      <w:r>
        <w:fldChar w:fldCharType="separate"/>
      </w:r>
      <w:r>
        <w:t>49</w:t>
      </w:r>
      <w:r>
        <w:fldChar w:fldCharType="end"/>
      </w:r>
    </w:p>
    <w:p>
      <w:pPr>
        <w:pStyle w:val="TOC8"/>
        <w:rPr>
          <w:sz w:val="24"/>
          <w:szCs w:val="24"/>
        </w:rPr>
      </w:pPr>
      <w:r>
        <w:rPr>
          <w:szCs w:val="24"/>
        </w:rPr>
        <w:t>95.</w:t>
      </w:r>
      <w:r>
        <w:rPr>
          <w:szCs w:val="24"/>
        </w:rPr>
        <w:tab/>
        <w:t>When refunds of bets are payable</w:t>
      </w:r>
      <w:r>
        <w:tab/>
      </w:r>
      <w:r>
        <w:fldChar w:fldCharType="begin"/>
      </w:r>
      <w:r>
        <w:instrText xml:space="preserve"> PAGEREF _Toc241571146 \h </w:instrText>
      </w:r>
      <w:r>
        <w:fldChar w:fldCharType="separate"/>
      </w:r>
      <w:r>
        <w:t>51</w:t>
      </w:r>
      <w:r>
        <w:fldChar w:fldCharType="end"/>
      </w:r>
    </w:p>
    <w:p>
      <w:pPr>
        <w:pStyle w:val="TOC4"/>
        <w:tabs>
          <w:tab w:val="right" w:leader="dot" w:pos="7086"/>
        </w:tabs>
        <w:rPr>
          <w:b w:val="0"/>
          <w:sz w:val="24"/>
          <w:szCs w:val="24"/>
        </w:rPr>
      </w:pPr>
      <w:r>
        <w:rPr>
          <w:szCs w:val="26"/>
        </w:rPr>
        <w:t>Division 3 — Miscellaneous discipline and offence provisions</w:t>
      </w:r>
    </w:p>
    <w:p>
      <w:pPr>
        <w:pStyle w:val="TOC8"/>
        <w:rPr>
          <w:sz w:val="24"/>
          <w:szCs w:val="24"/>
        </w:rPr>
      </w:pPr>
      <w:r>
        <w:rPr>
          <w:szCs w:val="24"/>
        </w:rPr>
        <w:t>96.</w:t>
      </w:r>
      <w:r>
        <w:rPr>
          <w:szCs w:val="24"/>
        </w:rPr>
        <w:tab/>
        <w:t>Person making bet bound by these regulations, the rules of wagering and instructions</w:t>
      </w:r>
      <w:r>
        <w:tab/>
      </w:r>
      <w:r>
        <w:fldChar w:fldCharType="begin"/>
      </w:r>
      <w:r>
        <w:instrText xml:space="preserve"> PAGEREF _Toc241571148 \h </w:instrText>
      </w:r>
      <w:r>
        <w:fldChar w:fldCharType="separate"/>
      </w:r>
      <w:r>
        <w:t>52</w:t>
      </w:r>
      <w:r>
        <w:fldChar w:fldCharType="end"/>
      </w:r>
    </w:p>
    <w:p>
      <w:pPr>
        <w:pStyle w:val="TOC8"/>
        <w:rPr>
          <w:sz w:val="24"/>
          <w:szCs w:val="24"/>
        </w:rPr>
      </w:pPr>
      <w:r>
        <w:rPr>
          <w:szCs w:val="24"/>
        </w:rPr>
        <w:t>97.</w:t>
      </w:r>
      <w:r>
        <w:rPr>
          <w:szCs w:val="24"/>
        </w:rPr>
        <w:tab/>
        <w:t>Offences relating to making and accepting wagers</w:t>
      </w:r>
      <w:r>
        <w:tab/>
      </w:r>
      <w:r>
        <w:fldChar w:fldCharType="begin"/>
      </w:r>
      <w:r>
        <w:instrText xml:space="preserve"> PAGEREF _Toc241571149 \h </w:instrText>
      </w:r>
      <w:r>
        <w:fldChar w:fldCharType="separate"/>
      </w:r>
      <w:r>
        <w:t>53</w:t>
      </w:r>
      <w:r>
        <w:fldChar w:fldCharType="end"/>
      </w:r>
    </w:p>
    <w:p>
      <w:pPr>
        <w:pStyle w:val="TOC2"/>
        <w:tabs>
          <w:tab w:val="right" w:leader="dot" w:pos="7086"/>
        </w:tabs>
        <w:rPr>
          <w:b w:val="0"/>
          <w:sz w:val="24"/>
          <w:szCs w:val="24"/>
        </w:rPr>
      </w:pPr>
      <w:r>
        <w:rPr>
          <w:szCs w:val="30"/>
        </w:rPr>
        <w:t>Part 5 — Approval to publish or make available WA race fields</w:t>
      </w:r>
    </w:p>
    <w:p>
      <w:pPr>
        <w:pStyle w:val="TOC8"/>
        <w:rPr>
          <w:sz w:val="24"/>
          <w:szCs w:val="24"/>
        </w:rPr>
      </w:pPr>
      <w:r>
        <w:rPr>
          <w:szCs w:val="24"/>
        </w:rPr>
        <w:t>98.</w:t>
      </w:r>
      <w:r>
        <w:rPr>
          <w:szCs w:val="24"/>
        </w:rPr>
        <w:tab/>
        <w:t>Terms used in this Part</w:t>
      </w:r>
      <w:r>
        <w:tab/>
      </w:r>
      <w:r>
        <w:fldChar w:fldCharType="begin"/>
      </w:r>
      <w:r>
        <w:instrText xml:space="preserve"> PAGEREF _Toc241571151 \h </w:instrText>
      </w:r>
      <w:r>
        <w:fldChar w:fldCharType="separate"/>
      </w:r>
      <w:r>
        <w:t>54</w:t>
      </w:r>
      <w:r>
        <w:fldChar w:fldCharType="end"/>
      </w:r>
    </w:p>
    <w:p>
      <w:pPr>
        <w:pStyle w:val="TOC8"/>
        <w:rPr>
          <w:sz w:val="24"/>
          <w:szCs w:val="24"/>
        </w:rPr>
      </w:pPr>
      <w:r>
        <w:rPr>
          <w:szCs w:val="24"/>
        </w:rPr>
        <w:t>99.</w:t>
      </w:r>
      <w:r>
        <w:rPr>
          <w:szCs w:val="24"/>
        </w:rPr>
        <w:tab/>
        <w:t>Prescribed criteria under section 27D(5)</w:t>
      </w:r>
      <w:r>
        <w:tab/>
      </w:r>
      <w:r>
        <w:fldChar w:fldCharType="begin"/>
      </w:r>
      <w:r>
        <w:instrText xml:space="preserve"> PAGEREF _Toc241571152 \h </w:instrText>
      </w:r>
      <w:r>
        <w:fldChar w:fldCharType="separate"/>
      </w:r>
      <w:r>
        <w:t>54</w:t>
      </w:r>
      <w:r>
        <w:fldChar w:fldCharType="end"/>
      </w:r>
    </w:p>
    <w:p>
      <w:pPr>
        <w:pStyle w:val="TOC8"/>
        <w:rPr>
          <w:sz w:val="24"/>
          <w:szCs w:val="24"/>
        </w:rPr>
      </w:pPr>
      <w:r>
        <w:rPr>
          <w:szCs w:val="24"/>
        </w:rPr>
        <w:t>100.</w:t>
      </w:r>
      <w:r>
        <w:rPr>
          <w:szCs w:val="24"/>
        </w:rPr>
        <w:tab/>
        <w:t>Application for approval</w:t>
      </w:r>
      <w:r>
        <w:tab/>
      </w:r>
      <w:r>
        <w:fldChar w:fldCharType="begin"/>
      </w:r>
      <w:r>
        <w:instrText xml:space="preserve"> PAGEREF _Toc241571153 \h </w:instrText>
      </w:r>
      <w:r>
        <w:fldChar w:fldCharType="separate"/>
      </w:r>
      <w:r>
        <w:t>56</w:t>
      </w:r>
      <w:r>
        <w:fldChar w:fldCharType="end"/>
      </w:r>
    </w:p>
    <w:p>
      <w:pPr>
        <w:pStyle w:val="TOC2"/>
        <w:tabs>
          <w:tab w:val="right" w:leader="dot" w:pos="7086"/>
        </w:tabs>
        <w:rPr>
          <w:b w:val="0"/>
          <w:sz w:val="24"/>
          <w:szCs w:val="24"/>
        </w:rPr>
      </w:pPr>
      <w:r>
        <w:rPr>
          <w:szCs w:val="28"/>
        </w:rPr>
        <w:t>Appendix</w:t>
      </w:r>
    </w:p>
    <w:p>
      <w:pPr>
        <w:pStyle w:val="TOC2"/>
        <w:tabs>
          <w:tab w:val="right" w:leader="dot" w:pos="7086"/>
        </w:tabs>
        <w:rPr>
          <w:b w:val="0"/>
          <w:sz w:val="24"/>
          <w:szCs w:val="24"/>
        </w:rPr>
      </w:pPr>
      <w:r>
        <w:rPr>
          <w:szCs w:val="28"/>
        </w:rPr>
        <w:t>Rules of Betting</w:t>
      </w:r>
    </w:p>
    <w:p>
      <w:pPr>
        <w:pStyle w:val="TOC2"/>
        <w:tabs>
          <w:tab w:val="right" w:leader="dot" w:pos="7086"/>
        </w:tabs>
        <w:rPr>
          <w:b w:val="0"/>
          <w:sz w:val="24"/>
          <w:szCs w:val="24"/>
        </w:rPr>
      </w:pPr>
      <w:r>
        <w:rPr>
          <w:sz w:val="24"/>
          <w:szCs w:val="28"/>
        </w:rPr>
        <w:t>Part 1</w:t>
      </w:r>
      <w:r>
        <w:rPr>
          <w:sz w:val="22"/>
          <w:szCs w:val="28"/>
        </w:rPr>
        <w:t> — </w:t>
      </w:r>
      <w:r>
        <w:rPr>
          <w:sz w:val="24"/>
          <w:szCs w:val="28"/>
        </w:rPr>
        <w:t>Betting under the rules of racing</w:t>
      </w:r>
    </w:p>
    <w:p>
      <w:pPr>
        <w:pStyle w:val="TOC8"/>
        <w:rPr>
          <w:sz w:val="24"/>
          <w:szCs w:val="24"/>
        </w:rPr>
      </w:pPr>
      <w:r>
        <w:rPr>
          <w:szCs w:val="22"/>
        </w:rPr>
        <w:t>1</w:t>
      </w:r>
      <w:r>
        <w:rPr>
          <w:snapToGrid w:val="0"/>
          <w:szCs w:val="22"/>
        </w:rPr>
        <w:t>.</w:t>
      </w:r>
      <w:r>
        <w:rPr>
          <w:snapToGrid w:val="0"/>
          <w:szCs w:val="22"/>
        </w:rPr>
        <w:tab/>
        <w:t>Terms used in these rules</w:t>
      </w:r>
      <w:r>
        <w:tab/>
      </w:r>
      <w:r>
        <w:fldChar w:fldCharType="begin"/>
      </w:r>
      <w:r>
        <w:instrText xml:space="preserve"> PAGEREF _Toc241571157 \h </w:instrText>
      </w:r>
      <w:r>
        <w:fldChar w:fldCharType="separate"/>
      </w:r>
      <w:r>
        <w:t>57</w:t>
      </w:r>
      <w:r>
        <w:fldChar w:fldCharType="end"/>
      </w:r>
    </w:p>
    <w:p>
      <w:pPr>
        <w:pStyle w:val="TOC8"/>
        <w:rPr>
          <w:sz w:val="24"/>
          <w:szCs w:val="24"/>
        </w:rPr>
      </w:pPr>
      <w:r>
        <w:rPr>
          <w:szCs w:val="22"/>
        </w:rPr>
        <w:t>2</w:t>
      </w:r>
      <w:r>
        <w:rPr>
          <w:snapToGrid w:val="0"/>
          <w:szCs w:val="22"/>
        </w:rPr>
        <w:t>.</w:t>
      </w:r>
      <w:r>
        <w:rPr>
          <w:snapToGrid w:val="0"/>
          <w:szCs w:val="22"/>
        </w:rPr>
        <w:tab/>
        <w:t>Bets void in certain circumstances</w:t>
      </w:r>
      <w:r>
        <w:tab/>
      </w:r>
      <w:r>
        <w:fldChar w:fldCharType="begin"/>
      </w:r>
      <w:r>
        <w:instrText xml:space="preserve"> PAGEREF _Toc241571158 \h </w:instrText>
      </w:r>
      <w:r>
        <w:fldChar w:fldCharType="separate"/>
      </w:r>
      <w:r>
        <w:t>58</w:t>
      </w:r>
      <w:r>
        <w:fldChar w:fldCharType="end"/>
      </w:r>
    </w:p>
    <w:p>
      <w:pPr>
        <w:pStyle w:val="TOC8"/>
        <w:rPr>
          <w:sz w:val="24"/>
          <w:szCs w:val="24"/>
        </w:rPr>
      </w:pPr>
      <w:r>
        <w:rPr>
          <w:szCs w:val="22"/>
        </w:rPr>
        <w:t>3</w:t>
      </w:r>
      <w:r>
        <w:rPr>
          <w:snapToGrid w:val="0"/>
          <w:szCs w:val="22"/>
        </w:rPr>
        <w:t>.</w:t>
      </w:r>
      <w:r>
        <w:rPr>
          <w:snapToGrid w:val="0"/>
          <w:szCs w:val="22"/>
        </w:rPr>
        <w:tab/>
        <w:t>When bets are off</w:t>
      </w:r>
      <w:r>
        <w:tab/>
      </w:r>
      <w:r>
        <w:fldChar w:fldCharType="begin"/>
      </w:r>
      <w:r>
        <w:instrText xml:space="preserve"> PAGEREF _Toc241571159 \h </w:instrText>
      </w:r>
      <w:r>
        <w:fldChar w:fldCharType="separate"/>
      </w:r>
      <w:r>
        <w:t>59</w:t>
      </w:r>
      <w:r>
        <w:fldChar w:fldCharType="end"/>
      </w:r>
    </w:p>
    <w:p>
      <w:pPr>
        <w:pStyle w:val="TOC8"/>
        <w:rPr>
          <w:sz w:val="24"/>
          <w:szCs w:val="24"/>
        </w:rPr>
      </w:pPr>
      <w:r>
        <w:rPr>
          <w:szCs w:val="22"/>
        </w:rPr>
        <w:t>4</w:t>
      </w:r>
      <w:r>
        <w:rPr>
          <w:snapToGrid w:val="0"/>
          <w:szCs w:val="22"/>
        </w:rPr>
        <w:t>.</w:t>
      </w:r>
      <w:r>
        <w:rPr>
          <w:snapToGrid w:val="0"/>
          <w:szCs w:val="22"/>
        </w:rPr>
        <w:tab/>
        <w:t>Determination and settlement of bets</w:t>
      </w:r>
      <w:r>
        <w:tab/>
      </w:r>
      <w:r>
        <w:fldChar w:fldCharType="begin"/>
      </w:r>
      <w:r>
        <w:instrText xml:space="preserve"> PAGEREF _Toc241571160 \h </w:instrText>
      </w:r>
      <w:r>
        <w:fldChar w:fldCharType="separate"/>
      </w:r>
      <w:r>
        <w:t>61</w:t>
      </w:r>
      <w:r>
        <w:fldChar w:fldCharType="end"/>
      </w:r>
    </w:p>
    <w:p>
      <w:pPr>
        <w:pStyle w:val="TOC8"/>
        <w:rPr>
          <w:sz w:val="24"/>
          <w:szCs w:val="24"/>
        </w:rPr>
      </w:pPr>
      <w:r>
        <w:rPr>
          <w:szCs w:val="22"/>
        </w:rPr>
        <w:t>5</w:t>
      </w:r>
      <w:r>
        <w:rPr>
          <w:snapToGrid w:val="0"/>
          <w:szCs w:val="22"/>
        </w:rPr>
        <w:t>.</w:t>
      </w:r>
      <w:r>
        <w:rPr>
          <w:snapToGrid w:val="0"/>
          <w:szCs w:val="22"/>
        </w:rPr>
        <w:tab/>
        <w:t>Bets in respect of postponed race or race meeting</w:t>
      </w:r>
      <w:r>
        <w:tab/>
      </w:r>
      <w:r>
        <w:fldChar w:fldCharType="begin"/>
      </w:r>
      <w:r>
        <w:instrText xml:space="preserve"> PAGEREF _Toc241571161 \h </w:instrText>
      </w:r>
      <w:r>
        <w:fldChar w:fldCharType="separate"/>
      </w:r>
      <w:r>
        <w:t>61</w:t>
      </w:r>
      <w:r>
        <w:fldChar w:fldCharType="end"/>
      </w:r>
    </w:p>
    <w:p>
      <w:pPr>
        <w:pStyle w:val="TOC8"/>
        <w:rPr>
          <w:sz w:val="24"/>
          <w:szCs w:val="24"/>
        </w:rPr>
      </w:pPr>
      <w:r>
        <w:rPr>
          <w:szCs w:val="22"/>
        </w:rPr>
        <w:t>6</w:t>
      </w:r>
      <w:r>
        <w:rPr>
          <w:snapToGrid w:val="0"/>
          <w:szCs w:val="22"/>
        </w:rPr>
        <w:t>.</w:t>
      </w:r>
      <w:r>
        <w:rPr>
          <w:snapToGrid w:val="0"/>
          <w:szCs w:val="22"/>
        </w:rPr>
        <w:tab/>
        <w:t>Each way bets</w:t>
      </w:r>
      <w:r>
        <w:tab/>
      </w:r>
      <w:r>
        <w:fldChar w:fldCharType="begin"/>
      </w:r>
      <w:r>
        <w:instrText xml:space="preserve"> PAGEREF _Toc241571162 \h </w:instrText>
      </w:r>
      <w:r>
        <w:fldChar w:fldCharType="separate"/>
      </w:r>
      <w:r>
        <w:t>62</w:t>
      </w:r>
      <w:r>
        <w:fldChar w:fldCharType="end"/>
      </w:r>
    </w:p>
    <w:p>
      <w:pPr>
        <w:pStyle w:val="TOC8"/>
        <w:rPr>
          <w:sz w:val="24"/>
          <w:szCs w:val="24"/>
        </w:rPr>
      </w:pPr>
      <w:r>
        <w:rPr>
          <w:szCs w:val="22"/>
        </w:rPr>
        <w:t>7</w:t>
      </w:r>
      <w:r>
        <w:rPr>
          <w:snapToGrid w:val="0"/>
          <w:szCs w:val="22"/>
        </w:rPr>
        <w:t>.</w:t>
      </w:r>
      <w:r>
        <w:rPr>
          <w:snapToGrid w:val="0"/>
          <w:szCs w:val="22"/>
        </w:rPr>
        <w:tab/>
        <w:t>All bets to be “play or pay” except in certain circumstances</w:t>
      </w:r>
      <w:r>
        <w:tab/>
      </w:r>
      <w:r>
        <w:fldChar w:fldCharType="begin"/>
      </w:r>
      <w:r>
        <w:instrText xml:space="preserve"> PAGEREF _Toc241571163 \h </w:instrText>
      </w:r>
      <w:r>
        <w:fldChar w:fldCharType="separate"/>
      </w:r>
      <w:r>
        <w:t>62</w:t>
      </w:r>
      <w:r>
        <w:fldChar w:fldCharType="end"/>
      </w:r>
    </w:p>
    <w:p>
      <w:pPr>
        <w:pStyle w:val="TOC8"/>
        <w:rPr>
          <w:sz w:val="24"/>
          <w:szCs w:val="24"/>
        </w:rPr>
      </w:pPr>
      <w:r>
        <w:rPr>
          <w:szCs w:val="22"/>
        </w:rPr>
        <w:t>8</w:t>
      </w:r>
      <w:r>
        <w:rPr>
          <w:snapToGrid w:val="0"/>
          <w:szCs w:val="22"/>
        </w:rPr>
        <w:t>.</w:t>
      </w:r>
      <w:r>
        <w:rPr>
          <w:snapToGrid w:val="0"/>
          <w:szCs w:val="22"/>
        </w:rPr>
        <w:tab/>
        <w:t>Provisions as to settlement of bets following a dead heat</w:t>
      </w:r>
      <w:r>
        <w:tab/>
      </w:r>
      <w:r>
        <w:fldChar w:fldCharType="begin"/>
      </w:r>
      <w:r>
        <w:instrText xml:space="preserve"> PAGEREF _Toc241571164 \h </w:instrText>
      </w:r>
      <w:r>
        <w:fldChar w:fldCharType="separate"/>
      </w:r>
      <w:r>
        <w:t>63</w:t>
      </w:r>
      <w:r>
        <w:fldChar w:fldCharType="end"/>
      </w:r>
    </w:p>
    <w:p>
      <w:pPr>
        <w:pStyle w:val="TOC8"/>
        <w:rPr>
          <w:sz w:val="24"/>
          <w:szCs w:val="24"/>
        </w:rPr>
      </w:pPr>
      <w:r>
        <w:rPr>
          <w:szCs w:val="22"/>
        </w:rPr>
        <w:t>9</w:t>
      </w:r>
      <w:r>
        <w:rPr>
          <w:snapToGrid w:val="0"/>
          <w:szCs w:val="22"/>
        </w:rPr>
        <w:t>.</w:t>
      </w:r>
      <w:r>
        <w:rPr>
          <w:snapToGrid w:val="0"/>
          <w:szCs w:val="22"/>
        </w:rPr>
        <w:tab/>
        <w:t>Doubles</w:t>
      </w:r>
      <w:r>
        <w:tab/>
      </w:r>
      <w:r>
        <w:fldChar w:fldCharType="begin"/>
      </w:r>
      <w:r>
        <w:instrText xml:space="preserve"> PAGEREF _Toc241571165 \h </w:instrText>
      </w:r>
      <w:r>
        <w:fldChar w:fldCharType="separate"/>
      </w:r>
      <w:r>
        <w:t>64</w:t>
      </w:r>
      <w:r>
        <w:fldChar w:fldCharType="end"/>
      </w:r>
    </w:p>
    <w:p>
      <w:pPr>
        <w:pStyle w:val="TOC8"/>
        <w:rPr>
          <w:sz w:val="24"/>
          <w:szCs w:val="24"/>
        </w:rPr>
      </w:pPr>
      <w:r>
        <w:rPr>
          <w:szCs w:val="22"/>
        </w:rPr>
        <w:t>10</w:t>
      </w:r>
      <w:r>
        <w:rPr>
          <w:snapToGrid w:val="0"/>
          <w:szCs w:val="22"/>
        </w:rPr>
        <w:t>.</w:t>
      </w:r>
      <w:r>
        <w:rPr>
          <w:snapToGrid w:val="0"/>
          <w:szCs w:val="22"/>
        </w:rPr>
        <w:tab/>
        <w:t>Multiple doubles</w:t>
      </w:r>
      <w:r>
        <w:tab/>
      </w:r>
      <w:r>
        <w:fldChar w:fldCharType="begin"/>
      </w:r>
      <w:r>
        <w:instrText xml:space="preserve"> PAGEREF _Toc241571166 \h </w:instrText>
      </w:r>
      <w:r>
        <w:fldChar w:fldCharType="separate"/>
      </w:r>
      <w:r>
        <w:t>65</w:t>
      </w:r>
      <w:r>
        <w:fldChar w:fldCharType="end"/>
      </w:r>
    </w:p>
    <w:p>
      <w:pPr>
        <w:pStyle w:val="TOC8"/>
        <w:rPr>
          <w:sz w:val="24"/>
          <w:szCs w:val="24"/>
        </w:rPr>
      </w:pPr>
      <w:r>
        <w:rPr>
          <w:szCs w:val="22"/>
        </w:rPr>
        <w:t>11</w:t>
      </w:r>
      <w:r>
        <w:rPr>
          <w:snapToGrid w:val="0"/>
          <w:szCs w:val="22"/>
        </w:rPr>
        <w:t>.</w:t>
      </w:r>
      <w:r>
        <w:rPr>
          <w:snapToGrid w:val="0"/>
          <w:szCs w:val="22"/>
        </w:rPr>
        <w:tab/>
        <w:t>“All up” bets</w:t>
      </w:r>
      <w:r>
        <w:tab/>
      </w:r>
      <w:r>
        <w:fldChar w:fldCharType="begin"/>
      </w:r>
      <w:r>
        <w:instrText xml:space="preserve"> PAGEREF _Toc241571167 \h </w:instrText>
      </w:r>
      <w:r>
        <w:fldChar w:fldCharType="separate"/>
      </w:r>
      <w:r>
        <w:t>66</w:t>
      </w:r>
      <w:r>
        <w:fldChar w:fldCharType="end"/>
      </w:r>
    </w:p>
    <w:p>
      <w:pPr>
        <w:pStyle w:val="TOC8"/>
        <w:rPr>
          <w:sz w:val="24"/>
          <w:szCs w:val="24"/>
        </w:rPr>
      </w:pPr>
      <w:r>
        <w:rPr>
          <w:szCs w:val="22"/>
        </w:rPr>
        <w:t>12</w:t>
      </w:r>
      <w:r>
        <w:rPr>
          <w:snapToGrid w:val="0"/>
          <w:szCs w:val="22"/>
        </w:rPr>
        <w:t>.</w:t>
      </w:r>
      <w:r>
        <w:rPr>
          <w:snapToGrid w:val="0"/>
          <w:szCs w:val="22"/>
        </w:rPr>
        <w:tab/>
        <w:t>Provisions as to races that are re</w:t>
      </w:r>
      <w:r>
        <w:rPr>
          <w:snapToGrid w:val="0"/>
          <w:szCs w:val="22"/>
        </w:rPr>
        <w:noBreakHyphen/>
        <w:t>run</w:t>
      </w:r>
      <w:r>
        <w:tab/>
      </w:r>
      <w:r>
        <w:fldChar w:fldCharType="begin"/>
      </w:r>
      <w:r>
        <w:instrText xml:space="preserve"> PAGEREF _Toc241571168 \h </w:instrText>
      </w:r>
      <w:r>
        <w:fldChar w:fldCharType="separate"/>
      </w:r>
      <w:r>
        <w:t>66</w:t>
      </w:r>
      <w:r>
        <w:fldChar w:fldCharType="end"/>
      </w:r>
    </w:p>
    <w:p>
      <w:pPr>
        <w:pStyle w:val="TOC8"/>
        <w:rPr>
          <w:sz w:val="24"/>
          <w:szCs w:val="24"/>
        </w:rPr>
      </w:pPr>
      <w:r>
        <w:rPr>
          <w:szCs w:val="22"/>
        </w:rPr>
        <w:t>13</w:t>
      </w:r>
      <w:r>
        <w:rPr>
          <w:snapToGrid w:val="0"/>
          <w:szCs w:val="22"/>
        </w:rPr>
        <w:t>.</w:t>
      </w:r>
      <w:r>
        <w:rPr>
          <w:snapToGrid w:val="0"/>
          <w:szCs w:val="22"/>
        </w:rPr>
        <w:tab/>
        <w:t>Provisions as to bets on runners that are entered for 2 or more races on the same day</w:t>
      </w:r>
      <w:r>
        <w:tab/>
      </w:r>
      <w:r>
        <w:fldChar w:fldCharType="begin"/>
      </w:r>
      <w:r>
        <w:instrText xml:space="preserve"> PAGEREF _Toc241571169 \h </w:instrText>
      </w:r>
      <w:r>
        <w:fldChar w:fldCharType="separate"/>
      </w:r>
      <w:r>
        <w:t>67</w:t>
      </w:r>
      <w:r>
        <w:fldChar w:fldCharType="end"/>
      </w:r>
    </w:p>
    <w:p>
      <w:pPr>
        <w:pStyle w:val="TOC8"/>
        <w:rPr>
          <w:sz w:val="24"/>
          <w:szCs w:val="24"/>
        </w:rPr>
      </w:pPr>
      <w:r>
        <w:rPr>
          <w:szCs w:val="22"/>
        </w:rPr>
        <w:t>14</w:t>
      </w:r>
      <w:r>
        <w:rPr>
          <w:snapToGrid w:val="0"/>
          <w:szCs w:val="22"/>
        </w:rPr>
        <w:t>.</w:t>
      </w:r>
      <w:r>
        <w:rPr>
          <w:snapToGrid w:val="0"/>
          <w:szCs w:val="22"/>
        </w:rPr>
        <w:tab/>
        <w:t>Prohibition on betting after race</w:t>
      </w:r>
      <w:r>
        <w:tab/>
      </w:r>
      <w:r>
        <w:fldChar w:fldCharType="begin"/>
      </w:r>
      <w:r>
        <w:instrText xml:space="preserve"> PAGEREF _Toc241571170 \h </w:instrText>
      </w:r>
      <w:r>
        <w:fldChar w:fldCharType="separate"/>
      </w:r>
      <w:r>
        <w:t>67</w:t>
      </w:r>
      <w:r>
        <w:fldChar w:fldCharType="end"/>
      </w:r>
    </w:p>
    <w:p>
      <w:pPr>
        <w:pStyle w:val="TOC8"/>
        <w:rPr>
          <w:sz w:val="24"/>
          <w:szCs w:val="24"/>
        </w:rPr>
      </w:pPr>
      <w:r>
        <w:rPr>
          <w:szCs w:val="22"/>
        </w:rPr>
        <w:t>15</w:t>
      </w:r>
      <w:r>
        <w:rPr>
          <w:snapToGrid w:val="0"/>
          <w:szCs w:val="22"/>
        </w:rPr>
        <w:t>.</w:t>
      </w:r>
      <w:r>
        <w:rPr>
          <w:snapToGrid w:val="0"/>
          <w:szCs w:val="22"/>
        </w:rPr>
        <w:tab/>
        <w:t>Settlement of bets on deaths of parties thereto</w:t>
      </w:r>
      <w:r>
        <w:tab/>
      </w:r>
      <w:r>
        <w:fldChar w:fldCharType="begin"/>
      </w:r>
      <w:r>
        <w:instrText xml:space="preserve"> PAGEREF _Toc241571171 \h </w:instrText>
      </w:r>
      <w:r>
        <w:fldChar w:fldCharType="separate"/>
      </w:r>
      <w:r>
        <w:t>67</w:t>
      </w:r>
      <w:r>
        <w:fldChar w:fldCharType="end"/>
      </w:r>
    </w:p>
    <w:p>
      <w:pPr>
        <w:pStyle w:val="TOC8"/>
        <w:rPr>
          <w:sz w:val="24"/>
          <w:szCs w:val="24"/>
        </w:rPr>
      </w:pPr>
      <w:r>
        <w:rPr>
          <w:szCs w:val="22"/>
        </w:rPr>
        <w:t>16</w:t>
      </w:r>
      <w:r>
        <w:rPr>
          <w:snapToGrid w:val="0"/>
          <w:szCs w:val="22"/>
        </w:rPr>
        <w:t>.</w:t>
      </w:r>
      <w:r>
        <w:rPr>
          <w:snapToGrid w:val="0"/>
          <w:szCs w:val="22"/>
        </w:rPr>
        <w:tab/>
        <w:t>Settlement of bets on suspension or cancellation of licence of a bookmaker</w:t>
      </w:r>
      <w:r>
        <w:tab/>
      </w:r>
      <w:r>
        <w:fldChar w:fldCharType="begin"/>
      </w:r>
      <w:r>
        <w:instrText xml:space="preserve"> PAGEREF _Toc241571172 \h </w:instrText>
      </w:r>
      <w:r>
        <w:fldChar w:fldCharType="separate"/>
      </w:r>
      <w:r>
        <w:t>68</w:t>
      </w:r>
      <w:r>
        <w:fldChar w:fldCharType="end"/>
      </w:r>
    </w:p>
    <w:p>
      <w:pPr>
        <w:pStyle w:val="TOC8"/>
        <w:rPr>
          <w:sz w:val="24"/>
          <w:szCs w:val="24"/>
        </w:rPr>
      </w:pPr>
      <w:r>
        <w:rPr>
          <w:szCs w:val="22"/>
        </w:rPr>
        <w:t>17</w:t>
      </w:r>
      <w:r>
        <w:rPr>
          <w:snapToGrid w:val="0"/>
          <w:szCs w:val="22"/>
        </w:rPr>
        <w:t>.</w:t>
      </w:r>
      <w:r>
        <w:rPr>
          <w:snapToGrid w:val="0"/>
          <w:szCs w:val="22"/>
        </w:rPr>
        <w:tab/>
        <w:t>Settling</w:t>
      </w:r>
      <w:r>
        <w:tab/>
      </w:r>
      <w:r>
        <w:fldChar w:fldCharType="begin"/>
      </w:r>
      <w:r>
        <w:instrText xml:space="preserve"> PAGEREF _Toc241571173 \h </w:instrText>
      </w:r>
      <w:r>
        <w:fldChar w:fldCharType="separate"/>
      </w:r>
      <w:r>
        <w:t>68</w:t>
      </w:r>
      <w:r>
        <w:fldChar w:fldCharType="end"/>
      </w:r>
    </w:p>
    <w:p>
      <w:pPr>
        <w:pStyle w:val="TOC2"/>
        <w:tabs>
          <w:tab w:val="right" w:leader="dot" w:pos="7086"/>
        </w:tabs>
        <w:rPr>
          <w:b w:val="0"/>
          <w:sz w:val="24"/>
          <w:szCs w:val="24"/>
        </w:rPr>
      </w:pPr>
      <w:r>
        <w:rPr>
          <w:sz w:val="24"/>
          <w:szCs w:val="28"/>
        </w:rPr>
        <w:t>Part 2</w:t>
      </w:r>
      <w:r>
        <w:rPr>
          <w:sz w:val="22"/>
          <w:szCs w:val="28"/>
        </w:rPr>
        <w:t> — </w:t>
      </w:r>
      <w:r>
        <w:rPr>
          <w:sz w:val="24"/>
          <w:szCs w:val="28"/>
        </w:rPr>
        <w:t>Betting on a sporting event, or a contingency, approved under section 4B</w:t>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_Toc241571185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21 Jul 2006 p. 2671.]</w:t>
      </w:r>
    </w:p>
    <w:p>
      <w:pPr>
        <w:pStyle w:val="Heading5"/>
        <w:rPr>
          <w:snapToGrid w:val="0"/>
        </w:rPr>
      </w:pPr>
      <w:bookmarkStart w:id="24" w:name="_Toc171737684"/>
      <w:bookmarkStart w:id="25" w:name="_Toc172087750"/>
      <w:bookmarkStart w:id="26" w:name="_Toc212946926"/>
      <w:bookmarkStart w:id="27" w:name="_Toc241571073"/>
      <w:bookmarkStart w:id="28" w:name="_Toc434310826"/>
      <w:bookmarkStart w:id="29" w:name="_Toc7921399"/>
      <w:bookmarkStart w:id="30" w:name="_Toc9412749"/>
      <w:bookmarkStart w:id="31" w:name="_Toc107121708"/>
      <w:bookmarkStart w:id="32" w:name="_Toc159643058"/>
      <w:r>
        <w:rPr>
          <w:rStyle w:val="CharSectno"/>
        </w:rPr>
        <w:t>1</w:t>
      </w:r>
      <w:r>
        <w:rPr>
          <w:snapToGrid w:val="0"/>
        </w:rPr>
        <w:t>.</w:t>
      </w:r>
      <w:r>
        <w:rPr>
          <w:snapToGrid w:val="0"/>
        </w:rPr>
        <w:tab/>
        <w:t>Citation</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33" w:name="_Toc495993553"/>
      <w:bookmarkStart w:id="34" w:name="_Toc511525029"/>
      <w:bookmarkStart w:id="35" w:name="_Toc27803392"/>
      <w:bookmarkStart w:id="36" w:name="_Toc133903503"/>
      <w:bookmarkStart w:id="37" w:name="_Toc172087751"/>
      <w:bookmarkStart w:id="38" w:name="_Toc212946927"/>
      <w:bookmarkStart w:id="39" w:name="_Toc241571074"/>
      <w:bookmarkEnd w:id="28"/>
      <w:bookmarkEnd w:id="29"/>
      <w:bookmarkEnd w:id="30"/>
      <w:bookmarkEnd w:id="31"/>
      <w:bookmarkEnd w:id="32"/>
      <w:r>
        <w:rPr>
          <w:rStyle w:val="CharSectno"/>
        </w:rPr>
        <w:t>2</w:t>
      </w:r>
      <w:r>
        <w:rPr>
          <w:snapToGrid w:val="0"/>
        </w:rPr>
        <w:t>.</w:t>
      </w:r>
      <w:r>
        <w:rPr>
          <w:snapToGrid w:val="0"/>
        </w:rPr>
        <w:tab/>
        <w:t>Transitional provision</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 were transferred to the Board, where under these regulations any form or activity was approved by the Commissioner of State Taxation that form or activity shall be taken to have been approved by the Commission in the absence of any specific decision by the Commission to the contrary.</w:t>
      </w:r>
    </w:p>
    <w:p>
      <w:pPr>
        <w:pStyle w:val="Footnotesection"/>
      </w:pPr>
      <w:r>
        <w:tab/>
        <w:t xml:space="preserve">[Regulation 2 inserted in Gazette 25 Jun 1996 p. 2975; amended in Gazette 22 Oct 1996 p. 5619; 30 Jan 2004 p. 412.] </w:t>
      </w:r>
    </w:p>
    <w:p>
      <w:pPr>
        <w:pStyle w:val="Heading5"/>
        <w:keepLines w:val="0"/>
        <w:rPr>
          <w:snapToGrid w:val="0"/>
        </w:rPr>
      </w:pPr>
      <w:bookmarkStart w:id="40" w:name="_Toc495993554"/>
      <w:bookmarkStart w:id="41" w:name="_Toc511525030"/>
      <w:bookmarkStart w:id="42" w:name="_Toc27803393"/>
      <w:bookmarkStart w:id="43" w:name="_Toc133903504"/>
      <w:bookmarkStart w:id="44" w:name="_Toc172087752"/>
      <w:bookmarkStart w:id="45" w:name="_Toc212946928"/>
      <w:bookmarkStart w:id="46" w:name="_Toc241571075"/>
      <w:r>
        <w:rPr>
          <w:rStyle w:val="CharSectno"/>
        </w:rPr>
        <w:t>3</w:t>
      </w:r>
      <w:r>
        <w:rPr>
          <w:snapToGrid w:val="0"/>
        </w:rPr>
        <w:t>.</w:t>
      </w:r>
      <w:r>
        <w:rPr>
          <w:snapToGrid w:val="0"/>
        </w:rPr>
        <w:tab/>
      </w:r>
      <w:bookmarkEnd w:id="40"/>
      <w:bookmarkEnd w:id="41"/>
      <w:bookmarkEnd w:id="42"/>
      <w:bookmarkEnd w:id="43"/>
      <w:bookmarkEnd w:id="44"/>
      <w:r>
        <w:rPr>
          <w:snapToGrid w:val="0"/>
        </w:rPr>
        <w:t>Terms used in these regulations</w:t>
      </w:r>
      <w:bookmarkEnd w:id="45"/>
      <w:bookmarkEnd w:id="46"/>
      <w:r>
        <w:rPr>
          <w:snapToGrid w:val="0"/>
        </w:rPr>
        <w:t xml:space="preserve"> </w:t>
      </w:r>
    </w:p>
    <w:p>
      <w:pPr>
        <w:pStyle w:val="Subsection"/>
        <w:keepNext/>
        <w:rPr>
          <w:snapToGrid w:val="0"/>
        </w:rPr>
      </w:pPr>
      <w:r>
        <w:rPr>
          <w:snapToGrid w:val="0"/>
        </w:rPr>
        <w:tab/>
        <w:t>(1)</w:t>
      </w:r>
      <w:r>
        <w:rPr>
          <w:snapToGrid w:val="0"/>
        </w:rPr>
        <w:tab/>
        <w:t>In these regulations unless the context requires otherwise — </w:t>
      </w:r>
    </w:p>
    <w:p>
      <w:pPr>
        <w:pStyle w:val="Defstart"/>
      </w:pPr>
      <w:r>
        <w:tab/>
      </w:r>
      <w:r>
        <w:rPr>
          <w:rStyle w:val="CharDefText"/>
        </w:rPr>
        <w:t>cash</w:t>
      </w:r>
      <w:r>
        <w:t xml:space="preserve"> means bank notes or coins;</w:t>
      </w:r>
    </w:p>
    <w:p>
      <w:pPr>
        <w:pStyle w:val="Defstart"/>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pPr>
      <w:r>
        <w:rPr>
          <w:b/>
        </w:rPr>
        <w:tab/>
      </w:r>
      <w:r>
        <w:rPr>
          <w:rStyle w:val="CharDefText"/>
        </w:rPr>
        <w:t>country</w:t>
      </w:r>
      <w:r>
        <w:t xml:space="preserve"> means any part of the State outside the metropolitan area; </w:t>
      </w:r>
    </w:p>
    <w:p>
      <w:pPr>
        <w:pStyle w:val="Defstart"/>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rPr>
          <w:b/>
        </w:rPr>
        <w:tab/>
      </w:r>
      <w:r>
        <w:rPr>
          <w:rStyle w:val="CharDefText"/>
        </w:rPr>
        <w:t>rules of racing</w:t>
      </w:r>
      <w:r>
        <w:t xml:space="preserve"> means the rules of racing made under, or continued for the purposes of, the RWWA Act;</w:t>
      </w:r>
    </w:p>
    <w:p>
      <w:pPr>
        <w:pStyle w:val="Defstart"/>
      </w:pPr>
      <w:r>
        <w:rPr>
          <w:b/>
        </w:rPr>
        <w:tab/>
      </w:r>
      <w:r>
        <w:rPr>
          <w:rStyle w:val="CharDefText"/>
        </w:rPr>
        <w:t>rules of wagering</w:t>
      </w:r>
      <w:r>
        <w:t xml:space="preserve"> means the rules of wagering made under, or continued for the purposes of, the RWWA Act;</w:t>
      </w:r>
    </w:p>
    <w:p>
      <w:pPr>
        <w:pStyle w:val="Defstar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 xml:space="preserve">course totalisator bet if —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pPr>
      <w:r>
        <w:tab/>
        <w:t>(d)</w:t>
      </w:r>
      <w:r>
        <w:tab/>
        <w:t xml:space="preserve">the bet is placed in person and not by telephone. </w:t>
      </w:r>
    </w:p>
    <w:p>
      <w:pPr>
        <w:pStyle w:val="Footnotesection"/>
      </w:pPr>
      <w:r>
        <w:tab/>
        <w:t>[Regulation 3 amended in Gazette 24 Jun 1988 p. 2003; 14 Feb 1992 p. 857; 10 Jul 1992 p. 3286</w:t>
      </w:r>
      <w:r>
        <w:noBreakHyphen/>
        <w:t xml:space="preserve">7; 21 Jul 1998 p. 3851, 3854, 3855 and 3856; 26 Nov 1999 p. 5908; 30 Jan 2004 p. 403; 21 Jul 2006 p. 2672; 18 Sep 2007 p. 4717; 25 Sep 2009 p. 3752.] </w:t>
      </w:r>
    </w:p>
    <w:p>
      <w:pPr>
        <w:pStyle w:val="Heading2"/>
      </w:pPr>
      <w:bookmarkStart w:id="47" w:name="_Toc141162173"/>
      <w:bookmarkStart w:id="48" w:name="_Toc141173763"/>
      <w:bookmarkStart w:id="49" w:name="_Toc148256385"/>
      <w:bookmarkStart w:id="50" w:name="_Toc151192388"/>
      <w:bookmarkStart w:id="51" w:name="_Toc151260757"/>
      <w:bookmarkStart w:id="52" w:name="_Toc155062591"/>
      <w:bookmarkStart w:id="53" w:name="_Toc155079916"/>
      <w:bookmarkStart w:id="54" w:name="_Toc171737687"/>
      <w:bookmarkStart w:id="55" w:name="_Toc172087246"/>
      <w:bookmarkStart w:id="56" w:name="_Toc172087491"/>
      <w:bookmarkStart w:id="57" w:name="_Toc172087753"/>
      <w:bookmarkStart w:id="58" w:name="_Toc173915828"/>
      <w:bookmarkStart w:id="59" w:name="_Toc175536833"/>
      <w:bookmarkStart w:id="60" w:name="_Toc175629334"/>
      <w:bookmarkStart w:id="61" w:name="_Toc177792347"/>
      <w:bookmarkStart w:id="62" w:name="_Toc177877382"/>
      <w:bookmarkStart w:id="63" w:name="_Toc179704016"/>
      <w:bookmarkStart w:id="64" w:name="_Toc185647197"/>
      <w:bookmarkStart w:id="65" w:name="_Toc212946929"/>
      <w:bookmarkStart w:id="66" w:name="_Toc218325315"/>
      <w:bookmarkStart w:id="67" w:name="_Toc218325431"/>
      <w:bookmarkStart w:id="68" w:name="_Toc218400154"/>
      <w:bookmarkStart w:id="69" w:name="_Toc241566732"/>
      <w:bookmarkStart w:id="70" w:name="_Toc241566847"/>
      <w:bookmarkStart w:id="71" w:name="_Toc241571076"/>
      <w:r>
        <w:rPr>
          <w:rStyle w:val="CharPartNo"/>
        </w:rPr>
        <w:t>Part 2</w:t>
      </w:r>
      <w:r>
        <w:rPr>
          <w:b w:val="0"/>
        </w:rPr>
        <w:t> </w:t>
      </w:r>
      <w:r>
        <w:t>—</w:t>
      </w:r>
      <w:r>
        <w:rPr>
          <w:b w:val="0"/>
        </w:rPr>
        <w:t> </w:t>
      </w:r>
      <w:r>
        <w:rPr>
          <w:rStyle w:val="CharPartText"/>
        </w:rPr>
        <w:t>Licences, fees and commissions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72" w:name="_Toc495993560"/>
      <w:bookmarkStart w:id="73" w:name="_Toc511525036"/>
      <w:bookmarkStart w:id="74" w:name="_Toc27803400"/>
      <w:bookmarkStart w:id="75" w:name="_Toc133903505"/>
      <w:bookmarkStart w:id="76" w:name="_Toc172087754"/>
      <w:bookmarkStart w:id="77" w:name="_Toc212946930"/>
      <w:bookmarkStart w:id="78" w:name="_Toc241571077"/>
      <w:r>
        <w:rPr>
          <w:rStyle w:val="CharSectno"/>
        </w:rPr>
        <w:t>9</w:t>
      </w:r>
      <w:r>
        <w:rPr>
          <w:snapToGrid w:val="0"/>
        </w:rPr>
        <w:t>.</w:t>
      </w:r>
      <w:r>
        <w:rPr>
          <w:snapToGrid w:val="0"/>
        </w:rPr>
        <w:tab/>
        <w:t>Application for licence</w:t>
      </w:r>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A person who desires to make application for a licence shall —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 xml:space="preserve">7; 20 Sep 2002 p. 4698; 30 Jan 2004 p. 404 and 412.] </w:t>
      </w:r>
    </w:p>
    <w:p>
      <w:pPr>
        <w:pStyle w:val="Heading5"/>
      </w:pPr>
      <w:bookmarkStart w:id="79" w:name="_Toc495993561"/>
      <w:bookmarkStart w:id="80" w:name="_Toc511525037"/>
      <w:bookmarkStart w:id="81" w:name="_Toc27803401"/>
      <w:bookmarkStart w:id="82" w:name="_Toc133903506"/>
      <w:bookmarkStart w:id="83" w:name="_Toc172087755"/>
      <w:bookmarkStart w:id="84" w:name="_Toc212946931"/>
      <w:bookmarkStart w:id="85" w:name="_Toc241571078"/>
      <w:r>
        <w:rPr>
          <w:rStyle w:val="CharSectno"/>
        </w:rPr>
        <w:t>9A</w:t>
      </w:r>
      <w:r>
        <w:t>.</w:t>
      </w:r>
      <w:r>
        <w:tab/>
        <w:t>Application to conduct a designated sporting event</w:t>
      </w:r>
      <w:bookmarkEnd w:id="79"/>
      <w:bookmarkEnd w:id="80"/>
      <w:bookmarkEnd w:id="81"/>
      <w:bookmarkEnd w:id="82"/>
      <w:bookmarkEnd w:id="83"/>
      <w:bookmarkEnd w:id="84"/>
      <w:bookmarkEnd w:id="8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86" w:name="_Toc27803402"/>
      <w:bookmarkStart w:id="87" w:name="_Toc133903507"/>
      <w:bookmarkStart w:id="88" w:name="_Toc172087756"/>
      <w:bookmarkStart w:id="89" w:name="_Toc212946932"/>
      <w:bookmarkStart w:id="90" w:name="_Toc241571079"/>
      <w:bookmarkStart w:id="91" w:name="_Toc495993562"/>
      <w:bookmarkStart w:id="92" w:name="_Toc511525038"/>
      <w:r>
        <w:rPr>
          <w:rStyle w:val="CharSectno"/>
        </w:rPr>
        <w:t>10</w:t>
      </w:r>
      <w:r>
        <w:t>.</w:t>
      </w:r>
      <w:r>
        <w:tab/>
        <w:t>Application for approval</w:t>
      </w:r>
      <w:bookmarkEnd w:id="86"/>
      <w:bookmarkEnd w:id="87"/>
      <w:bookmarkEnd w:id="88"/>
      <w:bookmarkEnd w:id="89"/>
      <w:bookmarkEnd w:id="90"/>
    </w:p>
    <w:p>
      <w:pPr>
        <w:pStyle w:val="Subsection"/>
      </w:pPr>
      <w:r>
        <w:tab/>
      </w:r>
      <w:r>
        <w:tab/>
        <w:t xml:space="preserve">A person who desires to make application for approval under section 11B(4) or 11C(2) of the Act shall —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93" w:name="_Toc27803403"/>
      <w:bookmarkStart w:id="94" w:name="_Toc133903508"/>
      <w:bookmarkStart w:id="95" w:name="_Toc172087757"/>
      <w:bookmarkStart w:id="96" w:name="_Toc212946933"/>
      <w:bookmarkStart w:id="97" w:name="_Toc241571080"/>
      <w:r>
        <w:rPr>
          <w:rStyle w:val="CharSectno"/>
        </w:rPr>
        <w:t>11</w:t>
      </w:r>
      <w:r>
        <w:rPr>
          <w:snapToGrid w:val="0"/>
        </w:rPr>
        <w:t>.</w:t>
      </w:r>
      <w:r>
        <w:rPr>
          <w:snapToGrid w:val="0"/>
        </w:rPr>
        <w:tab/>
        <w:t>When a licence may be renewed</w:t>
      </w:r>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 xml:space="preserve">7; 20 Sep 2002 p. 4698.] </w:t>
      </w:r>
    </w:p>
    <w:p>
      <w:pPr>
        <w:pStyle w:val="Heading5"/>
        <w:rPr>
          <w:snapToGrid w:val="0"/>
        </w:rPr>
      </w:pPr>
      <w:bookmarkStart w:id="98" w:name="_Toc495993563"/>
      <w:bookmarkStart w:id="99" w:name="_Toc511525039"/>
      <w:bookmarkStart w:id="100" w:name="_Toc27803404"/>
      <w:bookmarkStart w:id="101" w:name="_Toc133903509"/>
      <w:bookmarkStart w:id="102" w:name="_Toc172087758"/>
      <w:bookmarkStart w:id="103" w:name="_Toc212946934"/>
      <w:bookmarkStart w:id="104" w:name="_Toc241571081"/>
      <w:r>
        <w:rPr>
          <w:rStyle w:val="CharSectno"/>
        </w:rPr>
        <w:t>12</w:t>
      </w:r>
      <w:r>
        <w:rPr>
          <w:snapToGrid w:val="0"/>
        </w:rPr>
        <w:t>.</w:t>
      </w:r>
      <w:r>
        <w:rPr>
          <w:snapToGrid w:val="0"/>
        </w:rPr>
        <w:tab/>
        <w:t xml:space="preserve">Grant of a </w:t>
      </w:r>
      <w:bookmarkEnd w:id="98"/>
      <w:r>
        <w:rPr>
          <w:snapToGrid w:val="0"/>
        </w:rPr>
        <w:t>licence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 xml:space="preserve">8; 30 Jan 2004 p. 404 and 412.] </w:t>
      </w:r>
    </w:p>
    <w:p>
      <w:pPr>
        <w:pStyle w:val="Ednotesection"/>
      </w:pPr>
      <w:r>
        <w:t>[</w:t>
      </w:r>
      <w:r>
        <w:rPr>
          <w:b/>
        </w:rPr>
        <w:t>13.</w:t>
      </w:r>
      <w:r>
        <w:tab/>
        <w:t>Deleted in Gazette 20 Sep 2002 p. 4698.]</w:t>
      </w:r>
    </w:p>
    <w:p>
      <w:pPr>
        <w:pStyle w:val="Heading5"/>
        <w:rPr>
          <w:snapToGrid w:val="0"/>
        </w:rPr>
      </w:pPr>
      <w:bookmarkStart w:id="105" w:name="_Toc495993565"/>
      <w:bookmarkStart w:id="106" w:name="_Toc511525041"/>
      <w:bookmarkStart w:id="107" w:name="_Toc27803405"/>
      <w:bookmarkStart w:id="108" w:name="_Toc133903510"/>
      <w:bookmarkStart w:id="109" w:name="_Toc172087759"/>
      <w:bookmarkStart w:id="110" w:name="_Toc212946935"/>
      <w:bookmarkStart w:id="111" w:name="_Toc241571082"/>
      <w:r>
        <w:rPr>
          <w:rStyle w:val="CharSectno"/>
        </w:rPr>
        <w:t>14</w:t>
      </w:r>
      <w:r>
        <w:rPr>
          <w:snapToGrid w:val="0"/>
        </w:rPr>
        <w:t>.</w:t>
      </w:r>
      <w:r>
        <w:rPr>
          <w:snapToGrid w:val="0"/>
        </w:rPr>
        <w:tab/>
        <w:t xml:space="preserve">Effect of a </w:t>
      </w:r>
      <w:bookmarkEnd w:id="105"/>
      <w:r>
        <w:rPr>
          <w:snapToGrid w:val="0"/>
        </w:rPr>
        <w:t>licence</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 xml:space="preserve">9; 20 Sep 2002 p. 4699; 30 Jan 2004 p. 412.] </w:t>
      </w:r>
    </w:p>
    <w:p>
      <w:pPr>
        <w:pStyle w:val="Ednotesection"/>
      </w:pPr>
      <w:r>
        <w:t>[</w:t>
      </w:r>
      <w:r>
        <w:rPr>
          <w:b/>
        </w:rPr>
        <w:t>15.</w:t>
      </w:r>
      <w:r>
        <w:tab/>
        <w:t xml:space="preserve">Deleted in Gazette 10 Jul 1992 p. 3288.] </w:t>
      </w:r>
    </w:p>
    <w:p>
      <w:pPr>
        <w:pStyle w:val="Heading5"/>
        <w:rPr>
          <w:snapToGrid w:val="0"/>
        </w:rPr>
      </w:pPr>
      <w:bookmarkStart w:id="112" w:name="_Toc495993566"/>
      <w:bookmarkStart w:id="113" w:name="_Toc511525042"/>
      <w:bookmarkStart w:id="114" w:name="_Toc27803406"/>
      <w:bookmarkStart w:id="115" w:name="_Toc133903511"/>
      <w:bookmarkStart w:id="116" w:name="_Toc172087760"/>
      <w:bookmarkStart w:id="117" w:name="_Toc212946936"/>
      <w:bookmarkStart w:id="118" w:name="_Toc241571083"/>
      <w:r>
        <w:rPr>
          <w:rStyle w:val="CharSectno"/>
        </w:rPr>
        <w:t>16</w:t>
      </w:r>
      <w:r>
        <w:rPr>
          <w:snapToGrid w:val="0"/>
        </w:rPr>
        <w:t>.</w:t>
      </w:r>
      <w:r>
        <w:rPr>
          <w:snapToGrid w:val="0"/>
        </w:rPr>
        <w:tab/>
        <w:t>Duplicate licences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 xml:space="preserve">[Regulation 16 amended in Gazette 10 Jul 1992 p. 3286 and 3288; 30 Jan 2004 p. 412.] </w:t>
      </w:r>
    </w:p>
    <w:p>
      <w:pPr>
        <w:pStyle w:val="Heading5"/>
        <w:rPr>
          <w:snapToGrid w:val="0"/>
        </w:rPr>
      </w:pPr>
      <w:bookmarkStart w:id="119" w:name="_Toc495993567"/>
      <w:bookmarkStart w:id="120" w:name="_Toc511525043"/>
      <w:bookmarkStart w:id="121" w:name="_Toc27803407"/>
      <w:bookmarkStart w:id="122" w:name="_Toc133903512"/>
      <w:bookmarkStart w:id="123" w:name="_Toc172087761"/>
      <w:bookmarkStart w:id="124" w:name="_Toc212946937"/>
      <w:bookmarkStart w:id="125" w:name="_Toc241571084"/>
      <w:r>
        <w:rPr>
          <w:rStyle w:val="CharSectno"/>
        </w:rPr>
        <w:t>17</w:t>
      </w:r>
      <w:r>
        <w:rPr>
          <w:snapToGrid w:val="0"/>
        </w:rPr>
        <w:t>.</w:t>
      </w:r>
      <w:r>
        <w:rPr>
          <w:snapToGrid w:val="0"/>
        </w:rPr>
        <w:tab/>
        <w:t>Fees</w:t>
      </w:r>
      <w:bookmarkEnd w:id="119"/>
      <w:bookmarkEnd w:id="120"/>
      <w:r>
        <w:rPr>
          <w:snapToGrid w:val="0"/>
        </w:rPr>
        <w:t xml:space="preserve"> and charges</w:t>
      </w:r>
      <w:bookmarkEnd w:id="121"/>
      <w:bookmarkEnd w:id="122"/>
      <w:bookmarkEnd w:id="123"/>
      <w:bookmarkEnd w:id="124"/>
      <w:bookmarkEnd w:id="125"/>
    </w:p>
    <w:p>
      <w:pPr>
        <w:pStyle w:val="Subsection"/>
        <w:rPr>
          <w:snapToGrid w:val="0"/>
        </w:rPr>
      </w:pPr>
      <w:r>
        <w:rPr>
          <w:snapToGrid w:val="0"/>
        </w:rPr>
        <w:tab/>
        <w:t>(1)</w:t>
      </w:r>
      <w:r>
        <w:rPr>
          <w:snapToGrid w:val="0"/>
        </w:rPr>
        <w:tab/>
        <w:t>The Commission shall charge the following fees — </w:t>
      </w:r>
    </w:p>
    <w:p>
      <w:pPr>
        <w:pStyle w:val="Indenta"/>
        <w:rPr>
          <w:snapToGrid w:val="0"/>
        </w:rPr>
      </w:pPr>
      <w:r>
        <w:rPr>
          <w:snapToGrid w:val="0"/>
        </w:rPr>
        <w:tab/>
        <w:t>(aa)</w:t>
      </w:r>
      <w:r>
        <w:rPr>
          <w:snapToGrid w:val="0"/>
        </w:rPr>
        <w:tab/>
        <w:t>On the grant of a permit under section 4A</w:t>
      </w:r>
      <w:r>
        <w:rPr>
          <w:snapToGrid w:val="0"/>
        </w:rPr>
        <w:br/>
        <w:t>for a designated sporting event ................................ $40;</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$60;</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w:t>
      </w:r>
      <w:r>
        <w:t xml:space="preserve"> </w:t>
      </w:r>
      <w:r>
        <w:rPr>
          <w:snapToGrid w:val="0"/>
        </w:rPr>
        <w:t xml:space="preserve"> $300;</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$65;</w:t>
      </w:r>
    </w:p>
    <w:p>
      <w:pPr>
        <w:pStyle w:val="Indenta"/>
        <w:spacing w:before="100"/>
        <w:rPr>
          <w:snapToGrid w:val="0"/>
        </w:rPr>
      </w:pPr>
      <w:r>
        <w:rPr>
          <w:snapToGrid w:val="0"/>
        </w:rPr>
        <w:tab/>
        <w:t>(a)</w:t>
      </w:r>
      <w:r>
        <w:rPr>
          <w:snapToGrid w:val="0"/>
        </w:rPr>
        <w:tab/>
        <w:t>On an application for a bookmaker’s</w:t>
      </w:r>
      <w:r>
        <w:rPr>
          <w:snapToGrid w:val="0"/>
        </w:rPr>
        <w:br/>
        <w:t>licence....................................................................</w:t>
      </w:r>
      <w:r>
        <w:t xml:space="preserve"> </w:t>
      </w:r>
      <w:r>
        <w:rPr>
          <w:snapToGrid w:val="0"/>
        </w:rPr>
        <w:t xml:space="preserve"> $595;</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licence..........................$25;</w:t>
      </w:r>
    </w:p>
    <w:p>
      <w:pPr>
        <w:pStyle w:val="Indenta"/>
        <w:spacing w:before="100"/>
        <w:rPr>
          <w:snapToGrid w:val="0"/>
        </w:rPr>
      </w:pPr>
      <w:r>
        <w:rPr>
          <w:snapToGrid w:val="0"/>
        </w:rPr>
        <w:tab/>
        <w:t>(ba)</w:t>
      </w:r>
      <w:r>
        <w:rPr>
          <w:snapToGrid w:val="0"/>
        </w:rPr>
        <w:tab/>
        <w:t>On an application for a bookmaker’s</w:t>
      </w:r>
      <w:r>
        <w:rPr>
          <w:snapToGrid w:val="0"/>
        </w:rPr>
        <w:br/>
        <w:t>manager licence...................................................... $145;</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$80;</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$140;</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.............................$4;</w:t>
      </w:r>
    </w:p>
    <w:p>
      <w:pPr>
        <w:pStyle w:val="Indenta"/>
        <w:spacing w:before="100"/>
        <w:rPr>
          <w:snapToGrid w:val="0"/>
        </w:rPr>
      </w:pPr>
      <w:r>
        <w:rPr>
          <w:snapToGrid w:val="0"/>
        </w:rPr>
        <w:tab/>
        <w:t>(e)</w:t>
      </w:r>
      <w:r>
        <w:rPr>
          <w:snapToGrid w:val="0"/>
        </w:rPr>
        <w:tab/>
        <w:t>On applying for the issue of a duplicate</w:t>
      </w:r>
      <w:r>
        <w:rPr>
          <w:snapToGrid w:val="0"/>
        </w:rPr>
        <w:br/>
        <w:t>licence........................................................................$25;</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r>
        <w:rPr>
          <w:snapToGrid w:val="0"/>
        </w:rPr>
        <w:t>$550.</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r>
        <w:rPr>
          <w:snapToGrid w:val="0"/>
        </w:rPr>
        <w:t>$90.</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rPr>
          <w:snapToGrid w:val="0"/>
        </w:rPr>
        <w:t>$90.</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w:t>
      </w:r>
    </w:p>
    <w:p>
      <w:pPr>
        <w:pStyle w:val="Heading5"/>
        <w:spacing w:before="240"/>
        <w:rPr>
          <w:snapToGrid w:val="0"/>
        </w:rPr>
      </w:pPr>
      <w:bookmarkStart w:id="126" w:name="_Toc495993568"/>
      <w:bookmarkStart w:id="127" w:name="_Toc511525044"/>
      <w:bookmarkStart w:id="128" w:name="_Toc27803408"/>
      <w:bookmarkStart w:id="129" w:name="_Toc133903513"/>
      <w:bookmarkStart w:id="130" w:name="_Toc172087762"/>
      <w:bookmarkStart w:id="131" w:name="_Toc212946938"/>
      <w:bookmarkStart w:id="132" w:name="_Toc241571085"/>
      <w:r>
        <w:rPr>
          <w:rStyle w:val="CharSectno"/>
        </w:rPr>
        <w:t>17A</w:t>
      </w:r>
      <w:r>
        <w:rPr>
          <w:snapToGrid w:val="0"/>
        </w:rPr>
        <w:t>.</w:t>
      </w:r>
      <w:r>
        <w:rPr>
          <w:snapToGrid w:val="0"/>
        </w:rPr>
        <w:tab/>
        <w:t>Bookmakers’ annual licence fee</w:t>
      </w:r>
      <w:bookmarkEnd w:id="126"/>
      <w:bookmarkEnd w:id="127"/>
      <w:bookmarkEnd w:id="128"/>
      <w:bookmarkEnd w:id="129"/>
      <w:bookmarkEnd w:id="130"/>
      <w:bookmarkEnd w:id="131"/>
      <w:bookmarkEnd w:id="132"/>
      <w:r>
        <w:rPr>
          <w:snapToGrid w:val="0"/>
        </w:rPr>
        <w:t xml:space="preserve"> </w:t>
      </w:r>
    </w:p>
    <w:p>
      <w:pPr>
        <w:pStyle w:val="Subsection"/>
        <w:spacing w:before="180"/>
        <w:rPr>
          <w:snapToGrid w:val="0"/>
        </w:rPr>
      </w:pPr>
      <w:r>
        <w:rPr>
          <w:snapToGrid w:val="0"/>
        </w:rPr>
        <w:tab/>
        <w:t>(1)</w:t>
      </w:r>
      <w:r>
        <w:rPr>
          <w:snapToGrid w:val="0"/>
        </w:rPr>
        <w:tab/>
        <w:t>The bookmakers’ annual licence fee payable under section 13(1) shall be — </w:t>
      </w:r>
    </w:p>
    <w:p>
      <w:pPr>
        <w:pStyle w:val="Indenta"/>
        <w:rPr>
          <w:snapToGrid w:val="0"/>
        </w:rPr>
      </w:pPr>
      <w:r>
        <w:rPr>
          <w:snapToGrid w:val="0"/>
        </w:rPr>
        <w:tab/>
        <w:t>(a)</w:t>
      </w:r>
      <w:r>
        <w:rPr>
          <w:snapToGrid w:val="0"/>
        </w:rPr>
        <w:tab/>
        <w:t>paid, in respect of each assessment year commencing on 1 August and ending on 31 July, at the following rates for that year — </w:t>
      </w:r>
    </w:p>
    <w:p>
      <w:pPr>
        <w:pStyle w:val="Indenti"/>
      </w:pPr>
      <w:r>
        <w:tab/>
        <w:t>(i)</w:t>
      </w:r>
      <w:r>
        <w:tab/>
        <w:t>on total turnover not exceeding</w:t>
      </w:r>
      <w:r>
        <w:br/>
        <w:t>$250 000 ....................................... $315;</w:t>
      </w:r>
    </w:p>
    <w:p>
      <w:pPr>
        <w:pStyle w:val="Indenti"/>
      </w:pPr>
      <w:r>
        <w:tab/>
        <w:t>(ii)</w:t>
      </w:r>
      <w:r>
        <w:tab/>
        <w:t xml:space="preserve">on total turnover greater than </w:t>
      </w:r>
      <w:r>
        <w:br/>
        <w:t>$250 000 but not exceeding</w:t>
      </w:r>
      <w:r>
        <w:br/>
        <w:t>$1 000 000 .................................... $635;</w:t>
      </w:r>
    </w:p>
    <w:p>
      <w:pPr>
        <w:pStyle w:val="Indenti"/>
      </w:pPr>
      <w:r>
        <w:tab/>
        <w:t>(iii)</w:t>
      </w:r>
      <w:r>
        <w:tab/>
        <w:t>on total turnover greater than</w:t>
      </w:r>
      <w:r>
        <w:br/>
        <w:t>$1 000 000 .................................... $955;</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w:t>
      </w:r>
    </w:p>
    <w:p>
      <w:pPr>
        <w:pStyle w:val="Heading5"/>
        <w:rPr>
          <w:snapToGrid w:val="0"/>
        </w:rPr>
      </w:pPr>
      <w:bookmarkStart w:id="133" w:name="_Toc495993569"/>
      <w:bookmarkStart w:id="134" w:name="_Toc511525045"/>
      <w:bookmarkStart w:id="135" w:name="_Toc27803409"/>
      <w:bookmarkStart w:id="136" w:name="_Toc133903514"/>
      <w:bookmarkStart w:id="137" w:name="_Toc172087763"/>
      <w:bookmarkStart w:id="138" w:name="_Toc212946939"/>
      <w:bookmarkStart w:id="139" w:name="_Toc241571086"/>
      <w:r>
        <w:rPr>
          <w:rStyle w:val="CharSectno"/>
        </w:rPr>
        <w:t>17B</w:t>
      </w:r>
      <w:r>
        <w:rPr>
          <w:snapToGrid w:val="0"/>
        </w:rPr>
        <w:t>.</w:t>
      </w:r>
      <w:r>
        <w:rPr>
          <w:snapToGrid w:val="0"/>
        </w:rPr>
        <w:tab/>
        <w:t>On</w:t>
      </w:r>
      <w:r>
        <w:rPr>
          <w:snapToGrid w:val="0"/>
        </w:rPr>
        <w:noBreakHyphen/>
        <w:t>course totalisator annual licence fee</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 </w:t>
      </w:r>
    </w:p>
    <w:p>
      <w:pPr>
        <w:pStyle w:val="Indenta"/>
        <w:rPr>
          <w:snapToGrid w:val="0"/>
        </w:rPr>
      </w:pPr>
      <w:r>
        <w:rPr>
          <w:snapToGrid w:val="0"/>
        </w:rPr>
        <w:tab/>
        <w:t>(a)</w:t>
      </w:r>
      <w:r>
        <w:rPr>
          <w:snapToGrid w:val="0"/>
        </w:rPr>
        <w:tab/>
        <w:t>paid, in respect of each assessment year commencing on 1 August and ending on 31 July, at the following rates — </w:t>
      </w:r>
    </w:p>
    <w:p>
      <w:pPr>
        <w:pStyle w:val="Indenti"/>
      </w:pPr>
      <w:r>
        <w:tab/>
        <w:t>(i)</w:t>
      </w:r>
      <w:r>
        <w:tab/>
        <w:t>on total turnover not exceeding</w:t>
      </w:r>
      <w:r>
        <w:br/>
        <w:t>$10 000.......................................................no fee;</w:t>
      </w:r>
    </w:p>
    <w:p>
      <w:pPr>
        <w:pStyle w:val="Indenti"/>
      </w:pPr>
      <w:r>
        <w:tab/>
        <w:t>(ii)</w:t>
      </w:r>
      <w:r>
        <w:tab/>
        <w:t xml:space="preserve">on total turnover greater than $10 000 </w:t>
      </w:r>
      <w:r>
        <w:br/>
        <w:t>but not exceeding$135 000........................... $40;</w:t>
      </w:r>
      <w:r>
        <w:br/>
        <w:t>and</w:t>
      </w:r>
    </w:p>
    <w:p>
      <w:pPr>
        <w:pStyle w:val="Indenti"/>
      </w:pPr>
      <w:r>
        <w:tab/>
        <w:t>(iii)</w:t>
      </w:r>
      <w:r>
        <w:tab/>
        <w:t>on total turnover greater than</w:t>
      </w:r>
      <w:r>
        <w:br/>
        <w:t>$135 000...............................................0.030% of</w:t>
      </w:r>
      <w:r>
        <w:br/>
        <w:t xml:space="preserve">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Next/>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w:t>
      </w:r>
    </w:p>
    <w:p>
      <w:pPr>
        <w:pStyle w:val="Heading5"/>
      </w:pPr>
      <w:bookmarkStart w:id="140" w:name="_Toc495993570"/>
      <w:bookmarkStart w:id="141" w:name="_Toc511525046"/>
      <w:bookmarkStart w:id="142" w:name="_Toc27803410"/>
      <w:bookmarkStart w:id="143" w:name="_Toc133903515"/>
      <w:bookmarkStart w:id="144" w:name="_Toc172087764"/>
      <w:bookmarkStart w:id="145" w:name="_Toc212946940"/>
      <w:bookmarkStart w:id="146" w:name="_Toc241571087"/>
      <w:r>
        <w:rPr>
          <w:rStyle w:val="CharSectno"/>
        </w:rPr>
        <w:t>17C</w:t>
      </w:r>
      <w:r>
        <w:rPr>
          <w:spacing w:val="-2"/>
        </w:rPr>
        <w:t>.</w:t>
      </w:r>
      <w:r>
        <w:rPr>
          <w:spacing w:val="-2"/>
        </w:rPr>
        <w:tab/>
      </w:r>
      <w:r>
        <w:t>Percentage of bets to belong to RWWA</w:t>
      </w:r>
      <w:bookmarkEnd w:id="140"/>
      <w:bookmarkEnd w:id="141"/>
      <w:bookmarkEnd w:id="142"/>
      <w:bookmarkEnd w:id="143"/>
      <w:bookmarkEnd w:id="144"/>
      <w:bookmarkEnd w:id="145"/>
      <w:bookmarkEnd w:id="146"/>
    </w:p>
    <w:p>
      <w:pPr>
        <w:pStyle w:val="Subsection"/>
      </w:pPr>
      <w:r>
        <w:tab/>
      </w:r>
      <w:r>
        <w:tab/>
        <w:t>For the purpose of section 17E(1)(a), the amount prescribed as the commission for a bet is — </w:t>
      </w:r>
    </w:p>
    <w:p>
      <w:pPr>
        <w:pStyle w:val="Indenta"/>
      </w:pPr>
      <w:r>
        <w:tab/>
        <w:t>(a)</w:t>
      </w:r>
      <w:r>
        <w:tab/>
        <w:t>where the totalisator is conducted on the system whereby all winning bets, for a win or a place, are deducted before the commission is deducted —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47" w:name="_Toc495993571"/>
      <w:bookmarkStart w:id="148" w:name="_Toc511525047"/>
      <w:bookmarkStart w:id="149" w:name="_Toc27803411"/>
      <w:bookmarkStart w:id="150" w:name="_Toc133903516"/>
      <w:bookmarkStart w:id="151" w:name="_Toc172087765"/>
      <w:bookmarkStart w:id="152" w:name="_Toc212946941"/>
      <w:bookmarkStart w:id="153" w:name="_Toc241571088"/>
      <w:r>
        <w:rPr>
          <w:rStyle w:val="CharSectno"/>
        </w:rPr>
        <w:t>17D</w:t>
      </w:r>
      <w:r>
        <w:t>.</w:t>
      </w:r>
      <w:r>
        <w:tab/>
        <w:t>Percentage of bets to belong to racing club</w:t>
      </w:r>
      <w:bookmarkEnd w:id="147"/>
      <w:bookmarkEnd w:id="148"/>
      <w:bookmarkEnd w:id="149"/>
      <w:bookmarkEnd w:id="150"/>
      <w:bookmarkEnd w:id="151"/>
      <w:bookmarkEnd w:id="152"/>
      <w:bookmarkEnd w:id="15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54" w:name="_Toc141162186"/>
      <w:bookmarkStart w:id="155" w:name="_Toc141173776"/>
      <w:bookmarkStart w:id="156" w:name="_Toc148256398"/>
      <w:bookmarkStart w:id="157" w:name="_Toc151192401"/>
      <w:bookmarkStart w:id="158" w:name="_Toc151260770"/>
      <w:bookmarkStart w:id="159" w:name="_Toc155062604"/>
      <w:bookmarkStart w:id="160" w:name="_Toc155079929"/>
      <w:bookmarkStart w:id="161" w:name="_Toc171737700"/>
      <w:bookmarkStart w:id="162" w:name="_Toc172087259"/>
      <w:bookmarkStart w:id="163" w:name="_Toc172087504"/>
      <w:bookmarkStart w:id="164" w:name="_Toc172087766"/>
      <w:bookmarkStart w:id="165" w:name="_Toc173915841"/>
      <w:bookmarkStart w:id="166" w:name="_Toc175536846"/>
      <w:bookmarkStart w:id="167" w:name="_Toc175629347"/>
      <w:bookmarkStart w:id="168" w:name="_Toc177792360"/>
      <w:bookmarkStart w:id="169" w:name="_Toc177877395"/>
      <w:bookmarkStart w:id="170" w:name="_Toc179704029"/>
      <w:bookmarkStart w:id="171" w:name="_Toc185647210"/>
      <w:bookmarkStart w:id="172" w:name="_Toc212946942"/>
      <w:bookmarkStart w:id="173" w:name="_Toc218325328"/>
      <w:bookmarkStart w:id="174" w:name="_Toc218325444"/>
      <w:bookmarkStart w:id="175" w:name="_Toc218400167"/>
      <w:bookmarkStart w:id="176" w:name="_Toc241566745"/>
      <w:bookmarkStart w:id="177" w:name="_Toc241566860"/>
      <w:bookmarkStart w:id="178" w:name="_Toc241571089"/>
      <w:bookmarkStart w:id="179" w:name="_Toc495993572"/>
      <w:bookmarkStart w:id="180" w:name="_Toc511525048"/>
      <w:bookmarkStart w:id="181" w:name="_Toc27803412"/>
      <w:bookmarkStart w:id="182" w:name="_Toc133903517"/>
      <w:r>
        <w:rPr>
          <w:rStyle w:val="CharPartNo"/>
        </w:rPr>
        <w:t>Part 3</w:t>
      </w:r>
      <w:r>
        <w:rPr>
          <w:b w:val="0"/>
        </w:rPr>
        <w:t> </w:t>
      </w:r>
      <w:r>
        <w:t>—</w:t>
      </w:r>
      <w:r>
        <w:rPr>
          <w:b w:val="0"/>
        </w:rPr>
        <w:t> </w:t>
      </w:r>
      <w:r>
        <w:rPr>
          <w:rStyle w:val="CharPartText"/>
        </w:rPr>
        <w:t>Provisions relating to bookmakers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in Gazette 21 Jul 2006 p. 2672.]</w:t>
      </w:r>
    </w:p>
    <w:p>
      <w:pPr>
        <w:pStyle w:val="Heading5"/>
      </w:pPr>
      <w:bookmarkStart w:id="183" w:name="_Toc172087767"/>
      <w:bookmarkStart w:id="184" w:name="_Toc212946943"/>
      <w:bookmarkStart w:id="185" w:name="_Toc241571090"/>
      <w:r>
        <w:rPr>
          <w:rStyle w:val="CharSectno"/>
        </w:rPr>
        <w:t>17E</w:t>
      </w:r>
      <w:r>
        <w:t>.</w:t>
      </w:r>
      <w:r>
        <w:tab/>
        <w:t>Levy which may be retained</w:t>
      </w:r>
      <w:bookmarkEnd w:id="179"/>
      <w:bookmarkEnd w:id="180"/>
      <w:bookmarkEnd w:id="181"/>
      <w:bookmarkEnd w:id="182"/>
      <w:bookmarkEnd w:id="183"/>
      <w:bookmarkEnd w:id="184"/>
      <w:bookmarkEnd w:id="185"/>
    </w:p>
    <w:p>
      <w:pPr>
        <w:pStyle w:val="Subsection"/>
      </w:pPr>
      <w:r>
        <w:tab/>
      </w:r>
      <w:r>
        <w:tab/>
        <w:t>For the purpose of section 15(5)(a), a racing club may retain out of the sum of bookmakers’ betting levy received by that club in respect of —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86" w:name="_Toc495993573"/>
      <w:bookmarkStart w:id="187" w:name="_Toc511525049"/>
      <w:bookmarkStart w:id="188" w:name="_Toc27803413"/>
      <w:bookmarkStart w:id="189" w:name="_Toc133903518"/>
      <w:bookmarkStart w:id="190" w:name="_Toc172087768"/>
      <w:bookmarkStart w:id="191" w:name="_Toc212946944"/>
      <w:bookmarkStart w:id="192" w:name="_Toc241571091"/>
      <w:r>
        <w:rPr>
          <w:rStyle w:val="CharSectno"/>
        </w:rPr>
        <w:t>18</w:t>
      </w:r>
      <w:r>
        <w:t>.</w:t>
      </w:r>
      <w:r>
        <w:tab/>
        <w:t>Security to be given</w:t>
      </w:r>
      <w:bookmarkEnd w:id="186"/>
      <w:bookmarkEnd w:id="187"/>
      <w:bookmarkEnd w:id="188"/>
      <w:bookmarkEnd w:id="189"/>
      <w:bookmarkEnd w:id="190"/>
      <w:bookmarkEnd w:id="191"/>
      <w:bookmarkEnd w:id="192"/>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371" w:type="dxa"/>
        <w:tblInd w:w="71" w:type="dxa"/>
        <w:tblLayout w:type="fixed"/>
        <w:tblCellMar>
          <w:left w:w="71" w:type="dxa"/>
          <w:right w:w="71" w:type="dxa"/>
        </w:tblCellMar>
        <w:tblLook w:val="0000" w:firstRow="0" w:lastRow="0" w:firstColumn="0" w:lastColumn="0" w:noHBand="0" w:noVBand="0"/>
      </w:tblPr>
      <w:tblGrid>
        <w:gridCol w:w="5954"/>
        <w:gridCol w:w="1417"/>
      </w:tblGrid>
      <w:tr>
        <w:tc>
          <w:tcPr>
            <w:tcW w:w="5954" w:type="dxa"/>
          </w:tcPr>
          <w:p>
            <w:pPr>
              <w:pStyle w:val="Table"/>
              <w:tabs>
                <w:tab w:val="right" w:pos="1327"/>
                <w:tab w:val="left" w:pos="1610"/>
                <w:tab w:val="left" w:leader="dot" w:pos="5741"/>
              </w:tabs>
              <w:spacing w:before="80"/>
              <w:ind w:left="1610" w:hanging="1610"/>
              <w:rPr>
                <w:sz w:val="24"/>
              </w:rPr>
            </w:pPr>
            <w:r>
              <w:rPr>
                <w:sz w:val="24"/>
              </w:rPr>
              <w:tab/>
              <w:t>(a)</w:t>
            </w:r>
            <w:r>
              <w:rPr>
                <w:sz w:val="24"/>
              </w:rPr>
              <w:tab/>
              <w:t>for a licence endorsed for metropolitan grandstand enclosure operations with The Western Australian Turf Club......................</w:t>
            </w:r>
          </w:p>
        </w:tc>
        <w:tc>
          <w:tcPr>
            <w:tcW w:w="1417" w:type="dxa"/>
          </w:tcPr>
          <w:p>
            <w:pPr>
              <w:pStyle w:val="Table"/>
              <w:tabs>
                <w:tab w:val="right" w:pos="1327"/>
                <w:tab w:val="left" w:pos="1610"/>
              </w:tabs>
              <w:spacing w:before="8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$100 000</w:t>
            </w:r>
            <w:r>
              <w:rPr>
                <w:sz w:val="24"/>
              </w:rPr>
              <w:t>;</w:t>
            </w:r>
          </w:p>
        </w:tc>
      </w:tr>
      <w:tr>
        <w:tc>
          <w:tcPr>
            <w:tcW w:w="5954" w:type="dxa"/>
          </w:tcPr>
          <w:p>
            <w:pPr>
              <w:pStyle w:val="Table"/>
              <w:keepLines/>
              <w:tabs>
                <w:tab w:val="right" w:pos="1327"/>
                <w:tab w:val="left" w:pos="1610"/>
                <w:tab w:val="left" w:leader="dot" w:pos="5741"/>
              </w:tabs>
              <w:spacing w:before="0"/>
              <w:ind w:left="1610" w:hanging="1610"/>
              <w:rPr>
                <w:sz w:val="24"/>
              </w:rPr>
            </w:pPr>
            <w:r>
              <w:rPr>
                <w:sz w:val="24"/>
              </w:rPr>
              <w:tab/>
              <w:t>(b)</w:t>
            </w:r>
            <w:r>
              <w:rPr>
                <w:sz w:val="24"/>
              </w:rPr>
              <w:tab/>
              <w:t>for a licence endorsed for metropolitan grandstand enclosure operations with the Western Australian Trotting Association.....</w:t>
            </w:r>
          </w:p>
        </w:tc>
        <w:tc>
          <w:tcPr>
            <w:tcW w:w="1417" w:type="dxa"/>
          </w:tcPr>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p>
          <w:p>
            <w:pPr>
              <w:pStyle w:val="Table"/>
              <w:keepLines/>
              <w:tabs>
                <w:tab w:val="right" w:pos="1327"/>
                <w:tab w:val="left" w:pos="1610"/>
              </w:tabs>
              <w:spacing w:before="0"/>
              <w:jc w:val="center"/>
              <w:rPr>
                <w:sz w:val="24"/>
              </w:rPr>
            </w:pPr>
            <w:r>
              <w:t>$40 000</w:t>
            </w:r>
            <w:r>
              <w:rPr>
                <w:sz w:val="24"/>
              </w:rPr>
              <w:t>;</w:t>
            </w:r>
          </w:p>
        </w:tc>
      </w:tr>
      <w:tr>
        <w:tc>
          <w:tcPr>
            <w:tcW w:w="5954" w:type="dxa"/>
          </w:tcPr>
          <w:p>
            <w:pPr>
              <w:pStyle w:val="Table"/>
              <w:tabs>
                <w:tab w:val="right" w:pos="1327"/>
                <w:tab w:val="left" w:pos="1610"/>
                <w:tab w:val="left" w:leader="dot" w:pos="5741"/>
              </w:tabs>
              <w:spacing w:before="0"/>
              <w:ind w:left="1610" w:hanging="1610"/>
              <w:rPr>
                <w:sz w:val="24"/>
              </w:rPr>
            </w:pPr>
            <w:r>
              <w:rPr>
                <w:sz w:val="24"/>
              </w:rPr>
              <w:tab/>
              <w:t>(c)</w:t>
            </w:r>
            <w:r>
              <w:rPr>
                <w:sz w:val="24"/>
              </w:rPr>
              <w:tab/>
              <w:t>for a licence endorsed for metropolitan grandstand enclosure operations with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rPr>
          <w:cantSplit/>
        </w:trPr>
        <w:tc>
          <w:tcPr>
            <w:tcW w:w="5954" w:type="dxa"/>
          </w:tcPr>
          <w:p>
            <w:pPr>
              <w:pStyle w:val="Table"/>
              <w:tabs>
                <w:tab w:val="right" w:pos="1327"/>
                <w:tab w:val="left" w:pos="1610"/>
                <w:tab w:val="left" w:leader="dot" w:pos="5741"/>
              </w:tabs>
              <w:spacing w:before="0"/>
              <w:ind w:left="1610" w:hanging="1610"/>
              <w:rPr>
                <w:sz w:val="24"/>
              </w:rPr>
            </w:pPr>
            <w:r>
              <w:rPr>
                <w:sz w:val="24"/>
              </w:rPr>
              <w:tab/>
              <w:t>(d)</w:t>
            </w:r>
            <w:r>
              <w:rPr>
                <w:sz w:val="24"/>
              </w:rPr>
              <w:tab/>
              <w:t>for a licence endorsed for metropolitan leger or country racecourse operations with The Western Australian Turf Club, the Western Australian Trotting Association, or the Western Australian Greyhound Racing Association......................................</w:t>
            </w:r>
          </w:p>
        </w:tc>
        <w:tc>
          <w:tcPr>
            <w:tcW w:w="1417" w:type="dxa"/>
          </w:tcPr>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p>
          <w:p>
            <w:pPr>
              <w:pStyle w:val="Table"/>
              <w:tabs>
                <w:tab w:val="right" w:pos="1327"/>
                <w:tab w:val="left" w:pos="1610"/>
              </w:tabs>
              <w:spacing w:before="0"/>
              <w:jc w:val="center"/>
              <w:rPr>
                <w:sz w:val="24"/>
              </w:rPr>
            </w:pPr>
            <w:r>
              <w:t>$25 000</w:t>
            </w:r>
            <w:r>
              <w:rPr>
                <w:sz w:val="24"/>
              </w:rPr>
              <w:t>;</w:t>
            </w:r>
          </w:p>
        </w:tc>
      </w:tr>
      <w:tr>
        <w:tc>
          <w:tcPr>
            <w:tcW w:w="5954" w:type="dxa"/>
          </w:tcPr>
          <w:p>
            <w:pPr>
              <w:pStyle w:val="Table"/>
              <w:keepNext/>
              <w:keepLines/>
              <w:tabs>
                <w:tab w:val="right" w:pos="1327"/>
                <w:tab w:val="left" w:pos="1610"/>
                <w:tab w:val="left" w:leader="dot" w:pos="5741"/>
              </w:tabs>
              <w:spacing w:before="0"/>
              <w:ind w:left="1610" w:hanging="1610"/>
              <w:rPr>
                <w:sz w:val="24"/>
              </w:rPr>
            </w:pPr>
            <w:r>
              <w:rPr>
                <w:sz w:val="24"/>
              </w:rPr>
              <w:tab/>
              <w:t>(e)</w:t>
            </w:r>
            <w:r>
              <w:rPr>
                <w:sz w:val="24"/>
              </w:rPr>
              <w:tab/>
              <w:t>for a licence endorsed to authorise the conduct of sports betting or double event betting, or both.............................................</w:t>
            </w:r>
          </w:p>
        </w:tc>
        <w:tc>
          <w:tcPr>
            <w:tcW w:w="1417" w:type="dxa"/>
          </w:tcPr>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p>
          <w:p>
            <w:pPr>
              <w:pStyle w:val="Table"/>
              <w:keepNext/>
              <w:keepLines/>
              <w:tabs>
                <w:tab w:val="right" w:pos="1327"/>
                <w:tab w:val="left" w:pos="1610"/>
              </w:tabs>
              <w:spacing w:before="0"/>
              <w:jc w:val="center"/>
              <w:rPr>
                <w:sz w:val="24"/>
              </w:rPr>
            </w:pPr>
            <w:r>
              <w:rPr>
                <w:sz w:val="24"/>
              </w:rP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 xml:space="preserve">Omitted under the Reprints Act 1984 s. 7(4)(e).] </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 xml:space="preserve">4; 30 Jan 2004 p. 412.] </w:t>
      </w:r>
    </w:p>
    <w:p>
      <w:pPr>
        <w:pStyle w:val="Ednotesection"/>
      </w:pPr>
      <w:r>
        <w:t>[</w:t>
      </w:r>
      <w:r>
        <w:rPr>
          <w:b/>
        </w:rPr>
        <w:t>19</w:t>
      </w:r>
      <w:r>
        <w:rPr>
          <w:b/>
        </w:rPr>
        <w:noBreakHyphen/>
        <w:t>24.</w:t>
      </w:r>
      <w:r>
        <w:tab/>
        <w:t>Deleted in Gazette 10 Jul 1992 p. 3289.]</w:t>
      </w:r>
    </w:p>
    <w:p>
      <w:pPr>
        <w:pStyle w:val="Heading5"/>
        <w:rPr>
          <w:snapToGrid w:val="0"/>
        </w:rPr>
      </w:pPr>
      <w:bookmarkStart w:id="193" w:name="_Toc495993574"/>
      <w:bookmarkStart w:id="194" w:name="_Toc511525050"/>
      <w:bookmarkStart w:id="195" w:name="_Toc27803414"/>
      <w:bookmarkStart w:id="196" w:name="_Toc133903519"/>
      <w:bookmarkStart w:id="197" w:name="_Toc172087769"/>
      <w:bookmarkStart w:id="198" w:name="_Toc212946945"/>
      <w:bookmarkStart w:id="199" w:name="_Toc241571092"/>
      <w:r>
        <w:rPr>
          <w:rStyle w:val="CharSectno"/>
        </w:rPr>
        <w:t>25</w:t>
      </w:r>
      <w:r>
        <w:rPr>
          <w:snapToGrid w:val="0"/>
        </w:rPr>
        <w:t>.</w:t>
      </w:r>
      <w:r>
        <w:rPr>
          <w:snapToGrid w:val="0"/>
        </w:rPr>
        <w:tab/>
        <w:t>Register</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 xml:space="preserve">Deleted in Gazette 10 Jul 1992 p. 3289.] </w:t>
      </w:r>
    </w:p>
    <w:p>
      <w:pPr>
        <w:pStyle w:val="Heading5"/>
        <w:rPr>
          <w:snapToGrid w:val="0"/>
        </w:rPr>
      </w:pPr>
      <w:bookmarkStart w:id="200" w:name="_Toc495993575"/>
      <w:bookmarkStart w:id="201" w:name="_Toc511525051"/>
      <w:bookmarkStart w:id="202" w:name="_Toc27803415"/>
      <w:bookmarkStart w:id="203" w:name="_Toc133903520"/>
      <w:bookmarkStart w:id="204" w:name="_Toc172087770"/>
      <w:bookmarkStart w:id="205" w:name="_Toc212946946"/>
      <w:bookmarkStart w:id="206" w:name="_Toc241571093"/>
      <w:r>
        <w:rPr>
          <w:rStyle w:val="CharSectno"/>
        </w:rPr>
        <w:t>27</w:t>
      </w:r>
      <w:r>
        <w:rPr>
          <w:snapToGrid w:val="0"/>
        </w:rPr>
        <w:t>.</w:t>
      </w:r>
      <w:r>
        <w:rPr>
          <w:snapToGrid w:val="0"/>
        </w:rPr>
        <w:tab/>
        <w:t>Change of address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 xml:space="preserve">[Regulation 27 amended in Gazette 24 Jun 1988 p. 2004; 10 Jul 1992 p. 3286 and 3289; 25 Jun 1996 p. 2977; 20 Sep 2002 p. 4700; 30 Jan 2004 p. 412.] </w:t>
      </w:r>
    </w:p>
    <w:p>
      <w:pPr>
        <w:pStyle w:val="Heading5"/>
        <w:rPr>
          <w:snapToGrid w:val="0"/>
        </w:rPr>
      </w:pPr>
      <w:bookmarkStart w:id="207" w:name="_Toc495993576"/>
      <w:bookmarkStart w:id="208" w:name="_Toc511525052"/>
      <w:bookmarkStart w:id="209" w:name="_Toc27803416"/>
      <w:bookmarkStart w:id="210" w:name="_Toc133903521"/>
      <w:bookmarkStart w:id="211" w:name="_Toc172087771"/>
      <w:bookmarkStart w:id="212" w:name="_Toc212946947"/>
      <w:bookmarkStart w:id="213" w:name="_Toc241571094"/>
      <w:r>
        <w:rPr>
          <w:rStyle w:val="CharSectno"/>
        </w:rPr>
        <w:t>28</w:t>
      </w:r>
      <w:r>
        <w:rPr>
          <w:snapToGrid w:val="0"/>
        </w:rPr>
        <w:t>.</w:t>
      </w:r>
      <w:r>
        <w:rPr>
          <w:snapToGrid w:val="0"/>
        </w:rPr>
        <w:tab/>
        <w:t xml:space="preserve">Return of </w:t>
      </w:r>
      <w:bookmarkEnd w:id="207"/>
      <w:r>
        <w:rPr>
          <w:snapToGrid w:val="0"/>
        </w:rPr>
        <w:t>licence</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 xml:space="preserve">1; 30 Jan 2004 p. 404 and 412.] </w:t>
      </w:r>
    </w:p>
    <w:p>
      <w:pPr>
        <w:pStyle w:val="Heading5"/>
        <w:spacing w:before="180"/>
        <w:rPr>
          <w:snapToGrid w:val="0"/>
        </w:rPr>
      </w:pPr>
      <w:bookmarkStart w:id="214" w:name="_Toc495993577"/>
      <w:bookmarkStart w:id="215" w:name="_Toc511525053"/>
      <w:bookmarkStart w:id="216" w:name="_Toc27803417"/>
      <w:bookmarkStart w:id="217" w:name="_Toc133903522"/>
      <w:bookmarkStart w:id="218" w:name="_Toc172087772"/>
      <w:bookmarkStart w:id="219" w:name="_Toc212946948"/>
      <w:bookmarkStart w:id="220" w:name="_Toc241571095"/>
      <w:r>
        <w:rPr>
          <w:rStyle w:val="CharSectno"/>
        </w:rPr>
        <w:t>29</w:t>
      </w:r>
      <w:r>
        <w:rPr>
          <w:snapToGrid w:val="0"/>
        </w:rPr>
        <w:t>.</w:t>
      </w:r>
      <w:r>
        <w:rPr>
          <w:snapToGrid w:val="0"/>
        </w:rPr>
        <w:tab/>
        <w:t xml:space="preserve">Production of a </w:t>
      </w:r>
      <w:bookmarkEnd w:id="214"/>
      <w:r>
        <w:rPr>
          <w:snapToGrid w:val="0"/>
        </w:rPr>
        <w:t>licence</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 xml:space="preserve">[Regulation 29 amended in Gazette 24 Jun 1988 p. 2004; 10 Jul 1992 p. 3286 and 3289; 20 Sep 2002 p. 4701; 30 Jan 2004 p. 405 and 412.] </w:t>
      </w:r>
    </w:p>
    <w:p>
      <w:pPr>
        <w:pStyle w:val="Heading5"/>
        <w:spacing w:before="180"/>
        <w:rPr>
          <w:snapToGrid w:val="0"/>
        </w:rPr>
      </w:pPr>
      <w:bookmarkStart w:id="221" w:name="_Toc495993578"/>
      <w:bookmarkStart w:id="222" w:name="_Toc511525054"/>
      <w:bookmarkStart w:id="223" w:name="_Toc27803418"/>
      <w:bookmarkStart w:id="224" w:name="_Toc133903523"/>
      <w:bookmarkStart w:id="225" w:name="_Toc172087773"/>
      <w:bookmarkStart w:id="226" w:name="_Toc212946949"/>
      <w:bookmarkStart w:id="227" w:name="_Toc241571096"/>
      <w:r>
        <w:rPr>
          <w:rStyle w:val="CharSectno"/>
        </w:rPr>
        <w:t>30</w:t>
      </w:r>
      <w:r>
        <w:rPr>
          <w:snapToGrid w:val="0"/>
        </w:rPr>
        <w:t>.</w:t>
      </w:r>
      <w:r>
        <w:rPr>
          <w:snapToGrid w:val="0"/>
        </w:rPr>
        <w:tab/>
        <w:t>Advertising</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 xml:space="preserve">[Regulation 30 inserted in Gazette 12 Aug 1983 p. 2918; amended in Gazette 10 Jul 1992 p. 3289; 13 Oct 2000 p. 5726; 20 Sep 2002 p. 4701.] </w:t>
      </w:r>
    </w:p>
    <w:p>
      <w:pPr>
        <w:pStyle w:val="Ednotesection"/>
        <w:spacing w:before="160"/>
        <w:ind w:left="890" w:hanging="890"/>
      </w:pPr>
      <w:r>
        <w:t>[</w:t>
      </w:r>
      <w:r>
        <w:rPr>
          <w:b/>
        </w:rPr>
        <w:t>31</w:t>
      </w:r>
      <w:r>
        <w:rPr>
          <w:b/>
        </w:rPr>
        <w:noBreakHyphen/>
        <w:t>35.</w:t>
      </w:r>
      <w:r>
        <w:tab/>
        <w:t xml:space="preserve">Deleted in Gazette 10 Jul 1992 p. 3289.] </w:t>
      </w:r>
    </w:p>
    <w:p>
      <w:pPr>
        <w:pStyle w:val="Heading5"/>
        <w:rPr>
          <w:snapToGrid w:val="0"/>
        </w:rPr>
      </w:pPr>
      <w:bookmarkStart w:id="228" w:name="_Toc495993579"/>
      <w:bookmarkStart w:id="229" w:name="_Toc511525055"/>
      <w:bookmarkStart w:id="230" w:name="_Toc27803419"/>
      <w:bookmarkStart w:id="231" w:name="_Toc133903524"/>
      <w:bookmarkStart w:id="232" w:name="_Toc172087774"/>
      <w:bookmarkStart w:id="233" w:name="_Toc212946950"/>
      <w:bookmarkStart w:id="234" w:name="_Toc241571097"/>
      <w:r>
        <w:rPr>
          <w:rStyle w:val="CharSectno"/>
        </w:rPr>
        <w:t>36</w:t>
      </w:r>
      <w:r>
        <w:rPr>
          <w:snapToGrid w:val="0"/>
        </w:rPr>
        <w:t>.</w:t>
      </w:r>
      <w:r>
        <w:rPr>
          <w:snapToGrid w:val="0"/>
        </w:rPr>
        <w:tab/>
        <w:t>Betting tickets</w:t>
      </w:r>
      <w:bookmarkEnd w:id="228"/>
      <w:bookmarkEnd w:id="229"/>
      <w:bookmarkEnd w:id="230"/>
      <w:bookmarkEnd w:id="231"/>
      <w:bookmarkEnd w:id="232"/>
      <w:bookmarkEnd w:id="233"/>
      <w:bookmarkEnd w:id="234"/>
      <w:r>
        <w:rPr>
          <w:snapToGrid w:val="0"/>
        </w:rPr>
        <w:t xml:space="preserve"> </w:t>
      </w:r>
    </w:p>
    <w:p>
      <w:pPr>
        <w:pStyle w:val="Subsection"/>
        <w:spacing w:before="140"/>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spacing w:before="120"/>
        <w:rPr>
          <w:snapToGrid w:val="0"/>
        </w:rPr>
      </w:pPr>
      <w:r>
        <w:rPr>
          <w:snapToGrid w:val="0"/>
        </w:rPr>
        <w:tab/>
        <w:t>(5)</w:t>
      </w:r>
      <w:r>
        <w:rPr>
          <w:snapToGrid w:val="0"/>
        </w:rPr>
        <w:tab/>
        <w:t>Betting tickets shall —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 xml:space="preserve">if the record of betting is to be made using a computer, by that bookmaker in a form, size and colour approved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rPr>
          <w:snapToGrid w:val="0"/>
        </w:rPr>
      </w:pPr>
      <w:r>
        <w:rPr>
          <w:snapToGrid w:val="0"/>
        </w:rPr>
        <w:tab/>
        <w:t>(6)</w:t>
      </w:r>
      <w:r>
        <w:rPr>
          <w:snapToGrid w:val="0"/>
        </w:rPr>
        <w:tab/>
        <w:t>A bookmaker who —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 xml:space="preserve">This regulation applies to a partnership that is a bookmaker as if the partnership were a person, but it applies with the following changes —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 xml:space="preserve">2; 30 Jan 2004 p. 412.] </w:t>
      </w:r>
    </w:p>
    <w:p>
      <w:pPr>
        <w:pStyle w:val="Heading5"/>
        <w:rPr>
          <w:snapToGrid w:val="0"/>
        </w:rPr>
      </w:pPr>
      <w:bookmarkStart w:id="235" w:name="_Toc495993580"/>
      <w:bookmarkStart w:id="236" w:name="_Toc511525056"/>
      <w:bookmarkStart w:id="237" w:name="_Toc27803420"/>
      <w:bookmarkStart w:id="238" w:name="_Toc133903525"/>
      <w:bookmarkStart w:id="239" w:name="_Toc172087775"/>
      <w:bookmarkStart w:id="240" w:name="_Toc212946951"/>
      <w:bookmarkStart w:id="241" w:name="_Toc241571098"/>
      <w:r>
        <w:rPr>
          <w:rStyle w:val="CharSectno"/>
        </w:rPr>
        <w:t>37</w:t>
      </w:r>
      <w:r>
        <w:rPr>
          <w:snapToGrid w:val="0"/>
        </w:rPr>
        <w:t>.</w:t>
      </w:r>
      <w:r>
        <w:rPr>
          <w:snapToGrid w:val="0"/>
        </w:rPr>
        <w:tab/>
        <w:t>The written record</w:t>
      </w:r>
      <w:bookmarkEnd w:id="235"/>
      <w:r>
        <w:rPr>
          <w:snapToGrid w:val="0"/>
        </w:rPr>
        <w:t xml:space="preserve"> of betting transactions</w:t>
      </w:r>
      <w:bookmarkEnd w:id="236"/>
      <w:bookmarkEnd w:id="237"/>
      <w:bookmarkEnd w:id="238"/>
      <w:bookmarkEnd w:id="239"/>
      <w:bookmarkEnd w:id="240"/>
      <w:bookmarkEnd w:id="24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keepNext/>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 xml:space="preserve">For the purposes of subregulation (1)(j) — </w:t>
      </w:r>
    </w:p>
    <w:p>
      <w:pPr>
        <w:pStyle w:val="Indenta"/>
      </w:pPr>
      <w:r>
        <w:tab/>
        <w:t>(a)</w:t>
      </w:r>
      <w:r>
        <w:tab/>
        <w:t>if a person (agent) makes a bet for or on behalf of another person (principal), the principal is the person with whom the bet is made; and</w:t>
      </w:r>
    </w:p>
    <w:p>
      <w:pPr>
        <w:pStyle w:val="Indenta"/>
      </w:pPr>
      <w:r>
        <w:tab/>
        <w:t>(b)</w:t>
      </w:r>
      <w:r>
        <w:tab/>
        <w:t xml:space="preserve">if a bet is received by way of internet betting, the requirement to name the person with whom the bet was made is not satisfied by stating —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 </w:t>
      </w:r>
    </w:p>
    <w:p>
      <w:pPr>
        <w:pStyle w:val="Indenta"/>
        <w:rPr>
          <w:snapToGrid w:val="0"/>
        </w:rPr>
      </w:pPr>
      <w:r>
        <w:rPr>
          <w:snapToGrid w:val="0"/>
        </w:rPr>
        <w:tab/>
        <w:t>(a)</w:t>
      </w:r>
      <w:r>
        <w:rPr>
          <w:snapToGrid w:val="0"/>
        </w:rPr>
        <w:tab/>
        <w:t>such conditions as to —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keepNext/>
        <w:rPr>
          <w:snapToGrid w:val="0"/>
        </w:rPr>
      </w:pPr>
      <w:r>
        <w:rPr>
          <w:snapToGrid w:val="0"/>
        </w:rPr>
        <w:tab/>
      </w:r>
      <w:r>
        <w:rPr>
          <w:snapToGrid w:val="0"/>
        </w:rPr>
        <w:tab/>
        <w:t>that computer as the Commission specifies in that approval may be imposed; and</w:t>
      </w:r>
    </w:p>
    <w:p>
      <w:pPr>
        <w:pStyle w:val="Indenta"/>
        <w:rPr>
          <w:snapToGrid w:val="0"/>
        </w:rPr>
      </w:pPr>
      <w:r>
        <w:rPr>
          <w:snapToGrid w:val="0"/>
        </w:rPr>
        <w:tab/>
        <w:t>(b)</w:t>
      </w:r>
      <w:r>
        <w:rPr>
          <w:snapToGrid w:val="0"/>
        </w:rPr>
        <w:tab/>
        <w:t>the Commission, at any time by notice in writing given to the bookmaker, may — </w:t>
      </w:r>
    </w:p>
    <w:p>
      <w:pPr>
        <w:pStyle w:val="Indenti"/>
        <w:rPr>
          <w:snapToGrid w:val="0"/>
        </w:rPr>
      </w:pPr>
      <w:r>
        <w:rPr>
          <w:snapToGrid w:val="0"/>
        </w:rPr>
        <w:tab/>
        <w:t>(i)</w:t>
      </w:r>
      <w:r>
        <w:rPr>
          <w:snapToGrid w:val="0"/>
        </w:rPr>
        <w:tab/>
        <w:t>cancel or vary a condition imposed; or</w:t>
      </w:r>
    </w:p>
    <w:p>
      <w:pPr>
        <w:pStyle w:val="Indenti"/>
        <w:rPr>
          <w:snapToGrid w:val="0"/>
        </w:rPr>
      </w:pPr>
      <w:r>
        <w:rPr>
          <w:snapToGrid w:val="0"/>
        </w:rPr>
        <w:tab/>
        <w:t>(ii)</w:t>
      </w:r>
      <w:r>
        <w:rPr>
          <w:snapToGrid w:val="0"/>
        </w:rPr>
        <w:tab/>
        <w:t>withdraw the approval.</w:t>
      </w:r>
    </w:p>
    <w:p>
      <w:pPr>
        <w:pStyle w:val="Footnotesection"/>
      </w:pPr>
      <w:r>
        <w:tab/>
        <w:t>[Regulation 37 inserted in Gazette 14 Feb 1992 p. 860</w:t>
      </w:r>
      <w:r>
        <w:noBreakHyphen/>
        <w:t xml:space="preserve">1; amended in Gazette 25 Jun 1996 p. 2977; 21 Jul 1998 p. 3853 and 3855; 2 Oct 2001 p. 5455; 30 Jan 2004 p. 412; 25 Sep 2009 p. 3752.] </w:t>
      </w:r>
    </w:p>
    <w:p>
      <w:pPr>
        <w:pStyle w:val="Heading5"/>
        <w:rPr>
          <w:snapToGrid w:val="0"/>
        </w:rPr>
      </w:pPr>
      <w:bookmarkStart w:id="242" w:name="_Toc495993581"/>
      <w:bookmarkStart w:id="243" w:name="_Toc511525057"/>
      <w:bookmarkStart w:id="244" w:name="_Toc27803421"/>
      <w:bookmarkStart w:id="245" w:name="_Toc133903526"/>
      <w:bookmarkStart w:id="246" w:name="_Toc172087776"/>
      <w:bookmarkStart w:id="247" w:name="_Toc212946952"/>
      <w:bookmarkStart w:id="248" w:name="_Toc241571099"/>
      <w:r>
        <w:rPr>
          <w:rStyle w:val="CharSectno"/>
        </w:rPr>
        <w:t>38</w:t>
      </w:r>
      <w:r>
        <w:rPr>
          <w:snapToGrid w:val="0"/>
        </w:rPr>
        <w:t>.</w:t>
      </w:r>
      <w:r>
        <w:rPr>
          <w:snapToGrid w:val="0"/>
        </w:rPr>
        <w:tab/>
        <w:t>Supply of books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pPr>
      <w:r>
        <w:tab/>
        <w:t xml:space="preserve">[Regulation 38 amended in Gazette 10 Jul 1992 p. 3290; 25 Jun 1996 p. 2977; 30 Jan 2004 p. 412.] </w:t>
      </w:r>
    </w:p>
    <w:p>
      <w:pPr>
        <w:pStyle w:val="Heading5"/>
        <w:rPr>
          <w:snapToGrid w:val="0"/>
        </w:rPr>
      </w:pPr>
      <w:bookmarkStart w:id="249" w:name="_Toc495993582"/>
      <w:bookmarkStart w:id="250" w:name="_Toc511525058"/>
      <w:bookmarkStart w:id="251" w:name="_Toc27803422"/>
      <w:bookmarkStart w:id="252" w:name="_Toc133903527"/>
      <w:bookmarkStart w:id="253" w:name="_Toc172087777"/>
      <w:bookmarkStart w:id="254" w:name="_Toc212946953"/>
      <w:bookmarkStart w:id="255" w:name="_Toc241571100"/>
      <w:r>
        <w:rPr>
          <w:rStyle w:val="CharSectno"/>
        </w:rPr>
        <w:t>39</w:t>
      </w:r>
      <w:r>
        <w:rPr>
          <w:snapToGrid w:val="0"/>
        </w:rPr>
        <w:t>.</w:t>
      </w:r>
      <w:r>
        <w:rPr>
          <w:snapToGrid w:val="0"/>
        </w:rPr>
        <w:tab/>
        <w:t>Loss of books etc.</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pPr>
      <w:r>
        <w:tab/>
        <w:t xml:space="preserve">[Regulation 39 amended in Gazette 14 Feb 1992 p. 861; 25 Jun 1996 p. 2977; 30 Jan 2004 p. 412.] </w:t>
      </w:r>
    </w:p>
    <w:p>
      <w:pPr>
        <w:pStyle w:val="Ednotesection"/>
        <w:spacing w:before="180"/>
        <w:ind w:left="890" w:hanging="890"/>
      </w:pPr>
      <w:r>
        <w:t>[</w:t>
      </w:r>
      <w:r>
        <w:rPr>
          <w:b/>
        </w:rPr>
        <w:t>40</w:t>
      </w:r>
      <w:r>
        <w:rPr>
          <w:b/>
        </w:rPr>
        <w:noBreakHyphen/>
        <w:t>42.</w:t>
      </w:r>
      <w:r>
        <w:tab/>
        <w:t xml:space="preserve">Deleted in Gazette 10 Jul 1992 p. 3290.] </w:t>
      </w:r>
    </w:p>
    <w:p>
      <w:pPr>
        <w:pStyle w:val="Heading5"/>
        <w:spacing w:before="180"/>
        <w:rPr>
          <w:snapToGrid w:val="0"/>
        </w:rPr>
      </w:pPr>
      <w:bookmarkStart w:id="256" w:name="_Toc495993583"/>
      <w:bookmarkStart w:id="257" w:name="_Toc511525059"/>
      <w:bookmarkStart w:id="258" w:name="_Toc27803423"/>
      <w:bookmarkStart w:id="259" w:name="_Toc133903528"/>
      <w:bookmarkStart w:id="260" w:name="_Toc172087778"/>
      <w:bookmarkStart w:id="261" w:name="_Toc212946954"/>
      <w:bookmarkStart w:id="262" w:name="_Toc241571101"/>
      <w:r>
        <w:rPr>
          <w:rStyle w:val="CharSectno"/>
        </w:rPr>
        <w:t>43</w:t>
      </w:r>
      <w:r>
        <w:rPr>
          <w:snapToGrid w:val="0"/>
        </w:rPr>
        <w:t>.</w:t>
      </w:r>
      <w:r>
        <w:rPr>
          <w:snapToGrid w:val="0"/>
        </w:rPr>
        <w:tab/>
        <w:t>Betting material</w:t>
      </w:r>
      <w:bookmarkEnd w:id="256"/>
      <w:bookmarkEnd w:id="257"/>
      <w:bookmarkEnd w:id="258"/>
      <w:bookmarkEnd w:id="259"/>
      <w:bookmarkEnd w:id="260"/>
      <w:bookmarkEnd w:id="261"/>
      <w:bookmarkEnd w:id="262"/>
      <w:r>
        <w:rPr>
          <w:snapToGrid w:val="0"/>
        </w:rPr>
        <w:t xml:space="preserve"> </w:t>
      </w:r>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 xml:space="preserve">[Regulation 43 amended in Gazette 10 Jul 1992 p. 3290; 20 Sep 2002 p. 4702; 30 Jan 2004 p. 412.] </w:t>
      </w:r>
    </w:p>
    <w:p>
      <w:pPr>
        <w:pStyle w:val="Ednotesection"/>
        <w:spacing w:before="180"/>
      </w:pPr>
      <w:r>
        <w:t>[</w:t>
      </w:r>
      <w:r>
        <w:rPr>
          <w:b/>
        </w:rPr>
        <w:t>44</w:t>
      </w:r>
      <w:r>
        <w:rPr>
          <w:b/>
        </w:rPr>
        <w:noBreakHyphen/>
        <w:t>47.</w:t>
      </w:r>
      <w:r>
        <w:tab/>
        <w:t xml:space="preserve">Deleted in Gazette 10 Jul 1992 p. 3290.] </w:t>
      </w:r>
    </w:p>
    <w:p>
      <w:pPr>
        <w:pStyle w:val="Heading5"/>
        <w:spacing w:before="180"/>
        <w:rPr>
          <w:snapToGrid w:val="0"/>
        </w:rPr>
      </w:pPr>
      <w:bookmarkStart w:id="263" w:name="_Toc495993584"/>
      <w:bookmarkStart w:id="264" w:name="_Toc511525060"/>
      <w:bookmarkStart w:id="265" w:name="_Toc27803424"/>
      <w:bookmarkStart w:id="266" w:name="_Toc133903529"/>
      <w:bookmarkStart w:id="267" w:name="_Toc172087779"/>
      <w:bookmarkStart w:id="268" w:name="_Toc212946955"/>
      <w:bookmarkStart w:id="269" w:name="_Toc241571102"/>
      <w:r>
        <w:rPr>
          <w:rStyle w:val="CharSectno"/>
        </w:rPr>
        <w:t>48</w:t>
      </w:r>
      <w:r>
        <w:rPr>
          <w:snapToGrid w:val="0"/>
        </w:rPr>
        <w:t>.</w:t>
      </w:r>
      <w:r>
        <w:rPr>
          <w:snapToGrid w:val="0"/>
        </w:rPr>
        <w:tab/>
        <w:t>Rules of Betting</w:t>
      </w:r>
      <w:bookmarkEnd w:id="263"/>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270" w:name="_Toc133903530"/>
      <w:bookmarkStart w:id="271" w:name="_Toc172087780"/>
      <w:bookmarkStart w:id="272" w:name="_Toc212946956"/>
      <w:bookmarkStart w:id="273" w:name="_Toc241571103"/>
      <w:bookmarkStart w:id="274" w:name="_Toc495993585"/>
      <w:bookmarkStart w:id="275" w:name="_Toc511525061"/>
      <w:bookmarkStart w:id="276" w:name="_Toc27803425"/>
      <w:r>
        <w:rPr>
          <w:rStyle w:val="CharSectno"/>
        </w:rPr>
        <w:t>48A</w:t>
      </w:r>
      <w:r>
        <w:t>.</w:t>
      </w:r>
      <w:r>
        <w:tab/>
        <w:t>Minimum bet obligations</w:t>
      </w:r>
      <w:bookmarkEnd w:id="270"/>
      <w:bookmarkEnd w:id="271"/>
      <w:bookmarkEnd w:id="272"/>
      <w:bookmarkEnd w:id="27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277" w:name="_Toc133903531"/>
      <w:bookmarkStart w:id="278" w:name="_Toc172087781"/>
      <w:bookmarkStart w:id="279" w:name="_Toc212946957"/>
      <w:bookmarkStart w:id="280" w:name="_Toc241571104"/>
      <w:r>
        <w:rPr>
          <w:rStyle w:val="CharSectno"/>
        </w:rPr>
        <w:t>49</w:t>
      </w:r>
      <w:r>
        <w:t>.</w:t>
      </w:r>
      <w:r>
        <w:tab/>
        <w:t>Bets on more than one result</w:t>
      </w:r>
      <w:bookmarkEnd w:id="274"/>
      <w:bookmarkEnd w:id="275"/>
      <w:bookmarkEnd w:id="276"/>
      <w:bookmarkEnd w:id="277"/>
      <w:bookmarkEnd w:id="278"/>
      <w:bookmarkEnd w:id="279"/>
      <w:bookmarkEnd w:id="280"/>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281" w:name="_Toc495993586"/>
      <w:bookmarkStart w:id="282" w:name="_Toc511525062"/>
      <w:bookmarkStart w:id="283" w:name="_Toc27803426"/>
      <w:bookmarkStart w:id="284" w:name="_Toc133903532"/>
      <w:bookmarkStart w:id="285" w:name="_Toc172087782"/>
      <w:bookmarkStart w:id="286" w:name="_Toc212946958"/>
      <w:bookmarkStart w:id="287" w:name="_Toc241571105"/>
      <w:r>
        <w:rPr>
          <w:rStyle w:val="CharSectno"/>
        </w:rPr>
        <w:t>50</w:t>
      </w:r>
      <w:r>
        <w:t>.</w:t>
      </w:r>
      <w:r>
        <w:tab/>
        <w:t>Permitted bets</w:t>
      </w:r>
      <w:bookmarkEnd w:id="281"/>
      <w:bookmarkEnd w:id="282"/>
      <w:bookmarkEnd w:id="283"/>
      <w:bookmarkEnd w:id="284"/>
      <w:bookmarkEnd w:id="285"/>
      <w:bookmarkEnd w:id="286"/>
      <w:bookmarkEnd w:id="28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288" w:name="_Toc495993587"/>
      <w:bookmarkStart w:id="289" w:name="_Toc511525063"/>
      <w:bookmarkStart w:id="290" w:name="_Toc27803427"/>
      <w:bookmarkStart w:id="291" w:name="_Toc133903533"/>
      <w:bookmarkStart w:id="292" w:name="_Toc172087783"/>
      <w:bookmarkStart w:id="293" w:name="_Toc212946959"/>
      <w:bookmarkStart w:id="294" w:name="_Toc241571106"/>
      <w:r>
        <w:rPr>
          <w:rStyle w:val="CharSectno"/>
        </w:rPr>
        <w:t>51</w:t>
      </w:r>
      <w:r>
        <w:rPr>
          <w:snapToGrid w:val="0"/>
        </w:rPr>
        <w:t>.</w:t>
      </w:r>
      <w:r>
        <w:rPr>
          <w:snapToGrid w:val="0"/>
        </w:rPr>
        <w:tab/>
        <w:t>Place betting</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 xml:space="preserve">[Regulation 51 amended in Gazette 24 Jun 1988 p. 2005; 14 Sep 1990 p. 4863; 10 Jul 1992 p. 3291; 21 Jul 1998 p. 3854 and 3855; 20 Sep 2002 p. 4702.] </w:t>
      </w:r>
    </w:p>
    <w:p>
      <w:pPr>
        <w:pStyle w:val="Heading5"/>
        <w:spacing w:before="260"/>
        <w:rPr>
          <w:snapToGrid w:val="0"/>
        </w:rPr>
      </w:pPr>
      <w:bookmarkStart w:id="295" w:name="_Toc495993588"/>
      <w:bookmarkStart w:id="296" w:name="_Toc511525064"/>
      <w:bookmarkStart w:id="297" w:name="_Toc27803428"/>
      <w:bookmarkStart w:id="298" w:name="_Toc133903534"/>
      <w:bookmarkStart w:id="299" w:name="_Toc172087784"/>
      <w:bookmarkStart w:id="300" w:name="_Toc212946960"/>
      <w:bookmarkStart w:id="301" w:name="_Toc241571107"/>
      <w:r>
        <w:rPr>
          <w:rStyle w:val="CharSectno"/>
        </w:rPr>
        <w:t>52</w:t>
      </w:r>
      <w:r>
        <w:rPr>
          <w:snapToGrid w:val="0"/>
        </w:rPr>
        <w:t>.</w:t>
      </w:r>
      <w:r>
        <w:rPr>
          <w:snapToGrid w:val="0"/>
        </w:rPr>
        <w:tab/>
        <w:t>Concession betting</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 xml:space="preserve">[Regulation 52 amended in Gazette 24 Jun 1988 p. 2005; 10 Jul 1992 p. 3291.] </w:t>
      </w:r>
    </w:p>
    <w:p>
      <w:pPr>
        <w:pStyle w:val="Heading5"/>
        <w:rPr>
          <w:snapToGrid w:val="0"/>
        </w:rPr>
      </w:pPr>
      <w:bookmarkStart w:id="302" w:name="_Toc495993589"/>
      <w:bookmarkStart w:id="303" w:name="_Toc511525065"/>
      <w:bookmarkStart w:id="304" w:name="_Toc27803429"/>
      <w:bookmarkStart w:id="305" w:name="_Toc133903535"/>
      <w:bookmarkStart w:id="306" w:name="_Toc172087785"/>
      <w:bookmarkStart w:id="307" w:name="_Toc212946961"/>
      <w:bookmarkStart w:id="308" w:name="_Toc241571108"/>
      <w:r>
        <w:rPr>
          <w:rStyle w:val="CharSectno"/>
        </w:rPr>
        <w:t>53</w:t>
      </w:r>
      <w:r>
        <w:rPr>
          <w:snapToGrid w:val="0"/>
        </w:rPr>
        <w:t>.</w:t>
      </w:r>
      <w:r>
        <w:rPr>
          <w:snapToGrid w:val="0"/>
        </w:rPr>
        <w:tab/>
        <w:t>Doubles other than multiple doubles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53 amended in Gazette 24 Jun 1988 p. 2005; 30 Jan 2004 p. 412.] </w:t>
      </w:r>
    </w:p>
    <w:p>
      <w:pPr>
        <w:pStyle w:val="Heading5"/>
        <w:rPr>
          <w:snapToGrid w:val="0"/>
        </w:rPr>
      </w:pPr>
      <w:bookmarkStart w:id="309" w:name="_Toc495993590"/>
      <w:bookmarkStart w:id="310" w:name="_Toc511525066"/>
      <w:bookmarkStart w:id="311" w:name="_Toc27803430"/>
      <w:bookmarkStart w:id="312" w:name="_Toc133903536"/>
      <w:bookmarkStart w:id="313" w:name="_Toc172087786"/>
      <w:bookmarkStart w:id="314" w:name="_Toc212946962"/>
      <w:bookmarkStart w:id="315" w:name="_Toc241571109"/>
      <w:r>
        <w:rPr>
          <w:rStyle w:val="CharSectno"/>
        </w:rPr>
        <w:t>54</w:t>
      </w:r>
      <w:r>
        <w:rPr>
          <w:snapToGrid w:val="0"/>
        </w:rPr>
        <w:t>.</w:t>
      </w:r>
      <w:r>
        <w:rPr>
          <w:snapToGrid w:val="0"/>
        </w:rPr>
        <w:tab/>
        <w:t>Trebles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 xml:space="preserve">[Regulation 54 amended in Gazette 24 Jun 1988 p. 2005; 30 Jan 2004 p. 412.] </w:t>
      </w:r>
    </w:p>
    <w:p>
      <w:pPr>
        <w:pStyle w:val="Heading5"/>
        <w:spacing w:before="180"/>
        <w:rPr>
          <w:snapToGrid w:val="0"/>
        </w:rPr>
      </w:pPr>
      <w:bookmarkStart w:id="316" w:name="_Toc495993591"/>
      <w:bookmarkStart w:id="317" w:name="_Toc511525067"/>
      <w:bookmarkStart w:id="318" w:name="_Toc27803431"/>
      <w:bookmarkStart w:id="319" w:name="_Toc133903537"/>
      <w:bookmarkStart w:id="320" w:name="_Toc172087787"/>
      <w:bookmarkStart w:id="321" w:name="_Toc212946963"/>
      <w:bookmarkStart w:id="322" w:name="_Toc241571110"/>
      <w:r>
        <w:rPr>
          <w:rStyle w:val="CharSectno"/>
        </w:rPr>
        <w:t>55</w:t>
      </w:r>
      <w:r>
        <w:rPr>
          <w:snapToGrid w:val="0"/>
        </w:rPr>
        <w:t>.</w:t>
      </w:r>
      <w:r>
        <w:rPr>
          <w:snapToGrid w:val="0"/>
        </w:rPr>
        <w:tab/>
        <w:t>All</w:t>
      </w:r>
      <w:r>
        <w:rPr>
          <w:snapToGrid w:val="0"/>
        </w:rPr>
        <w:noBreakHyphen/>
        <w:t>up</w:t>
      </w:r>
      <w:bookmarkEnd w:id="316"/>
      <w:bookmarkEnd w:id="317"/>
      <w:bookmarkEnd w:id="318"/>
      <w:bookmarkEnd w:id="319"/>
      <w:bookmarkEnd w:id="320"/>
      <w:bookmarkEnd w:id="321"/>
      <w:bookmarkEnd w:id="322"/>
      <w:r>
        <w:rPr>
          <w:snapToGrid w:val="0"/>
        </w:rPr>
        <w:t xml:space="preserve"> </w:t>
      </w:r>
    </w:p>
    <w:p>
      <w:pPr>
        <w:pStyle w:val="Subsection"/>
        <w:spacing w:before="12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 xml:space="preserve">[Regulation 55 amended in Gazette 24 Jun 1988 p. 2005.] </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180"/>
        <w:rPr>
          <w:snapToGrid w:val="0"/>
        </w:rPr>
      </w:pPr>
      <w:bookmarkStart w:id="323" w:name="_Toc495993592"/>
      <w:bookmarkStart w:id="324" w:name="_Toc511525068"/>
      <w:bookmarkStart w:id="325" w:name="_Toc27803432"/>
      <w:bookmarkStart w:id="326" w:name="_Toc133903538"/>
      <w:bookmarkStart w:id="327" w:name="_Toc172087788"/>
      <w:bookmarkStart w:id="328" w:name="_Toc212946964"/>
      <w:bookmarkStart w:id="329" w:name="_Toc241571111"/>
      <w:r>
        <w:rPr>
          <w:rStyle w:val="CharSectno"/>
        </w:rPr>
        <w:t>57</w:t>
      </w:r>
      <w:r>
        <w:rPr>
          <w:snapToGrid w:val="0"/>
        </w:rPr>
        <w:t>.</w:t>
      </w:r>
      <w:r>
        <w:rPr>
          <w:snapToGrid w:val="0"/>
        </w:rPr>
        <w:tab/>
        <w:t>Stand</w:t>
      </w:r>
      <w:bookmarkEnd w:id="323"/>
      <w:bookmarkEnd w:id="324"/>
      <w:bookmarkEnd w:id="325"/>
      <w:bookmarkEnd w:id="326"/>
      <w:bookmarkEnd w:id="327"/>
      <w:bookmarkEnd w:id="328"/>
      <w:bookmarkEnd w:id="329"/>
      <w:r>
        <w:rPr>
          <w:snapToGrid w:val="0"/>
        </w:rPr>
        <w:t xml:space="preserve"> </w:t>
      </w:r>
    </w:p>
    <w:p>
      <w:pPr>
        <w:pStyle w:val="Subsection"/>
        <w:spacing w:before="12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 xml:space="preserve">[Regulation 57 amended in Gazette 24 Jun 1988 p. 2005; 10 Jul 1992 p. 3291; 21 Jul 1998 p. 3854.] </w:t>
      </w:r>
    </w:p>
    <w:p>
      <w:pPr>
        <w:pStyle w:val="Heading5"/>
        <w:rPr>
          <w:snapToGrid w:val="0"/>
        </w:rPr>
      </w:pPr>
      <w:bookmarkStart w:id="330" w:name="_Toc495993593"/>
      <w:bookmarkStart w:id="331" w:name="_Toc511525069"/>
      <w:bookmarkStart w:id="332" w:name="_Toc27803433"/>
      <w:bookmarkStart w:id="333" w:name="_Toc133903539"/>
      <w:bookmarkStart w:id="334" w:name="_Toc172087789"/>
      <w:bookmarkStart w:id="335" w:name="_Toc212946965"/>
      <w:bookmarkStart w:id="336" w:name="_Toc241571112"/>
      <w:r>
        <w:rPr>
          <w:rStyle w:val="CharSectno"/>
        </w:rPr>
        <w:t>58</w:t>
      </w:r>
      <w:r>
        <w:rPr>
          <w:snapToGrid w:val="0"/>
        </w:rPr>
        <w:t>.</w:t>
      </w:r>
      <w:r>
        <w:rPr>
          <w:snapToGrid w:val="0"/>
        </w:rPr>
        <w:tab/>
        <w:t>Use of stand</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 xml:space="preserve">[Regulation 58 amended in Gazette 24 Jun 1988 p. 2005; 10 Jul 1992 p. 3291; 20 Sep 2002 p. 4702.] </w:t>
      </w:r>
    </w:p>
    <w:p>
      <w:pPr>
        <w:pStyle w:val="Heading5"/>
      </w:pPr>
      <w:bookmarkStart w:id="337" w:name="_Toc133903540"/>
      <w:bookmarkStart w:id="338" w:name="_Toc172087790"/>
      <w:bookmarkStart w:id="339" w:name="_Toc212946966"/>
      <w:bookmarkStart w:id="340" w:name="_Toc241571113"/>
      <w:bookmarkStart w:id="341" w:name="_Toc495993595"/>
      <w:bookmarkStart w:id="342" w:name="_Toc511525071"/>
      <w:bookmarkStart w:id="343" w:name="_Toc27803435"/>
      <w:r>
        <w:rPr>
          <w:rStyle w:val="CharSectno"/>
        </w:rPr>
        <w:t>59</w:t>
      </w:r>
      <w:r>
        <w:t>.</w:t>
      </w:r>
      <w:r>
        <w:tab/>
        <w:t>Name of bookmaker to be shown</w:t>
      </w:r>
      <w:bookmarkEnd w:id="337"/>
      <w:bookmarkEnd w:id="338"/>
      <w:bookmarkEnd w:id="339"/>
      <w:bookmarkEnd w:id="340"/>
    </w:p>
    <w:p>
      <w:pPr>
        <w:pStyle w:val="Subsection"/>
      </w:pPr>
      <w:r>
        <w:tab/>
        <w:t>(1)</w:t>
      </w:r>
      <w:r>
        <w:tab/>
        <w:t xml:space="preserve">A bookmaker shall not carry on business as a bookmaker at a race meeting unless there is displayed on the betting stand of that bookmaker a tablet or sign showing —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44" w:name="_Toc133903541"/>
      <w:bookmarkStart w:id="345" w:name="_Toc172087791"/>
      <w:bookmarkStart w:id="346" w:name="_Toc212946967"/>
      <w:bookmarkStart w:id="347" w:name="_Toc241571114"/>
      <w:r>
        <w:rPr>
          <w:rStyle w:val="CharSectno"/>
        </w:rPr>
        <w:t>60</w:t>
      </w:r>
      <w:r>
        <w:rPr>
          <w:snapToGrid w:val="0"/>
        </w:rPr>
        <w:t>.</w:t>
      </w:r>
      <w:r>
        <w:rPr>
          <w:snapToGrid w:val="0"/>
        </w:rPr>
        <w:tab/>
        <w:t>Betting boards etc. to be approved</w:t>
      </w:r>
      <w:bookmarkEnd w:id="341"/>
      <w:bookmarkEnd w:id="342"/>
      <w:bookmarkEnd w:id="343"/>
      <w:bookmarkEnd w:id="344"/>
      <w:bookmarkEnd w:id="345"/>
      <w:bookmarkEnd w:id="346"/>
      <w:bookmarkEnd w:id="347"/>
      <w:r>
        <w:rPr>
          <w:snapToGrid w:val="0"/>
        </w:rPr>
        <w:t xml:space="preserve"> </w:t>
      </w:r>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 xml:space="preserve">[Regulation 60 amended in Gazette 24 Jun 1988 p. 2005; 10 Jul 1992 p. 3291; 21 Jul 1998 p. 3856.] </w:t>
      </w:r>
    </w:p>
    <w:p>
      <w:pPr>
        <w:pStyle w:val="Heading5"/>
        <w:spacing w:before="240"/>
        <w:rPr>
          <w:snapToGrid w:val="0"/>
        </w:rPr>
      </w:pPr>
      <w:bookmarkStart w:id="348" w:name="_Toc495993596"/>
      <w:bookmarkStart w:id="349" w:name="_Toc511525072"/>
      <w:bookmarkStart w:id="350" w:name="_Toc27803436"/>
      <w:bookmarkStart w:id="351" w:name="_Toc133903542"/>
      <w:bookmarkStart w:id="352" w:name="_Toc172087792"/>
      <w:bookmarkStart w:id="353" w:name="_Toc212946968"/>
      <w:bookmarkStart w:id="354" w:name="_Toc241571115"/>
      <w:r>
        <w:rPr>
          <w:rStyle w:val="CharSectno"/>
        </w:rPr>
        <w:t>61</w:t>
      </w:r>
      <w:r>
        <w:rPr>
          <w:snapToGrid w:val="0"/>
        </w:rPr>
        <w:t>.</w:t>
      </w:r>
      <w:r>
        <w:rPr>
          <w:snapToGrid w:val="0"/>
        </w:rPr>
        <w:tab/>
        <w:t>Betting boards</w:t>
      </w:r>
      <w:bookmarkEnd w:id="348"/>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 xml:space="preserve">[Regulation 61 amended in Gazette 24 Jun 1988 p. 2005; 10 Jul 1992 p. 3292; 21 Jul 1998 p. 3855 and 3856; 20 Sep 2002 p. 4703; 30 Jan 2004 p. 405.] </w:t>
      </w:r>
    </w:p>
    <w:p>
      <w:pPr>
        <w:pStyle w:val="Heading5"/>
        <w:rPr>
          <w:snapToGrid w:val="0"/>
        </w:rPr>
      </w:pPr>
      <w:bookmarkStart w:id="355" w:name="_Toc495993597"/>
      <w:bookmarkStart w:id="356" w:name="_Toc511525073"/>
      <w:bookmarkStart w:id="357" w:name="_Toc27803437"/>
      <w:bookmarkStart w:id="358" w:name="_Toc133903543"/>
      <w:bookmarkStart w:id="359" w:name="_Toc172087793"/>
      <w:bookmarkStart w:id="360" w:name="_Toc212946969"/>
      <w:bookmarkStart w:id="361" w:name="_Toc241571116"/>
      <w:r>
        <w:rPr>
          <w:rStyle w:val="CharSectno"/>
        </w:rPr>
        <w:t>62</w:t>
      </w:r>
      <w:r>
        <w:rPr>
          <w:snapToGrid w:val="0"/>
        </w:rPr>
        <w:t>.</w:t>
      </w:r>
      <w:r>
        <w:rPr>
          <w:snapToGrid w:val="0"/>
        </w:rPr>
        <w:tab/>
        <w:t>Omissions from betting board etc.</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r>
      <w:r>
        <w:t>A bookmaker or a manager of a bookmaker who</w:t>
      </w:r>
      <w:r>
        <w:rPr>
          <w:snapToGrid w:val="0"/>
        </w:rPr>
        <w:t> —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 xml:space="preserve">[Regulation 62 amended in Gazette 10 Jul 1992 p. 3292; 21 Jul 1998 p. 3855; 20 Sep 2002 p. 4703.] </w:t>
      </w:r>
    </w:p>
    <w:p>
      <w:pPr>
        <w:pStyle w:val="Heading5"/>
        <w:rPr>
          <w:snapToGrid w:val="0"/>
        </w:rPr>
      </w:pPr>
      <w:bookmarkStart w:id="362" w:name="_Toc495993598"/>
      <w:bookmarkStart w:id="363" w:name="_Toc511525074"/>
      <w:bookmarkStart w:id="364" w:name="_Toc27803438"/>
      <w:bookmarkStart w:id="365" w:name="_Toc133903544"/>
      <w:bookmarkStart w:id="366" w:name="_Toc172087794"/>
      <w:bookmarkStart w:id="367" w:name="_Toc212946970"/>
      <w:bookmarkStart w:id="368" w:name="_Toc241571117"/>
      <w:r>
        <w:rPr>
          <w:rStyle w:val="CharSectno"/>
        </w:rPr>
        <w:t>63</w:t>
      </w:r>
      <w:r>
        <w:rPr>
          <w:snapToGrid w:val="0"/>
        </w:rPr>
        <w:t>.</w:t>
      </w:r>
      <w:r>
        <w:rPr>
          <w:snapToGrid w:val="0"/>
        </w:rPr>
        <w:tab/>
        <w:t>Bets with other bookmakers</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 xml:space="preserve">if the bet is a “bet back”, the bookmaker who makes the bet or on whose behalf the bet is made shall record —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 xml:space="preserve">[Regulation 63 amended in Gazette 24 Jun 1988 p. 2005; 10 Jul 1992 p. 3293; 21 Jul 1998 p. 3855 and 3856; 17 Dec 2002 p. 5924.] </w:t>
      </w:r>
    </w:p>
    <w:p>
      <w:pPr>
        <w:pStyle w:val="Ednotesection"/>
      </w:pPr>
      <w:r>
        <w:t>[</w:t>
      </w:r>
      <w:r>
        <w:rPr>
          <w:b/>
        </w:rPr>
        <w:t>64</w:t>
      </w:r>
      <w:r>
        <w:noBreakHyphen/>
      </w:r>
      <w:r>
        <w:rPr>
          <w:b/>
        </w:rPr>
        <w:t>65.</w:t>
      </w:r>
      <w:r>
        <w:tab/>
        <w:t>Deleted in Gazette 13 Oct 2000 p. 5726.]</w:t>
      </w:r>
    </w:p>
    <w:p>
      <w:pPr>
        <w:pStyle w:val="Ednotesection"/>
        <w:spacing w:before="180"/>
      </w:pPr>
      <w:r>
        <w:t>[</w:t>
      </w:r>
      <w:r>
        <w:rPr>
          <w:b/>
        </w:rPr>
        <w:t>66</w:t>
      </w:r>
      <w:r>
        <w:rPr>
          <w:b/>
        </w:rPr>
        <w:noBreakHyphen/>
        <w:t>67.</w:t>
      </w:r>
      <w:r>
        <w:rPr>
          <w:b/>
        </w:rPr>
        <w:tab/>
      </w:r>
      <w:r>
        <w:t xml:space="preserve">Deleted in Gazette 10 Jul 1992 p. 3293.] </w:t>
      </w:r>
    </w:p>
    <w:p>
      <w:pPr>
        <w:pStyle w:val="Heading5"/>
        <w:spacing w:before="180"/>
        <w:rPr>
          <w:snapToGrid w:val="0"/>
        </w:rPr>
      </w:pPr>
      <w:bookmarkStart w:id="369" w:name="_Toc495993599"/>
      <w:bookmarkStart w:id="370" w:name="_Toc511525075"/>
      <w:bookmarkStart w:id="371" w:name="_Toc27803439"/>
      <w:bookmarkStart w:id="372" w:name="_Toc133903545"/>
      <w:bookmarkStart w:id="373" w:name="_Toc172087795"/>
      <w:bookmarkStart w:id="374" w:name="_Toc212946971"/>
      <w:bookmarkStart w:id="375" w:name="_Toc241571118"/>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spacing w:before="180"/>
      </w:pPr>
      <w:r>
        <w:t>[</w:t>
      </w:r>
      <w:r>
        <w:rPr>
          <w:b/>
        </w:rPr>
        <w:t>69.</w:t>
      </w:r>
      <w:r>
        <w:tab/>
        <w:t xml:space="preserve">Deleted in Gazette 21 Jul 1998 p. 3854.] </w:t>
      </w:r>
    </w:p>
    <w:p>
      <w:pPr>
        <w:pStyle w:val="Ednotesection"/>
        <w:spacing w:before="180"/>
      </w:pPr>
      <w:r>
        <w:t>[</w:t>
      </w:r>
      <w:r>
        <w:rPr>
          <w:b/>
        </w:rPr>
        <w:t>70.</w:t>
      </w:r>
      <w:r>
        <w:tab/>
        <w:t>Deleted in Gazette 21 Jul 2006 p. 2673.]</w:t>
      </w:r>
    </w:p>
    <w:p>
      <w:pPr>
        <w:pStyle w:val="Heading5"/>
        <w:spacing w:before="180"/>
        <w:rPr>
          <w:snapToGrid w:val="0"/>
        </w:rPr>
      </w:pPr>
      <w:bookmarkStart w:id="376" w:name="_Toc495993601"/>
      <w:bookmarkStart w:id="377" w:name="_Toc511525077"/>
      <w:bookmarkStart w:id="378" w:name="_Toc27803441"/>
      <w:bookmarkStart w:id="379" w:name="_Toc133903547"/>
      <w:bookmarkStart w:id="380" w:name="_Toc172087796"/>
      <w:bookmarkStart w:id="381" w:name="_Toc212946972"/>
      <w:bookmarkStart w:id="382" w:name="_Toc241571119"/>
      <w:r>
        <w:rPr>
          <w:rStyle w:val="CharSectno"/>
        </w:rPr>
        <w:t>71</w:t>
      </w:r>
      <w:r>
        <w:rPr>
          <w:snapToGrid w:val="0"/>
        </w:rPr>
        <w:t>.</w:t>
      </w:r>
      <w:r>
        <w:rPr>
          <w:snapToGrid w:val="0"/>
        </w:rPr>
        <w:tab/>
        <w:t>Telephone betting on sporting events</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 </w:t>
      </w:r>
    </w:p>
    <w:p>
      <w:pPr>
        <w:pStyle w:val="Indenta"/>
        <w:spacing w:before="60"/>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 xml:space="preserve">[Regulation 71 inserted in Gazette 31 Aug 1993 p. 4677; amended in Gazette 24 Dec 1993 p. 6839; 21 Jul 1998 p. 3854; 20 Sep 2002 p. 4703; 30 Jan 2004 p. 412.] </w:t>
      </w:r>
    </w:p>
    <w:p>
      <w:pPr>
        <w:pStyle w:val="Heading5"/>
        <w:rPr>
          <w:snapToGrid w:val="0"/>
        </w:rPr>
      </w:pPr>
      <w:bookmarkStart w:id="383" w:name="_Toc495993602"/>
      <w:bookmarkStart w:id="384" w:name="_Toc511525078"/>
      <w:bookmarkStart w:id="385" w:name="_Toc27803442"/>
      <w:bookmarkStart w:id="386" w:name="_Toc133903548"/>
      <w:bookmarkStart w:id="387" w:name="_Toc172087797"/>
      <w:bookmarkStart w:id="388" w:name="_Toc212946973"/>
      <w:bookmarkStart w:id="389" w:name="_Toc241571120"/>
      <w:r>
        <w:rPr>
          <w:rStyle w:val="CharSectno"/>
        </w:rPr>
        <w:t>72</w:t>
      </w:r>
      <w:r>
        <w:rPr>
          <w:snapToGrid w:val="0"/>
        </w:rPr>
        <w:t>.</w:t>
      </w:r>
      <w:r>
        <w:rPr>
          <w:snapToGrid w:val="0"/>
        </w:rPr>
        <w:tab/>
        <w:t>Telephone betting on racing</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 xml:space="preserve">be maintained as betting records for inspection or audit by any authorised person;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 xml:space="preserve">6.] </w:t>
      </w:r>
    </w:p>
    <w:p>
      <w:pPr>
        <w:pStyle w:val="Heading5"/>
        <w:spacing w:before="260"/>
      </w:pPr>
      <w:bookmarkStart w:id="390" w:name="_Toc495993603"/>
      <w:bookmarkStart w:id="391" w:name="_Toc511525079"/>
      <w:bookmarkStart w:id="392" w:name="_Toc27803443"/>
      <w:bookmarkStart w:id="393" w:name="_Toc133903549"/>
      <w:bookmarkStart w:id="394" w:name="_Toc172087798"/>
      <w:bookmarkStart w:id="395" w:name="_Toc212946974"/>
      <w:bookmarkStart w:id="396" w:name="_Toc241571121"/>
      <w:r>
        <w:rPr>
          <w:rStyle w:val="CharSectno"/>
        </w:rPr>
        <w:t>73</w:t>
      </w:r>
      <w:r>
        <w:t>.</w:t>
      </w:r>
      <w:r>
        <w:tab/>
        <w:t>Credit betting other than by telephone</w:t>
      </w:r>
      <w:bookmarkEnd w:id="390"/>
      <w:bookmarkEnd w:id="391"/>
      <w:bookmarkEnd w:id="392"/>
      <w:bookmarkEnd w:id="393"/>
      <w:bookmarkEnd w:id="394"/>
      <w:bookmarkEnd w:id="395"/>
      <w:bookmarkEnd w:id="396"/>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709"/>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397" w:name="_Toc495993604"/>
      <w:bookmarkStart w:id="398" w:name="_Toc511525080"/>
      <w:bookmarkStart w:id="399" w:name="_Toc27803444"/>
      <w:bookmarkStart w:id="400" w:name="_Toc133903550"/>
      <w:bookmarkStart w:id="401" w:name="_Toc172087799"/>
      <w:bookmarkStart w:id="402" w:name="_Toc212946975"/>
      <w:bookmarkStart w:id="403" w:name="_Toc241571122"/>
      <w:r>
        <w:rPr>
          <w:rStyle w:val="CharSectno"/>
        </w:rPr>
        <w:t>74</w:t>
      </w:r>
      <w:r>
        <w:t>.</w:t>
      </w:r>
      <w:r>
        <w:tab/>
        <w:t>Internet betting (sporting events)</w:t>
      </w:r>
      <w:bookmarkEnd w:id="397"/>
      <w:bookmarkEnd w:id="398"/>
      <w:bookmarkEnd w:id="399"/>
      <w:bookmarkEnd w:id="400"/>
      <w:bookmarkEnd w:id="401"/>
      <w:bookmarkEnd w:id="402"/>
      <w:bookmarkEnd w:id="403"/>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04" w:name="_Toc495993605"/>
      <w:bookmarkStart w:id="405" w:name="_Toc511525081"/>
      <w:bookmarkStart w:id="406" w:name="_Toc27803445"/>
      <w:bookmarkStart w:id="407" w:name="_Toc133903551"/>
      <w:bookmarkStart w:id="408" w:name="_Toc172087800"/>
      <w:bookmarkStart w:id="409" w:name="_Toc212946976"/>
      <w:bookmarkStart w:id="410" w:name="_Toc241571123"/>
      <w:r>
        <w:rPr>
          <w:rStyle w:val="CharSectno"/>
        </w:rPr>
        <w:t>75</w:t>
      </w:r>
      <w:r>
        <w:t>.</w:t>
      </w:r>
      <w:r>
        <w:tab/>
        <w:t>Internet betting (racing)</w:t>
      </w:r>
      <w:bookmarkEnd w:id="404"/>
      <w:bookmarkEnd w:id="405"/>
      <w:bookmarkEnd w:id="406"/>
      <w:bookmarkEnd w:id="407"/>
      <w:bookmarkEnd w:id="408"/>
      <w:bookmarkEnd w:id="409"/>
      <w:bookmarkEnd w:id="410"/>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 xml:space="preserve">if the committee or other authority controlling the racecourse so permits; </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11" w:name="_Toc495993606"/>
      <w:bookmarkStart w:id="412" w:name="_Toc511525082"/>
      <w:bookmarkStart w:id="413" w:name="_Toc27803446"/>
      <w:bookmarkStart w:id="414" w:name="_Toc133903552"/>
      <w:bookmarkStart w:id="415" w:name="_Toc172087801"/>
      <w:bookmarkStart w:id="416" w:name="_Toc212946977"/>
      <w:bookmarkStart w:id="417" w:name="_Toc241571124"/>
      <w:r>
        <w:rPr>
          <w:rStyle w:val="CharSectno"/>
        </w:rPr>
        <w:t>76</w:t>
      </w:r>
      <w:r>
        <w:t>.</w:t>
      </w:r>
      <w:r>
        <w:tab/>
        <w:t>Procedures for internet betting</w:t>
      </w:r>
      <w:bookmarkEnd w:id="411"/>
      <w:bookmarkEnd w:id="412"/>
      <w:bookmarkEnd w:id="413"/>
      <w:bookmarkEnd w:id="414"/>
      <w:bookmarkEnd w:id="415"/>
      <w:bookmarkEnd w:id="416"/>
      <w:bookmarkEnd w:id="417"/>
    </w:p>
    <w:p>
      <w:pPr>
        <w:pStyle w:val="Subsection"/>
      </w:pPr>
      <w:r>
        <w:tab/>
        <w:t>(1)</w:t>
      </w:r>
      <w:r>
        <w:tab/>
        <w:t xml:space="preserve">For the purposes of regulations 74 and 75 the </w:t>
      </w:r>
      <w:r>
        <w:rPr>
          <w:snapToGrid w:val="0"/>
        </w:rPr>
        <w:t>Commission</w:t>
      </w:r>
      <w:r>
        <w:t xml:space="preserve"> has established the following procedures —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 xml:space="preserve">notwithstanding section 31(1)(b)(iii), is to be delivered (or not delivered) in a manner, </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18" w:name="_Toc133903553"/>
      <w:bookmarkStart w:id="419" w:name="_Toc172087802"/>
      <w:bookmarkStart w:id="420" w:name="_Toc212946978"/>
      <w:bookmarkStart w:id="421" w:name="_Toc241571125"/>
      <w:r>
        <w:rPr>
          <w:rStyle w:val="CharSectno"/>
        </w:rPr>
        <w:t>77</w:t>
      </w:r>
      <w:r>
        <w:t>.</w:t>
      </w:r>
      <w:r>
        <w:tab/>
        <w:t>Form of search warrant</w:t>
      </w:r>
      <w:bookmarkEnd w:id="418"/>
      <w:bookmarkEnd w:id="419"/>
      <w:bookmarkEnd w:id="420"/>
      <w:bookmarkEnd w:id="421"/>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22" w:name="_Toc141162224"/>
      <w:bookmarkStart w:id="423" w:name="_Toc141173813"/>
      <w:bookmarkStart w:id="424" w:name="_Toc148256435"/>
      <w:bookmarkStart w:id="425" w:name="_Toc151192438"/>
      <w:bookmarkStart w:id="426" w:name="_Toc151260807"/>
      <w:bookmarkStart w:id="427" w:name="_Toc155062641"/>
      <w:bookmarkStart w:id="428" w:name="_Toc155079966"/>
      <w:bookmarkStart w:id="429" w:name="_Toc171737737"/>
      <w:bookmarkStart w:id="430" w:name="_Toc172087296"/>
      <w:bookmarkStart w:id="431" w:name="_Toc172087541"/>
      <w:bookmarkStart w:id="432" w:name="_Toc172087803"/>
      <w:bookmarkStart w:id="433" w:name="_Toc173915878"/>
      <w:bookmarkStart w:id="434" w:name="_Toc175536883"/>
      <w:bookmarkStart w:id="435" w:name="_Toc175629384"/>
      <w:bookmarkStart w:id="436" w:name="_Toc177792397"/>
      <w:bookmarkStart w:id="437" w:name="_Toc177877432"/>
      <w:bookmarkStart w:id="438" w:name="_Toc179704066"/>
      <w:bookmarkStart w:id="439" w:name="_Toc185647247"/>
      <w:bookmarkStart w:id="440" w:name="_Toc212946979"/>
      <w:bookmarkStart w:id="441" w:name="_Toc218325365"/>
      <w:bookmarkStart w:id="442" w:name="_Toc218325481"/>
      <w:bookmarkStart w:id="443" w:name="_Toc218400204"/>
      <w:bookmarkStart w:id="444" w:name="_Toc241566782"/>
      <w:bookmarkStart w:id="445" w:name="_Toc241566897"/>
      <w:bookmarkStart w:id="446" w:name="_Toc241571126"/>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Footnoteheading"/>
      </w:pPr>
      <w:r>
        <w:tab/>
        <w:t>[Heading inserted in Gazette 21 Jul 2006 p. 2673.]</w:t>
      </w:r>
    </w:p>
    <w:p>
      <w:pPr>
        <w:pStyle w:val="Heading3"/>
      </w:pPr>
      <w:bookmarkStart w:id="447" w:name="_Toc141162225"/>
      <w:bookmarkStart w:id="448" w:name="_Toc141173814"/>
      <w:bookmarkStart w:id="449" w:name="_Toc148256436"/>
      <w:bookmarkStart w:id="450" w:name="_Toc151192439"/>
      <w:bookmarkStart w:id="451" w:name="_Toc151260808"/>
      <w:bookmarkStart w:id="452" w:name="_Toc155062642"/>
      <w:bookmarkStart w:id="453" w:name="_Toc155079967"/>
      <w:bookmarkStart w:id="454" w:name="_Toc171737738"/>
      <w:bookmarkStart w:id="455" w:name="_Toc172087297"/>
      <w:bookmarkStart w:id="456" w:name="_Toc172087542"/>
      <w:bookmarkStart w:id="457" w:name="_Toc172087804"/>
      <w:bookmarkStart w:id="458" w:name="_Toc173915879"/>
      <w:bookmarkStart w:id="459" w:name="_Toc175536884"/>
      <w:bookmarkStart w:id="460" w:name="_Toc175629385"/>
      <w:bookmarkStart w:id="461" w:name="_Toc177792398"/>
      <w:bookmarkStart w:id="462" w:name="_Toc177877433"/>
      <w:bookmarkStart w:id="463" w:name="_Toc179704067"/>
      <w:bookmarkStart w:id="464" w:name="_Toc185647248"/>
      <w:bookmarkStart w:id="465" w:name="_Toc212946980"/>
      <w:bookmarkStart w:id="466" w:name="_Toc218325366"/>
      <w:bookmarkStart w:id="467" w:name="_Toc218325482"/>
      <w:bookmarkStart w:id="468" w:name="_Toc218400205"/>
      <w:bookmarkStart w:id="469" w:name="_Toc241566783"/>
      <w:bookmarkStart w:id="470" w:name="_Toc241566898"/>
      <w:bookmarkStart w:id="471" w:name="_Toc241571127"/>
      <w:r>
        <w:rPr>
          <w:rStyle w:val="CharDivNo"/>
        </w:rPr>
        <w:t>Division 1</w:t>
      </w:r>
      <w:r>
        <w:t> — </w:t>
      </w:r>
      <w:r>
        <w:rPr>
          <w:rStyle w:val="CharDivText"/>
        </w:rPr>
        <w:t>Preliminary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Footnoteheading"/>
      </w:pPr>
      <w:r>
        <w:tab/>
        <w:t>[Heading inserted in Gazette 21 Jul 2006 p. 2673.]</w:t>
      </w:r>
    </w:p>
    <w:p>
      <w:pPr>
        <w:pStyle w:val="Heading5"/>
      </w:pPr>
      <w:bookmarkStart w:id="472" w:name="_Toc172087805"/>
      <w:bookmarkStart w:id="473" w:name="_Toc212946981"/>
      <w:bookmarkStart w:id="474" w:name="_Toc241571128"/>
      <w:r>
        <w:rPr>
          <w:rStyle w:val="CharSectno"/>
        </w:rPr>
        <w:t>78</w:t>
      </w:r>
      <w:r>
        <w:t>.</w:t>
      </w:r>
      <w:r>
        <w:tab/>
      </w:r>
      <w:bookmarkEnd w:id="472"/>
      <w:r>
        <w:t>Terms used in this Part</w:t>
      </w:r>
      <w:bookmarkEnd w:id="473"/>
      <w:bookmarkEnd w:id="474"/>
    </w:p>
    <w:p>
      <w:pPr>
        <w:pStyle w:val="Subsection"/>
      </w:pPr>
      <w:r>
        <w:tab/>
        <w:t>(1)</w:t>
      </w:r>
      <w:r>
        <w:tab/>
        <w:t xml:space="preserve">In this Part — </w:t>
      </w:r>
    </w:p>
    <w:p>
      <w:pPr>
        <w:pStyle w:val="Defstart"/>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rPr>
          <w:b/>
        </w:rPr>
      </w:pPr>
      <w:r>
        <w:rPr>
          <w:b/>
        </w:rPr>
        <w:tab/>
      </w:r>
      <w:r>
        <w:rPr>
          <w:rStyle w:val="CharDefText"/>
        </w:rPr>
        <w:t>local on</w:t>
      </w:r>
      <w:r>
        <w:rPr>
          <w:rStyle w:val="CharDefText"/>
        </w:rPr>
        <w:noBreakHyphen/>
        <w:t>course totalisator</w:t>
      </w:r>
      <w:r>
        <w:t xml:space="preserve"> means —</w:t>
      </w:r>
      <w:r>
        <w:rPr>
          <w:b/>
        </w:rPr>
        <w:t xml:space="preserve"> </w:t>
      </w:r>
    </w:p>
    <w:p>
      <w:pPr>
        <w:pStyle w:val="Defpara"/>
      </w:pPr>
      <w:r>
        <w:tab/>
        <w:t>(a)</w:t>
      </w:r>
      <w:r>
        <w:tab/>
        <w:t xml:space="preserve">a totalisator operated at a racecourse by the authority conducting the particular race meeting where totalisator betting is conducted independently of RWWA; </w:t>
      </w:r>
    </w:p>
    <w:p>
      <w:pPr>
        <w:pStyle w:val="Defpara"/>
      </w:pPr>
      <w:r>
        <w:tab/>
        <w:t>(b)</w:t>
      </w:r>
      <w:r>
        <w:tab/>
        <w:t>where the context requires, a person representing the authority operating the totalisator in paragraph (a);</w:t>
      </w:r>
    </w:p>
    <w:p>
      <w:pPr>
        <w:pStyle w:val="Defpara"/>
      </w:pPr>
      <w:r>
        <w:tab/>
        <w:t>(c)</w:t>
      </w:r>
      <w:r>
        <w:tab/>
        <w:t>where the context requires, the premises in which the betting for a totalisator in paragraph (a) is conducted;</w:t>
      </w:r>
    </w:p>
    <w:p>
      <w:pPr>
        <w:pStyle w:val="Defstart"/>
      </w:pPr>
      <w:r>
        <w:rPr>
          <w:b/>
        </w:rPr>
        <w:tab/>
      </w:r>
      <w:r>
        <w:rPr>
          <w:rStyle w:val="CharDefText"/>
        </w:rPr>
        <w:t>on</w:t>
      </w:r>
      <w:r>
        <w:rPr>
          <w:rStyle w:val="CharDefText"/>
        </w:rPr>
        <w:noBreakHyphen/>
        <w:t>course totalisator</w:t>
      </w:r>
      <w:r>
        <w:t xml:space="preserve"> means — </w:t>
      </w:r>
    </w:p>
    <w:p>
      <w:pPr>
        <w:pStyle w:val="Defpara"/>
      </w:pPr>
      <w:r>
        <w:tab/>
        <w:t>(a)</w:t>
      </w:r>
      <w:r>
        <w:tab/>
        <w:t>a totalisator operated at a racecourse by the racing club, where bets form a part of the RWWA totalisator scheme under section 58 of the RWWA Act;</w:t>
      </w:r>
    </w:p>
    <w:p>
      <w:pPr>
        <w:pStyle w:val="Defpara"/>
      </w:pPr>
      <w:r>
        <w:tab/>
        <w:t>(b)</w:t>
      </w:r>
      <w:r>
        <w:tab/>
        <w:t>where the context requires, a representative of the racing club operating the totalisator in paragraph (a);</w:t>
      </w:r>
    </w:p>
    <w:p>
      <w:pPr>
        <w:pStyle w:val="Defpara"/>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475" w:name="_Toc63486046"/>
      <w:r>
        <w:tab/>
        <w:t>[Regulation 78 inserted in Gazette 21 Jul 2006 p. 2673</w:t>
      </w:r>
      <w:r>
        <w:noBreakHyphen/>
        <w:t>4.]</w:t>
      </w:r>
    </w:p>
    <w:p>
      <w:pPr>
        <w:pStyle w:val="Heading3"/>
      </w:pPr>
      <w:bookmarkStart w:id="476" w:name="_Toc141162227"/>
      <w:bookmarkStart w:id="477" w:name="_Toc141173816"/>
      <w:bookmarkStart w:id="478" w:name="_Toc148256438"/>
      <w:bookmarkStart w:id="479" w:name="_Toc151192441"/>
      <w:bookmarkStart w:id="480" w:name="_Toc151260810"/>
      <w:bookmarkStart w:id="481" w:name="_Toc155062644"/>
      <w:bookmarkStart w:id="482" w:name="_Toc155079969"/>
      <w:bookmarkStart w:id="483" w:name="_Toc171737740"/>
      <w:bookmarkStart w:id="484" w:name="_Toc172087299"/>
      <w:bookmarkStart w:id="485" w:name="_Toc172087544"/>
      <w:bookmarkStart w:id="486" w:name="_Toc172087806"/>
      <w:bookmarkStart w:id="487" w:name="_Toc173915881"/>
      <w:bookmarkStart w:id="488" w:name="_Toc175536886"/>
      <w:bookmarkStart w:id="489" w:name="_Toc175629387"/>
      <w:bookmarkStart w:id="490" w:name="_Toc177792400"/>
      <w:bookmarkStart w:id="491" w:name="_Toc177877435"/>
      <w:bookmarkStart w:id="492" w:name="_Toc179704069"/>
      <w:bookmarkStart w:id="493" w:name="_Toc185647250"/>
      <w:bookmarkStart w:id="494" w:name="_Toc212946982"/>
      <w:bookmarkStart w:id="495" w:name="_Toc218325368"/>
      <w:bookmarkStart w:id="496" w:name="_Toc218325484"/>
      <w:bookmarkStart w:id="497" w:name="_Toc218400207"/>
      <w:bookmarkStart w:id="498" w:name="_Toc241566785"/>
      <w:bookmarkStart w:id="499" w:name="_Toc241566900"/>
      <w:bookmarkStart w:id="500" w:name="_Toc241571129"/>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Footnoteheading"/>
      </w:pPr>
      <w:bookmarkStart w:id="501" w:name="_Toc63486048"/>
      <w:bookmarkEnd w:id="475"/>
      <w:r>
        <w:tab/>
        <w:t>[Heading inserted in Gazette 21 Jul 2006 p. 2674.]</w:t>
      </w:r>
    </w:p>
    <w:p>
      <w:pPr>
        <w:pStyle w:val="Heading5"/>
      </w:pPr>
      <w:bookmarkStart w:id="502" w:name="_Toc172087807"/>
      <w:bookmarkStart w:id="503" w:name="_Toc212946983"/>
      <w:bookmarkStart w:id="504" w:name="_Toc241571130"/>
      <w:r>
        <w:rPr>
          <w:rStyle w:val="CharSectno"/>
        </w:rPr>
        <w:t>79</w:t>
      </w:r>
      <w:r>
        <w:t>.</w:t>
      </w:r>
      <w:r>
        <w:tab/>
        <w:t>On</w:t>
      </w:r>
      <w:r>
        <w:noBreakHyphen/>
        <w:t>course totalisator bets accepted subject to the rules and these regulations</w:t>
      </w:r>
      <w:bookmarkEnd w:id="501"/>
      <w:bookmarkEnd w:id="502"/>
      <w:bookmarkEnd w:id="503"/>
      <w:bookmarkEnd w:id="504"/>
    </w:p>
    <w:p>
      <w:pPr>
        <w:pStyle w:val="Subsection"/>
      </w:pPr>
      <w:r>
        <w:tab/>
        <w:t>(1)</w:t>
      </w:r>
      <w:r>
        <w:tab/>
        <w:t>Subject to these regulations, regulations made under the RWWA Act and the rules of wagering, a bet made with or through an on</w:t>
      </w:r>
      <w:r>
        <w:noBreakHyphen/>
        <w:t xml:space="preserve">course totalisator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505" w:name="_Toc172087808"/>
      <w:bookmarkStart w:id="506" w:name="_Toc212946984"/>
      <w:bookmarkStart w:id="507" w:name="_Toc241571131"/>
      <w:r>
        <w:rPr>
          <w:rStyle w:val="CharSectno"/>
        </w:rPr>
        <w:t>80</w:t>
      </w:r>
      <w:r>
        <w:t>.</w:t>
      </w:r>
      <w:r>
        <w:tab/>
        <w:t>Local on</w:t>
      </w:r>
      <w:r>
        <w:noBreakHyphen/>
        <w:t>course totalisator bets accepted subject to the rules and these regulations</w:t>
      </w:r>
      <w:bookmarkEnd w:id="505"/>
      <w:bookmarkEnd w:id="506"/>
      <w:bookmarkEnd w:id="507"/>
    </w:p>
    <w:p>
      <w:pPr>
        <w:pStyle w:val="Subsection"/>
      </w:pPr>
      <w:r>
        <w:tab/>
      </w:r>
      <w:r>
        <w:tab/>
        <w:t>Subject to these regulations and the rules of wagering, a bet made with or through a local on</w:t>
      </w:r>
      <w:r>
        <w:noBreakHyphen/>
        <w:t xml:space="preserve">course totalisator is taken to be accepted subject to —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508" w:name="_Toc63486049"/>
      <w:r>
        <w:tab/>
        <w:t>[Regulation 80 inserted in Gazette 21 Jul 2006 p. 2675</w:t>
      </w:r>
      <w:r>
        <w:noBreakHyphen/>
        <w:t>6.]</w:t>
      </w:r>
    </w:p>
    <w:p>
      <w:pPr>
        <w:pStyle w:val="Heading5"/>
      </w:pPr>
      <w:bookmarkStart w:id="509" w:name="_Toc172087809"/>
      <w:bookmarkStart w:id="510" w:name="_Toc212946985"/>
      <w:bookmarkStart w:id="511" w:name="_Toc241571132"/>
      <w:r>
        <w:rPr>
          <w:rStyle w:val="CharSectno"/>
        </w:rPr>
        <w:t>81</w:t>
      </w:r>
      <w:r>
        <w:t>.</w:t>
      </w:r>
      <w:r>
        <w:tab/>
        <w:t>All bets to be 50 cents or multiples of 50 cents</w:t>
      </w:r>
      <w:bookmarkEnd w:id="508"/>
      <w:bookmarkEnd w:id="509"/>
      <w:bookmarkEnd w:id="510"/>
      <w:bookmarkEnd w:id="51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512" w:name="_Toc63486050"/>
      <w:r>
        <w:tab/>
        <w:t>[Regulation 81 inserted in Gazette 21 Jul 2006 p. 2676; amended in Gazette 18 Sep 2007 p. 4717.]</w:t>
      </w:r>
    </w:p>
    <w:p>
      <w:pPr>
        <w:pStyle w:val="Heading5"/>
      </w:pPr>
      <w:bookmarkStart w:id="513" w:name="_Toc172087810"/>
      <w:bookmarkStart w:id="514" w:name="_Toc212946986"/>
      <w:bookmarkStart w:id="515" w:name="_Toc241571133"/>
      <w:r>
        <w:rPr>
          <w:rStyle w:val="CharSectno"/>
        </w:rPr>
        <w:t>82</w:t>
      </w:r>
      <w:r>
        <w:t>.</w:t>
      </w:r>
      <w:r>
        <w:tab/>
        <w:t>On</w:t>
      </w:r>
      <w:r>
        <w:noBreakHyphen/>
        <w:t>course totalisator dividend as declared</w:t>
      </w:r>
      <w:bookmarkEnd w:id="512"/>
      <w:bookmarkEnd w:id="513"/>
      <w:bookmarkEnd w:id="514"/>
      <w:bookmarkEnd w:id="515"/>
    </w:p>
    <w:p>
      <w:pPr>
        <w:pStyle w:val="Subsection"/>
      </w:pPr>
      <w:r>
        <w:tab/>
        <w:t>(1)</w:t>
      </w:r>
      <w:r>
        <w:tab/>
        <w:t>The on</w:t>
      </w:r>
      <w:r>
        <w:noBreakHyphen/>
        <w:t xml:space="preserve">course totalisator dividend for a unit of 50 cents is to be as declared —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tie or draw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516" w:name="_Toc172087811"/>
      <w:bookmarkStart w:id="517" w:name="_Toc212946987"/>
      <w:bookmarkStart w:id="518" w:name="_Toc241571134"/>
      <w:r>
        <w:rPr>
          <w:rStyle w:val="CharSectno"/>
        </w:rPr>
        <w:t>83</w:t>
      </w:r>
      <w:r>
        <w:t>.</w:t>
      </w:r>
      <w:r>
        <w:tab/>
        <w:t>Local on</w:t>
      </w:r>
      <w:r>
        <w:noBreakHyphen/>
        <w:t>course totalisator dividend as declared</w:t>
      </w:r>
      <w:bookmarkEnd w:id="516"/>
      <w:bookmarkEnd w:id="517"/>
      <w:bookmarkEnd w:id="518"/>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 xml:space="preserve">course totalisator is to —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 xml:space="preserve">Except where a race results in a dead heat, and a dead heat is not an outcome that can be nominated in the bet, the minimum dividend in respect of a bet for a unit of 50 cents —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519" w:name="_Toc63486051"/>
      <w:r>
        <w:tab/>
        <w:t>[Regulation 83 inserted in Gazette 21 Jul 2006 p. 2677</w:t>
      </w:r>
      <w:r>
        <w:noBreakHyphen/>
        <w:t>8.]</w:t>
      </w:r>
    </w:p>
    <w:p>
      <w:pPr>
        <w:pStyle w:val="Heading5"/>
      </w:pPr>
      <w:bookmarkStart w:id="520" w:name="_Toc172087812"/>
      <w:bookmarkStart w:id="521" w:name="_Toc212946988"/>
      <w:bookmarkStart w:id="522" w:name="_Toc241571135"/>
      <w:r>
        <w:rPr>
          <w:rStyle w:val="CharSectno"/>
        </w:rPr>
        <w:t>84</w:t>
      </w:r>
      <w:r>
        <w:t>.</w:t>
      </w:r>
      <w:r>
        <w:tab/>
        <w:t>Bets may be refused</w:t>
      </w:r>
      <w:bookmarkEnd w:id="519"/>
      <w:bookmarkEnd w:id="520"/>
      <w:bookmarkEnd w:id="521"/>
      <w:bookmarkEnd w:id="52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pPr>
      <w:bookmarkStart w:id="523" w:name="_Toc63486052"/>
      <w:r>
        <w:tab/>
        <w:t>[Regulation 84 inserted in Gazette 21 Jul 2006 p. 2678.]</w:t>
      </w:r>
    </w:p>
    <w:p>
      <w:pPr>
        <w:pStyle w:val="Heading5"/>
      </w:pPr>
      <w:bookmarkStart w:id="524" w:name="_Toc172087813"/>
      <w:bookmarkStart w:id="525" w:name="_Toc212946989"/>
      <w:bookmarkStart w:id="526" w:name="_Toc241571136"/>
      <w:r>
        <w:rPr>
          <w:rStyle w:val="CharSectno"/>
        </w:rPr>
        <w:t>85</w:t>
      </w:r>
      <w:r>
        <w:t>.</w:t>
      </w:r>
      <w:r>
        <w:tab/>
        <w:t>Only authorised bets to be accepted</w:t>
      </w:r>
      <w:bookmarkEnd w:id="523"/>
      <w:bookmarkEnd w:id="524"/>
      <w:bookmarkEnd w:id="525"/>
      <w:bookmarkEnd w:id="526"/>
    </w:p>
    <w:p>
      <w:pPr>
        <w:pStyle w:val="Subsection"/>
      </w:pPr>
      <w:r>
        <w:tab/>
      </w:r>
      <w:r>
        <w:tab/>
        <w:t>Bets with or through an on</w:t>
      </w:r>
      <w:r>
        <w:noBreakHyphen/>
        <w:t>course totalisator or a local on</w:t>
      </w:r>
      <w:r>
        <w:noBreakHyphen/>
        <w:t xml:space="preserve">course totalisator are to be accepted —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527" w:name="_Toc63486053"/>
      <w:r>
        <w:tab/>
        <w:t>[Regulation 85 inserted in Gazette 21 Jul 2006 p. 2678</w:t>
      </w:r>
      <w:r>
        <w:noBreakHyphen/>
        <w:t>9.]</w:t>
      </w:r>
    </w:p>
    <w:p>
      <w:pPr>
        <w:pStyle w:val="Heading5"/>
      </w:pPr>
      <w:bookmarkStart w:id="528" w:name="_Toc172087814"/>
      <w:bookmarkStart w:id="529" w:name="_Toc212946990"/>
      <w:bookmarkStart w:id="530" w:name="_Toc241571137"/>
      <w:r>
        <w:rPr>
          <w:rStyle w:val="CharSectno"/>
        </w:rPr>
        <w:t>86</w:t>
      </w:r>
      <w:r>
        <w:t>.</w:t>
      </w:r>
      <w:r>
        <w:tab/>
        <w:t>Hours for opening</w:t>
      </w:r>
      <w:bookmarkEnd w:id="527"/>
      <w:bookmarkEnd w:id="528"/>
      <w:bookmarkEnd w:id="529"/>
      <w:bookmarkEnd w:id="530"/>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531" w:name="_Toc172087815"/>
      <w:bookmarkStart w:id="532" w:name="_Toc212946991"/>
      <w:bookmarkStart w:id="533" w:name="_Toc241571138"/>
      <w:r>
        <w:rPr>
          <w:rStyle w:val="CharSectno"/>
        </w:rPr>
        <w:t>87</w:t>
      </w:r>
      <w:r>
        <w:t>.</w:t>
      </w:r>
      <w:r>
        <w:tab/>
        <w:t>Bets may be made by various methods</w:t>
      </w:r>
      <w:bookmarkEnd w:id="531"/>
      <w:bookmarkEnd w:id="532"/>
      <w:bookmarkEnd w:id="533"/>
    </w:p>
    <w:p>
      <w:pPr>
        <w:pStyle w:val="Subsection"/>
      </w:pPr>
      <w:r>
        <w:tab/>
        <w:t>(1)</w:t>
      </w:r>
      <w:r>
        <w:tab/>
        <w:t>Subject to these regulations and the rules of wagering, bets with or through an on</w:t>
      </w:r>
      <w:r>
        <w:noBreakHyphen/>
        <w:t xml:space="preserve">course totalisator will be accepted from a person at that totalisator —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 xml:space="preserve">course totalisator may accept a bet where part or full payment for the bet is —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 xml:space="preserve">course totalisator may accept a bet where part or full payment for the bet is —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534" w:name="_Toc63486055"/>
      <w:r>
        <w:tab/>
        <w:t>[Regulation 87 inserted in Gazette 21 Jul 2006 p. 2679</w:t>
      </w:r>
      <w:r>
        <w:noBreakHyphen/>
        <w:t>80.]</w:t>
      </w:r>
    </w:p>
    <w:p>
      <w:pPr>
        <w:pStyle w:val="Heading5"/>
      </w:pPr>
      <w:bookmarkStart w:id="535" w:name="_Toc172087816"/>
      <w:bookmarkStart w:id="536" w:name="_Toc212946992"/>
      <w:bookmarkStart w:id="537" w:name="_Toc241571139"/>
      <w:r>
        <w:rPr>
          <w:rStyle w:val="CharSectno"/>
        </w:rPr>
        <w:t>88</w:t>
      </w:r>
      <w:r>
        <w:t>.</w:t>
      </w:r>
      <w:r>
        <w:tab/>
        <w:t>On</w:t>
      </w:r>
      <w:r>
        <w:noBreakHyphen/>
        <w:t>course totalisator bets to be properly marked</w:t>
      </w:r>
      <w:bookmarkEnd w:id="534"/>
      <w:bookmarkEnd w:id="535"/>
      <w:bookmarkEnd w:id="536"/>
      <w:bookmarkEnd w:id="53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538" w:name="_Toc172087817"/>
      <w:bookmarkStart w:id="539" w:name="_Toc212946993"/>
      <w:bookmarkStart w:id="540" w:name="_Toc241571140"/>
      <w:r>
        <w:rPr>
          <w:rStyle w:val="CharSectno"/>
        </w:rPr>
        <w:t>89</w:t>
      </w:r>
      <w:r>
        <w:t>.</w:t>
      </w:r>
      <w:r>
        <w:tab/>
        <w:t>Local on</w:t>
      </w:r>
      <w:r>
        <w:noBreakHyphen/>
        <w:t>course totalisator bets to be properly marked</w:t>
      </w:r>
      <w:bookmarkEnd w:id="538"/>
      <w:bookmarkEnd w:id="539"/>
      <w:bookmarkEnd w:id="540"/>
    </w:p>
    <w:p>
      <w:pPr>
        <w:pStyle w:val="Subsection"/>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pPr>
      <w:r>
        <w:tab/>
        <w:t>(3)</w:t>
      </w:r>
      <w:r>
        <w:tab/>
        <w:t>A local on</w:t>
      </w:r>
      <w:r>
        <w:noBreakHyphen/>
        <w:t>course totalisator is not to accept instructions for alternative bets in the event of the horse or greyhound selected being scratched.</w:t>
      </w:r>
    </w:p>
    <w:p>
      <w:pPr>
        <w:pStyle w:val="Footnotesection"/>
      </w:pPr>
      <w:bookmarkStart w:id="541" w:name="_Toc63486057"/>
      <w:r>
        <w:tab/>
        <w:t>[Regulation 89 inserted in Gazette 21 Jul 2006 p. 2681.]</w:t>
      </w:r>
    </w:p>
    <w:p>
      <w:pPr>
        <w:pStyle w:val="Heading5"/>
        <w:spacing w:before="180"/>
      </w:pPr>
      <w:bookmarkStart w:id="542" w:name="_Toc172087818"/>
      <w:bookmarkStart w:id="543" w:name="_Toc212946994"/>
      <w:bookmarkStart w:id="544" w:name="_Toc241571141"/>
      <w:r>
        <w:rPr>
          <w:rStyle w:val="CharSectno"/>
        </w:rPr>
        <w:t>90</w:t>
      </w:r>
      <w:r>
        <w:t>.</w:t>
      </w:r>
      <w:r>
        <w:tab/>
        <w:t>Tickets to be properly marked</w:t>
      </w:r>
      <w:bookmarkEnd w:id="541"/>
      <w:bookmarkEnd w:id="542"/>
      <w:bookmarkEnd w:id="543"/>
      <w:bookmarkEnd w:id="544"/>
    </w:p>
    <w:p>
      <w:pPr>
        <w:pStyle w:val="Subsection"/>
      </w:pPr>
      <w:r>
        <w:tab/>
        <w:t>(1)</w:t>
      </w:r>
      <w:r>
        <w:tab/>
        <w:t>Every ticket issued by an on</w:t>
      </w:r>
      <w:r>
        <w:noBreakHyphen/>
        <w:t>course totalisator or local on</w:t>
      </w:r>
      <w:r>
        <w:noBreakHyphen/>
        <w:t xml:space="preserve">course totalisator is to be printed, written, stamped, punched or marked to show the kind of bet and, in the case of a bet on a race or races, other than a favourite numbers bet —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 xml:space="preserve">the code number that has been allocated by RWWA to the horse or greyhound or horses or greyhounds on which the bet in respect of which the ticket is issued is made, </w:t>
      </w:r>
    </w:p>
    <w:p>
      <w:pPr>
        <w:pStyle w:val="Subsection"/>
      </w:pPr>
      <w:r>
        <w:tab/>
      </w:r>
      <w:r>
        <w:tab/>
        <w:t>together with sufficient details to identify the bet accepted.</w:t>
      </w:r>
    </w:p>
    <w:p>
      <w:pPr>
        <w:pStyle w:val="Subsection"/>
      </w:pPr>
      <w:r>
        <w:tab/>
        <w:t>(1a)</w:t>
      </w:r>
      <w:r>
        <w:tab/>
        <w:t>A ticket issued by an on</w:t>
      </w:r>
      <w:r>
        <w:noBreakHyphen/>
        <w:t>course totalisator or local on</w:t>
      </w:r>
      <w:r>
        <w:noBreakHyphen/>
        <w:t xml:space="preserve">course totalisator must show details of the amount of the bet and — </w:t>
      </w:r>
    </w:p>
    <w:p>
      <w:pPr>
        <w:pStyle w:val="Indenta"/>
      </w:pPr>
      <w:r>
        <w:tab/>
        <w:t>(a)</w:t>
      </w:r>
      <w:r>
        <w:tab/>
        <w:t>where the bet is not a Flexi Bet, the amount is to be expressed in units of 50 cents;</w:t>
      </w:r>
    </w:p>
    <w:p>
      <w:pPr>
        <w:pStyle w:val="Indenta"/>
      </w:pPr>
      <w:r>
        <w:tab/>
        <w:t>(b)</w:t>
      </w:r>
      <w:r>
        <w:tab/>
        <w:t>where the bet is a Flexi Bet, the amount may be expressed in units of 50 cents, percentages of 50 cent units or fractions of units of 50 cents.</w:t>
      </w:r>
    </w:p>
    <w:p>
      <w:pPr>
        <w:pStyle w:val="Subsection"/>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pPr>
      <w:bookmarkStart w:id="545" w:name="_Toc172087819"/>
      <w:bookmarkStart w:id="546" w:name="_Toc212946995"/>
      <w:bookmarkStart w:id="547" w:name="_Toc241571142"/>
      <w:r>
        <w:rPr>
          <w:rStyle w:val="CharSectno"/>
        </w:rPr>
        <w:t>91</w:t>
      </w:r>
      <w:r>
        <w:t>.</w:t>
      </w:r>
      <w:r>
        <w:tab/>
        <w:t>Host racing club to exhibit notices at on</w:t>
      </w:r>
      <w:r>
        <w:noBreakHyphen/>
        <w:t>course totalisator and local on</w:t>
      </w:r>
      <w:r>
        <w:noBreakHyphen/>
        <w:t>course totalisator</w:t>
      </w:r>
      <w:bookmarkEnd w:id="545"/>
      <w:bookmarkEnd w:id="546"/>
      <w:bookmarkEnd w:id="547"/>
    </w:p>
    <w:p>
      <w:pPr>
        <w:pStyle w:val="Subsection"/>
      </w:pPr>
      <w:r>
        <w:tab/>
        <w:t>(1)</w:t>
      </w:r>
      <w:r>
        <w:tab/>
        <w:t xml:space="preserve">The authority controlling the race meeting </w:t>
      </w:r>
      <w:r>
        <w:rPr>
          <w:b/>
          <w:bCs/>
        </w:rPr>
        <w:t>(</w:t>
      </w:r>
      <w:r>
        <w:rPr>
          <w:rStyle w:val="CharDefText"/>
        </w:rPr>
        <w:t>host club</w:t>
      </w:r>
      <w:r>
        <w:rPr>
          <w:b/>
          <w:bCs/>
        </w:rPr>
        <w:t>)</w:t>
      </w:r>
      <w:r>
        <w:t xml:space="preserve">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548" w:name="_Toc63486059"/>
      <w:r>
        <w:tab/>
        <w:t>[Regulation 91 inserted in Gazette 21 Jul 2006 p. 2682.]</w:t>
      </w:r>
    </w:p>
    <w:p>
      <w:pPr>
        <w:pStyle w:val="Heading5"/>
      </w:pPr>
      <w:bookmarkStart w:id="549" w:name="_Toc172087820"/>
      <w:bookmarkStart w:id="550" w:name="_Toc212946996"/>
      <w:bookmarkStart w:id="551" w:name="_Toc241571143"/>
      <w:r>
        <w:rPr>
          <w:rStyle w:val="CharSectno"/>
        </w:rPr>
        <w:t>92</w:t>
      </w:r>
      <w:r>
        <w:t>.</w:t>
      </w:r>
      <w:r>
        <w:tab/>
        <w:t>Correction of errors and omissions and the giving of certain refunds</w:t>
      </w:r>
      <w:bookmarkEnd w:id="548"/>
      <w:bookmarkEnd w:id="549"/>
      <w:bookmarkEnd w:id="550"/>
      <w:bookmarkEnd w:id="551"/>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 xml:space="preserve">course totalisator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 xml:space="preserve">Unless subregulation (1) applies, where a ticket is incomplete as to any of the particulars required to be shown on the ticket, or if —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552" w:name="_Toc63486060"/>
      <w:r>
        <w:tab/>
        <w:t>[Regulation 92 inserted in Gazette 21 Jul 2006 p. 2683</w:t>
      </w:r>
      <w:r>
        <w:noBreakHyphen/>
        <w:t>4; amended in Gazette 10 Oct 2006 p. 4392.]</w:t>
      </w:r>
    </w:p>
    <w:p>
      <w:pPr>
        <w:pStyle w:val="Heading5"/>
      </w:pPr>
      <w:bookmarkStart w:id="553" w:name="_Toc172087821"/>
      <w:bookmarkStart w:id="554" w:name="_Toc212946997"/>
      <w:bookmarkStart w:id="555" w:name="_Toc241571144"/>
      <w:r>
        <w:rPr>
          <w:rStyle w:val="CharSectno"/>
        </w:rPr>
        <w:t>93</w:t>
      </w:r>
      <w:r>
        <w:t>.</w:t>
      </w:r>
      <w:r>
        <w:tab/>
        <w:t>Time for payment of dividends or refunds for cash bets</w:t>
      </w:r>
      <w:bookmarkEnd w:id="552"/>
      <w:bookmarkEnd w:id="553"/>
      <w:bookmarkEnd w:id="554"/>
      <w:bookmarkEnd w:id="555"/>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556" w:name="_Toc63486061"/>
      <w:r>
        <w:tab/>
        <w:t>[Regulation 93 inserted in Gazette 21 Jul 2006 p. 2684</w:t>
      </w:r>
      <w:r>
        <w:noBreakHyphen/>
        <w:t>5.]</w:t>
      </w:r>
    </w:p>
    <w:p>
      <w:pPr>
        <w:pStyle w:val="Heading5"/>
      </w:pPr>
      <w:bookmarkStart w:id="557" w:name="_Toc172087822"/>
      <w:bookmarkStart w:id="558" w:name="_Toc212946998"/>
      <w:bookmarkStart w:id="559" w:name="_Toc241571145"/>
      <w:r>
        <w:rPr>
          <w:rStyle w:val="CharSectno"/>
        </w:rPr>
        <w:t>94</w:t>
      </w:r>
      <w:r>
        <w:t>.</w:t>
      </w:r>
      <w:r>
        <w:tab/>
        <w:t>Presentation of tickets or claims</w:t>
      </w:r>
      <w:bookmarkEnd w:id="556"/>
      <w:bookmarkEnd w:id="557"/>
      <w:bookmarkEnd w:id="558"/>
      <w:bookmarkEnd w:id="559"/>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 xml:space="preserve">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 xml:space="preserve">course totalisator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560" w:name="_Toc63486062"/>
      <w:r>
        <w:tab/>
        <w:t>[Regulation 94 inserted in Gazette 21 Jul 2006 p. 2685</w:t>
      </w:r>
      <w:r>
        <w:noBreakHyphen/>
        <w:t>6.]</w:t>
      </w:r>
    </w:p>
    <w:p>
      <w:pPr>
        <w:pStyle w:val="Heading5"/>
      </w:pPr>
      <w:bookmarkStart w:id="561" w:name="_Toc172087823"/>
      <w:bookmarkStart w:id="562" w:name="_Toc212946999"/>
      <w:bookmarkStart w:id="563" w:name="_Toc241571146"/>
      <w:r>
        <w:rPr>
          <w:rStyle w:val="CharSectno"/>
        </w:rPr>
        <w:t>95</w:t>
      </w:r>
      <w:r>
        <w:t>.</w:t>
      </w:r>
      <w:r>
        <w:tab/>
        <w:t>When refunds of bets are payable</w:t>
      </w:r>
      <w:bookmarkEnd w:id="560"/>
      <w:bookmarkEnd w:id="561"/>
      <w:bookmarkEnd w:id="562"/>
      <w:bookmarkEnd w:id="56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 xml:space="preserve">course totalisator is to refund all of the amounts of bets made in respect of races that were to be but were not held on that day at that race meeting other than —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pPr>
      <w:r>
        <w:tab/>
        <w:t>[Regulation 95 inserted in Gazette 21 Jul 2006 p. 2686</w:t>
      </w:r>
      <w:r>
        <w:noBreakHyphen/>
        <w:t>8.]</w:t>
      </w:r>
    </w:p>
    <w:p>
      <w:pPr>
        <w:pStyle w:val="Heading3"/>
      </w:pPr>
      <w:bookmarkStart w:id="564" w:name="_Toc141162245"/>
      <w:bookmarkStart w:id="565" w:name="_Toc141173834"/>
      <w:bookmarkStart w:id="566" w:name="_Toc148256456"/>
      <w:bookmarkStart w:id="567" w:name="_Toc151192459"/>
      <w:bookmarkStart w:id="568" w:name="_Toc151260828"/>
      <w:bookmarkStart w:id="569" w:name="_Toc155062662"/>
      <w:bookmarkStart w:id="570" w:name="_Toc155079987"/>
      <w:bookmarkStart w:id="571" w:name="_Toc171737758"/>
      <w:bookmarkStart w:id="572" w:name="_Toc172087317"/>
      <w:bookmarkStart w:id="573" w:name="_Toc172087562"/>
      <w:bookmarkStart w:id="574" w:name="_Toc172087824"/>
      <w:bookmarkStart w:id="575" w:name="_Toc173915899"/>
      <w:bookmarkStart w:id="576" w:name="_Toc175536904"/>
      <w:bookmarkStart w:id="577" w:name="_Toc175629405"/>
      <w:bookmarkStart w:id="578" w:name="_Toc177792418"/>
      <w:bookmarkStart w:id="579" w:name="_Toc177877453"/>
      <w:bookmarkStart w:id="580" w:name="_Toc179704087"/>
      <w:bookmarkStart w:id="581" w:name="_Toc185647268"/>
      <w:bookmarkStart w:id="582" w:name="_Toc212947000"/>
      <w:bookmarkStart w:id="583" w:name="_Toc218325386"/>
      <w:bookmarkStart w:id="584" w:name="_Toc218325502"/>
      <w:bookmarkStart w:id="585" w:name="_Toc218400225"/>
      <w:bookmarkStart w:id="586" w:name="_Toc241566803"/>
      <w:bookmarkStart w:id="587" w:name="_Toc241566918"/>
      <w:bookmarkStart w:id="588" w:name="_Toc241571147"/>
      <w:r>
        <w:rPr>
          <w:rStyle w:val="CharDivNo"/>
        </w:rPr>
        <w:t>Division 3</w:t>
      </w:r>
      <w:r>
        <w:t> — </w:t>
      </w:r>
      <w:r>
        <w:rPr>
          <w:rStyle w:val="CharDivText"/>
        </w:rPr>
        <w:t>Miscellaneous discipline and offence provisions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pPr>
      <w:r>
        <w:tab/>
        <w:t>[Heading inserted in Gazette 21 Jul 2006 p. 2688.]</w:t>
      </w:r>
    </w:p>
    <w:p>
      <w:pPr>
        <w:pStyle w:val="Heading5"/>
      </w:pPr>
      <w:bookmarkStart w:id="589" w:name="_Toc172087825"/>
      <w:bookmarkStart w:id="590" w:name="_Toc212947001"/>
      <w:bookmarkStart w:id="591" w:name="_Toc241571148"/>
      <w:r>
        <w:rPr>
          <w:rStyle w:val="CharSectno"/>
        </w:rPr>
        <w:t>96</w:t>
      </w:r>
      <w:r>
        <w:t>.</w:t>
      </w:r>
      <w:r>
        <w:tab/>
        <w:t>Person making bet bound by these regulations, the rules of wagering and instructions</w:t>
      </w:r>
      <w:bookmarkEnd w:id="589"/>
      <w:bookmarkEnd w:id="590"/>
      <w:bookmarkEnd w:id="591"/>
    </w:p>
    <w:p>
      <w:pPr>
        <w:pStyle w:val="Subsection"/>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pPr>
      <w:r>
        <w:tab/>
        <w:t>[Regulation 96 inserted in Gazette 21 Jul 2006 p. 2688.]</w:t>
      </w:r>
    </w:p>
    <w:p>
      <w:pPr>
        <w:pStyle w:val="Heading5"/>
      </w:pPr>
      <w:bookmarkStart w:id="592" w:name="_Toc172087826"/>
      <w:bookmarkStart w:id="593" w:name="_Toc212947002"/>
      <w:bookmarkStart w:id="594" w:name="_Toc241571149"/>
      <w:r>
        <w:rPr>
          <w:rStyle w:val="CharSectno"/>
        </w:rPr>
        <w:t>97</w:t>
      </w:r>
      <w:r>
        <w:t>.</w:t>
      </w:r>
      <w:r>
        <w:tab/>
        <w:t>Offences relating to making and accepting wagers</w:t>
      </w:r>
      <w:bookmarkEnd w:id="592"/>
      <w:bookmarkEnd w:id="593"/>
      <w:bookmarkEnd w:id="594"/>
    </w:p>
    <w:p>
      <w:pPr>
        <w:pStyle w:val="Subsection"/>
      </w:pPr>
      <w:r>
        <w:tab/>
        <w:t>(1)</w:t>
      </w:r>
      <w:r>
        <w:tab/>
        <w:t xml:space="preserve">The offences set out in this regulation are committed by a person if that person is — </w:t>
      </w:r>
    </w:p>
    <w:p>
      <w:pPr>
        <w:pStyle w:val="Defpara"/>
      </w:pPr>
      <w:r>
        <w:tab/>
        <w:t>(a)</w:t>
      </w:r>
      <w:r>
        <w:tab/>
        <w:t>a person representing the authority operating a local on</w:t>
      </w:r>
      <w:r>
        <w:noBreakHyphen/>
        <w:t>course totalisator; or</w:t>
      </w:r>
    </w:p>
    <w:p>
      <w:pPr>
        <w:pStyle w:val="Defpara"/>
      </w:pPr>
      <w:r>
        <w:tab/>
        <w:t>(b)</w:t>
      </w:r>
      <w:r>
        <w:tab/>
        <w:t>a representative of the racing club operating an on</w:t>
      </w:r>
      <w:r>
        <w:noBreakHyphen/>
        <w:t>course totalisator; or</w:t>
      </w:r>
    </w:p>
    <w:p>
      <w:pPr>
        <w:pStyle w:val="Defpara"/>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 xml:space="preserve">A person who accepts a wager contrary to — </w:t>
      </w:r>
    </w:p>
    <w:p>
      <w:pPr>
        <w:pStyle w:val="Indenta"/>
      </w:pPr>
      <w:r>
        <w:tab/>
        <w:t>(a)</w:t>
      </w:r>
      <w:r>
        <w:tab/>
        <w:t xml:space="preserve">a method allowed by regulation 87; or </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595" w:name="_Toc171737761"/>
      <w:bookmarkStart w:id="596" w:name="_Toc172087320"/>
      <w:bookmarkStart w:id="597" w:name="_Toc172087565"/>
      <w:bookmarkStart w:id="598" w:name="_Toc172087827"/>
      <w:bookmarkStart w:id="599" w:name="_Toc173915902"/>
      <w:bookmarkStart w:id="600" w:name="_Toc175536907"/>
      <w:bookmarkStart w:id="601" w:name="_Toc175629408"/>
      <w:bookmarkStart w:id="602" w:name="_Toc177792421"/>
      <w:bookmarkStart w:id="603" w:name="_Toc177877456"/>
      <w:bookmarkStart w:id="604" w:name="_Toc179704090"/>
      <w:bookmarkStart w:id="605" w:name="_Toc185647271"/>
      <w:bookmarkStart w:id="606" w:name="_Toc212947003"/>
      <w:bookmarkStart w:id="607" w:name="_Toc218325389"/>
      <w:bookmarkStart w:id="608" w:name="_Toc218325505"/>
      <w:bookmarkStart w:id="609" w:name="_Toc218400228"/>
      <w:bookmarkStart w:id="610" w:name="_Toc241566806"/>
      <w:bookmarkStart w:id="611" w:name="_Toc241566921"/>
      <w:bookmarkStart w:id="612" w:name="_Toc241571150"/>
      <w:r>
        <w:rPr>
          <w:rStyle w:val="CharPartNo"/>
        </w:rPr>
        <w:t>Part 5</w:t>
      </w:r>
      <w:r>
        <w:rPr>
          <w:rStyle w:val="CharDivNo"/>
        </w:rPr>
        <w:t> </w:t>
      </w:r>
      <w:r>
        <w:t>—</w:t>
      </w:r>
      <w:r>
        <w:rPr>
          <w:rStyle w:val="CharDivText"/>
        </w:rPr>
        <w:t> </w:t>
      </w:r>
      <w:r>
        <w:rPr>
          <w:rStyle w:val="CharPartText"/>
        </w:rPr>
        <w:t>Approval to publish or make available WA race fields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in Gazette 22 Jun 2007 p. 2863.]</w:t>
      </w:r>
    </w:p>
    <w:p>
      <w:pPr>
        <w:pStyle w:val="Heading5"/>
      </w:pPr>
      <w:bookmarkStart w:id="613" w:name="_Toc172087828"/>
      <w:bookmarkStart w:id="614" w:name="_Toc212947004"/>
      <w:bookmarkStart w:id="615" w:name="_Toc241571151"/>
      <w:r>
        <w:rPr>
          <w:rStyle w:val="CharSectno"/>
        </w:rPr>
        <w:t>98</w:t>
      </w:r>
      <w:r>
        <w:t>.</w:t>
      </w:r>
      <w:r>
        <w:tab/>
        <w:t>Terms used in this Part</w:t>
      </w:r>
      <w:bookmarkEnd w:id="613"/>
      <w:bookmarkEnd w:id="614"/>
      <w:bookmarkEnd w:id="615"/>
    </w:p>
    <w:p>
      <w:pPr>
        <w:pStyle w:val="Subsection"/>
      </w:pPr>
      <w:r>
        <w:tab/>
      </w:r>
      <w:r>
        <w:tab/>
        <w:t xml:space="preserve">In this Part — </w:t>
      </w:r>
    </w:p>
    <w:p>
      <w:pPr>
        <w:pStyle w:val="Defstart"/>
      </w:pPr>
      <w:r>
        <w:rPr>
          <w:b/>
        </w:rPr>
        <w:tab/>
      </w:r>
      <w:r>
        <w:rPr>
          <w:rStyle w:val="CharDefText"/>
        </w:rPr>
        <w:t>another jurisdiction</w:t>
      </w:r>
      <w:r>
        <w:t xml:space="preserve"> means a jurisdiction outside the State, including a jurisdiction outside Australia;</w:t>
      </w:r>
    </w:p>
    <w:p>
      <w:pPr>
        <w:pStyle w:val="Defstart"/>
      </w:pPr>
      <w:r>
        <w:rPr>
          <w:b/>
        </w:rPr>
        <w:tab/>
      </w:r>
      <w:r>
        <w:rPr>
          <w:rStyle w:val="CharDefText"/>
        </w:rPr>
        <w:t>approval</w:t>
      </w:r>
      <w:r>
        <w:t xml:space="preserve"> has the meaning given in section 27C(1) of the Act;</w:t>
      </w:r>
    </w:p>
    <w:p>
      <w:pPr>
        <w:pStyle w:val="Defstart"/>
      </w:pPr>
      <w:r>
        <w:rPr>
          <w:b/>
        </w:rPr>
        <w:tab/>
      </w:r>
      <w:r>
        <w:rPr>
          <w:rStyle w:val="CharDefText"/>
        </w:rPr>
        <w:t>authorisation</w:t>
      </w:r>
      <w:r>
        <w:t xml:space="preserve"> includes a licence;</w:t>
      </w:r>
    </w:p>
    <w:p>
      <w:pPr>
        <w:pStyle w:val="Defstart"/>
      </w:pPr>
      <w:r>
        <w:rPr>
          <w:b/>
        </w:rPr>
        <w:tab/>
      </w:r>
      <w:r>
        <w:rPr>
          <w:rStyle w:val="CharDefText"/>
        </w:rPr>
        <w:t>relevant person</w:t>
      </w:r>
      <w:r>
        <w:t>, in relation to a decision by the Minister under section 27D(5) of the Act relating to an approval, means the person applying for, or holding, the approval, as the case requires;</w:t>
      </w:r>
    </w:p>
    <w:p>
      <w:pPr>
        <w:pStyle w:val="Defstart"/>
      </w:pPr>
      <w:r>
        <w:rPr>
          <w:b/>
        </w:rPr>
        <w:tab/>
      </w:r>
      <w:r>
        <w:rPr>
          <w:rStyle w:val="CharDefText"/>
        </w:rPr>
        <w:t>wagering</w:t>
      </w:r>
      <w:r>
        <w:t xml:space="preserve"> includes any activity referred to in section 27C(2)(a) of the Act.</w:t>
      </w:r>
    </w:p>
    <w:p>
      <w:pPr>
        <w:pStyle w:val="Footnotesection"/>
      </w:pPr>
      <w:r>
        <w:tab/>
        <w:t>[Regulation 98 inserted in Gazette 22 Jun 2007 p. 2863</w:t>
      </w:r>
      <w:r>
        <w:noBreakHyphen/>
        <w:t>4.]</w:t>
      </w:r>
    </w:p>
    <w:p>
      <w:pPr>
        <w:pStyle w:val="Heading5"/>
      </w:pPr>
      <w:bookmarkStart w:id="616" w:name="_Toc172087829"/>
      <w:bookmarkStart w:id="617" w:name="_Toc212947005"/>
      <w:bookmarkStart w:id="618" w:name="_Toc241571152"/>
      <w:r>
        <w:rPr>
          <w:rStyle w:val="CharSectno"/>
        </w:rPr>
        <w:t>99</w:t>
      </w:r>
      <w:r>
        <w:t>.</w:t>
      </w:r>
      <w:r>
        <w:tab/>
        <w:t>Prescribed criteria under section 27D(5)</w:t>
      </w:r>
      <w:bookmarkEnd w:id="616"/>
      <w:bookmarkEnd w:id="617"/>
      <w:bookmarkEnd w:id="618"/>
    </w:p>
    <w:p>
      <w:pPr>
        <w:pStyle w:val="Subsection"/>
      </w:pPr>
      <w:r>
        <w:tab/>
        <w:t>(1)</w:t>
      </w:r>
      <w:r>
        <w:tab/>
        <w:t>For the purposes of section 27D(5) of the Act, the prescribed criteria are as follows —</w:t>
      </w:r>
    </w:p>
    <w:p>
      <w:pPr>
        <w:pStyle w:val="Indenta"/>
      </w:pPr>
      <w:r>
        <w:tab/>
        <w:t>(a)</w:t>
      </w:r>
      <w:r>
        <w:tab/>
        <w:t xml:space="preserve">if the relevant person conducts, or intends to conduct, wagering that is required under the laws of this State or another jurisdiction to be licensed or otherwise authorised — whether the relevant person holds, or continues to hold, the required authorisation to do so; </w:t>
      </w:r>
    </w:p>
    <w:p>
      <w:pPr>
        <w:pStyle w:val="Indenta"/>
      </w:pPr>
      <w:r>
        <w:tab/>
        <w:t>(b)</w:t>
      </w:r>
      <w:r>
        <w:tab/>
        <w:t xml:space="preserve">to the extent that the </w:t>
      </w:r>
      <w:r>
        <w:rPr>
          <w:i/>
          <w:iCs/>
        </w:rPr>
        <w:t>Financial Transaction Reports Act 1988</w:t>
      </w:r>
      <w:r>
        <w:t xml:space="preserve"> of the Commonwealth</w:t>
      </w:r>
      <w:r>
        <w:rPr>
          <w:i/>
          <w:iCs/>
        </w:rPr>
        <w:t xml:space="preserve"> </w:t>
      </w:r>
      <w:r>
        <w:t>is relevant to wagering that the relevant person conducts, or intends to conduct — whether the relevant person complies with that Act, particularly the requirements of Part II Division 2 in relation to reporting suspect transactions and of Part III in relation to opening and maintaining accounts;</w:t>
      </w:r>
    </w:p>
    <w:p>
      <w:pPr>
        <w:pStyle w:val="Indenta"/>
      </w:pPr>
      <w:r>
        <w:tab/>
        <w:t>(c)</w:t>
      </w:r>
      <w:r>
        <w:tab/>
        <w:t xml:space="preserve">whether the Minister is satisfied that — </w:t>
      </w:r>
    </w:p>
    <w:p>
      <w:pPr>
        <w:pStyle w:val="Indenti"/>
      </w:pPr>
      <w:r>
        <w:tab/>
        <w:t>(i)</w:t>
      </w:r>
      <w:r>
        <w:tab/>
        <w:t>the relevant person; or</w:t>
      </w:r>
    </w:p>
    <w:p>
      <w:pPr>
        <w:pStyle w:val="Indenti"/>
      </w:pPr>
      <w:r>
        <w:tab/>
        <w:t>(ii)</w:t>
      </w:r>
      <w:r>
        <w:tab/>
        <w:t>if the relevant person is a partnership, each member of the partnership who is a natural person,</w:t>
      </w:r>
    </w:p>
    <w:p>
      <w:pPr>
        <w:pStyle w:val="Indenta"/>
      </w:pPr>
      <w:r>
        <w:tab/>
      </w:r>
      <w:r>
        <w:tab/>
        <w:t>is, or continues to be, a fit and proper person to be granted, or continue to hold, an approval;</w:t>
      </w:r>
    </w:p>
    <w:p>
      <w:pPr>
        <w:pStyle w:val="Indenta"/>
      </w:pPr>
      <w:r>
        <w:tab/>
        <w:t>(d)</w:t>
      </w:r>
      <w:r>
        <w:tab/>
        <w:t xml:space="preserve">if the relevant person is —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Minister is satisfied that each person who occupies a position of authority in the body corporate would be a fit and proper person to be granted, or continue to hold, an approval if the person were to apply for, or hold, the approval personally.</w:t>
      </w:r>
    </w:p>
    <w:p>
      <w:pPr>
        <w:pStyle w:val="Subsection"/>
      </w:pPr>
      <w:r>
        <w:tab/>
        <w:t>(2)</w:t>
      </w:r>
      <w:r>
        <w:tab/>
        <w:t xml:space="preserve">For the purposes of, and without limiting, subregulation (1)(c) and (d), the Minister may take into account — </w:t>
      </w:r>
    </w:p>
    <w:p>
      <w:pPr>
        <w:pStyle w:val="Indenta"/>
      </w:pPr>
      <w:r>
        <w:tab/>
        <w:t>(a)</w:t>
      </w:r>
      <w:r>
        <w:tab/>
        <w:t>the repute and background of persons suspected by the Minister to be associated with the relevant person or with another person referred to in subregulation (1)(c)(ii) or (d); and</w:t>
      </w:r>
    </w:p>
    <w:p>
      <w:pPr>
        <w:pStyle w:val="Indenta"/>
      </w:pPr>
      <w:r>
        <w:tab/>
        <w:t>(b)</w:t>
      </w:r>
      <w:r>
        <w:tab/>
        <w:t>the number and nature of any convictions recorded, or charges pending, against the relevant person or another person referred to in subregulation (1)(c)(ii) or (d) for offences against the laws of this State or another jurisdiction, having particular regard to offences against laws in relation to wagering; and</w:t>
      </w:r>
    </w:p>
    <w:p>
      <w:pPr>
        <w:pStyle w:val="Indenta"/>
      </w:pPr>
      <w:r>
        <w:tab/>
        <w:t>(c)</w:t>
      </w:r>
      <w:r>
        <w:tab/>
        <w:t xml:space="preserve">any information lawfully provided to the Minister by — </w:t>
      </w:r>
    </w:p>
    <w:p>
      <w:pPr>
        <w:pStyle w:val="Indenti"/>
      </w:pPr>
      <w:r>
        <w:tab/>
        <w:t>(i)</w:t>
      </w:r>
      <w:r>
        <w:tab/>
        <w:t>the Commission; or</w:t>
      </w:r>
    </w:p>
    <w:p>
      <w:pPr>
        <w:pStyle w:val="Indenti"/>
      </w:pPr>
      <w:r>
        <w:tab/>
        <w:t>(ii)</w:t>
      </w:r>
      <w:r>
        <w:tab/>
        <w:t>RWWA; or</w:t>
      </w:r>
    </w:p>
    <w:p>
      <w:pPr>
        <w:pStyle w:val="Indenti"/>
      </w:pPr>
      <w:r>
        <w:tab/>
        <w:t>(iii)</w:t>
      </w:r>
      <w:r>
        <w:tab/>
        <w:t>a steward; or</w:t>
      </w:r>
    </w:p>
    <w:p>
      <w:pPr>
        <w:pStyle w:val="Indenti"/>
        <w:rPr>
          <w:rStyle w:val="DraftersNotes"/>
        </w:rPr>
      </w:pPr>
      <w:r>
        <w:tab/>
        <w:t>(iv)</w:t>
      </w:r>
      <w:r>
        <w:tab/>
        <w:t>a person in another jurisdiction with functions corresponding to those of a person referred to in subparagraph (i), (ii) or (iii).</w:t>
      </w:r>
    </w:p>
    <w:p>
      <w:pPr>
        <w:pStyle w:val="Footnotesection"/>
      </w:pPr>
      <w:r>
        <w:tab/>
        <w:t>[Regulation 99 inserted in Gazette 22 Jun 2007 p. 2864</w:t>
      </w:r>
      <w:r>
        <w:noBreakHyphen/>
        <w:t>5.]</w:t>
      </w:r>
    </w:p>
    <w:p>
      <w:pPr>
        <w:pStyle w:val="Heading5"/>
      </w:pPr>
      <w:bookmarkStart w:id="619" w:name="_Toc172087830"/>
      <w:bookmarkStart w:id="620" w:name="_Toc212947006"/>
      <w:bookmarkStart w:id="621" w:name="_Toc241571153"/>
      <w:r>
        <w:rPr>
          <w:rStyle w:val="CharSectno"/>
        </w:rPr>
        <w:t>100</w:t>
      </w:r>
      <w:r>
        <w:t>.</w:t>
      </w:r>
      <w:r>
        <w:tab/>
        <w:t>Application for approval</w:t>
      </w:r>
      <w:bookmarkEnd w:id="619"/>
      <w:bookmarkEnd w:id="620"/>
      <w:bookmarkEnd w:id="621"/>
    </w:p>
    <w:p>
      <w:pPr>
        <w:pStyle w:val="Subsection"/>
      </w:pPr>
      <w:r>
        <w:tab/>
        <w:t>(1)</w:t>
      </w:r>
      <w:r>
        <w:tab/>
        <w:t xml:space="preserve">An application for an approval — </w:t>
      </w:r>
    </w:p>
    <w:p>
      <w:pPr>
        <w:pStyle w:val="Indenta"/>
      </w:pPr>
      <w:r>
        <w:tab/>
        <w:t>(a)</w:t>
      </w:r>
      <w:r>
        <w:tab/>
        <w:t>is to be in the form approved by the Minister; and</w:t>
      </w:r>
    </w:p>
    <w:p>
      <w:pPr>
        <w:pStyle w:val="Indenta"/>
      </w:pPr>
      <w:r>
        <w:tab/>
        <w:t>(b)</w:t>
      </w:r>
      <w:r>
        <w:tab/>
        <w:t>is to be accompanied by any information required by the application form.</w:t>
      </w:r>
    </w:p>
    <w:p>
      <w:pPr>
        <w:pStyle w:val="Subsection"/>
      </w:pPr>
      <w:r>
        <w:tab/>
        <w:t>(2)</w:t>
      </w:r>
      <w:r>
        <w:tab/>
        <w:t>An applicant for an approval is to provide to the Minister any further information that the Minister reasonably requires for the proper consideration of the application.</w:t>
      </w:r>
    </w:p>
    <w:p>
      <w:pPr>
        <w:pStyle w:val="Footnotesection"/>
      </w:pPr>
      <w:r>
        <w:tab/>
        <w:t>[Regulation 100 inserted in Gazette 22 Jun 2007 p. 2865.]</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622" w:name="_Toc512675332"/>
      <w:bookmarkStart w:id="623" w:name="_Toc512918151"/>
      <w:bookmarkStart w:id="624" w:name="_Toc27803447"/>
      <w:bookmarkStart w:id="625" w:name="_Toc100975099"/>
      <w:bookmarkStart w:id="626" w:name="_Toc100977233"/>
      <w:bookmarkStart w:id="627" w:name="_Toc101081016"/>
      <w:bookmarkStart w:id="628" w:name="_Toc101774531"/>
      <w:bookmarkStart w:id="629" w:name="_Toc101774607"/>
      <w:bookmarkStart w:id="630" w:name="_Toc101774710"/>
      <w:bookmarkStart w:id="631" w:name="_Toc105391559"/>
      <w:bookmarkStart w:id="632" w:name="_Toc116986501"/>
      <w:bookmarkStart w:id="633" w:name="_Toc133903554"/>
      <w:bookmarkStart w:id="634" w:name="_Toc133903648"/>
      <w:bookmarkStart w:id="635" w:name="_Toc133920997"/>
      <w:bookmarkStart w:id="636" w:name="_Toc141162248"/>
      <w:bookmarkStart w:id="637" w:name="_Toc141173837"/>
      <w:bookmarkStart w:id="638" w:name="_Toc148256459"/>
      <w:bookmarkStart w:id="639" w:name="_Toc151192462"/>
      <w:bookmarkStart w:id="640" w:name="_Toc151260831"/>
      <w:bookmarkStart w:id="641" w:name="_Toc155062665"/>
      <w:bookmarkStart w:id="642" w:name="_Toc155079990"/>
      <w:bookmarkStart w:id="643" w:name="_Toc171737765"/>
      <w:bookmarkStart w:id="644" w:name="_Toc172087324"/>
      <w:bookmarkStart w:id="645" w:name="_Toc172087569"/>
      <w:bookmarkStart w:id="646" w:name="_Toc172087831"/>
      <w:bookmarkStart w:id="647" w:name="_Toc173915906"/>
      <w:bookmarkStart w:id="648" w:name="_Toc175536911"/>
      <w:bookmarkStart w:id="649" w:name="_Toc175629412"/>
      <w:bookmarkStart w:id="650" w:name="_Toc177792426"/>
      <w:bookmarkStart w:id="651" w:name="_Toc177877461"/>
      <w:bookmarkStart w:id="652" w:name="_Toc179704094"/>
      <w:bookmarkStart w:id="653" w:name="_Toc185647275"/>
      <w:bookmarkStart w:id="654" w:name="_Toc212947007"/>
      <w:bookmarkStart w:id="655" w:name="_Toc218325393"/>
      <w:bookmarkStart w:id="656" w:name="_Toc218325509"/>
      <w:bookmarkStart w:id="657" w:name="_Toc218400232"/>
      <w:bookmarkStart w:id="658" w:name="_Toc241566810"/>
      <w:bookmarkStart w:id="659" w:name="_Toc241566925"/>
      <w:bookmarkStart w:id="660" w:name="_Toc241571154"/>
      <w:r>
        <w:rPr>
          <w:rStyle w:val="CharSchNo"/>
        </w:rPr>
        <w:t>Appendix</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t xml:space="preserve"> </w:t>
      </w:r>
    </w:p>
    <w:p>
      <w:pPr>
        <w:pStyle w:val="yHeading2"/>
      </w:pPr>
      <w:bookmarkStart w:id="661" w:name="_Toc27803448"/>
      <w:bookmarkStart w:id="662" w:name="_Toc101774532"/>
      <w:bookmarkStart w:id="663" w:name="_Toc101774608"/>
      <w:bookmarkStart w:id="664" w:name="_Toc101774711"/>
      <w:bookmarkStart w:id="665" w:name="_Toc133903555"/>
      <w:bookmarkStart w:id="666" w:name="_Toc133903649"/>
      <w:bookmarkStart w:id="667" w:name="_Toc133920998"/>
      <w:bookmarkStart w:id="668" w:name="_Toc141162249"/>
      <w:bookmarkStart w:id="669" w:name="_Toc141173838"/>
      <w:bookmarkStart w:id="670" w:name="_Toc148256460"/>
      <w:bookmarkStart w:id="671" w:name="_Toc151192463"/>
      <w:bookmarkStart w:id="672" w:name="_Toc151260832"/>
      <w:bookmarkStart w:id="673" w:name="_Toc155062666"/>
      <w:bookmarkStart w:id="674" w:name="_Toc155079991"/>
      <w:bookmarkStart w:id="675" w:name="_Toc171737766"/>
      <w:bookmarkStart w:id="676" w:name="_Toc172087325"/>
      <w:bookmarkStart w:id="677" w:name="_Toc172087570"/>
      <w:bookmarkStart w:id="678" w:name="_Toc172087832"/>
      <w:bookmarkStart w:id="679" w:name="_Toc173915907"/>
      <w:bookmarkStart w:id="680" w:name="_Toc175536912"/>
      <w:bookmarkStart w:id="681" w:name="_Toc175629413"/>
      <w:bookmarkStart w:id="682" w:name="_Toc177792427"/>
      <w:bookmarkStart w:id="683" w:name="_Toc177877462"/>
      <w:bookmarkStart w:id="684" w:name="_Toc179704095"/>
      <w:bookmarkStart w:id="685" w:name="_Toc185647276"/>
      <w:bookmarkStart w:id="686" w:name="_Toc212947008"/>
      <w:bookmarkStart w:id="687" w:name="_Toc218325394"/>
      <w:bookmarkStart w:id="688" w:name="_Toc218325510"/>
      <w:bookmarkStart w:id="689" w:name="_Toc218400233"/>
      <w:bookmarkStart w:id="690" w:name="_Toc241566811"/>
      <w:bookmarkStart w:id="691" w:name="_Toc241566926"/>
      <w:bookmarkStart w:id="692" w:name="_Toc241571155"/>
      <w:r>
        <w:rPr>
          <w:rStyle w:val="CharSchText"/>
        </w:rPr>
        <w:t>Rules of Betting</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Footnoteheading"/>
      </w:pPr>
      <w:r>
        <w:tab/>
        <w:t>[Heading inserted in Gazette 14 Sep 1990 p. 4864.]</w:t>
      </w:r>
    </w:p>
    <w:p>
      <w:pPr>
        <w:pStyle w:val="yHeading2"/>
        <w:outlineLvl w:val="9"/>
        <w:rPr>
          <w:sz w:val="22"/>
        </w:rPr>
      </w:pPr>
      <w:bookmarkStart w:id="693" w:name="_Toc27803449"/>
      <w:bookmarkStart w:id="694" w:name="_Toc101774533"/>
      <w:bookmarkStart w:id="695" w:name="_Toc101774609"/>
      <w:bookmarkStart w:id="696" w:name="_Toc101774712"/>
      <w:bookmarkStart w:id="697" w:name="_Toc133903556"/>
      <w:bookmarkStart w:id="698" w:name="_Toc133903650"/>
      <w:bookmarkStart w:id="699" w:name="_Toc133920999"/>
      <w:bookmarkStart w:id="700" w:name="_Toc141162250"/>
      <w:bookmarkStart w:id="701" w:name="_Toc141173839"/>
      <w:bookmarkStart w:id="702" w:name="_Toc148256461"/>
      <w:bookmarkStart w:id="703" w:name="_Toc151192464"/>
      <w:bookmarkStart w:id="704" w:name="_Toc151260833"/>
      <w:bookmarkStart w:id="705" w:name="_Toc155062667"/>
      <w:bookmarkStart w:id="706" w:name="_Toc155079992"/>
      <w:bookmarkStart w:id="707" w:name="_Toc171737767"/>
      <w:bookmarkStart w:id="708" w:name="_Toc172087326"/>
      <w:bookmarkStart w:id="709" w:name="_Toc172087571"/>
      <w:bookmarkStart w:id="710" w:name="_Toc172087833"/>
      <w:bookmarkStart w:id="711" w:name="_Toc173915908"/>
      <w:bookmarkStart w:id="712" w:name="_Toc175536913"/>
      <w:bookmarkStart w:id="713" w:name="_Toc175629414"/>
      <w:bookmarkStart w:id="714" w:name="_Toc177792428"/>
      <w:bookmarkStart w:id="715" w:name="_Toc177877463"/>
      <w:bookmarkStart w:id="716" w:name="_Toc179704096"/>
      <w:bookmarkStart w:id="717" w:name="_Toc185647277"/>
      <w:bookmarkStart w:id="718" w:name="_Toc212947009"/>
      <w:bookmarkStart w:id="719" w:name="_Toc218325395"/>
      <w:bookmarkStart w:id="720" w:name="_Toc218325511"/>
      <w:bookmarkStart w:id="721" w:name="_Toc218400234"/>
      <w:bookmarkStart w:id="722" w:name="_Toc241566812"/>
      <w:bookmarkStart w:id="723" w:name="_Toc241566927"/>
      <w:bookmarkStart w:id="724" w:name="_Toc241571156"/>
      <w:r>
        <w:rPr>
          <w:rStyle w:val="CharSDivNo"/>
        </w:rPr>
        <w:t>Part 1</w:t>
      </w:r>
      <w:r>
        <w:rPr>
          <w:sz w:val="22"/>
        </w:rPr>
        <w:t> — </w:t>
      </w:r>
      <w:r>
        <w:rPr>
          <w:rStyle w:val="CharSDivText"/>
        </w:rPr>
        <w:t>Betting under the rules of racing</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yFootnoteheading"/>
        <w:rPr>
          <w:snapToGrid w:val="0"/>
        </w:rPr>
      </w:pPr>
      <w:r>
        <w:rPr>
          <w:snapToGrid w:val="0"/>
        </w:rPr>
        <w:tab/>
        <w:t>[Heading inserted in Gazette 21 Jul 1998 p. 3856.]</w:t>
      </w:r>
    </w:p>
    <w:p>
      <w:pPr>
        <w:pStyle w:val="yHeading5"/>
        <w:spacing w:before="260"/>
        <w:outlineLvl w:val="9"/>
        <w:rPr>
          <w:snapToGrid w:val="0"/>
        </w:rPr>
      </w:pPr>
      <w:bookmarkStart w:id="725" w:name="_Toc511525083"/>
      <w:bookmarkStart w:id="726" w:name="_Toc27803450"/>
      <w:bookmarkStart w:id="727" w:name="_Toc133903557"/>
      <w:bookmarkStart w:id="728" w:name="_Toc172087834"/>
      <w:bookmarkStart w:id="729" w:name="_Toc212947010"/>
      <w:bookmarkStart w:id="730" w:name="_Toc241571157"/>
      <w:r>
        <w:rPr>
          <w:rStyle w:val="CharSClsNo"/>
        </w:rPr>
        <w:t>1</w:t>
      </w:r>
      <w:r>
        <w:rPr>
          <w:snapToGrid w:val="0"/>
        </w:rPr>
        <w:t>.</w:t>
      </w:r>
      <w:r>
        <w:rPr>
          <w:snapToGrid w:val="0"/>
        </w:rPr>
        <w:tab/>
      </w:r>
      <w:bookmarkEnd w:id="725"/>
      <w:bookmarkEnd w:id="726"/>
      <w:bookmarkEnd w:id="727"/>
      <w:bookmarkEnd w:id="728"/>
      <w:r>
        <w:rPr>
          <w:snapToGrid w:val="0"/>
        </w:rPr>
        <w:t>Terms used in these rules</w:t>
      </w:r>
      <w:bookmarkEnd w:id="729"/>
      <w:bookmarkEnd w:id="730"/>
      <w:r>
        <w:rPr>
          <w:snapToGrid w:val="0"/>
        </w:rPr>
        <w:t xml:space="preserve"> </w:t>
      </w:r>
    </w:p>
    <w:p>
      <w:pPr>
        <w:pStyle w:val="ySubsection"/>
        <w:spacing w:before="200"/>
        <w:rPr>
          <w:snapToGrid w:val="0"/>
        </w:rPr>
      </w:pPr>
      <w:r>
        <w:rPr>
          <w:snapToGrid w:val="0"/>
        </w:rPr>
        <w:tab/>
        <w:t>(1)</w:t>
      </w:r>
      <w:r>
        <w:rPr>
          <w:snapToGrid w:val="0"/>
        </w:rPr>
        <w:tab/>
        <w:t>In these rules, unless the contrary intention appears — </w:t>
      </w:r>
    </w:p>
    <w:p>
      <w:pPr>
        <w:pStyle w:val="yDefstart"/>
        <w:spacing w:before="12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120"/>
      </w:pPr>
      <w:r>
        <w:rPr>
          <w:b/>
        </w:rPr>
        <w:tab/>
      </w:r>
      <w:r>
        <w:rPr>
          <w:rStyle w:val="CharDefText"/>
        </w:rPr>
        <w:t>barrier</w:t>
      </w:r>
      <w:r>
        <w:t xml:space="preserve"> includes starting box or starting gate;</w:t>
      </w:r>
    </w:p>
    <w:p>
      <w:pPr>
        <w:pStyle w:val="yDefstart"/>
        <w:spacing w:before="12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120"/>
      </w:pPr>
      <w:r>
        <w:rPr>
          <w:b/>
        </w:rPr>
        <w:tab/>
      </w:r>
      <w:r>
        <w:rPr>
          <w:rStyle w:val="CharDefText"/>
        </w:rPr>
        <w:t>committee</w:t>
      </w:r>
      <w:r>
        <w:t xml:space="preserve"> means the committee of the racing club holding the race meeting;</w:t>
      </w:r>
    </w:p>
    <w:p>
      <w:pPr>
        <w:pStyle w:val="yDefstart"/>
        <w:spacing w:before="120"/>
      </w:pPr>
      <w:r>
        <w:rPr>
          <w:b/>
        </w:rPr>
        <w:tab/>
      </w:r>
      <w:r>
        <w:rPr>
          <w:rStyle w:val="CharDefText"/>
        </w:rPr>
        <w:t>double</w:t>
      </w:r>
      <w:r>
        <w:t xml:space="preserve"> means a bet on the contingency of 2 races;</w:t>
      </w:r>
    </w:p>
    <w:p>
      <w:pPr>
        <w:pStyle w:val="yDefstart"/>
        <w:spacing w:before="120"/>
      </w:pPr>
      <w:r>
        <w:rPr>
          <w:b/>
        </w:rPr>
        <w:tab/>
      </w:r>
      <w:r>
        <w:rPr>
          <w:rStyle w:val="CharDefText"/>
        </w:rPr>
        <w:t>objection</w:t>
      </w:r>
      <w:r>
        <w:t xml:space="preserve"> includes protest;</w:t>
      </w:r>
    </w:p>
    <w:p>
      <w:pPr>
        <w:pStyle w:val="yDefstart"/>
        <w:spacing w:before="12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120"/>
      </w:pPr>
      <w:r>
        <w:rPr>
          <w:b/>
        </w:rPr>
        <w:tab/>
      </w:r>
      <w:r>
        <w:rPr>
          <w:rStyle w:val="CharDefText"/>
        </w:rPr>
        <w:t>Scale of Deduction Table</w:t>
      </w:r>
      <w:r>
        <w:t xml:space="preserve"> means the Table set out at the end of these rules;</w:t>
      </w:r>
    </w:p>
    <w:p>
      <w:pPr>
        <w:pStyle w:val="yDefstart"/>
        <w:spacing w:before="120"/>
      </w:pPr>
      <w:r>
        <w:rPr>
          <w:b/>
        </w:rPr>
        <w:tab/>
      </w:r>
      <w:r>
        <w:rPr>
          <w:rStyle w:val="CharDefText"/>
        </w:rPr>
        <w:t>treble</w:t>
      </w:r>
      <w:r>
        <w:t xml:space="preserve"> means a bet on the contingency of 3 races;</w:t>
      </w:r>
    </w:p>
    <w:p>
      <w:pPr>
        <w:pStyle w:val="yDefstart"/>
        <w:spacing w:before="12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outlineLvl w:val="9"/>
        <w:rPr>
          <w:snapToGrid w:val="0"/>
        </w:rPr>
      </w:pPr>
      <w:bookmarkStart w:id="731" w:name="_Toc511525084"/>
      <w:bookmarkStart w:id="732" w:name="_Toc27803451"/>
      <w:bookmarkStart w:id="733" w:name="_Toc133903558"/>
      <w:bookmarkStart w:id="734" w:name="_Toc172087835"/>
      <w:bookmarkStart w:id="735" w:name="_Toc212947011"/>
      <w:bookmarkStart w:id="736" w:name="_Toc241571158"/>
      <w:r>
        <w:rPr>
          <w:rStyle w:val="CharSClsNo"/>
        </w:rPr>
        <w:t>2</w:t>
      </w:r>
      <w:r>
        <w:rPr>
          <w:snapToGrid w:val="0"/>
        </w:rPr>
        <w:t>.</w:t>
      </w:r>
      <w:r>
        <w:rPr>
          <w:snapToGrid w:val="0"/>
        </w:rPr>
        <w:tab/>
        <w:t>Bets void in certain circumstances</w:t>
      </w:r>
      <w:bookmarkEnd w:id="731"/>
      <w:bookmarkEnd w:id="732"/>
      <w:bookmarkEnd w:id="733"/>
      <w:bookmarkEnd w:id="734"/>
      <w:bookmarkEnd w:id="735"/>
      <w:bookmarkEnd w:id="736"/>
      <w:r>
        <w:rPr>
          <w:snapToGrid w:val="0"/>
        </w:rPr>
        <w:t xml:space="preserve"> </w:t>
      </w:r>
    </w:p>
    <w:p>
      <w:pPr>
        <w:pStyle w:val="ySubsection"/>
        <w:spacing w:before="200"/>
        <w:rPr>
          <w:snapToGrid w:val="0"/>
        </w:rPr>
      </w:pPr>
      <w:r>
        <w:rPr>
          <w:snapToGrid w:val="0"/>
        </w:rPr>
        <w:tab/>
        <w:t>(1)</w:t>
      </w:r>
      <w:r>
        <w:rPr>
          <w:snapToGrid w:val="0"/>
        </w:rPr>
        <w:tab/>
        <w:t>A bet is void —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737" w:name="_Toc511525085"/>
      <w:bookmarkStart w:id="738" w:name="_Toc27803452"/>
      <w:r>
        <w:tab/>
        <w:t>[Rule 2 amended in Gazette 21 Jul 1998 p. 3855 and 3856; 18 Jan 2002 p. 284; 20 Sep 2002 p. 4704; 30 Jan 2004 p. 406 and 412.]</w:t>
      </w:r>
    </w:p>
    <w:p>
      <w:pPr>
        <w:pStyle w:val="yHeading5"/>
        <w:keepLines w:val="0"/>
        <w:outlineLvl w:val="9"/>
        <w:rPr>
          <w:snapToGrid w:val="0"/>
        </w:rPr>
      </w:pPr>
      <w:bookmarkStart w:id="739" w:name="_Toc133903559"/>
      <w:bookmarkStart w:id="740" w:name="_Toc172087836"/>
      <w:bookmarkStart w:id="741" w:name="_Toc212947012"/>
      <w:bookmarkStart w:id="742" w:name="_Toc241571159"/>
      <w:r>
        <w:rPr>
          <w:rStyle w:val="CharSClsNo"/>
        </w:rPr>
        <w:t>3</w:t>
      </w:r>
      <w:r>
        <w:rPr>
          <w:snapToGrid w:val="0"/>
        </w:rPr>
        <w:t>.</w:t>
      </w:r>
      <w:r>
        <w:rPr>
          <w:snapToGrid w:val="0"/>
        </w:rPr>
        <w:tab/>
        <w:t>When bets are off</w:t>
      </w:r>
      <w:bookmarkEnd w:id="737"/>
      <w:bookmarkEnd w:id="738"/>
      <w:bookmarkEnd w:id="739"/>
      <w:bookmarkEnd w:id="740"/>
      <w:bookmarkEnd w:id="741"/>
      <w:bookmarkEnd w:id="742"/>
      <w:r>
        <w:rPr>
          <w:snapToGrid w:val="0"/>
        </w:rPr>
        <w:t xml:space="preserve"> </w:t>
      </w:r>
    </w:p>
    <w:p>
      <w:pPr>
        <w:pStyle w:val="ySubsection"/>
        <w:keepNext/>
        <w:rPr>
          <w:snapToGrid w:val="0"/>
        </w:rPr>
      </w:pPr>
      <w:r>
        <w:rPr>
          <w:snapToGrid w:val="0"/>
        </w:rPr>
        <w:tab/>
        <w:t>(1)</w:t>
      </w:r>
      <w:r>
        <w:rPr>
          <w:snapToGrid w:val="0"/>
        </w:rPr>
        <w:tab/>
        <w:t>No bet can be declared off except by mutual consent or as hereinafter provided, that is to say —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Subsection"/>
      </w:pPr>
      <w:r>
        <w:tab/>
        <w:t>(1a)</w:t>
      </w:r>
      <w:r>
        <w:tab/>
        <w:t>In the event of the stewards permitting or ordering a runner to be withdrawn from a race either after the time for scratching or after the starters have been semaphored for the race or after declaring it a non</w:t>
      </w:r>
      <w:r>
        <w:noBreakHyphen/>
        <w:t>starter, bets made prior to the withdrawal shall be settled in accordance with the Scale of Deduction Table.</w:t>
      </w:r>
    </w:p>
    <w:p>
      <w:pPr>
        <w:pStyle w:val="ySubsection"/>
      </w:pPr>
      <w:r>
        <w:tab/>
        <w:t>(1b)</w:t>
      </w:r>
      <w:r>
        <w:tab/>
        <w:t>With regard to all successful win only, each way, place only, concession, multiples, doubles and trebles, bets are to be paid the face value of the ticket less the number of cents in the dollar deduction applicable on the scale of deductions in the Scale of Deduction Table for the dividends of the runner at the time of its withdrawal.</w:t>
      </w:r>
    </w:p>
    <w:p>
      <w:pPr>
        <w:pStyle w:val="ySubsection"/>
      </w:pPr>
      <w:r>
        <w:tab/>
        <w:t>(1c)</w:t>
      </w:r>
      <w:r>
        <w:tab/>
        <w:t>Where 2 or more withdrawals occur simultaneously during betting, successful bets made prior to the time of withdrawal are to be paid the face value of the ticket less a deduction determined by adding together the rates of deduction applicable to each of the runners withdrawn.</w:t>
      </w:r>
    </w:p>
    <w:p>
      <w:pPr>
        <w:pStyle w:val="ySubsection"/>
      </w:pPr>
      <w:r>
        <w:tab/>
        <w:t>(1d)</w:t>
      </w:r>
      <w:r>
        <w:tab/>
        <w:t xml:space="preserve">Where withdrawals occur at different times during betting on a race, successful bets placed prior to the last withdrawal are to be paid the face value of the ticket, less deductions determined as follows — </w:t>
      </w:r>
    </w:p>
    <w:p>
      <w:pPr>
        <w:pStyle w:val="yIndenta"/>
      </w:pPr>
      <w:r>
        <w:tab/>
        <w:t>(a)</w:t>
      </w:r>
      <w:r>
        <w:tab/>
        <w:t>for bets placed prior to the first withdrawal, the rate of deduction is to be determined by adding together the rates of deduction applicable to the dividends of all withdrawn runners;</w:t>
      </w:r>
    </w:p>
    <w:p>
      <w:pPr>
        <w:pStyle w:val="yIndenta"/>
      </w:pPr>
      <w:r>
        <w:tab/>
        <w:t>(b)</w:t>
      </w:r>
      <w:r>
        <w:tab/>
        <w:t>for bets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Subsection"/>
      </w:pPr>
      <w:r>
        <w:tab/>
        <w:t>(1e)</w:t>
      </w:r>
      <w:r>
        <w:tab/>
        <w:t xml:space="preserve">Despite subrules (1c) and (1d) — </w:t>
      </w:r>
    </w:p>
    <w:p>
      <w:pPr>
        <w:pStyle w:val="yIndenta"/>
      </w:pPr>
      <w:r>
        <w:tab/>
        <w:t>(a)</w:t>
      </w:r>
      <w:r>
        <w:tab/>
        <w:t>in circumstances they deem appropriate, and when there is sufficient time, the stewards may declare off all bets on the remaining runners and order that betting on the race be re</w:t>
      </w:r>
      <w:r>
        <w:noBreakHyphen/>
        <w:t>opened, or they may order all bets be paid at totalisator dividends;</w:t>
      </w:r>
    </w:p>
    <w:p>
      <w:pPr>
        <w:pStyle w:val="yIndenta"/>
      </w:pPr>
      <w:r>
        <w:tab/>
        <w:t>(b)</w:t>
      </w:r>
      <w:r>
        <w:tab/>
        <w:t>except in the case of a dead heat, no order is to be made the effect of which would oblige a backer to receive less than his or her stake.</w:t>
      </w:r>
    </w:p>
    <w:p>
      <w:pPr>
        <w:pStyle w:val="ySubsection"/>
      </w:pPr>
      <w:r>
        <w:tab/>
        <w:t>(1f)</w:t>
      </w:r>
      <w:r>
        <w:tab/>
        <w:t>Where the runner ordered or permitted to be withdrawn, or declared a non</w:t>
      </w:r>
      <w:r>
        <w:noBreakHyphen/>
        <w:t xml:space="preserve">starter is shorter than the range of dividends set out in the Scale of Deduction Table, the stewards may — </w:t>
      </w:r>
    </w:p>
    <w:p>
      <w:pPr>
        <w:pStyle w:val="yIndenta"/>
      </w:pPr>
      <w:r>
        <w:tab/>
        <w:t>(a)</w:t>
      </w:r>
      <w:r>
        <w:tab/>
        <w:t>if there is sufficient time, declare off all bets made on the remaining runners and order that betting on the race be re</w:t>
      </w:r>
      <w:r>
        <w:noBreakHyphen/>
        <w:t>opened; or</w:t>
      </w:r>
    </w:p>
    <w:p>
      <w:pPr>
        <w:pStyle w:val="yIndenta"/>
      </w:pPr>
      <w:r>
        <w:tab/>
        <w:t>(b)</w:t>
      </w:r>
      <w:r>
        <w:tab/>
        <w:t>if there is insufficient time to re</w:t>
      </w:r>
      <w:r>
        <w:noBreakHyphen/>
        <w:t>open betting, declare a deduction assessed from the Scale of Deduction Table.</w:t>
      </w:r>
    </w:p>
    <w:p>
      <w:pPr>
        <w:pStyle w:val="ySubsection"/>
        <w:keepNext/>
        <w:keepLines/>
        <w:rPr>
          <w:snapToGrid w:val="0"/>
        </w:rPr>
      </w:pPr>
      <w:r>
        <w:rPr>
          <w:snapToGrid w:val="0"/>
        </w:rPr>
        <w:tab/>
        <w:t>(2)</w:t>
      </w:r>
      <w:r>
        <w:rPr>
          <w:snapToGrid w:val="0"/>
        </w:rPr>
        <w:tab/>
        <w:t>No provision of</w:t>
      </w:r>
      <w:r>
        <w:t xml:space="preserve"> subrules (1a) to (1f)</w:t>
      </w:r>
      <w:r>
        <w:rPr>
          <w:snapToGrid w:val="0"/>
        </w:rPr>
        <w:t> — </w:t>
      </w:r>
    </w:p>
    <w:p>
      <w:pPr>
        <w:pStyle w:val="yIndenta"/>
        <w:spacing w:before="60"/>
        <w:rPr>
          <w:snapToGrid w:val="0"/>
        </w:rPr>
      </w:pPr>
      <w:r>
        <w:rPr>
          <w:snapToGrid w:val="0"/>
        </w:rPr>
        <w:tab/>
        <w:t>(a)</w:t>
      </w:r>
      <w:r>
        <w:rPr>
          <w:snapToGrid w:val="0"/>
        </w:rPr>
        <w:tab/>
        <w:t>affects the discretion of the stewards to declare all bets off in special circumstances or direct that all bets be paid at totalisator odds; or</w:t>
      </w:r>
    </w:p>
    <w:p>
      <w:pPr>
        <w:pStyle w:val="yIndenta"/>
        <w:spacing w:before="60"/>
        <w:rPr>
          <w:snapToGrid w:val="0"/>
        </w:rPr>
      </w:pPr>
      <w:r>
        <w:rPr>
          <w:snapToGrid w:val="0"/>
        </w:rPr>
        <w:tab/>
        <w:t>(b)</w:t>
      </w:r>
      <w:r>
        <w:rPr>
          <w:snapToGrid w:val="0"/>
        </w:rPr>
        <w:tab/>
        <w:t>prevents a bookmaker from laying odds against a runner in a race after the stewards order or permit the withdrawal from that race of any other runner.</w:t>
      </w:r>
    </w:p>
    <w:p>
      <w:pPr>
        <w:pStyle w:val="ySubsection"/>
        <w:rPr>
          <w:snapToGrid w:val="0"/>
        </w:rPr>
      </w:pPr>
      <w:r>
        <w:rPr>
          <w:snapToGrid w:val="0"/>
        </w:rPr>
        <w:tab/>
        <w:t>(3)</w:t>
      </w:r>
      <w:r>
        <w:rPr>
          <w:snapToGrid w:val="0"/>
        </w:rPr>
        <w:tab/>
        <w:t xml:space="preserve">The provisions of </w:t>
      </w:r>
      <w:r>
        <w:t xml:space="preserve">subrules (1a) to (1f) </w:t>
      </w:r>
      <w:r>
        <w:rPr>
          <w:snapToGrid w:val="0"/>
        </w:rPr>
        <w:t>do not apply to bets made before the day of the race.</w:t>
      </w:r>
    </w:p>
    <w:p>
      <w:pPr>
        <w:pStyle w:val="yFootnotesection"/>
      </w:pPr>
      <w:bookmarkStart w:id="743" w:name="_Toc511525086"/>
      <w:bookmarkStart w:id="744" w:name="_Toc27803453"/>
      <w:r>
        <w:tab/>
        <w:t>[Rule 3 amended in Gazette 21 Jul 1998 p. 3855; 20 Sep 2002 p. 4704; 30 Jan 2004 p. 407</w:t>
      </w:r>
      <w:r>
        <w:noBreakHyphen/>
        <w:t>8 and 412.]</w:t>
      </w:r>
    </w:p>
    <w:p>
      <w:pPr>
        <w:pStyle w:val="yHeading5"/>
        <w:outlineLvl w:val="9"/>
        <w:rPr>
          <w:snapToGrid w:val="0"/>
        </w:rPr>
      </w:pPr>
      <w:bookmarkStart w:id="745" w:name="_Toc133903560"/>
      <w:bookmarkStart w:id="746" w:name="_Toc172087837"/>
      <w:bookmarkStart w:id="747" w:name="_Toc212947013"/>
      <w:bookmarkStart w:id="748" w:name="_Toc241571160"/>
      <w:r>
        <w:rPr>
          <w:rStyle w:val="CharSClsNo"/>
        </w:rPr>
        <w:t>4</w:t>
      </w:r>
      <w:r>
        <w:rPr>
          <w:snapToGrid w:val="0"/>
        </w:rPr>
        <w:t>.</w:t>
      </w:r>
      <w:r>
        <w:rPr>
          <w:snapToGrid w:val="0"/>
        </w:rPr>
        <w:tab/>
        <w:t>Determination and settlement of bets</w:t>
      </w:r>
      <w:bookmarkEnd w:id="743"/>
      <w:bookmarkEnd w:id="744"/>
      <w:bookmarkEnd w:id="745"/>
      <w:bookmarkEnd w:id="746"/>
      <w:bookmarkEnd w:id="747"/>
      <w:bookmarkEnd w:id="748"/>
      <w:r>
        <w:rPr>
          <w:snapToGrid w:val="0"/>
        </w:rPr>
        <w:t xml:space="preserve"> </w:t>
      </w:r>
    </w:p>
    <w:p>
      <w:pPr>
        <w:pStyle w:val="ySubsection"/>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rPr>
          <w:snapToGrid w:val="0"/>
        </w:rPr>
      </w:pPr>
      <w:r>
        <w:rPr>
          <w:snapToGrid w:val="0"/>
        </w:rPr>
        <w:tab/>
        <w:t>(2)</w:t>
      </w:r>
      <w:r>
        <w:rPr>
          <w:snapToGrid w:val="0"/>
        </w:rPr>
        <w:tab/>
        <w:t>Settlement of bets shall be made in accordance with the provisions of these rules.</w:t>
      </w:r>
    </w:p>
    <w:p>
      <w:pPr>
        <w:pStyle w:val="ySubsection"/>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pPr>
      <w:bookmarkStart w:id="749" w:name="_Toc511525087"/>
      <w:bookmarkStart w:id="750" w:name="_Toc27803454"/>
      <w:r>
        <w:tab/>
        <w:t>[Rule 4 amended in Gazette 21 Jul 1998 p 3856 and 3857; 18 Jan 2002 p. 284; 20 Sep 2002 p. 4704; 30 Jan 2004 p. 408.]</w:t>
      </w:r>
    </w:p>
    <w:p>
      <w:pPr>
        <w:pStyle w:val="yHeading5"/>
        <w:outlineLvl w:val="9"/>
        <w:rPr>
          <w:snapToGrid w:val="0"/>
        </w:rPr>
      </w:pPr>
      <w:bookmarkStart w:id="751" w:name="_Toc133903561"/>
      <w:bookmarkStart w:id="752" w:name="_Toc172087838"/>
      <w:bookmarkStart w:id="753" w:name="_Toc212947014"/>
      <w:bookmarkStart w:id="754" w:name="_Toc241571161"/>
      <w:r>
        <w:rPr>
          <w:rStyle w:val="CharSClsNo"/>
        </w:rPr>
        <w:t>5</w:t>
      </w:r>
      <w:r>
        <w:rPr>
          <w:snapToGrid w:val="0"/>
        </w:rPr>
        <w:t>.</w:t>
      </w:r>
      <w:r>
        <w:rPr>
          <w:snapToGrid w:val="0"/>
        </w:rPr>
        <w:tab/>
        <w:t>Bets in respect of postponed race or race meeting</w:t>
      </w:r>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outlineLvl w:val="9"/>
        <w:rPr>
          <w:snapToGrid w:val="0"/>
        </w:rPr>
      </w:pPr>
      <w:bookmarkStart w:id="755" w:name="_Toc511525088"/>
      <w:bookmarkStart w:id="756" w:name="_Toc27803455"/>
      <w:bookmarkStart w:id="757" w:name="_Toc133903562"/>
      <w:bookmarkStart w:id="758" w:name="_Toc172087839"/>
      <w:bookmarkStart w:id="759" w:name="_Toc212947015"/>
      <w:bookmarkStart w:id="760" w:name="_Toc241571162"/>
      <w:r>
        <w:rPr>
          <w:rStyle w:val="CharSClsNo"/>
        </w:rPr>
        <w:t>6</w:t>
      </w:r>
      <w:r>
        <w:rPr>
          <w:snapToGrid w:val="0"/>
        </w:rPr>
        <w:t>.</w:t>
      </w:r>
      <w:r>
        <w:rPr>
          <w:snapToGrid w:val="0"/>
        </w:rPr>
        <w:tab/>
        <w:t>Each way bets</w:t>
      </w:r>
      <w:bookmarkEnd w:id="755"/>
      <w:bookmarkEnd w:id="756"/>
      <w:bookmarkEnd w:id="757"/>
      <w:bookmarkEnd w:id="758"/>
      <w:bookmarkEnd w:id="759"/>
      <w:bookmarkEnd w:id="760"/>
      <w:r>
        <w:rPr>
          <w:snapToGrid w:val="0"/>
        </w:rPr>
        <w:t xml:space="preserve"> </w:t>
      </w:r>
    </w:p>
    <w:p>
      <w:pPr>
        <w:pStyle w:val="ySubsection"/>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outlineLvl w:val="9"/>
        <w:rPr>
          <w:snapToGrid w:val="0"/>
        </w:rPr>
      </w:pPr>
      <w:bookmarkStart w:id="761" w:name="_Toc511525089"/>
      <w:bookmarkStart w:id="762" w:name="_Toc27803456"/>
      <w:bookmarkStart w:id="763" w:name="_Toc133903563"/>
      <w:bookmarkStart w:id="764" w:name="_Toc172087840"/>
      <w:bookmarkStart w:id="765" w:name="_Toc212947016"/>
      <w:bookmarkStart w:id="766" w:name="_Toc241571163"/>
      <w:r>
        <w:rPr>
          <w:rStyle w:val="CharSClsNo"/>
        </w:rPr>
        <w:t>7</w:t>
      </w:r>
      <w:r>
        <w:rPr>
          <w:snapToGrid w:val="0"/>
        </w:rPr>
        <w:t>.</w:t>
      </w:r>
      <w:r>
        <w:rPr>
          <w:snapToGrid w:val="0"/>
        </w:rPr>
        <w:tab/>
        <w:t>All bets to be “play or pay” except in certain circumstances</w:t>
      </w:r>
      <w:bookmarkEnd w:id="761"/>
      <w:bookmarkEnd w:id="762"/>
      <w:bookmarkEnd w:id="763"/>
      <w:bookmarkEnd w:id="764"/>
      <w:bookmarkEnd w:id="765"/>
      <w:bookmarkEnd w:id="766"/>
      <w:r>
        <w:rPr>
          <w:snapToGrid w:val="0"/>
        </w:rPr>
        <w:t xml:space="preserve"> </w:t>
      </w:r>
    </w:p>
    <w:p>
      <w:pPr>
        <w:pStyle w:val="ySubsection"/>
        <w:rPr>
          <w:snapToGrid w:val="0"/>
        </w:rPr>
      </w:pPr>
      <w:r>
        <w:rPr>
          <w:snapToGrid w:val="0"/>
        </w:rPr>
        <w:tab/>
      </w:r>
      <w:r>
        <w:rPr>
          <w:snapToGrid w:val="0"/>
        </w:rPr>
        <w:tab/>
        <w:t>All bets shall be play or pay, unless the parties thereto mutually agree to the contrary, with the following exceptions —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outlineLvl w:val="9"/>
        <w:rPr>
          <w:snapToGrid w:val="0"/>
        </w:rPr>
      </w:pPr>
      <w:bookmarkStart w:id="767" w:name="_Toc511525090"/>
      <w:bookmarkStart w:id="768" w:name="_Toc27803457"/>
      <w:bookmarkStart w:id="769" w:name="_Toc133903564"/>
      <w:bookmarkStart w:id="770" w:name="_Toc172087841"/>
      <w:bookmarkStart w:id="771" w:name="_Toc212947017"/>
      <w:bookmarkStart w:id="772" w:name="_Toc241571164"/>
      <w:r>
        <w:rPr>
          <w:rStyle w:val="CharSClsNo"/>
        </w:rPr>
        <w:t>8</w:t>
      </w:r>
      <w:r>
        <w:rPr>
          <w:snapToGrid w:val="0"/>
        </w:rPr>
        <w:t>.</w:t>
      </w:r>
      <w:r>
        <w:rPr>
          <w:snapToGrid w:val="0"/>
        </w:rPr>
        <w:tab/>
        <w:t>Provisions as to settlement of bets following a dead heat</w:t>
      </w:r>
      <w:bookmarkEnd w:id="767"/>
      <w:bookmarkEnd w:id="768"/>
      <w:bookmarkEnd w:id="769"/>
      <w:bookmarkEnd w:id="770"/>
      <w:bookmarkEnd w:id="771"/>
      <w:bookmarkEnd w:id="772"/>
      <w:r>
        <w:rPr>
          <w:snapToGrid w:val="0"/>
        </w:rPr>
        <w:t xml:space="preserve"> </w:t>
      </w:r>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outlineLvl w:val="9"/>
        <w:rPr>
          <w:snapToGrid w:val="0"/>
        </w:rPr>
      </w:pPr>
      <w:bookmarkStart w:id="773" w:name="_Toc511525091"/>
      <w:bookmarkStart w:id="774" w:name="_Toc27803458"/>
      <w:bookmarkStart w:id="775" w:name="_Toc133903565"/>
      <w:bookmarkStart w:id="776" w:name="_Toc172087842"/>
      <w:bookmarkStart w:id="777" w:name="_Toc212947018"/>
      <w:bookmarkStart w:id="778" w:name="_Toc241571165"/>
      <w:r>
        <w:rPr>
          <w:rStyle w:val="CharSClsNo"/>
        </w:rPr>
        <w:t>9</w:t>
      </w:r>
      <w:r>
        <w:rPr>
          <w:snapToGrid w:val="0"/>
        </w:rPr>
        <w:t>.</w:t>
      </w:r>
      <w:r>
        <w:rPr>
          <w:snapToGrid w:val="0"/>
        </w:rPr>
        <w:tab/>
        <w:t>Doubles</w:t>
      </w:r>
      <w:bookmarkEnd w:id="773"/>
      <w:bookmarkEnd w:id="774"/>
      <w:bookmarkEnd w:id="775"/>
      <w:bookmarkEnd w:id="776"/>
      <w:bookmarkEnd w:id="777"/>
      <w:bookmarkEnd w:id="778"/>
      <w:r>
        <w:rPr>
          <w:snapToGrid w:val="0"/>
        </w:rPr>
        <w:t xml:space="preserve"> </w:t>
      </w:r>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779" w:name="_Toc511525092"/>
      <w:bookmarkStart w:id="780" w:name="_Toc27803459"/>
      <w:r>
        <w:tab/>
        <w:t>[Rule 9 amended in Gazette 21 Jul 1998 p. 3855 and 3856; 30 Jan 2004 p. 408.]</w:t>
      </w:r>
    </w:p>
    <w:p>
      <w:pPr>
        <w:pStyle w:val="yHeading5"/>
        <w:outlineLvl w:val="9"/>
        <w:rPr>
          <w:snapToGrid w:val="0"/>
        </w:rPr>
      </w:pPr>
      <w:bookmarkStart w:id="781" w:name="_Toc133903566"/>
      <w:bookmarkStart w:id="782" w:name="_Toc172087843"/>
      <w:bookmarkStart w:id="783" w:name="_Toc212947019"/>
      <w:bookmarkStart w:id="784" w:name="_Toc241571166"/>
      <w:r>
        <w:rPr>
          <w:rStyle w:val="CharSClsNo"/>
        </w:rPr>
        <w:t>10</w:t>
      </w:r>
      <w:r>
        <w:rPr>
          <w:snapToGrid w:val="0"/>
        </w:rPr>
        <w:t>.</w:t>
      </w:r>
      <w:r>
        <w:rPr>
          <w:snapToGrid w:val="0"/>
        </w:rPr>
        <w:tab/>
        <w:t>Multiple doubles</w:t>
      </w:r>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t>(1)</w:t>
      </w:r>
      <w:r>
        <w:rPr>
          <w:snapToGrid w:val="0"/>
        </w:rPr>
        <w:tab/>
        <w:t>The following provisions apply to bets of the kind commonly known as multiple doubles, namely —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785" w:name="_Toc511525093"/>
      <w:bookmarkStart w:id="786" w:name="_Toc27803460"/>
      <w:r>
        <w:tab/>
        <w:t>[Rule 10 amended in Gazette 21 Jul 1998 p. 3856; 30 Jan 2004 p. 408.]</w:t>
      </w:r>
    </w:p>
    <w:p>
      <w:pPr>
        <w:pStyle w:val="yHeading5"/>
        <w:outlineLvl w:val="9"/>
        <w:rPr>
          <w:snapToGrid w:val="0"/>
        </w:rPr>
      </w:pPr>
      <w:bookmarkStart w:id="787" w:name="_Toc133903567"/>
      <w:bookmarkStart w:id="788" w:name="_Toc172087844"/>
      <w:bookmarkStart w:id="789" w:name="_Toc212947020"/>
      <w:bookmarkStart w:id="790" w:name="_Toc241571167"/>
      <w:r>
        <w:rPr>
          <w:rStyle w:val="CharSClsNo"/>
        </w:rPr>
        <w:t>11</w:t>
      </w:r>
      <w:r>
        <w:rPr>
          <w:snapToGrid w:val="0"/>
        </w:rPr>
        <w:t>.</w:t>
      </w:r>
      <w:r>
        <w:rPr>
          <w:snapToGrid w:val="0"/>
        </w:rPr>
        <w:tab/>
        <w:t>“All up” bets</w:t>
      </w:r>
      <w:bookmarkEnd w:id="785"/>
      <w:bookmarkEnd w:id="786"/>
      <w:bookmarkEnd w:id="787"/>
      <w:bookmarkEnd w:id="788"/>
      <w:bookmarkEnd w:id="789"/>
      <w:bookmarkEnd w:id="790"/>
      <w:r>
        <w:rPr>
          <w:snapToGrid w:val="0"/>
        </w:rPr>
        <w:t xml:space="preserve"> </w:t>
      </w:r>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outlineLvl w:val="9"/>
        <w:rPr>
          <w:snapToGrid w:val="0"/>
        </w:rPr>
      </w:pPr>
      <w:bookmarkStart w:id="791" w:name="_Toc511525094"/>
      <w:bookmarkStart w:id="792" w:name="_Toc27803461"/>
      <w:bookmarkStart w:id="793" w:name="_Toc133903568"/>
      <w:bookmarkStart w:id="794" w:name="_Toc172087845"/>
      <w:bookmarkStart w:id="795" w:name="_Toc212947021"/>
      <w:bookmarkStart w:id="796" w:name="_Toc241571168"/>
      <w:r>
        <w:rPr>
          <w:rStyle w:val="CharSClsNo"/>
        </w:rPr>
        <w:t>12</w:t>
      </w:r>
      <w:r>
        <w:rPr>
          <w:snapToGrid w:val="0"/>
        </w:rPr>
        <w:t>.</w:t>
      </w:r>
      <w:r>
        <w:rPr>
          <w:snapToGrid w:val="0"/>
        </w:rPr>
        <w:tab/>
        <w:t>Provisions as to races that are re</w:t>
      </w:r>
      <w:r>
        <w:rPr>
          <w:snapToGrid w:val="0"/>
        </w:rPr>
        <w:noBreakHyphen/>
        <w:t>run</w:t>
      </w:r>
      <w:bookmarkEnd w:id="791"/>
      <w:bookmarkEnd w:id="792"/>
      <w:bookmarkEnd w:id="793"/>
      <w:bookmarkEnd w:id="794"/>
      <w:bookmarkEnd w:id="795"/>
      <w:bookmarkEnd w:id="796"/>
      <w:r>
        <w:rPr>
          <w:snapToGrid w:val="0"/>
        </w:rPr>
        <w:t xml:space="preserve"> </w:t>
      </w:r>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r>
      <w:r>
        <w:tab/>
        <w:t>[Rule 12 amended in Gazette 21 Jul 1998 p 3855.]</w:t>
      </w:r>
    </w:p>
    <w:p>
      <w:pPr>
        <w:pStyle w:val="yHeading5"/>
        <w:outlineLvl w:val="9"/>
        <w:rPr>
          <w:snapToGrid w:val="0"/>
        </w:rPr>
      </w:pPr>
      <w:bookmarkStart w:id="797" w:name="_Toc511525095"/>
      <w:bookmarkStart w:id="798" w:name="_Toc27803462"/>
      <w:bookmarkStart w:id="799" w:name="_Toc133903569"/>
      <w:bookmarkStart w:id="800" w:name="_Toc172087846"/>
      <w:bookmarkStart w:id="801" w:name="_Toc212947022"/>
      <w:bookmarkStart w:id="802" w:name="_Toc241571169"/>
      <w:r>
        <w:rPr>
          <w:rStyle w:val="CharSClsNo"/>
        </w:rPr>
        <w:t>13</w:t>
      </w:r>
      <w:r>
        <w:rPr>
          <w:snapToGrid w:val="0"/>
        </w:rPr>
        <w:t>.</w:t>
      </w:r>
      <w:r>
        <w:rPr>
          <w:snapToGrid w:val="0"/>
        </w:rPr>
        <w:tab/>
        <w:t>Provisions as to bets on runners that are entered for 2 or more races on the same day</w:t>
      </w:r>
      <w:bookmarkEnd w:id="797"/>
      <w:bookmarkEnd w:id="798"/>
      <w:bookmarkEnd w:id="799"/>
      <w:bookmarkEnd w:id="800"/>
      <w:bookmarkEnd w:id="801"/>
      <w:bookmarkEnd w:id="802"/>
      <w:r>
        <w:rPr>
          <w:snapToGrid w:val="0"/>
        </w:rPr>
        <w:t xml:space="preserve"> </w:t>
      </w:r>
    </w:p>
    <w:p>
      <w:pPr>
        <w:pStyle w:val="ySubsection"/>
        <w:keepNext/>
        <w:keepLines/>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spacing w:before="200"/>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spacing w:before="200"/>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outlineLvl w:val="9"/>
        <w:rPr>
          <w:snapToGrid w:val="0"/>
        </w:rPr>
      </w:pPr>
      <w:bookmarkStart w:id="803" w:name="_Toc511525096"/>
      <w:bookmarkStart w:id="804" w:name="_Toc27803463"/>
      <w:bookmarkStart w:id="805" w:name="_Toc133903570"/>
      <w:bookmarkStart w:id="806" w:name="_Toc172087847"/>
      <w:bookmarkStart w:id="807" w:name="_Toc212947023"/>
      <w:bookmarkStart w:id="808" w:name="_Toc241571170"/>
      <w:r>
        <w:rPr>
          <w:rStyle w:val="CharSClsNo"/>
        </w:rPr>
        <w:t>14</w:t>
      </w:r>
      <w:r>
        <w:rPr>
          <w:snapToGrid w:val="0"/>
        </w:rPr>
        <w:t>.</w:t>
      </w:r>
      <w:r>
        <w:rPr>
          <w:snapToGrid w:val="0"/>
        </w:rPr>
        <w:tab/>
        <w:t>Prohibition on betting after race</w:t>
      </w:r>
      <w:bookmarkEnd w:id="803"/>
      <w:bookmarkEnd w:id="804"/>
      <w:bookmarkEnd w:id="805"/>
      <w:bookmarkEnd w:id="806"/>
      <w:bookmarkEnd w:id="807"/>
      <w:bookmarkEnd w:id="808"/>
      <w:r>
        <w:rPr>
          <w:snapToGrid w:val="0"/>
        </w:rPr>
        <w:t xml:space="preserve"> </w:t>
      </w:r>
    </w:p>
    <w:p>
      <w:pPr>
        <w:pStyle w:val="ySubsection"/>
        <w:spacing w:before="200"/>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spacing w:before="200"/>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809" w:name="_Toc511525097"/>
      <w:bookmarkStart w:id="810" w:name="_Toc27803464"/>
      <w:r>
        <w:tab/>
        <w:t>[Rule 14 amended in Gazette 21 Jul 1998 p. 3855; 30 Jan 2004 p. 408.]</w:t>
      </w:r>
    </w:p>
    <w:p>
      <w:pPr>
        <w:pStyle w:val="yHeading5"/>
        <w:spacing w:before="260"/>
        <w:outlineLvl w:val="9"/>
        <w:rPr>
          <w:snapToGrid w:val="0"/>
        </w:rPr>
      </w:pPr>
      <w:bookmarkStart w:id="811" w:name="_Toc133903571"/>
      <w:bookmarkStart w:id="812" w:name="_Toc172087848"/>
      <w:bookmarkStart w:id="813" w:name="_Toc212947024"/>
      <w:bookmarkStart w:id="814" w:name="_Toc241571171"/>
      <w:r>
        <w:rPr>
          <w:rStyle w:val="CharSClsNo"/>
        </w:rPr>
        <w:t>15</w:t>
      </w:r>
      <w:r>
        <w:rPr>
          <w:snapToGrid w:val="0"/>
        </w:rPr>
        <w:t>.</w:t>
      </w:r>
      <w:r>
        <w:rPr>
          <w:snapToGrid w:val="0"/>
        </w:rPr>
        <w:tab/>
        <w:t>Settlement of bets on deaths of parties thereto</w:t>
      </w:r>
      <w:bookmarkEnd w:id="809"/>
      <w:bookmarkEnd w:id="810"/>
      <w:bookmarkEnd w:id="811"/>
      <w:bookmarkEnd w:id="812"/>
      <w:bookmarkEnd w:id="813"/>
      <w:bookmarkEnd w:id="814"/>
      <w:r>
        <w:rPr>
          <w:snapToGrid w:val="0"/>
        </w:rPr>
        <w:t xml:space="preserve"> </w:t>
      </w:r>
    </w:p>
    <w:p>
      <w:pPr>
        <w:pStyle w:val="ySubsection"/>
        <w:spacing w:before="200"/>
        <w:rPr>
          <w:snapToGrid w:val="0"/>
        </w:rPr>
      </w:pPr>
      <w:r>
        <w:rPr>
          <w:snapToGrid w:val="0"/>
        </w:rPr>
        <w:tab/>
      </w:r>
      <w:r>
        <w:rPr>
          <w:snapToGrid w:val="0"/>
        </w:rPr>
        <w:tab/>
        <w:t>The death of either party to a bet shall not invalidate the bet.</w:t>
      </w:r>
    </w:p>
    <w:p>
      <w:pPr>
        <w:pStyle w:val="yHeading5"/>
        <w:spacing w:before="260"/>
        <w:outlineLvl w:val="9"/>
        <w:rPr>
          <w:snapToGrid w:val="0"/>
        </w:rPr>
      </w:pPr>
      <w:bookmarkStart w:id="815" w:name="_Toc511525098"/>
      <w:bookmarkStart w:id="816" w:name="_Toc27803465"/>
      <w:bookmarkStart w:id="817" w:name="_Toc133903572"/>
      <w:bookmarkStart w:id="818" w:name="_Toc172087849"/>
      <w:bookmarkStart w:id="819" w:name="_Toc212947025"/>
      <w:bookmarkStart w:id="820" w:name="_Toc241571172"/>
      <w:r>
        <w:rPr>
          <w:rStyle w:val="CharSClsNo"/>
        </w:rPr>
        <w:t>16</w:t>
      </w:r>
      <w:r>
        <w:rPr>
          <w:snapToGrid w:val="0"/>
        </w:rPr>
        <w:t>.</w:t>
      </w:r>
      <w:r>
        <w:rPr>
          <w:snapToGrid w:val="0"/>
        </w:rPr>
        <w:tab/>
        <w:t>Settlement of bets on suspension or cancellation of licence of a bookmaker</w:t>
      </w:r>
      <w:bookmarkEnd w:id="815"/>
      <w:bookmarkEnd w:id="816"/>
      <w:bookmarkEnd w:id="817"/>
      <w:bookmarkEnd w:id="818"/>
      <w:bookmarkEnd w:id="819"/>
      <w:bookmarkEnd w:id="820"/>
      <w:r>
        <w:rPr>
          <w:snapToGrid w:val="0"/>
        </w:rPr>
        <w:t xml:space="preserve"> </w:t>
      </w:r>
    </w:p>
    <w:p>
      <w:pPr>
        <w:pStyle w:val="ySubsection"/>
        <w:spacing w:before="200"/>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821" w:name="_Toc511525099"/>
      <w:bookmarkStart w:id="822" w:name="_Toc27803466"/>
      <w:r>
        <w:tab/>
        <w:t>[Rule 16 amended in Gazette 20 Sep 2002 p. 4704; 30 Jan 2004 p. 412.]</w:t>
      </w:r>
    </w:p>
    <w:p>
      <w:pPr>
        <w:pStyle w:val="yHeading5"/>
        <w:outlineLvl w:val="9"/>
        <w:rPr>
          <w:snapToGrid w:val="0"/>
        </w:rPr>
      </w:pPr>
      <w:bookmarkStart w:id="823" w:name="_Toc133903573"/>
      <w:bookmarkStart w:id="824" w:name="_Toc172087850"/>
      <w:bookmarkStart w:id="825" w:name="_Toc212947026"/>
      <w:bookmarkStart w:id="826" w:name="_Toc241571173"/>
      <w:r>
        <w:rPr>
          <w:rStyle w:val="CharSClsNo"/>
        </w:rPr>
        <w:t>17</w:t>
      </w:r>
      <w:r>
        <w:rPr>
          <w:snapToGrid w:val="0"/>
        </w:rPr>
        <w:t>.</w:t>
      </w:r>
      <w:r>
        <w:rPr>
          <w:snapToGrid w:val="0"/>
        </w:rPr>
        <w:tab/>
        <w:t>Settling</w:t>
      </w:r>
      <w:bookmarkEnd w:id="821"/>
      <w:bookmarkEnd w:id="822"/>
      <w:bookmarkEnd w:id="823"/>
      <w:bookmarkEnd w:id="824"/>
      <w:bookmarkEnd w:id="825"/>
      <w:bookmarkEnd w:id="826"/>
      <w:r>
        <w:rPr>
          <w:snapToGrid w:val="0"/>
        </w:rPr>
        <w:t xml:space="preserve"> </w:t>
      </w:r>
    </w:p>
    <w:p>
      <w:pPr>
        <w:pStyle w:val="ySubsection"/>
      </w:pPr>
      <w:r>
        <w:rPr>
          <w:snapToGrid w:val="0"/>
        </w:rPr>
        <w:tab/>
      </w:r>
      <w:r>
        <w:rPr>
          <w:snapToGrid w:val="0"/>
        </w:rPr>
        <w:tab/>
        <w:t>Settling in terms of these rules shall not be disturbed except in cases of fraud.</w:t>
      </w:r>
    </w:p>
    <w:p>
      <w:pPr>
        <w:pStyle w:val="yHeading2"/>
        <w:ind w:left="567" w:right="567"/>
        <w:outlineLvl w:val="9"/>
        <w:rPr>
          <w:sz w:val="22"/>
        </w:rPr>
      </w:pPr>
      <w:bookmarkStart w:id="827" w:name="_Toc27803467"/>
      <w:bookmarkStart w:id="828" w:name="_Toc133903574"/>
      <w:bookmarkStart w:id="829" w:name="_Toc133903668"/>
      <w:bookmarkStart w:id="830" w:name="_Toc133921017"/>
      <w:bookmarkStart w:id="831" w:name="_Toc141162268"/>
      <w:bookmarkStart w:id="832" w:name="_Toc141173857"/>
      <w:bookmarkStart w:id="833" w:name="_Toc148256479"/>
      <w:bookmarkStart w:id="834" w:name="_Toc151192482"/>
      <w:bookmarkStart w:id="835" w:name="_Toc151260851"/>
      <w:bookmarkStart w:id="836" w:name="_Toc155062685"/>
      <w:bookmarkStart w:id="837" w:name="_Toc155080010"/>
      <w:bookmarkStart w:id="838" w:name="_Toc171737785"/>
      <w:bookmarkStart w:id="839" w:name="_Toc172087344"/>
      <w:bookmarkStart w:id="840" w:name="_Toc172087589"/>
      <w:bookmarkStart w:id="841" w:name="_Toc172087851"/>
      <w:bookmarkStart w:id="842" w:name="_Toc173915926"/>
      <w:bookmarkStart w:id="843" w:name="_Toc175536931"/>
      <w:bookmarkStart w:id="844" w:name="_Toc175629432"/>
      <w:bookmarkStart w:id="845" w:name="_Toc177792446"/>
      <w:bookmarkStart w:id="846" w:name="_Toc177877481"/>
      <w:bookmarkStart w:id="847" w:name="_Toc179704114"/>
      <w:bookmarkStart w:id="848" w:name="_Toc185647295"/>
      <w:bookmarkStart w:id="849" w:name="_Toc212947027"/>
      <w:bookmarkStart w:id="850" w:name="_Toc218325413"/>
      <w:bookmarkStart w:id="851" w:name="_Toc218325529"/>
      <w:bookmarkStart w:id="852" w:name="_Toc218400252"/>
      <w:bookmarkStart w:id="853" w:name="_Toc241566830"/>
      <w:bookmarkStart w:id="854" w:name="_Toc241566945"/>
      <w:bookmarkStart w:id="855" w:name="_Toc241571174"/>
      <w:r>
        <w:rPr>
          <w:rStyle w:val="CharSDivNo"/>
        </w:rPr>
        <w:t>Part 2</w:t>
      </w:r>
      <w:r>
        <w:rPr>
          <w:sz w:val="22"/>
        </w:rPr>
        <w:t> —</w:t>
      </w:r>
      <w:r>
        <w:rPr>
          <w:rStyle w:val="CharSClsNo"/>
        </w:rPr>
        <w:t> </w:t>
      </w:r>
      <w:r>
        <w:rPr>
          <w:rStyle w:val="CharSDivText"/>
        </w:rPr>
        <w:t>Betting on a sporting event, or a contingency, approved under section 4B</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sz w:val="22"/>
        </w:rPr>
        <w:t xml:space="preserve"> </w:t>
      </w:r>
    </w:p>
    <w:p>
      <w:pPr>
        <w:pStyle w:val="yFootnoteheading"/>
        <w:tabs>
          <w:tab w:val="clear" w:pos="879"/>
          <w:tab w:val="left" w:pos="840"/>
        </w:tabs>
        <w:rPr>
          <w:snapToGrid w:val="0"/>
        </w:rPr>
      </w:pPr>
      <w:r>
        <w:rPr>
          <w:snapToGrid w:val="0"/>
        </w:rPr>
        <w:tab/>
        <w:t xml:space="preserve">[Heading inserted in Gazette 10 Jul 1992 p. 3294.] </w:t>
      </w:r>
    </w:p>
    <w:p>
      <w:pPr>
        <w:pStyle w:val="yHeading5"/>
        <w:outlineLvl w:val="9"/>
        <w:rPr>
          <w:b w:val="0"/>
          <w:snapToGrid w:val="0"/>
        </w:rPr>
      </w:pPr>
      <w:bookmarkStart w:id="856" w:name="_Toc133903575"/>
      <w:bookmarkStart w:id="857" w:name="_Toc133903669"/>
      <w:bookmarkStart w:id="858" w:name="_Toc172087590"/>
      <w:bookmarkStart w:id="859" w:name="_Toc172087852"/>
      <w:bookmarkStart w:id="860" w:name="_Toc175536932"/>
      <w:bookmarkStart w:id="861" w:name="_Toc175629433"/>
      <w:bookmarkStart w:id="862" w:name="_Toc212947028"/>
      <w:bookmarkStart w:id="863" w:name="_Toc241571175"/>
      <w:r>
        <w:rPr>
          <w:bCs/>
        </w:rPr>
        <w:t>1</w:t>
      </w:r>
      <w:r>
        <w:rPr>
          <w:bCs/>
          <w:snapToGrid w:val="0"/>
        </w:rPr>
        <w:t>.</w:t>
      </w:r>
      <w:bookmarkEnd w:id="856"/>
      <w:bookmarkEnd w:id="857"/>
      <w:bookmarkEnd w:id="858"/>
      <w:bookmarkEnd w:id="859"/>
      <w:r>
        <w:rPr>
          <w:snapToGrid w:val="0"/>
        </w:rPr>
        <w:tab/>
      </w:r>
      <w:r>
        <w:rPr>
          <w:b w:val="0"/>
          <w:snapToGrid w:val="0"/>
        </w:rPr>
        <w:t>Bets shall be determined on the official results as declared by the controlling authority responsible for conducting the sporting event to which the bets relate.</w:t>
      </w:r>
      <w:bookmarkEnd w:id="860"/>
      <w:bookmarkEnd w:id="861"/>
      <w:bookmarkEnd w:id="862"/>
      <w:bookmarkEnd w:id="863"/>
    </w:p>
    <w:p>
      <w:pPr>
        <w:pStyle w:val="yFootnotesection"/>
      </w:pPr>
      <w:r>
        <w:tab/>
        <w:t>[Rule 1 inserted in Gazette 10 Jul 1992 p. 3294.]</w:t>
      </w:r>
    </w:p>
    <w:p>
      <w:pPr>
        <w:pStyle w:val="yHeading5"/>
        <w:outlineLvl w:val="9"/>
        <w:rPr>
          <w:b w:val="0"/>
          <w:snapToGrid w:val="0"/>
        </w:rPr>
      </w:pPr>
      <w:bookmarkStart w:id="864" w:name="_Toc133903576"/>
      <w:bookmarkStart w:id="865" w:name="_Toc133903670"/>
      <w:bookmarkStart w:id="866" w:name="_Toc172087591"/>
      <w:bookmarkStart w:id="867" w:name="_Toc172087853"/>
      <w:bookmarkStart w:id="868" w:name="_Toc175536933"/>
      <w:bookmarkStart w:id="869" w:name="_Toc175629434"/>
      <w:bookmarkStart w:id="870" w:name="_Toc212947029"/>
      <w:bookmarkStart w:id="871" w:name="_Toc241571176"/>
      <w:r>
        <w:t>2</w:t>
      </w:r>
      <w:r>
        <w:rPr>
          <w:snapToGrid w:val="0"/>
        </w:rPr>
        <w:t>.</w:t>
      </w:r>
      <w:bookmarkEnd w:id="864"/>
      <w:bookmarkEnd w:id="865"/>
      <w:bookmarkEnd w:id="866"/>
      <w:bookmarkEnd w:id="867"/>
      <w:r>
        <w:rPr>
          <w:snapToGrid w:val="0"/>
        </w:rPr>
        <w:tab/>
      </w:r>
      <w:r>
        <w:rPr>
          <w:b w:val="0"/>
          <w:snapToGrid w:val="0"/>
        </w:rPr>
        <w:t>Any outcome not covered by these rules shall be determined by the stewards acting at the race meeting where the bet was laid.</w:t>
      </w:r>
      <w:bookmarkEnd w:id="868"/>
      <w:bookmarkEnd w:id="869"/>
      <w:bookmarkEnd w:id="870"/>
      <w:bookmarkEnd w:id="871"/>
    </w:p>
    <w:p>
      <w:pPr>
        <w:pStyle w:val="yFootnotesection"/>
      </w:pPr>
      <w:r>
        <w:tab/>
        <w:t>[Rule 2 inserted in Gazette 10 Jul 1992 p. 3294.]</w:t>
      </w:r>
    </w:p>
    <w:p>
      <w:pPr>
        <w:pStyle w:val="yEdnotesection"/>
      </w:pPr>
      <w:r>
        <w:t>[</w:t>
      </w:r>
      <w:r>
        <w:rPr>
          <w:b/>
          <w:bCs/>
        </w:rPr>
        <w:t>3.</w:t>
      </w:r>
      <w:r>
        <w:tab/>
        <w:t>Deleted in Gazette 25 Sep 2009 p. 3752.]</w:t>
      </w:r>
    </w:p>
    <w:p>
      <w:pPr>
        <w:pStyle w:val="yHeading5"/>
        <w:outlineLvl w:val="9"/>
        <w:rPr>
          <w:snapToGrid w:val="0"/>
        </w:rPr>
      </w:pPr>
      <w:bookmarkStart w:id="872" w:name="_Toc133903578"/>
      <w:bookmarkStart w:id="873" w:name="_Toc133903672"/>
      <w:bookmarkStart w:id="874" w:name="_Toc172087593"/>
      <w:bookmarkStart w:id="875" w:name="_Toc172087855"/>
      <w:bookmarkStart w:id="876" w:name="_Toc175536935"/>
      <w:bookmarkStart w:id="877" w:name="_Toc175629436"/>
      <w:bookmarkStart w:id="878" w:name="_Toc212947031"/>
      <w:bookmarkStart w:id="879" w:name="_Toc241571177"/>
      <w:r>
        <w:t>4.</w:t>
      </w:r>
      <w:bookmarkEnd w:id="872"/>
      <w:bookmarkEnd w:id="873"/>
      <w:bookmarkEnd w:id="874"/>
      <w:bookmarkEnd w:id="875"/>
      <w:r>
        <w:rPr>
          <w:snapToGrid w:val="0"/>
        </w:rPr>
        <w:tab/>
      </w:r>
      <w:r>
        <w:rPr>
          <w:b w:val="0"/>
          <w:snapToGrid w:val="0"/>
        </w:rPr>
        <w:t>Where a sporting event or contingency results in a tie, draw or dead heat, and odds are offered for that tie, draw or dead heat, any bet for a win is lost.</w:t>
      </w:r>
      <w:bookmarkEnd w:id="876"/>
      <w:bookmarkEnd w:id="877"/>
      <w:bookmarkEnd w:id="878"/>
      <w:bookmarkEnd w:id="879"/>
    </w:p>
    <w:p>
      <w:pPr>
        <w:pStyle w:val="yFootnotesection"/>
      </w:pPr>
      <w:r>
        <w:tab/>
        <w:t>[Rule 4 inserted in Gazette 10 Jul 1992 p. 3294.]</w:t>
      </w:r>
    </w:p>
    <w:p>
      <w:pPr>
        <w:pStyle w:val="yHeading5"/>
        <w:outlineLvl w:val="9"/>
        <w:rPr>
          <w:b w:val="0"/>
          <w:snapToGrid w:val="0"/>
        </w:rPr>
      </w:pPr>
      <w:bookmarkStart w:id="880" w:name="_Toc133903579"/>
      <w:bookmarkStart w:id="881" w:name="_Toc133903673"/>
      <w:bookmarkStart w:id="882" w:name="_Toc172087594"/>
      <w:bookmarkStart w:id="883" w:name="_Toc172087856"/>
      <w:bookmarkStart w:id="884" w:name="_Toc175536936"/>
      <w:bookmarkStart w:id="885" w:name="_Toc175629437"/>
      <w:bookmarkStart w:id="886" w:name="_Toc212947032"/>
      <w:bookmarkStart w:id="887" w:name="_Toc241571178"/>
      <w:r>
        <w:t>5</w:t>
      </w:r>
      <w:r>
        <w:rPr>
          <w:snapToGrid w:val="0"/>
        </w:rPr>
        <w:t>.</w:t>
      </w:r>
      <w:bookmarkEnd w:id="880"/>
      <w:bookmarkEnd w:id="881"/>
      <w:bookmarkEnd w:id="882"/>
      <w:bookmarkEnd w:id="883"/>
      <w:r>
        <w:rPr>
          <w:snapToGrid w:val="0"/>
        </w:rPr>
        <w:tab/>
      </w:r>
      <w:r>
        <w:rPr>
          <w:b w:val="0"/>
          <w:snapToGrid w:val="0"/>
        </w:rPr>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884"/>
      <w:bookmarkEnd w:id="885"/>
      <w:bookmarkEnd w:id="886"/>
      <w:bookmarkEnd w:id="887"/>
      <w:r>
        <w:rPr>
          <w:b w:val="0"/>
          <w:snapToGrid w:val="0"/>
        </w:rPr>
        <w:t>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Heading5"/>
        <w:outlineLvl w:val="9"/>
        <w:rPr>
          <w:b w:val="0"/>
          <w:snapToGrid w:val="0"/>
        </w:rPr>
      </w:pPr>
      <w:bookmarkStart w:id="888" w:name="_Toc133903580"/>
      <w:bookmarkStart w:id="889" w:name="_Toc133903674"/>
      <w:bookmarkStart w:id="890" w:name="_Toc172087595"/>
      <w:bookmarkStart w:id="891" w:name="_Toc172087857"/>
      <w:bookmarkStart w:id="892" w:name="_Toc175536937"/>
      <w:bookmarkStart w:id="893" w:name="_Toc175629438"/>
      <w:bookmarkStart w:id="894" w:name="_Toc212947033"/>
      <w:bookmarkStart w:id="895" w:name="_Toc241571179"/>
      <w:r>
        <w:t>6.</w:t>
      </w:r>
      <w:bookmarkEnd w:id="888"/>
      <w:bookmarkEnd w:id="889"/>
      <w:bookmarkEnd w:id="890"/>
      <w:bookmarkEnd w:id="891"/>
      <w:r>
        <w:rPr>
          <w:snapToGrid w:val="0"/>
        </w:rPr>
        <w:tab/>
      </w:r>
      <w:r>
        <w:rPr>
          <w:b w:val="0"/>
          <w:snapToGrid w:val="0"/>
        </w:rPr>
        <w:t>In bets involving more than one contingency of, or relating to, the same sporting event —</w:t>
      </w:r>
      <w:bookmarkEnd w:id="892"/>
      <w:bookmarkEnd w:id="893"/>
      <w:bookmarkEnd w:id="894"/>
      <w:bookmarkEnd w:id="895"/>
      <w:r>
        <w:rPr>
          <w:b w:val="0"/>
          <w:snapToGrid w:val="0"/>
        </w:rPr>
        <w:t> </w:t>
      </w:r>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Heading5"/>
        <w:outlineLvl w:val="9"/>
        <w:rPr>
          <w:b w:val="0"/>
          <w:snapToGrid w:val="0"/>
        </w:rPr>
      </w:pPr>
      <w:bookmarkStart w:id="896" w:name="_Toc133903581"/>
      <w:bookmarkStart w:id="897" w:name="_Toc133903675"/>
      <w:bookmarkStart w:id="898" w:name="_Toc172087596"/>
      <w:bookmarkStart w:id="899" w:name="_Toc172087858"/>
      <w:bookmarkStart w:id="900" w:name="_Toc175536938"/>
      <w:bookmarkStart w:id="901" w:name="_Toc175629439"/>
      <w:bookmarkStart w:id="902" w:name="_Toc212947034"/>
      <w:bookmarkStart w:id="903" w:name="_Toc241571180"/>
      <w:r>
        <w:t>7.</w:t>
      </w:r>
      <w:bookmarkEnd w:id="896"/>
      <w:bookmarkEnd w:id="897"/>
      <w:bookmarkEnd w:id="898"/>
      <w:bookmarkEnd w:id="899"/>
      <w:r>
        <w:rPr>
          <w:snapToGrid w:val="0"/>
        </w:rPr>
        <w:tab/>
      </w:r>
      <w:r>
        <w:rPr>
          <w:b w:val="0"/>
          <w:snapToGrid w:val="0"/>
        </w:rPr>
        <w:t>Where a sporting event is abandoned, all bets are to be refunded except those laid in respect of contingencies that have been decided totally or in part.</w:t>
      </w:r>
      <w:bookmarkEnd w:id="900"/>
      <w:bookmarkEnd w:id="901"/>
      <w:bookmarkEnd w:id="902"/>
      <w:bookmarkEnd w:id="903"/>
    </w:p>
    <w:p>
      <w:pPr>
        <w:pStyle w:val="yFootnotesection"/>
      </w:pPr>
      <w:r>
        <w:tab/>
        <w:t>[Rule 7 inserted in Gazette 10 Jul 1992 p. 3295.]</w:t>
      </w:r>
    </w:p>
    <w:p>
      <w:pPr>
        <w:pStyle w:val="yHeading5"/>
        <w:outlineLvl w:val="9"/>
        <w:rPr>
          <w:b w:val="0"/>
          <w:snapToGrid w:val="0"/>
        </w:rPr>
      </w:pPr>
      <w:bookmarkStart w:id="904" w:name="_Toc133903582"/>
      <w:bookmarkStart w:id="905" w:name="_Toc133903676"/>
      <w:bookmarkStart w:id="906" w:name="_Toc172087597"/>
      <w:bookmarkStart w:id="907" w:name="_Toc172087859"/>
      <w:bookmarkStart w:id="908" w:name="_Toc175536939"/>
      <w:bookmarkStart w:id="909" w:name="_Toc175629440"/>
      <w:bookmarkStart w:id="910" w:name="_Toc212947035"/>
      <w:bookmarkStart w:id="911" w:name="_Toc241571181"/>
      <w:r>
        <w:t>8.</w:t>
      </w:r>
      <w:bookmarkEnd w:id="904"/>
      <w:bookmarkEnd w:id="905"/>
      <w:bookmarkEnd w:id="906"/>
      <w:bookmarkEnd w:id="907"/>
      <w:r>
        <w:rPr>
          <w:snapToGrid w:val="0"/>
        </w:rPr>
        <w:tab/>
      </w:r>
      <w:r>
        <w:rPr>
          <w:b w:val="0"/>
          <w:snapToGrid w:val="0"/>
        </w:rPr>
        <w:t>Where a sporting event is postponed to a later date, all bets on the event or contingent on the event shall stand.</w:t>
      </w:r>
      <w:bookmarkEnd w:id="908"/>
      <w:bookmarkEnd w:id="909"/>
      <w:bookmarkEnd w:id="910"/>
      <w:bookmarkEnd w:id="911"/>
    </w:p>
    <w:p>
      <w:pPr>
        <w:pStyle w:val="yFootnotesection"/>
      </w:pPr>
      <w:r>
        <w:tab/>
        <w:t>[Rule 8 inserted in Gazette 10 Jul 1992 p. 3295.]</w:t>
      </w:r>
    </w:p>
    <w:p>
      <w:pPr>
        <w:pStyle w:val="yHeading5"/>
        <w:outlineLvl w:val="9"/>
        <w:rPr>
          <w:b w:val="0"/>
          <w:snapToGrid w:val="0"/>
        </w:rPr>
      </w:pPr>
      <w:bookmarkStart w:id="912" w:name="_Toc133903583"/>
      <w:bookmarkStart w:id="913" w:name="_Toc133903677"/>
      <w:bookmarkStart w:id="914" w:name="_Toc172087598"/>
      <w:bookmarkStart w:id="915" w:name="_Toc172087860"/>
      <w:bookmarkStart w:id="916" w:name="_Toc175536940"/>
      <w:bookmarkStart w:id="917" w:name="_Toc175629441"/>
      <w:bookmarkStart w:id="918" w:name="_Toc212947036"/>
      <w:bookmarkStart w:id="919" w:name="_Toc241571182"/>
      <w:r>
        <w:t>9.</w:t>
      </w:r>
      <w:bookmarkEnd w:id="912"/>
      <w:bookmarkEnd w:id="913"/>
      <w:bookmarkEnd w:id="914"/>
      <w:bookmarkEnd w:id="915"/>
      <w:r>
        <w:rPr>
          <w:snapToGrid w:val="0"/>
        </w:rPr>
        <w:tab/>
      </w:r>
      <w:r>
        <w:rPr>
          <w:b w:val="0"/>
          <w:snapToGrid w:val="0"/>
        </w:rPr>
        <w:t>All bets in relation to sporting contingencies shall be “play or pay”, unless the parties mutually agree to the contrary.</w:t>
      </w:r>
      <w:bookmarkEnd w:id="916"/>
      <w:bookmarkEnd w:id="917"/>
      <w:bookmarkEnd w:id="918"/>
      <w:bookmarkEnd w:id="919"/>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MiscellaneousBody"/>
        <w:spacing w:after="160"/>
      </w:pPr>
      <w:r>
        <w:t>This Table is to be used to determine the rate % of deduction in respect of win, place, concession, double and treble bets. Rate % of deduction (cents in $) from the face value of the ticket.</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
              <w:jc w:val="center"/>
              <w:rPr>
                <w:b/>
              </w:rPr>
            </w:pPr>
            <w:r>
              <w:rPr>
                <w:b/>
              </w:rPr>
              <w:t>Dividend of Withdrawn Runner (for bet of $1)</w:t>
            </w:r>
          </w:p>
        </w:tc>
        <w:tc>
          <w:tcPr>
            <w:tcW w:w="1418" w:type="dxa"/>
            <w:tcBorders>
              <w:top w:val="single" w:sz="4" w:space="0" w:color="auto"/>
              <w:bottom w:val="single" w:sz="4" w:space="0" w:color="auto"/>
            </w:tcBorders>
          </w:tcPr>
          <w:p>
            <w:pPr>
              <w:pStyle w:val="yTable"/>
              <w:jc w:val="center"/>
              <w:rPr>
                <w:b/>
              </w:rPr>
            </w:pPr>
            <w:r>
              <w:rPr>
                <w:b/>
              </w:rPr>
              <w:t xml:space="preserve">Win </w:t>
            </w:r>
            <w:r>
              <w:rPr>
                <w:b/>
              </w:rPr>
              <w:br/>
              <w:t>Doubles</w:t>
            </w:r>
            <w:r>
              <w:rPr>
                <w:b/>
              </w:rPr>
              <w:br/>
              <w:t>Treble Deduction</w:t>
            </w:r>
          </w:p>
          <w:p>
            <w:pPr>
              <w:pStyle w:val="yTable"/>
              <w:jc w:val="center"/>
              <w:rPr>
                <w:b/>
              </w:rPr>
            </w:pPr>
          </w:p>
          <w:p>
            <w:pPr>
              <w:pStyle w:val="yTable"/>
              <w:jc w:val="center"/>
              <w:rPr>
                <w:b/>
              </w:rPr>
            </w:pPr>
            <w:r>
              <w:rPr>
                <w:b/>
              </w:rPr>
              <w:t>Cents</w:t>
            </w:r>
          </w:p>
        </w:tc>
        <w:tc>
          <w:tcPr>
            <w:tcW w:w="1417" w:type="dxa"/>
            <w:tcBorders>
              <w:top w:val="single" w:sz="4" w:space="0" w:color="auto"/>
              <w:bottom w:val="single" w:sz="4" w:space="0" w:color="auto"/>
            </w:tcBorders>
          </w:tcPr>
          <w:p>
            <w:pPr>
              <w:pStyle w:val="yTable"/>
              <w:jc w:val="center"/>
              <w:rPr>
                <w:b/>
              </w:rPr>
            </w:pPr>
            <w:r>
              <w:rPr>
                <w:b/>
              </w:rPr>
              <w:t>Place Deduction where 8 or more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Place Deduction where less than 8 Runners</w:t>
            </w:r>
          </w:p>
          <w:p>
            <w:pPr>
              <w:pStyle w:val="yTable"/>
              <w:spacing w:before="120"/>
              <w:jc w:val="center"/>
              <w:rPr>
                <w:b/>
              </w:rPr>
            </w:pPr>
            <w:r>
              <w:rPr>
                <w:b/>
              </w:rPr>
              <w:t>Cents</w:t>
            </w:r>
          </w:p>
        </w:tc>
        <w:tc>
          <w:tcPr>
            <w:tcW w:w="1418" w:type="dxa"/>
            <w:tcBorders>
              <w:top w:val="single" w:sz="4" w:space="0" w:color="auto"/>
              <w:bottom w:val="single" w:sz="4" w:space="0" w:color="auto"/>
            </w:tcBorders>
          </w:tcPr>
          <w:p>
            <w:pPr>
              <w:pStyle w:val="yTable"/>
              <w:jc w:val="center"/>
              <w:rPr>
                <w:b/>
              </w:rPr>
            </w:pPr>
            <w:r>
              <w:rPr>
                <w:b/>
              </w:rPr>
              <w:t>Concession Deduction</w:t>
            </w:r>
            <w:r>
              <w:rPr>
                <w:b/>
              </w:rPr>
              <w:br/>
            </w:r>
            <w:r>
              <w:rPr>
                <w:b/>
              </w:rPr>
              <w:br/>
            </w:r>
          </w:p>
          <w:p>
            <w:pPr>
              <w:pStyle w:val="yTable"/>
              <w:jc w:val="center"/>
              <w:rPr>
                <w:b/>
              </w:rPr>
            </w:pPr>
          </w:p>
          <w:p>
            <w:pPr>
              <w:pStyle w:val="yTable"/>
              <w:jc w:val="center"/>
              <w:rPr>
                <w:b/>
              </w:rPr>
            </w:pPr>
            <w:r>
              <w:rPr>
                <w:b/>
              </w:rPr>
              <w:t>Cents</w:t>
            </w:r>
          </w:p>
        </w:tc>
      </w:tr>
      <w:tr>
        <w:tc>
          <w:tcPr>
            <w:tcW w:w="1417" w:type="dxa"/>
          </w:tcPr>
          <w:p>
            <w:pPr>
              <w:pStyle w:val="yTable"/>
              <w:jc w:val="center"/>
            </w:pPr>
          </w:p>
        </w:tc>
        <w:tc>
          <w:tcPr>
            <w:tcW w:w="1418" w:type="dxa"/>
          </w:tcPr>
          <w:p>
            <w:pPr>
              <w:pStyle w:val="yTable"/>
              <w:jc w:val="center"/>
            </w:pPr>
          </w:p>
        </w:tc>
        <w:tc>
          <w:tcPr>
            <w:tcW w:w="1417" w:type="dxa"/>
          </w:tcPr>
          <w:p>
            <w:pPr>
              <w:pStyle w:val="yTable"/>
              <w:jc w:val="center"/>
            </w:pPr>
          </w:p>
        </w:tc>
        <w:tc>
          <w:tcPr>
            <w:tcW w:w="1418" w:type="dxa"/>
          </w:tcPr>
          <w:p>
            <w:pPr>
              <w:pStyle w:val="yTable"/>
              <w:jc w:val="center"/>
            </w:pPr>
          </w:p>
        </w:tc>
        <w:tc>
          <w:tcPr>
            <w:tcW w:w="1418" w:type="dxa"/>
          </w:tcPr>
          <w:p>
            <w:pPr>
              <w:pStyle w:val="yTable"/>
              <w:jc w:val="center"/>
            </w:pPr>
          </w:p>
        </w:tc>
      </w:tr>
      <w:tr>
        <w:tc>
          <w:tcPr>
            <w:tcW w:w="1417" w:type="dxa"/>
          </w:tcPr>
          <w:p>
            <w:pPr>
              <w:pStyle w:val="yTable"/>
              <w:jc w:val="center"/>
            </w:pPr>
            <w:r>
              <w:t>1.05</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1.07</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1.08</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1.09</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1.10</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1.12</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1.14</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1.16</w:t>
            </w:r>
          </w:p>
        </w:tc>
        <w:tc>
          <w:tcPr>
            <w:tcW w:w="1418" w:type="dxa"/>
          </w:tcPr>
          <w:p>
            <w:pPr>
              <w:pStyle w:val="yTable"/>
              <w:jc w:val="center"/>
            </w:pPr>
            <w:r>
              <w:t>80</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1.18</w:t>
            </w:r>
          </w:p>
        </w:tc>
        <w:tc>
          <w:tcPr>
            <w:tcW w:w="1418" w:type="dxa"/>
          </w:tcPr>
          <w:p>
            <w:pPr>
              <w:pStyle w:val="yTable"/>
              <w:jc w:val="center"/>
            </w:pPr>
            <w:r>
              <w:t>79</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1.20</w:t>
            </w:r>
          </w:p>
        </w:tc>
        <w:tc>
          <w:tcPr>
            <w:tcW w:w="1418" w:type="dxa"/>
          </w:tcPr>
          <w:p>
            <w:pPr>
              <w:pStyle w:val="yTable"/>
              <w:jc w:val="center"/>
            </w:pPr>
            <w:r>
              <w:t>78</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1.22</w:t>
            </w:r>
          </w:p>
        </w:tc>
        <w:tc>
          <w:tcPr>
            <w:tcW w:w="1418" w:type="dxa"/>
          </w:tcPr>
          <w:p>
            <w:pPr>
              <w:pStyle w:val="yTable"/>
              <w:jc w:val="center"/>
            </w:pPr>
            <w:r>
              <w:t>77</w:t>
            </w:r>
          </w:p>
        </w:tc>
        <w:tc>
          <w:tcPr>
            <w:tcW w:w="1417" w:type="dxa"/>
          </w:tcPr>
          <w:p>
            <w:pPr>
              <w:pStyle w:val="yTable"/>
              <w:jc w:val="center"/>
            </w:pPr>
            <w:r>
              <w:t>30</w:t>
            </w:r>
          </w:p>
        </w:tc>
        <w:tc>
          <w:tcPr>
            <w:tcW w:w="1418" w:type="dxa"/>
          </w:tcPr>
          <w:p>
            <w:pPr>
              <w:pStyle w:val="yTable"/>
              <w:jc w:val="center"/>
            </w:pPr>
            <w:r>
              <w:t>44</w:t>
            </w:r>
          </w:p>
        </w:tc>
        <w:tc>
          <w:tcPr>
            <w:tcW w:w="1418" w:type="dxa"/>
          </w:tcPr>
          <w:p>
            <w:pPr>
              <w:pStyle w:val="yTable"/>
              <w:jc w:val="center"/>
            </w:pPr>
            <w:r>
              <w:t>70</w:t>
            </w:r>
          </w:p>
        </w:tc>
      </w:tr>
      <w:tr>
        <w:tc>
          <w:tcPr>
            <w:tcW w:w="1417" w:type="dxa"/>
          </w:tcPr>
          <w:p>
            <w:pPr>
              <w:pStyle w:val="yTable"/>
              <w:jc w:val="center"/>
            </w:pPr>
            <w:r>
              <w:t>1.24</w:t>
            </w:r>
          </w:p>
        </w:tc>
        <w:tc>
          <w:tcPr>
            <w:tcW w:w="1418" w:type="dxa"/>
          </w:tcPr>
          <w:p>
            <w:pPr>
              <w:pStyle w:val="yTable"/>
              <w:jc w:val="center"/>
            </w:pPr>
            <w:r>
              <w:t>75</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1.26</w:t>
            </w:r>
          </w:p>
        </w:tc>
        <w:tc>
          <w:tcPr>
            <w:tcW w:w="1418" w:type="dxa"/>
          </w:tcPr>
          <w:p>
            <w:pPr>
              <w:pStyle w:val="yTable"/>
              <w:jc w:val="center"/>
            </w:pPr>
            <w:r>
              <w:t>74</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1.28</w:t>
            </w:r>
          </w:p>
        </w:tc>
        <w:tc>
          <w:tcPr>
            <w:tcW w:w="1418" w:type="dxa"/>
          </w:tcPr>
          <w:p>
            <w:pPr>
              <w:pStyle w:val="yTable"/>
              <w:jc w:val="center"/>
            </w:pPr>
            <w:r>
              <w:t>73</w:t>
            </w:r>
          </w:p>
        </w:tc>
        <w:tc>
          <w:tcPr>
            <w:tcW w:w="1417" w:type="dxa"/>
          </w:tcPr>
          <w:p>
            <w:pPr>
              <w:pStyle w:val="yTable"/>
              <w:jc w:val="center"/>
            </w:pPr>
            <w:r>
              <w:t>29</w:t>
            </w:r>
          </w:p>
        </w:tc>
        <w:tc>
          <w:tcPr>
            <w:tcW w:w="1418" w:type="dxa"/>
          </w:tcPr>
          <w:p>
            <w:pPr>
              <w:pStyle w:val="yTable"/>
              <w:jc w:val="center"/>
            </w:pPr>
            <w:r>
              <w:t>43</w:t>
            </w:r>
          </w:p>
        </w:tc>
        <w:tc>
          <w:tcPr>
            <w:tcW w:w="1418" w:type="dxa"/>
          </w:tcPr>
          <w:p>
            <w:pPr>
              <w:pStyle w:val="yTable"/>
              <w:jc w:val="center"/>
            </w:pPr>
            <w:r>
              <w:t>67</w:t>
            </w:r>
          </w:p>
        </w:tc>
      </w:tr>
      <w:tr>
        <w:tc>
          <w:tcPr>
            <w:tcW w:w="1417" w:type="dxa"/>
          </w:tcPr>
          <w:p>
            <w:pPr>
              <w:pStyle w:val="yTable"/>
              <w:jc w:val="center"/>
            </w:pPr>
            <w:r>
              <w:t>1.30</w:t>
            </w:r>
          </w:p>
        </w:tc>
        <w:tc>
          <w:tcPr>
            <w:tcW w:w="1418" w:type="dxa"/>
          </w:tcPr>
          <w:p>
            <w:pPr>
              <w:pStyle w:val="yTable"/>
              <w:jc w:val="center"/>
            </w:pPr>
            <w:r>
              <w:t>72</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67</w:t>
            </w:r>
          </w:p>
        </w:tc>
      </w:tr>
      <w:tr>
        <w:tc>
          <w:tcPr>
            <w:tcW w:w="1417" w:type="dxa"/>
          </w:tcPr>
          <w:p>
            <w:pPr>
              <w:pStyle w:val="yTable"/>
              <w:jc w:val="center"/>
            </w:pPr>
            <w:r>
              <w:t>1.35</w:t>
            </w:r>
          </w:p>
        </w:tc>
        <w:tc>
          <w:tcPr>
            <w:tcW w:w="1418" w:type="dxa"/>
          </w:tcPr>
          <w:p>
            <w:pPr>
              <w:pStyle w:val="yTable"/>
              <w:jc w:val="center"/>
            </w:pPr>
            <w:r>
              <w:t>69</w:t>
            </w:r>
          </w:p>
        </w:tc>
        <w:tc>
          <w:tcPr>
            <w:tcW w:w="1417" w:type="dxa"/>
          </w:tcPr>
          <w:p>
            <w:pPr>
              <w:pStyle w:val="yTable"/>
              <w:jc w:val="center"/>
            </w:pPr>
            <w:r>
              <w:t>29</w:t>
            </w:r>
          </w:p>
        </w:tc>
        <w:tc>
          <w:tcPr>
            <w:tcW w:w="1418" w:type="dxa"/>
          </w:tcPr>
          <w:p>
            <w:pPr>
              <w:pStyle w:val="yTable"/>
              <w:jc w:val="center"/>
            </w:pPr>
            <w:r>
              <w:t>42</w:t>
            </w:r>
          </w:p>
        </w:tc>
        <w:tc>
          <w:tcPr>
            <w:tcW w:w="1418" w:type="dxa"/>
          </w:tcPr>
          <w:p>
            <w:pPr>
              <w:pStyle w:val="yTable"/>
              <w:jc w:val="center"/>
            </w:pPr>
            <w:r>
              <w:t>64</w:t>
            </w:r>
          </w:p>
        </w:tc>
      </w:tr>
      <w:tr>
        <w:tc>
          <w:tcPr>
            <w:tcW w:w="1417" w:type="dxa"/>
          </w:tcPr>
          <w:p>
            <w:pPr>
              <w:pStyle w:val="yTable"/>
              <w:jc w:val="center"/>
            </w:pPr>
            <w:r>
              <w:t>1.40</w:t>
            </w:r>
          </w:p>
        </w:tc>
        <w:tc>
          <w:tcPr>
            <w:tcW w:w="1418" w:type="dxa"/>
          </w:tcPr>
          <w:p>
            <w:pPr>
              <w:pStyle w:val="yTable"/>
              <w:jc w:val="center"/>
            </w:pPr>
            <w:r>
              <w:t>67</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62</w:t>
            </w:r>
          </w:p>
        </w:tc>
      </w:tr>
      <w:tr>
        <w:tc>
          <w:tcPr>
            <w:tcW w:w="1417" w:type="dxa"/>
          </w:tcPr>
          <w:p>
            <w:pPr>
              <w:pStyle w:val="yTable"/>
              <w:jc w:val="center"/>
            </w:pPr>
            <w:r>
              <w:t>1.45</w:t>
            </w:r>
          </w:p>
        </w:tc>
        <w:tc>
          <w:tcPr>
            <w:tcW w:w="1418" w:type="dxa"/>
          </w:tcPr>
          <w:p>
            <w:pPr>
              <w:pStyle w:val="yTable"/>
              <w:jc w:val="center"/>
            </w:pPr>
            <w:r>
              <w:t>64</w:t>
            </w:r>
          </w:p>
        </w:tc>
        <w:tc>
          <w:tcPr>
            <w:tcW w:w="1417" w:type="dxa"/>
          </w:tcPr>
          <w:p>
            <w:pPr>
              <w:pStyle w:val="yTable"/>
              <w:jc w:val="center"/>
            </w:pPr>
            <w:r>
              <w:t>28</w:t>
            </w:r>
          </w:p>
        </w:tc>
        <w:tc>
          <w:tcPr>
            <w:tcW w:w="1418" w:type="dxa"/>
          </w:tcPr>
          <w:p>
            <w:pPr>
              <w:pStyle w:val="yTable"/>
              <w:jc w:val="center"/>
            </w:pPr>
            <w:r>
              <w:t>41</w:t>
            </w:r>
          </w:p>
        </w:tc>
        <w:tc>
          <w:tcPr>
            <w:tcW w:w="1418" w:type="dxa"/>
          </w:tcPr>
          <w:p>
            <w:pPr>
              <w:pStyle w:val="yTable"/>
              <w:jc w:val="center"/>
            </w:pPr>
            <w:r>
              <w:t>59</w:t>
            </w:r>
          </w:p>
        </w:tc>
      </w:tr>
      <w:tr>
        <w:tc>
          <w:tcPr>
            <w:tcW w:w="1417" w:type="dxa"/>
          </w:tcPr>
          <w:p>
            <w:pPr>
              <w:pStyle w:val="yTable"/>
              <w:jc w:val="center"/>
            </w:pPr>
            <w:r>
              <w:t>1.50</w:t>
            </w:r>
          </w:p>
        </w:tc>
        <w:tc>
          <w:tcPr>
            <w:tcW w:w="1418" w:type="dxa"/>
          </w:tcPr>
          <w:p>
            <w:pPr>
              <w:pStyle w:val="yTable"/>
              <w:jc w:val="center"/>
            </w:pPr>
            <w:r>
              <w:t>62</w:t>
            </w:r>
          </w:p>
        </w:tc>
        <w:tc>
          <w:tcPr>
            <w:tcW w:w="1417" w:type="dxa"/>
          </w:tcPr>
          <w:p>
            <w:pPr>
              <w:pStyle w:val="yTable"/>
              <w:jc w:val="center"/>
            </w:pPr>
            <w:r>
              <w:t>28</w:t>
            </w:r>
          </w:p>
        </w:tc>
        <w:tc>
          <w:tcPr>
            <w:tcW w:w="1418" w:type="dxa"/>
          </w:tcPr>
          <w:p>
            <w:pPr>
              <w:pStyle w:val="yTable"/>
              <w:jc w:val="center"/>
            </w:pPr>
            <w:r>
              <w:t>40</w:t>
            </w:r>
          </w:p>
        </w:tc>
        <w:tc>
          <w:tcPr>
            <w:tcW w:w="1418" w:type="dxa"/>
          </w:tcPr>
          <w:p>
            <w:pPr>
              <w:pStyle w:val="yTable"/>
              <w:jc w:val="center"/>
            </w:pPr>
            <w:r>
              <w:t>57</w:t>
            </w:r>
          </w:p>
        </w:tc>
      </w:tr>
      <w:tr>
        <w:tc>
          <w:tcPr>
            <w:tcW w:w="1417" w:type="dxa"/>
          </w:tcPr>
          <w:p>
            <w:pPr>
              <w:pStyle w:val="yTable"/>
              <w:jc w:val="center"/>
            </w:pPr>
            <w:r>
              <w:t>1.55</w:t>
            </w:r>
          </w:p>
        </w:tc>
        <w:tc>
          <w:tcPr>
            <w:tcW w:w="1418" w:type="dxa"/>
          </w:tcPr>
          <w:p>
            <w:pPr>
              <w:pStyle w:val="yTable"/>
              <w:jc w:val="center"/>
            </w:pPr>
            <w:r>
              <w:t>60</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55</w:t>
            </w:r>
          </w:p>
        </w:tc>
      </w:tr>
      <w:tr>
        <w:tc>
          <w:tcPr>
            <w:tcW w:w="1417" w:type="dxa"/>
          </w:tcPr>
          <w:p>
            <w:pPr>
              <w:pStyle w:val="yTable"/>
              <w:jc w:val="center"/>
            </w:pPr>
            <w:r>
              <w:t>1.60</w:t>
            </w:r>
          </w:p>
        </w:tc>
        <w:tc>
          <w:tcPr>
            <w:tcW w:w="1418" w:type="dxa"/>
          </w:tcPr>
          <w:p>
            <w:pPr>
              <w:pStyle w:val="yTable"/>
              <w:jc w:val="center"/>
            </w:pPr>
            <w:r>
              <w:t>58</w:t>
            </w:r>
          </w:p>
        </w:tc>
        <w:tc>
          <w:tcPr>
            <w:tcW w:w="1417" w:type="dxa"/>
          </w:tcPr>
          <w:p>
            <w:pPr>
              <w:pStyle w:val="yTable"/>
              <w:jc w:val="center"/>
            </w:pPr>
            <w:r>
              <w:t>27</w:t>
            </w:r>
          </w:p>
        </w:tc>
        <w:tc>
          <w:tcPr>
            <w:tcW w:w="1418" w:type="dxa"/>
          </w:tcPr>
          <w:p>
            <w:pPr>
              <w:pStyle w:val="yTable"/>
              <w:jc w:val="center"/>
            </w:pPr>
            <w:r>
              <w:t>39</w:t>
            </w:r>
          </w:p>
        </w:tc>
        <w:tc>
          <w:tcPr>
            <w:tcW w:w="1418" w:type="dxa"/>
          </w:tcPr>
          <w:p>
            <w:pPr>
              <w:pStyle w:val="yTable"/>
              <w:jc w:val="center"/>
            </w:pPr>
            <w:r>
              <w:t>53</w:t>
            </w:r>
          </w:p>
        </w:tc>
      </w:tr>
      <w:tr>
        <w:tc>
          <w:tcPr>
            <w:tcW w:w="1417" w:type="dxa"/>
          </w:tcPr>
          <w:p>
            <w:pPr>
              <w:pStyle w:val="yTable"/>
              <w:jc w:val="center"/>
            </w:pPr>
            <w:r>
              <w:t>1.65</w:t>
            </w:r>
          </w:p>
        </w:tc>
        <w:tc>
          <w:tcPr>
            <w:tcW w:w="1418" w:type="dxa"/>
          </w:tcPr>
          <w:p>
            <w:pPr>
              <w:pStyle w:val="yTable"/>
              <w:jc w:val="center"/>
            </w:pPr>
            <w:r>
              <w:t>57</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53</w:t>
            </w:r>
          </w:p>
        </w:tc>
      </w:tr>
      <w:tr>
        <w:tc>
          <w:tcPr>
            <w:tcW w:w="1417" w:type="dxa"/>
          </w:tcPr>
          <w:p>
            <w:pPr>
              <w:pStyle w:val="yTable"/>
              <w:jc w:val="center"/>
            </w:pPr>
            <w:r>
              <w:t>1.70</w:t>
            </w:r>
          </w:p>
        </w:tc>
        <w:tc>
          <w:tcPr>
            <w:tcW w:w="1418" w:type="dxa"/>
          </w:tcPr>
          <w:p>
            <w:pPr>
              <w:pStyle w:val="yTable"/>
              <w:jc w:val="center"/>
            </w:pPr>
            <w:r>
              <w:t>55</w:t>
            </w:r>
          </w:p>
        </w:tc>
        <w:tc>
          <w:tcPr>
            <w:tcW w:w="1417" w:type="dxa"/>
          </w:tcPr>
          <w:p>
            <w:pPr>
              <w:pStyle w:val="yTable"/>
              <w:jc w:val="center"/>
            </w:pPr>
            <w:r>
              <w:t>27</w:t>
            </w:r>
          </w:p>
        </w:tc>
        <w:tc>
          <w:tcPr>
            <w:tcW w:w="1418" w:type="dxa"/>
          </w:tcPr>
          <w:p>
            <w:pPr>
              <w:pStyle w:val="yTable"/>
              <w:jc w:val="center"/>
            </w:pPr>
            <w:r>
              <w:t>38</w:t>
            </w:r>
          </w:p>
        </w:tc>
        <w:tc>
          <w:tcPr>
            <w:tcW w:w="1418" w:type="dxa"/>
          </w:tcPr>
          <w:p>
            <w:pPr>
              <w:pStyle w:val="yTable"/>
              <w:jc w:val="center"/>
            </w:pPr>
            <w:r>
              <w:t>51</w:t>
            </w:r>
          </w:p>
        </w:tc>
      </w:tr>
      <w:tr>
        <w:tc>
          <w:tcPr>
            <w:tcW w:w="1417" w:type="dxa"/>
          </w:tcPr>
          <w:p>
            <w:pPr>
              <w:pStyle w:val="yTable"/>
              <w:jc w:val="center"/>
            </w:pPr>
            <w:r>
              <w:t>1.75</w:t>
            </w:r>
          </w:p>
        </w:tc>
        <w:tc>
          <w:tcPr>
            <w:tcW w:w="1418" w:type="dxa"/>
          </w:tcPr>
          <w:p>
            <w:pPr>
              <w:pStyle w:val="yTable"/>
              <w:jc w:val="center"/>
            </w:pPr>
            <w:r>
              <w:t>53</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49</w:t>
            </w:r>
          </w:p>
        </w:tc>
      </w:tr>
      <w:tr>
        <w:tc>
          <w:tcPr>
            <w:tcW w:w="1417" w:type="dxa"/>
          </w:tcPr>
          <w:p>
            <w:pPr>
              <w:pStyle w:val="yTable"/>
              <w:jc w:val="center"/>
            </w:pPr>
            <w:r>
              <w:t>1.80</w:t>
            </w:r>
          </w:p>
        </w:tc>
        <w:tc>
          <w:tcPr>
            <w:tcW w:w="1418" w:type="dxa"/>
          </w:tcPr>
          <w:p>
            <w:pPr>
              <w:pStyle w:val="yTable"/>
              <w:jc w:val="center"/>
            </w:pPr>
            <w:r>
              <w:t>52</w:t>
            </w:r>
          </w:p>
        </w:tc>
        <w:tc>
          <w:tcPr>
            <w:tcW w:w="1417" w:type="dxa"/>
          </w:tcPr>
          <w:p>
            <w:pPr>
              <w:pStyle w:val="yTable"/>
              <w:jc w:val="center"/>
            </w:pPr>
            <w:r>
              <w:t>26</w:t>
            </w:r>
          </w:p>
        </w:tc>
        <w:tc>
          <w:tcPr>
            <w:tcW w:w="1418" w:type="dxa"/>
          </w:tcPr>
          <w:p>
            <w:pPr>
              <w:pStyle w:val="yTable"/>
              <w:jc w:val="center"/>
            </w:pPr>
            <w:r>
              <w:t>37</w:t>
            </w:r>
          </w:p>
        </w:tc>
        <w:tc>
          <w:tcPr>
            <w:tcW w:w="1418" w:type="dxa"/>
          </w:tcPr>
          <w:p>
            <w:pPr>
              <w:pStyle w:val="yTable"/>
              <w:jc w:val="center"/>
            </w:pPr>
            <w:r>
              <w:t>48</w:t>
            </w:r>
          </w:p>
        </w:tc>
      </w:tr>
      <w:tr>
        <w:tc>
          <w:tcPr>
            <w:tcW w:w="1417" w:type="dxa"/>
          </w:tcPr>
          <w:p>
            <w:pPr>
              <w:pStyle w:val="yTable"/>
              <w:jc w:val="center"/>
            </w:pPr>
            <w:r>
              <w:t>1.85</w:t>
            </w:r>
          </w:p>
        </w:tc>
        <w:tc>
          <w:tcPr>
            <w:tcW w:w="1418" w:type="dxa"/>
          </w:tcPr>
          <w:p>
            <w:pPr>
              <w:pStyle w:val="yTable"/>
              <w:jc w:val="center"/>
            </w:pPr>
            <w:r>
              <w:t>51</w:t>
            </w:r>
          </w:p>
        </w:tc>
        <w:tc>
          <w:tcPr>
            <w:tcW w:w="1417" w:type="dxa"/>
          </w:tcPr>
          <w:p>
            <w:pPr>
              <w:pStyle w:val="yTable"/>
              <w:jc w:val="center"/>
            </w:pPr>
            <w:r>
              <w:t>26</w:t>
            </w:r>
          </w:p>
        </w:tc>
        <w:tc>
          <w:tcPr>
            <w:tcW w:w="1418" w:type="dxa"/>
          </w:tcPr>
          <w:p>
            <w:pPr>
              <w:pStyle w:val="yTable"/>
              <w:jc w:val="center"/>
            </w:pPr>
            <w:r>
              <w:t>36</w:t>
            </w:r>
          </w:p>
        </w:tc>
        <w:tc>
          <w:tcPr>
            <w:tcW w:w="1418" w:type="dxa"/>
          </w:tcPr>
          <w:p>
            <w:pPr>
              <w:pStyle w:val="yTable"/>
              <w:jc w:val="center"/>
            </w:pPr>
            <w:r>
              <w:t>47</w:t>
            </w:r>
          </w:p>
        </w:tc>
      </w:tr>
      <w:tr>
        <w:tc>
          <w:tcPr>
            <w:tcW w:w="1417" w:type="dxa"/>
          </w:tcPr>
          <w:p>
            <w:pPr>
              <w:pStyle w:val="yTable"/>
              <w:jc w:val="center"/>
            </w:pPr>
            <w:r>
              <w:t>1.90</w:t>
            </w:r>
          </w:p>
        </w:tc>
        <w:tc>
          <w:tcPr>
            <w:tcW w:w="1418" w:type="dxa"/>
          </w:tcPr>
          <w:p>
            <w:pPr>
              <w:pStyle w:val="yTable"/>
              <w:jc w:val="center"/>
            </w:pPr>
            <w:r>
              <w:t>49</w:t>
            </w:r>
          </w:p>
        </w:tc>
        <w:tc>
          <w:tcPr>
            <w:tcW w:w="1417" w:type="dxa"/>
          </w:tcPr>
          <w:p>
            <w:pPr>
              <w:pStyle w:val="yTable"/>
              <w:jc w:val="center"/>
            </w:pPr>
            <w:r>
              <w:t>25</w:t>
            </w:r>
          </w:p>
        </w:tc>
        <w:tc>
          <w:tcPr>
            <w:tcW w:w="1418" w:type="dxa"/>
          </w:tcPr>
          <w:p>
            <w:pPr>
              <w:pStyle w:val="yTable"/>
              <w:jc w:val="center"/>
            </w:pPr>
            <w:r>
              <w:t>36</w:t>
            </w:r>
          </w:p>
        </w:tc>
        <w:tc>
          <w:tcPr>
            <w:tcW w:w="1418" w:type="dxa"/>
          </w:tcPr>
          <w:p>
            <w:pPr>
              <w:pStyle w:val="yTable"/>
              <w:jc w:val="center"/>
            </w:pPr>
            <w:r>
              <w:t>45</w:t>
            </w:r>
          </w:p>
        </w:tc>
      </w:tr>
      <w:tr>
        <w:tc>
          <w:tcPr>
            <w:tcW w:w="1417" w:type="dxa"/>
          </w:tcPr>
          <w:p>
            <w:pPr>
              <w:pStyle w:val="yTable"/>
              <w:jc w:val="center"/>
            </w:pPr>
            <w:r>
              <w:t>1.95</w:t>
            </w:r>
          </w:p>
        </w:tc>
        <w:tc>
          <w:tcPr>
            <w:tcW w:w="1418" w:type="dxa"/>
          </w:tcPr>
          <w:p>
            <w:pPr>
              <w:pStyle w:val="yTable"/>
              <w:jc w:val="center"/>
            </w:pPr>
            <w:r>
              <w:t>48</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44</w:t>
            </w:r>
          </w:p>
        </w:tc>
      </w:tr>
      <w:tr>
        <w:tc>
          <w:tcPr>
            <w:tcW w:w="1417" w:type="dxa"/>
          </w:tcPr>
          <w:p>
            <w:pPr>
              <w:pStyle w:val="yTable"/>
              <w:jc w:val="center"/>
            </w:pPr>
            <w:r>
              <w:t>2.00</w:t>
            </w:r>
          </w:p>
        </w:tc>
        <w:tc>
          <w:tcPr>
            <w:tcW w:w="1418" w:type="dxa"/>
          </w:tcPr>
          <w:p>
            <w:pPr>
              <w:pStyle w:val="yTable"/>
              <w:jc w:val="center"/>
            </w:pPr>
            <w:r>
              <w:t>47</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43</w:t>
            </w:r>
          </w:p>
        </w:tc>
      </w:tr>
      <w:tr>
        <w:tc>
          <w:tcPr>
            <w:tcW w:w="1417" w:type="dxa"/>
          </w:tcPr>
          <w:p>
            <w:pPr>
              <w:pStyle w:val="yTable"/>
              <w:jc w:val="center"/>
            </w:pPr>
            <w:r>
              <w:t>2.05</w:t>
            </w:r>
          </w:p>
        </w:tc>
        <w:tc>
          <w:tcPr>
            <w:tcW w:w="1418" w:type="dxa"/>
          </w:tcPr>
          <w:p>
            <w:pPr>
              <w:pStyle w:val="yTable"/>
              <w:jc w:val="center"/>
            </w:pPr>
            <w:r>
              <w:t>46</w:t>
            </w:r>
          </w:p>
        </w:tc>
        <w:tc>
          <w:tcPr>
            <w:tcW w:w="1417" w:type="dxa"/>
          </w:tcPr>
          <w:p>
            <w:pPr>
              <w:pStyle w:val="yTable"/>
              <w:jc w:val="center"/>
            </w:pPr>
            <w:r>
              <w:t>25</w:t>
            </w:r>
          </w:p>
        </w:tc>
        <w:tc>
          <w:tcPr>
            <w:tcW w:w="1418" w:type="dxa"/>
          </w:tcPr>
          <w:p>
            <w:pPr>
              <w:pStyle w:val="yTable"/>
              <w:jc w:val="center"/>
            </w:pPr>
            <w:r>
              <w:t>35</w:t>
            </w:r>
          </w:p>
        </w:tc>
        <w:tc>
          <w:tcPr>
            <w:tcW w:w="1418" w:type="dxa"/>
          </w:tcPr>
          <w:p>
            <w:pPr>
              <w:pStyle w:val="yTable"/>
              <w:jc w:val="center"/>
            </w:pPr>
            <w:r>
              <w:t>42</w:t>
            </w:r>
          </w:p>
        </w:tc>
      </w:tr>
      <w:tr>
        <w:tc>
          <w:tcPr>
            <w:tcW w:w="1417" w:type="dxa"/>
          </w:tcPr>
          <w:p>
            <w:pPr>
              <w:pStyle w:val="yTable"/>
              <w:jc w:val="center"/>
            </w:pPr>
            <w:r>
              <w:t>2.10</w:t>
            </w:r>
          </w:p>
        </w:tc>
        <w:tc>
          <w:tcPr>
            <w:tcW w:w="1418" w:type="dxa"/>
          </w:tcPr>
          <w:p>
            <w:pPr>
              <w:pStyle w:val="yTable"/>
              <w:jc w:val="center"/>
            </w:pPr>
            <w:r>
              <w:t>45</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41</w:t>
            </w:r>
          </w:p>
        </w:tc>
      </w:tr>
      <w:tr>
        <w:tc>
          <w:tcPr>
            <w:tcW w:w="1417" w:type="dxa"/>
          </w:tcPr>
          <w:p>
            <w:pPr>
              <w:pStyle w:val="yTable"/>
              <w:jc w:val="center"/>
            </w:pPr>
            <w:r>
              <w:t>2.15</w:t>
            </w:r>
          </w:p>
        </w:tc>
        <w:tc>
          <w:tcPr>
            <w:tcW w:w="1418" w:type="dxa"/>
          </w:tcPr>
          <w:p>
            <w:pPr>
              <w:pStyle w:val="yTable"/>
              <w:jc w:val="center"/>
            </w:pPr>
            <w:r>
              <w:t>43</w:t>
            </w:r>
          </w:p>
        </w:tc>
        <w:tc>
          <w:tcPr>
            <w:tcW w:w="1417" w:type="dxa"/>
          </w:tcPr>
          <w:p>
            <w:pPr>
              <w:pStyle w:val="yTable"/>
              <w:jc w:val="center"/>
            </w:pPr>
            <w:r>
              <w:t>24</w:t>
            </w:r>
          </w:p>
        </w:tc>
        <w:tc>
          <w:tcPr>
            <w:tcW w:w="1418" w:type="dxa"/>
          </w:tcPr>
          <w:p>
            <w:pPr>
              <w:pStyle w:val="yTable"/>
              <w:jc w:val="center"/>
            </w:pPr>
            <w:r>
              <w:t>34</w:t>
            </w:r>
          </w:p>
        </w:tc>
        <w:tc>
          <w:tcPr>
            <w:tcW w:w="1418" w:type="dxa"/>
          </w:tcPr>
          <w:p>
            <w:pPr>
              <w:pStyle w:val="yTable"/>
              <w:jc w:val="center"/>
            </w:pPr>
            <w:r>
              <w:t>40</w:t>
            </w:r>
          </w:p>
        </w:tc>
      </w:tr>
      <w:tr>
        <w:tc>
          <w:tcPr>
            <w:tcW w:w="1417" w:type="dxa"/>
          </w:tcPr>
          <w:p>
            <w:pPr>
              <w:pStyle w:val="yTable"/>
              <w:jc w:val="center"/>
            </w:pPr>
            <w:r>
              <w:t>2.20</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2.25</w:t>
            </w:r>
          </w:p>
        </w:tc>
        <w:tc>
          <w:tcPr>
            <w:tcW w:w="1418" w:type="dxa"/>
          </w:tcPr>
          <w:p>
            <w:pPr>
              <w:pStyle w:val="yTable"/>
              <w:jc w:val="center"/>
            </w:pPr>
            <w:r>
              <w:t>42</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2.30</w:t>
            </w:r>
          </w:p>
        </w:tc>
        <w:tc>
          <w:tcPr>
            <w:tcW w:w="1418" w:type="dxa"/>
          </w:tcPr>
          <w:p>
            <w:pPr>
              <w:pStyle w:val="yTable"/>
              <w:jc w:val="center"/>
            </w:pPr>
            <w:r>
              <w:t>41</w:t>
            </w:r>
          </w:p>
        </w:tc>
        <w:tc>
          <w:tcPr>
            <w:tcW w:w="1417" w:type="dxa"/>
          </w:tcPr>
          <w:p>
            <w:pPr>
              <w:pStyle w:val="yTable"/>
              <w:jc w:val="center"/>
            </w:pPr>
            <w:r>
              <w:t>24</w:t>
            </w:r>
          </w:p>
        </w:tc>
        <w:tc>
          <w:tcPr>
            <w:tcW w:w="1418" w:type="dxa"/>
          </w:tcPr>
          <w:p>
            <w:pPr>
              <w:pStyle w:val="yTable"/>
              <w:jc w:val="center"/>
            </w:pPr>
            <w:r>
              <w:t>33</w:t>
            </w:r>
          </w:p>
        </w:tc>
        <w:tc>
          <w:tcPr>
            <w:tcW w:w="1418" w:type="dxa"/>
          </w:tcPr>
          <w:p>
            <w:pPr>
              <w:pStyle w:val="yTable"/>
              <w:jc w:val="center"/>
            </w:pPr>
            <w:r>
              <w:t>39</w:t>
            </w:r>
          </w:p>
        </w:tc>
      </w:tr>
      <w:tr>
        <w:tc>
          <w:tcPr>
            <w:tcW w:w="1417" w:type="dxa"/>
          </w:tcPr>
          <w:p>
            <w:pPr>
              <w:pStyle w:val="yTable"/>
              <w:jc w:val="center"/>
            </w:pPr>
            <w:r>
              <w:t>2.35</w:t>
            </w:r>
          </w:p>
        </w:tc>
        <w:tc>
          <w:tcPr>
            <w:tcW w:w="1418" w:type="dxa"/>
          </w:tcPr>
          <w:p>
            <w:pPr>
              <w:pStyle w:val="yTable"/>
              <w:jc w:val="center"/>
            </w:pPr>
            <w:r>
              <w:t>40</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38</w:t>
            </w:r>
          </w:p>
        </w:tc>
      </w:tr>
      <w:tr>
        <w:tc>
          <w:tcPr>
            <w:tcW w:w="1417" w:type="dxa"/>
          </w:tcPr>
          <w:p>
            <w:pPr>
              <w:pStyle w:val="yTable"/>
              <w:jc w:val="center"/>
            </w:pPr>
            <w:r>
              <w:t>2.40</w:t>
            </w:r>
          </w:p>
        </w:tc>
        <w:tc>
          <w:tcPr>
            <w:tcW w:w="1418" w:type="dxa"/>
          </w:tcPr>
          <w:p>
            <w:pPr>
              <w:pStyle w:val="yTable"/>
              <w:jc w:val="center"/>
            </w:pPr>
            <w:r>
              <w:t>39</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37</w:t>
            </w:r>
          </w:p>
        </w:tc>
      </w:tr>
      <w:tr>
        <w:tc>
          <w:tcPr>
            <w:tcW w:w="1417" w:type="dxa"/>
          </w:tcPr>
          <w:p>
            <w:pPr>
              <w:pStyle w:val="yTable"/>
              <w:jc w:val="center"/>
            </w:pPr>
            <w:r>
              <w:t>2.45</w:t>
            </w:r>
          </w:p>
        </w:tc>
        <w:tc>
          <w:tcPr>
            <w:tcW w:w="1418" w:type="dxa"/>
          </w:tcPr>
          <w:p>
            <w:pPr>
              <w:pStyle w:val="yTable"/>
              <w:jc w:val="center"/>
            </w:pPr>
            <w:r>
              <w:t>38</w:t>
            </w:r>
          </w:p>
        </w:tc>
        <w:tc>
          <w:tcPr>
            <w:tcW w:w="1417" w:type="dxa"/>
          </w:tcPr>
          <w:p>
            <w:pPr>
              <w:pStyle w:val="yTable"/>
              <w:jc w:val="center"/>
            </w:pPr>
            <w:r>
              <w:t>23</w:t>
            </w:r>
          </w:p>
        </w:tc>
        <w:tc>
          <w:tcPr>
            <w:tcW w:w="1418" w:type="dxa"/>
          </w:tcPr>
          <w:p>
            <w:pPr>
              <w:pStyle w:val="yTable"/>
              <w:jc w:val="center"/>
            </w:pPr>
            <w:r>
              <w:t>32</w:t>
            </w:r>
          </w:p>
        </w:tc>
        <w:tc>
          <w:tcPr>
            <w:tcW w:w="1418" w:type="dxa"/>
          </w:tcPr>
          <w:p>
            <w:pPr>
              <w:pStyle w:val="yTable"/>
              <w:jc w:val="center"/>
            </w:pPr>
            <w:r>
              <w:t>36</w:t>
            </w:r>
          </w:p>
        </w:tc>
      </w:tr>
      <w:tr>
        <w:tc>
          <w:tcPr>
            <w:tcW w:w="1417" w:type="dxa"/>
          </w:tcPr>
          <w:p>
            <w:pPr>
              <w:pStyle w:val="yTable"/>
              <w:jc w:val="center"/>
            </w:pPr>
            <w:r>
              <w:t>2.50</w:t>
            </w:r>
          </w:p>
        </w:tc>
        <w:tc>
          <w:tcPr>
            <w:tcW w:w="1418" w:type="dxa"/>
          </w:tcPr>
          <w:p>
            <w:pPr>
              <w:pStyle w:val="yTable"/>
              <w:jc w:val="center"/>
            </w:pPr>
            <w:r>
              <w:t>37</w:t>
            </w:r>
          </w:p>
        </w:tc>
        <w:tc>
          <w:tcPr>
            <w:tcW w:w="1417" w:type="dxa"/>
          </w:tcPr>
          <w:p>
            <w:pPr>
              <w:pStyle w:val="yTable"/>
              <w:jc w:val="center"/>
            </w:pPr>
            <w:r>
              <w:t>23</w:t>
            </w:r>
          </w:p>
        </w:tc>
        <w:tc>
          <w:tcPr>
            <w:tcW w:w="1418" w:type="dxa"/>
          </w:tcPr>
          <w:p>
            <w:pPr>
              <w:pStyle w:val="yTable"/>
              <w:jc w:val="center"/>
            </w:pPr>
            <w:r>
              <w:t>31</w:t>
            </w:r>
          </w:p>
        </w:tc>
        <w:tc>
          <w:tcPr>
            <w:tcW w:w="1418" w:type="dxa"/>
          </w:tcPr>
          <w:p>
            <w:pPr>
              <w:pStyle w:val="yTable"/>
              <w:jc w:val="center"/>
            </w:pPr>
            <w:r>
              <w:t>35</w:t>
            </w:r>
          </w:p>
        </w:tc>
      </w:tr>
      <w:tr>
        <w:tc>
          <w:tcPr>
            <w:tcW w:w="1417" w:type="dxa"/>
          </w:tcPr>
          <w:p>
            <w:pPr>
              <w:pStyle w:val="yTable"/>
              <w:jc w:val="center"/>
            </w:pPr>
            <w:r>
              <w:t>2.60</w:t>
            </w:r>
          </w:p>
        </w:tc>
        <w:tc>
          <w:tcPr>
            <w:tcW w:w="1418" w:type="dxa"/>
          </w:tcPr>
          <w:p>
            <w:pPr>
              <w:pStyle w:val="yTable"/>
              <w:jc w:val="center"/>
            </w:pPr>
            <w:r>
              <w:t>36</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34</w:t>
            </w:r>
          </w:p>
        </w:tc>
      </w:tr>
      <w:tr>
        <w:tc>
          <w:tcPr>
            <w:tcW w:w="1417" w:type="dxa"/>
          </w:tcPr>
          <w:p>
            <w:pPr>
              <w:pStyle w:val="yTable"/>
              <w:jc w:val="center"/>
            </w:pPr>
            <w:r>
              <w:t>2.70</w:t>
            </w:r>
          </w:p>
        </w:tc>
        <w:tc>
          <w:tcPr>
            <w:tcW w:w="1418" w:type="dxa"/>
          </w:tcPr>
          <w:p>
            <w:pPr>
              <w:pStyle w:val="yTable"/>
              <w:jc w:val="center"/>
            </w:pPr>
            <w:r>
              <w:t>35</w:t>
            </w:r>
          </w:p>
        </w:tc>
        <w:tc>
          <w:tcPr>
            <w:tcW w:w="1417" w:type="dxa"/>
          </w:tcPr>
          <w:p>
            <w:pPr>
              <w:pStyle w:val="yTable"/>
              <w:jc w:val="center"/>
            </w:pPr>
            <w:r>
              <w:t>22</w:t>
            </w:r>
          </w:p>
        </w:tc>
        <w:tc>
          <w:tcPr>
            <w:tcW w:w="1418" w:type="dxa"/>
          </w:tcPr>
          <w:p>
            <w:pPr>
              <w:pStyle w:val="yTable"/>
              <w:jc w:val="center"/>
            </w:pPr>
            <w:r>
              <w:t>30</w:t>
            </w:r>
          </w:p>
        </w:tc>
        <w:tc>
          <w:tcPr>
            <w:tcW w:w="1418" w:type="dxa"/>
          </w:tcPr>
          <w:p>
            <w:pPr>
              <w:pStyle w:val="yTable"/>
              <w:jc w:val="center"/>
            </w:pPr>
            <w:r>
              <w:t>33</w:t>
            </w:r>
          </w:p>
        </w:tc>
      </w:tr>
      <w:tr>
        <w:tc>
          <w:tcPr>
            <w:tcW w:w="1417" w:type="dxa"/>
          </w:tcPr>
          <w:p>
            <w:pPr>
              <w:pStyle w:val="yTable"/>
              <w:jc w:val="center"/>
            </w:pPr>
            <w:r>
              <w:t>2.80</w:t>
            </w:r>
          </w:p>
        </w:tc>
        <w:tc>
          <w:tcPr>
            <w:tcW w:w="1418" w:type="dxa"/>
          </w:tcPr>
          <w:p>
            <w:pPr>
              <w:pStyle w:val="yTable"/>
              <w:jc w:val="center"/>
            </w:pPr>
            <w:r>
              <w:t>33</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31</w:t>
            </w:r>
          </w:p>
        </w:tc>
      </w:tr>
      <w:tr>
        <w:tc>
          <w:tcPr>
            <w:tcW w:w="1417" w:type="dxa"/>
          </w:tcPr>
          <w:p>
            <w:pPr>
              <w:pStyle w:val="yTable"/>
              <w:jc w:val="center"/>
            </w:pPr>
            <w:r>
              <w:t>2.90</w:t>
            </w:r>
          </w:p>
        </w:tc>
        <w:tc>
          <w:tcPr>
            <w:tcW w:w="1418" w:type="dxa"/>
          </w:tcPr>
          <w:p>
            <w:pPr>
              <w:pStyle w:val="yTable"/>
              <w:jc w:val="center"/>
            </w:pPr>
            <w:r>
              <w:t>32</w:t>
            </w:r>
          </w:p>
        </w:tc>
        <w:tc>
          <w:tcPr>
            <w:tcW w:w="1417" w:type="dxa"/>
          </w:tcPr>
          <w:p>
            <w:pPr>
              <w:pStyle w:val="yTable"/>
              <w:jc w:val="center"/>
            </w:pPr>
            <w:r>
              <w:t>21</w:t>
            </w:r>
          </w:p>
        </w:tc>
        <w:tc>
          <w:tcPr>
            <w:tcW w:w="1418" w:type="dxa"/>
          </w:tcPr>
          <w:p>
            <w:pPr>
              <w:pStyle w:val="yTable"/>
              <w:jc w:val="center"/>
            </w:pPr>
            <w:r>
              <w:t>29</w:t>
            </w:r>
          </w:p>
        </w:tc>
        <w:tc>
          <w:tcPr>
            <w:tcW w:w="1418" w:type="dxa"/>
          </w:tcPr>
          <w:p>
            <w:pPr>
              <w:pStyle w:val="yTable"/>
              <w:jc w:val="center"/>
            </w:pPr>
            <w:r>
              <w:t>30</w:t>
            </w:r>
          </w:p>
        </w:tc>
      </w:tr>
      <w:tr>
        <w:tc>
          <w:tcPr>
            <w:tcW w:w="1417" w:type="dxa"/>
          </w:tcPr>
          <w:p>
            <w:pPr>
              <w:pStyle w:val="yTable"/>
              <w:jc w:val="center"/>
            </w:pPr>
            <w:r>
              <w:t>3.00</w:t>
            </w:r>
          </w:p>
        </w:tc>
        <w:tc>
          <w:tcPr>
            <w:tcW w:w="1418" w:type="dxa"/>
          </w:tcPr>
          <w:p>
            <w:pPr>
              <w:pStyle w:val="yTable"/>
              <w:jc w:val="center"/>
            </w:pPr>
            <w:r>
              <w:t>31</w:t>
            </w:r>
          </w:p>
        </w:tc>
        <w:tc>
          <w:tcPr>
            <w:tcW w:w="1417" w:type="dxa"/>
          </w:tcPr>
          <w:p>
            <w:pPr>
              <w:pStyle w:val="yTable"/>
              <w:jc w:val="center"/>
            </w:pPr>
            <w:r>
              <w:t>21</w:t>
            </w:r>
          </w:p>
        </w:tc>
        <w:tc>
          <w:tcPr>
            <w:tcW w:w="1418" w:type="dxa"/>
          </w:tcPr>
          <w:p>
            <w:pPr>
              <w:pStyle w:val="yTable"/>
              <w:jc w:val="center"/>
            </w:pPr>
            <w:r>
              <w:t>28</w:t>
            </w:r>
          </w:p>
        </w:tc>
        <w:tc>
          <w:tcPr>
            <w:tcW w:w="1418" w:type="dxa"/>
          </w:tcPr>
          <w:p>
            <w:pPr>
              <w:pStyle w:val="yTable"/>
              <w:jc w:val="center"/>
            </w:pPr>
            <w:r>
              <w:t>29</w:t>
            </w:r>
          </w:p>
        </w:tc>
      </w:tr>
      <w:tr>
        <w:tc>
          <w:tcPr>
            <w:tcW w:w="1417" w:type="dxa"/>
          </w:tcPr>
          <w:p>
            <w:pPr>
              <w:pStyle w:val="yTable"/>
              <w:jc w:val="center"/>
            </w:pPr>
            <w:r>
              <w:t>3.10</w:t>
            </w:r>
          </w:p>
        </w:tc>
        <w:tc>
          <w:tcPr>
            <w:tcW w:w="1418" w:type="dxa"/>
          </w:tcPr>
          <w:p>
            <w:pPr>
              <w:pStyle w:val="yTable"/>
              <w:jc w:val="center"/>
            </w:pPr>
            <w:r>
              <w:t>30</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28</w:t>
            </w:r>
          </w:p>
        </w:tc>
      </w:tr>
      <w:tr>
        <w:tc>
          <w:tcPr>
            <w:tcW w:w="1417" w:type="dxa"/>
          </w:tcPr>
          <w:p>
            <w:pPr>
              <w:pStyle w:val="yTable"/>
              <w:jc w:val="center"/>
            </w:pPr>
            <w:r>
              <w:t>3.20</w:t>
            </w:r>
          </w:p>
        </w:tc>
        <w:tc>
          <w:tcPr>
            <w:tcW w:w="1418" w:type="dxa"/>
          </w:tcPr>
          <w:p>
            <w:pPr>
              <w:pStyle w:val="yTable"/>
              <w:jc w:val="center"/>
            </w:pPr>
            <w:r>
              <w:t>29</w:t>
            </w:r>
          </w:p>
        </w:tc>
        <w:tc>
          <w:tcPr>
            <w:tcW w:w="1417" w:type="dxa"/>
          </w:tcPr>
          <w:p>
            <w:pPr>
              <w:pStyle w:val="yTable"/>
              <w:jc w:val="center"/>
            </w:pPr>
            <w:r>
              <w:t>20</w:t>
            </w:r>
          </w:p>
        </w:tc>
        <w:tc>
          <w:tcPr>
            <w:tcW w:w="1418" w:type="dxa"/>
          </w:tcPr>
          <w:p>
            <w:pPr>
              <w:pStyle w:val="yTable"/>
              <w:jc w:val="center"/>
            </w:pPr>
            <w:r>
              <w:t>27</w:t>
            </w:r>
          </w:p>
        </w:tc>
        <w:tc>
          <w:tcPr>
            <w:tcW w:w="1418" w:type="dxa"/>
          </w:tcPr>
          <w:p>
            <w:pPr>
              <w:pStyle w:val="yTable"/>
              <w:jc w:val="center"/>
            </w:pPr>
            <w:r>
              <w:t>27</w:t>
            </w:r>
          </w:p>
        </w:tc>
      </w:tr>
      <w:tr>
        <w:tc>
          <w:tcPr>
            <w:tcW w:w="1417" w:type="dxa"/>
          </w:tcPr>
          <w:p>
            <w:pPr>
              <w:pStyle w:val="yTable"/>
              <w:jc w:val="center"/>
            </w:pPr>
            <w:r>
              <w:t>3.30</w:t>
            </w:r>
          </w:p>
        </w:tc>
        <w:tc>
          <w:tcPr>
            <w:tcW w:w="1418" w:type="dxa"/>
          </w:tcPr>
          <w:p>
            <w:pPr>
              <w:pStyle w:val="yTable"/>
              <w:jc w:val="center"/>
            </w:pPr>
            <w:r>
              <w:t>28</w:t>
            </w:r>
          </w:p>
        </w:tc>
        <w:tc>
          <w:tcPr>
            <w:tcW w:w="1417" w:type="dxa"/>
          </w:tcPr>
          <w:p>
            <w:pPr>
              <w:pStyle w:val="yTable"/>
              <w:jc w:val="center"/>
            </w:pPr>
            <w:r>
              <w:t>20</w:t>
            </w:r>
          </w:p>
        </w:tc>
        <w:tc>
          <w:tcPr>
            <w:tcW w:w="1418" w:type="dxa"/>
          </w:tcPr>
          <w:p>
            <w:pPr>
              <w:pStyle w:val="yTable"/>
              <w:jc w:val="center"/>
            </w:pPr>
            <w:r>
              <w:t>26</w:t>
            </w:r>
          </w:p>
        </w:tc>
        <w:tc>
          <w:tcPr>
            <w:tcW w:w="1418" w:type="dxa"/>
          </w:tcPr>
          <w:p>
            <w:pPr>
              <w:pStyle w:val="yTable"/>
              <w:jc w:val="center"/>
            </w:pPr>
            <w:r>
              <w:t>26</w:t>
            </w:r>
          </w:p>
        </w:tc>
      </w:tr>
      <w:tr>
        <w:tc>
          <w:tcPr>
            <w:tcW w:w="1417" w:type="dxa"/>
          </w:tcPr>
          <w:p>
            <w:pPr>
              <w:pStyle w:val="yTable"/>
              <w:jc w:val="center"/>
            </w:pPr>
            <w:r>
              <w:t>3.40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26</w:t>
            </w:r>
          </w:p>
        </w:tc>
        <w:tc>
          <w:tcPr>
            <w:tcW w:w="1418" w:type="dxa"/>
          </w:tcPr>
          <w:p>
            <w:pPr>
              <w:pStyle w:val="yTable"/>
              <w:jc w:val="center"/>
            </w:pPr>
            <w:r>
              <w:t>25</w:t>
            </w:r>
          </w:p>
        </w:tc>
      </w:tr>
      <w:tr>
        <w:tc>
          <w:tcPr>
            <w:tcW w:w="1417" w:type="dxa"/>
          </w:tcPr>
          <w:p>
            <w:pPr>
              <w:pStyle w:val="yTable"/>
              <w:jc w:val="center"/>
            </w:pPr>
            <w:r>
              <w:t>3.50</w:t>
            </w:r>
          </w:p>
        </w:tc>
        <w:tc>
          <w:tcPr>
            <w:tcW w:w="1418" w:type="dxa"/>
          </w:tcPr>
          <w:p>
            <w:pPr>
              <w:pStyle w:val="yTable"/>
              <w:jc w:val="center"/>
            </w:pPr>
            <w:r>
              <w:t>27</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25</w:t>
            </w:r>
          </w:p>
        </w:tc>
      </w:tr>
      <w:tr>
        <w:tc>
          <w:tcPr>
            <w:tcW w:w="1417" w:type="dxa"/>
          </w:tcPr>
          <w:p>
            <w:pPr>
              <w:pStyle w:val="yTable"/>
              <w:jc w:val="center"/>
            </w:pPr>
            <w:r>
              <w:t>3.60</w:t>
            </w:r>
          </w:p>
        </w:tc>
        <w:tc>
          <w:tcPr>
            <w:tcW w:w="1418" w:type="dxa"/>
          </w:tcPr>
          <w:p>
            <w:pPr>
              <w:pStyle w:val="yTable"/>
              <w:jc w:val="center"/>
            </w:pPr>
            <w:r>
              <w:t>26</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3.70</w:t>
            </w:r>
          </w:p>
        </w:tc>
        <w:tc>
          <w:tcPr>
            <w:tcW w:w="1418" w:type="dxa"/>
          </w:tcPr>
          <w:p>
            <w:pPr>
              <w:pStyle w:val="yTable"/>
              <w:jc w:val="center"/>
            </w:pPr>
            <w:r>
              <w:t>25</w:t>
            </w:r>
          </w:p>
        </w:tc>
        <w:tc>
          <w:tcPr>
            <w:tcW w:w="1417" w:type="dxa"/>
          </w:tcPr>
          <w:p>
            <w:pPr>
              <w:pStyle w:val="yTable"/>
              <w:jc w:val="center"/>
            </w:pPr>
            <w:r>
              <w:t>19</w:t>
            </w:r>
          </w:p>
        </w:tc>
        <w:tc>
          <w:tcPr>
            <w:tcW w:w="1418" w:type="dxa"/>
          </w:tcPr>
          <w:p>
            <w:pPr>
              <w:pStyle w:val="yTable"/>
              <w:jc w:val="center"/>
            </w:pPr>
            <w:r>
              <w:t>25</w:t>
            </w:r>
          </w:p>
        </w:tc>
        <w:tc>
          <w:tcPr>
            <w:tcW w:w="1418" w:type="dxa"/>
          </w:tcPr>
          <w:p>
            <w:pPr>
              <w:pStyle w:val="yTable"/>
              <w:jc w:val="center"/>
            </w:pPr>
            <w:r>
              <w:t>24</w:t>
            </w:r>
          </w:p>
        </w:tc>
      </w:tr>
      <w:tr>
        <w:tc>
          <w:tcPr>
            <w:tcW w:w="1417" w:type="dxa"/>
          </w:tcPr>
          <w:p>
            <w:pPr>
              <w:pStyle w:val="yTable"/>
              <w:jc w:val="center"/>
            </w:pPr>
            <w:r>
              <w:t>3.80</w:t>
            </w:r>
          </w:p>
        </w:tc>
        <w:tc>
          <w:tcPr>
            <w:tcW w:w="1418" w:type="dxa"/>
          </w:tcPr>
          <w:p>
            <w:pPr>
              <w:pStyle w:val="yTable"/>
              <w:jc w:val="center"/>
            </w:pPr>
            <w:r>
              <w:t>25</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24</w:t>
            </w:r>
          </w:p>
        </w:tc>
      </w:tr>
      <w:tr>
        <w:tc>
          <w:tcPr>
            <w:tcW w:w="1417" w:type="dxa"/>
          </w:tcPr>
          <w:p>
            <w:pPr>
              <w:pStyle w:val="yTable"/>
              <w:jc w:val="center"/>
            </w:pPr>
            <w:r>
              <w:t>3.90</w:t>
            </w:r>
          </w:p>
        </w:tc>
        <w:tc>
          <w:tcPr>
            <w:tcW w:w="1418" w:type="dxa"/>
          </w:tcPr>
          <w:p>
            <w:pPr>
              <w:pStyle w:val="yTable"/>
              <w:jc w:val="center"/>
            </w:pPr>
            <w:r>
              <w:t>24</w:t>
            </w:r>
          </w:p>
        </w:tc>
        <w:tc>
          <w:tcPr>
            <w:tcW w:w="1417" w:type="dxa"/>
          </w:tcPr>
          <w:p>
            <w:pPr>
              <w:pStyle w:val="yTable"/>
              <w:jc w:val="center"/>
            </w:pPr>
            <w:r>
              <w:t>18</w:t>
            </w:r>
          </w:p>
        </w:tc>
        <w:tc>
          <w:tcPr>
            <w:tcW w:w="1418" w:type="dxa"/>
          </w:tcPr>
          <w:p>
            <w:pPr>
              <w:pStyle w:val="yTable"/>
              <w:jc w:val="center"/>
            </w:pPr>
            <w:r>
              <w:t>24</w:t>
            </w:r>
          </w:p>
        </w:tc>
        <w:tc>
          <w:tcPr>
            <w:tcW w:w="1418" w:type="dxa"/>
          </w:tcPr>
          <w:p>
            <w:pPr>
              <w:pStyle w:val="yTable"/>
              <w:jc w:val="center"/>
            </w:pPr>
            <w:r>
              <w:t>23</w:t>
            </w:r>
          </w:p>
        </w:tc>
      </w:tr>
      <w:tr>
        <w:tc>
          <w:tcPr>
            <w:tcW w:w="1417" w:type="dxa"/>
          </w:tcPr>
          <w:p>
            <w:pPr>
              <w:pStyle w:val="yTable"/>
              <w:jc w:val="center"/>
            </w:pPr>
            <w:r>
              <w:t>4.00</w:t>
            </w:r>
          </w:p>
        </w:tc>
        <w:tc>
          <w:tcPr>
            <w:tcW w:w="1418" w:type="dxa"/>
          </w:tcPr>
          <w:p>
            <w:pPr>
              <w:pStyle w:val="yTable"/>
              <w:jc w:val="center"/>
            </w:pPr>
            <w:r>
              <w:t>23</w:t>
            </w:r>
          </w:p>
        </w:tc>
        <w:tc>
          <w:tcPr>
            <w:tcW w:w="1417" w:type="dxa"/>
          </w:tcPr>
          <w:p>
            <w:pPr>
              <w:pStyle w:val="yTable"/>
              <w:jc w:val="center"/>
            </w:pPr>
            <w:r>
              <w:t>18</w:t>
            </w:r>
          </w:p>
        </w:tc>
        <w:tc>
          <w:tcPr>
            <w:tcW w:w="1418" w:type="dxa"/>
          </w:tcPr>
          <w:p>
            <w:pPr>
              <w:pStyle w:val="yTable"/>
              <w:jc w:val="center"/>
            </w:pPr>
            <w:r>
              <w:t>23</w:t>
            </w:r>
          </w:p>
        </w:tc>
        <w:tc>
          <w:tcPr>
            <w:tcW w:w="1418" w:type="dxa"/>
          </w:tcPr>
          <w:p>
            <w:pPr>
              <w:pStyle w:val="yTable"/>
              <w:jc w:val="center"/>
            </w:pPr>
            <w:r>
              <w:t>22</w:t>
            </w:r>
          </w:p>
        </w:tc>
      </w:tr>
      <w:tr>
        <w:tc>
          <w:tcPr>
            <w:tcW w:w="1417" w:type="dxa"/>
          </w:tcPr>
          <w:p>
            <w:pPr>
              <w:pStyle w:val="yTable"/>
              <w:jc w:val="center"/>
            </w:pPr>
            <w:r>
              <w:t>4.20</w:t>
            </w:r>
          </w:p>
        </w:tc>
        <w:tc>
          <w:tcPr>
            <w:tcW w:w="1418" w:type="dxa"/>
          </w:tcPr>
          <w:p>
            <w:pPr>
              <w:pStyle w:val="yTable"/>
              <w:jc w:val="center"/>
            </w:pPr>
            <w:r>
              <w:t>22</w:t>
            </w:r>
          </w:p>
        </w:tc>
        <w:tc>
          <w:tcPr>
            <w:tcW w:w="1417" w:type="dxa"/>
          </w:tcPr>
          <w:p>
            <w:pPr>
              <w:pStyle w:val="yTable"/>
              <w:jc w:val="center"/>
            </w:pPr>
            <w:r>
              <w:t>17</w:t>
            </w:r>
          </w:p>
        </w:tc>
        <w:tc>
          <w:tcPr>
            <w:tcW w:w="1418" w:type="dxa"/>
          </w:tcPr>
          <w:p>
            <w:pPr>
              <w:pStyle w:val="yTable"/>
              <w:jc w:val="center"/>
            </w:pPr>
            <w:r>
              <w:t>23</w:t>
            </w:r>
          </w:p>
        </w:tc>
        <w:tc>
          <w:tcPr>
            <w:tcW w:w="1418" w:type="dxa"/>
          </w:tcPr>
          <w:p>
            <w:pPr>
              <w:pStyle w:val="yTable"/>
              <w:jc w:val="center"/>
            </w:pPr>
            <w:r>
              <w:t>21</w:t>
            </w:r>
          </w:p>
        </w:tc>
      </w:tr>
      <w:tr>
        <w:tc>
          <w:tcPr>
            <w:tcW w:w="1417" w:type="dxa"/>
          </w:tcPr>
          <w:p>
            <w:pPr>
              <w:pStyle w:val="yTable"/>
              <w:jc w:val="center"/>
            </w:pPr>
            <w:r>
              <w:t>4.40</w:t>
            </w:r>
          </w:p>
        </w:tc>
        <w:tc>
          <w:tcPr>
            <w:tcW w:w="1418" w:type="dxa"/>
          </w:tcPr>
          <w:p>
            <w:pPr>
              <w:pStyle w:val="yTable"/>
              <w:jc w:val="center"/>
            </w:pPr>
            <w:r>
              <w:t>21</w:t>
            </w:r>
          </w:p>
        </w:tc>
        <w:tc>
          <w:tcPr>
            <w:tcW w:w="1417" w:type="dxa"/>
          </w:tcPr>
          <w:p>
            <w:pPr>
              <w:pStyle w:val="yTable"/>
              <w:jc w:val="center"/>
            </w:pPr>
            <w:r>
              <w:t>17</w:t>
            </w:r>
          </w:p>
        </w:tc>
        <w:tc>
          <w:tcPr>
            <w:tcW w:w="1418" w:type="dxa"/>
          </w:tcPr>
          <w:p>
            <w:pPr>
              <w:pStyle w:val="yTable"/>
              <w:jc w:val="center"/>
            </w:pPr>
            <w:r>
              <w:t>22</w:t>
            </w:r>
          </w:p>
        </w:tc>
        <w:tc>
          <w:tcPr>
            <w:tcW w:w="1418" w:type="dxa"/>
          </w:tcPr>
          <w:p>
            <w:pPr>
              <w:pStyle w:val="yTable"/>
              <w:jc w:val="center"/>
            </w:pPr>
            <w:r>
              <w:t>20</w:t>
            </w:r>
          </w:p>
        </w:tc>
      </w:tr>
      <w:tr>
        <w:tc>
          <w:tcPr>
            <w:tcW w:w="1417" w:type="dxa"/>
          </w:tcPr>
          <w:p>
            <w:pPr>
              <w:pStyle w:val="yTable"/>
              <w:jc w:val="center"/>
            </w:pPr>
            <w:r>
              <w:t>4.60</w:t>
            </w:r>
          </w:p>
        </w:tc>
        <w:tc>
          <w:tcPr>
            <w:tcW w:w="1418" w:type="dxa"/>
          </w:tcPr>
          <w:p>
            <w:pPr>
              <w:pStyle w:val="yTable"/>
              <w:jc w:val="center"/>
            </w:pPr>
            <w:r>
              <w:t>20</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19</w:t>
            </w:r>
          </w:p>
        </w:tc>
      </w:tr>
      <w:tr>
        <w:tc>
          <w:tcPr>
            <w:tcW w:w="1417" w:type="dxa"/>
          </w:tcPr>
          <w:p>
            <w:pPr>
              <w:pStyle w:val="yTable"/>
              <w:jc w:val="center"/>
            </w:pPr>
            <w:r>
              <w:t>4.80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21</w:t>
            </w:r>
          </w:p>
        </w:tc>
        <w:tc>
          <w:tcPr>
            <w:tcW w:w="1418" w:type="dxa"/>
          </w:tcPr>
          <w:p>
            <w:pPr>
              <w:pStyle w:val="yTable"/>
              <w:jc w:val="center"/>
            </w:pPr>
            <w:r>
              <w:t>18</w:t>
            </w:r>
          </w:p>
        </w:tc>
      </w:tr>
      <w:tr>
        <w:tc>
          <w:tcPr>
            <w:tcW w:w="1417" w:type="dxa"/>
          </w:tcPr>
          <w:p>
            <w:pPr>
              <w:pStyle w:val="yTable"/>
              <w:jc w:val="center"/>
            </w:pPr>
            <w:r>
              <w:t>5.00</w:t>
            </w:r>
          </w:p>
        </w:tc>
        <w:tc>
          <w:tcPr>
            <w:tcW w:w="1418" w:type="dxa"/>
          </w:tcPr>
          <w:p>
            <w:pPr>
              <w:pStyle w:val="yTable"/>
              <w:jc w:val="center"/>
            </w:pPr>
            <w:r>
              <w:t>19</w:t>
            </w:r>
          </w:p>
        </w:tc>
        <w:tc>
          <w:tcPr>
            <w:tcW w:w="1417" w:type="dxa"/>
          </w:tcPr>
          <w:p>
            <w:pPr>
              <w:pStyle w:val="yTable"/>
              <w:jc w:val="center"/>
            </w:pPr>
            <w:r>
              <w:t>16</w:t>
            </w:r>
          </w:p>
        </w:tc>
        <w:tc>
          <w:tcPr>
            <w:tcW w:w="1418" w:type="dxa"/>
          </w:tcPr>
          <w:p>
            <w:pPr>
              <w:pStyle w:val="yTable"/>
              <w:jc w:val="center"/>
            </w:pPr>
            <w:r>
              <w:t>20</w:t>
            </w:r>
          </w:p>
        </w:tc>
        <w:tc>
          <w:tcPr>
            <w:tcW w:w="1418" w:type="dxa"/>
          </w:tcPr>
          <w:p>
            <w:pPr>
              <w:pStyle w:val="yTable"/>
              <w:jc w:val="center"/>
            </w:pPr>
            <w:r>
              <w:t>18</w:t>
            </w:r>
          </w:p>
        </w:tc>
      </w:tr>
      <w:tr>
        <w:tc>
          <w:tcPr>
            <w:tcW w:w="1417" w:type="dxa"/>
          </w:tcPr>
          <w:p>
            <w:pPr>
              <w:pStyle w:val="yTable"/>
              <w:jc w:val="center"/>
            </w:pPr>
            <w:r>
              <w:t>5.50</w:t>
            </w:r>
          </w:p>
        </w:tc>
        <w:tc>
          <w:tcPr>
            <w:tcW w:w="1418" w:type="dxa"/>
          </w:tcPr>
          <w:p>
            <w:pPr>
              <w:pStyle w:val="yTable"/>
              <w:jc w:val="center"/>
            </w:pPr>
            <w:r>
              <w:t>17</w:t>
            </w:r>
          </w:p>
        </w:tc>
        <w:tc>
          <w:tcPr>
            <w:tcW w:w="1417" w:type="dxa"/>
          </w:tcPr>
          <w:p>
            <w:pPr>
              <w:pStyle w:val="yTable"/>
              <w:jc w:val="center"/>
            </w:pPr>
            <w:r>
              <w:t>15</w:t>
            </w:r>
          </w:p>
        </w:tc>
        <w:tc>
          <w:tcPr>
            <w:tcW w:w="1418" w:type="dxa"/>
          </w:tcPr>
          <w:p>
            <w:pPr>
              <w:pStyle w:val="yTable"/>
              <w:jc w:val="center"/>
            </w:pPr>
            <w:r>
              <w:t>19</w:t>
            </w:r>
          </w:p>
        </w:tc>
        <w:tc>
          <w:tcPr>
            <w:tcW w:w="1418" w:type="dxa"/>
          </w:tcPr>
          <w:p>
            <w:pPr>
              <w:pStyle w:val="yTable"/>
              <w:jc w:val="center"/>
            </w:pPr>
            <w:r>
              <w:t>17</w:t>
            </w:r>
          </w:p>
        </w:tc>
      </w:tr>
      <w:tr>
        <w:tc>
          <w:tcPr>
            <w:tcW w:w="1417" w:type="dxa"/>
          </w:tcPr>
          <w:p>
            <w:pPr>
              <w:pStyle w:val="yTable"/>
              <w:jc w:val="center"/>
            </w:pPr>
            <w:r>
              <w:t>6.00</w:t>
            </w:r>
          </w:p>
        </w:tc>
        <w:tc>
          <w:tcPr>
            <w:tcW w:w="1418" w:type="dxa"/>
          </w:tcPr>
          <w:p>
            <w:pPr>
              <w:pStyle w:val="yTable"/>
              <w:jc w:val="center"/>
            </w:pPr>
            <w:r>
              <w:t>16</w:t>
            </w:r>
          </w:p>
        </w:tc>
        <w:tc>
          <w:tcPr>
            <w:tcW w:w="1417" w:type="dxa"/>
          </w:tcPr>
          <w:p>
            <w:pPr>
              <w:pStyle w:val="yTable"/>
              <w:jc w:val="center"/>
            </w:pPr>
            <w:r>
              <w:t>14</w:t>
            </w:r>
          </w:p>
        </w:tc>
        <w:tc>
          <w:tcPr>
            <w:tcW w:w="1418" w:type="dxa"/>
          </w:tcPr>
          <w:p>
            <w:pPr>
              <w:pStyle w:val="yTable"/>
              <w:jc w:val="center"/>
            </w:pPr>
            <w:r>
              <w:t>18</w:t>
            </w:r>
          </w:p>
        </w:tc>
        <w:tc>
          <w:tcPr>
            <w:tcW w:w="1418" w:type="dxa"/>
          </w:tcPr>
          <w:p>
            <w:pPr>
              <w:pStyle w:val="yTable"/>
              <w:jc w:val="center"/>
            </w:pPr>
            <w:r>
              <w:t>16</w:t>
            </w:r>
          </w:p>
        </w:tc>
      </w:tr>
      <w:tr>
        <w:tc>
          <w:tcPr>
            <w:tcW w:w="1417" w:type="dxa"/>
          </w:tcPr>
          <w:p>
            <w:pPr>
              <w:pStyle w:val="yTable"/>
              <w:jc w:val="center"/>
            </w:pPr>
            <w:r>
              <w:t>6.50</w:t>
            </w:r>
          </w:p>
        </w:tc>
        <w:tc>
          <w:tcPr>
            <w:tcW w:w="1418" w:type="dxa"/>
          </w:tcPr>
          <w:p>
            <w:pPr>
              <w:pStyle w:val="yTable"/>
              <w:jc w:val="center"/>
            </w:pPr>
            <w:r>
              <w:t>14</w:t>
            </w:r>
          </w:p>
        </w:tc>
        <w:tc>
          <w:tcPr>
            <w:tcW w:w="1417" w:type="dxa"/>
          </w:tcPr>
          <w:p>
            <w:pPr>
              <w:pStyle w:val="yTable"/>
              <w:jc w:val="center"/>
            </w:pPr>
            <w:r>
              <w:t>13</w:t>
            </w:r>
          </w:p>
        </w:tc>
        <w:tc>
          <w:tcPr>
            <w:tcW w:w="1418" w:type="dxa"/>
          </w:tcPr>
          <w:p>
            <w:pPr>
              <w:pStyle w:val="yTable"/>
              <w:jc w:val="center"/>
            </w:pPr>
            <w:r>
              <w:t>16</w:t>
            </w:r>
          </w:p>
        </w:tc>
        <w:tc>
          <w:tcPr>
            <w:tcW w:w="1418" w:type="dxa"/>
          </w:tcPr>
          <w:p>
            <w:pPr>
              <w:pStyle w:val="yTable"/>
              <w:jc w:val="center"/>
            </w:pPr>
            <w:r>
              <w:t>14</w:t>
            </w:r>
          </w:p>
        </w:tc>
      </w:tr>
      <w:tr>
        <w:tc>
          <w:tcPr>
            <w:tcW w:w="1417" w:type="dxa"/>
          </w:tcPr>
          <w:p>
            <w:pPr>
              <w:pStyle w:val="yTable"/>
              <w:jc w:val="center"/>
            </w:pPr>
            <w:r>
              <w:t>7.00</w:t>
            </w:r>
          </w:p>
        </w:tc>
        <w:tc>
          <w:tcPr>
            <w:tcW w:w="1418" w:type="dxa"/>
          </w:tcPr>
          <w:p>
            <w:pPr>
              <w:pStyle w:val="yTable"/>
              <w:jc w:val="center"/>
            </w:pPr>
            <w:r>
              <w:t>13</w:t>
            </w:r>
          </w:p>
        </w:tc>
        <w:tc>
          <w:tcPr>
            <w:tcW w:w="1417" w:type="dxa"/>
          </w:tcPr>
          <w:p>
            <w:pPr>
              <w:pStyle w:val="yTable"/>
              <w:jc w:val="center"/>
            </w:pPr>
            <w:r>
              <w:t>12</w:t>
            </w:r>
          </w:p>
        </w:tc>
        <w:tc>
          <w:tcPr>
            <w:tcW w:w="1418" w:type="dxa"/>
          </w:tcPr>
          <w:p>
            <w:pPr>
              <w:pStyle w:val="yTable"/>
              <w:jc w:val="center"/>
            </w:pPr>
            <w:r>
              <w:t>16</w:t>
            </w:r>
          </w:p>
        </w:tc>
        <w:tc>
          <w:tcPr>
            <w:tcW w:w="1418" w:type="dxa"/>
          </w:tcPr>
          <w:p>
            <w:pPr>
              <w:pStyle w:val="yTable"/>
              <w:jc w:val="center"/>
            </w:pPr>
            <w:r>
              <w:t>13</w:t>
            </w:r>
          </w:p>
        </w:tc>
      </w:tr>
      <w:tr>
        <w:tc>
          <w:tcPr>
            <w:tcW w:w="1417" w:type="dxa"/>
          </w:tcPr>
          <w:p>
            <w:pPr>
              <w:pStyle w:val="yTable"/>
              <w:jc w:val="center"/>
            </w:pPr>
            <w:r>
              <w:t>7.50</w:t>
            </w:r>
          </w:p>
        </w:tc>
        <w:tc>
          <w:tcPr>
            <w:tcW w:w="1418" w:type="dxa"/>
          </w:tcPr>
          <w:p>
            <w:pPr>
              <w:pStyle w:val="yTable"/>
              <w:jc w:val="center"/>
            </w:pPr>
            <w:r>
              <w:t>12</w:t>
            </w:r>
          </w:p>
        </w:tc>
        <w:tc>
          <w:tcPr>
            <w:tcW w:w="1417" w:type="dxa"/>
          </w:tcPr>
          <w:p>
            <w:pPr>
              <w:pStyle w:val="yTable"/>
              <w:jc w:val="center"/>
            </w:pPr>
            <w:r>
              <w:t>12</w:t>
            </w:r>
          </w:p>
        </w:tc>
        <w:tc>
          <w:tcPr>
            <w:tcW w:w="1418" w:type="dxa"/>
          </w:tcPr>
          <w:p>
            <w:pPr>
              <w:pStyle w:val="yTable"/>
              <w:jc w:val="center"/>
            </w:pPr>
            <w:r>
              <w:t>15</w:t>
            </w:r>
          </w:p>
        </w:tc>
        <w:tc>
          <w:tcPr>
            <w:tcW w:w="1418" w:type="dxa"/>
          </w:tcPr>
          <w:p>
            <w:pPr>
              <w:pStyle w:val="yTable"/>
              <w:jc w:val="center"/>
            </w:pPr>
            <w:r>
              <w:t>12</w:t>
            </w:r>
          </w:p>
        </w:tc>
      </w:tr>
      <w:tr>
        <w:tc>
          <w:tcPr>
            <w:tcW w:w="1417" w:type="dxa"/>
          </w:tcPr>
          <w:p>
            <w:pPr>
              <w:pStyle w:val="yTable"/>
              <w:jc w:val="center"/>
            </w:pPr>
            <w:r>
              <w:t>8.00</w:t>
            </w:r>
          </w:p>
        </w:tc>
        <w:tc>
          <w:tcPr>
            <w:tcW w:w="1418" w:type="dxa"/>
          </w:tcPr>
          <w:p>
            <w:pPr>
              <w:pStyle w:val="yTable"/>
              <w:jc w:val="center"/>
            </w:pPr>
            <w:r>
              <w:t>12</w:t>
            </w:r>
          </w:p>
        </w:tc>
        <w:tc>
          <w:tcPr>
            <w:tcW w:w="1417" w:type="dxa"/>
          </w:tcPr>
          <w:p>
            <w:pPr>
              <w:pStyle w:val="yTable"/>
              <w:jc w:val="center"/>
            </w:pPr>
            <w:r>
              <w:t>11</w:t>
            </w:r>
          </w:p>
        </w:tc>
        <w:tc>
          <w:tcPr>
            <w:tcW w:w="1418" w:type="dxa"/>
          </w:tcPr>
          <w:p>
            <w:pPr>
              <w:pStyle w:val="yTable"/>
              <w:jc w:val="center"/>
            </w:pPr>
            <w:r>
              <w:t>14</w:t>
            </w:r>
          </w:p>
        </w:tc>
        <w:tc>
          <w:tcPr>
            <w:tcW w:w="1418" w:type="dxa"/>
          </w:tcPr>
          <w:p>
            <w:pPr>
              <w:pStyle w:val="yTable"/>
              <w:jc w:val="center"/>
            </w:pPr>
            <w:r>
              <w:t>12</w:t>
            </w:r>
          </w:p>
        </w:tc>
      </w:tr>
      <w:tr>
        <w:tc>
          <w:tcPr>
            <w:tcW w:w="1417" w:type="dxa"/>
          </w:tcPr>
          <w:p>
            <w:pPr>
              <w:pStyle w:val="yTable"/>
              <w:jc w:val="center"/>
            </w:pPr>
            <w:r>
              <w:t>8.50</w:t>
            </w:r>
          </w:p>
        </w:tc>
        <w:tc>
          <w:tcPr>
            <w:tcW w:w="1418" w:type="dxa"/>
          </w:tcPr>
          <w:p>
            <w:pPr>
              <w:pStyle w:val="yTable"/>
              <w:jc w:val="center"/>
            </w:pPr>
            <w:r>
              <w:t>11</w:t>
            </w:r>
          </w:p>
        </w:tc>
        <w:tc>
          <w:tcPr>
            <w:tcW w:w="1417" w:type="dxa"/>
          </w:tcPr>
          <w:p>
            <w:pPr>
              <w:pStyle w:val="yTable"/>
              <w:jc w:val="center"/>
            </w:pPr>
            <w:r>
              <w:t>11</w:t>
            </w:r>
          </w:p>
        </w:tc>
        <w:tc>
          <w:tcPr>
            <w:tcW w:w="1418" w:type="dxa"/>
          </w:tcPr>
          <w:p>
            <w:pPr>
              <w:pStyle w:val="yTable"/>
              <w:jc w:val="center"/>
            </w:pPr>
            <w:r>
              <w:t>13</w:t>
            </w:r>
          </w:p>
        </w:tc>
        <w:tc>
          <w:tcPr>
            <w:tcW w:w="1418" w:type="dxa"/>
          </w:tcPr>
          <w:p>
            <w:pPr>
              <w:pStyle w:val="yTable"/>
              <w:jc w:val="center"/>
            </w:pPr>
            <w:r>
              <w:t>11</w:t>
            </w:r>
          </w:p>
        </w:tc>
      </w:tr>
      <w:tr>
        <w:tc>
          <w:tcPr>
            <w:tcW w:w="1417" w:type="dxa"/>
          </w:tcPr>
          <w:p>
            <w:pPr>
              <w:pStyle w:val="yTable"/>
              <w:jc w:val="center"/>
            </w:pPr>
            <w:r>
              <w:t>9.00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13</w:t>
            </w:r>
          </w:p>
        </w:tc>
        <w:tc>
          <w:tcPr>
            <w:tcW w:w="1418" w:type="dxa"/>
          </w:tcPr>
          <w:p>
            <w:pPr>
              <w:pStyle w:val="yTable"/>
              <w:jc w:val="center"/>
            </w:pPr>
            <w:r>
              <w:t>10</w:t>
            </w:r>
          </w:p>
        </w:tc>
      </w:tr>
      <w:tr>
        <w:tc>
          <w:tcPr>
            <w:tcW w:w="1417" w:type="dxa"/>
          </w:tcPr>
          <w:p>
            <w:pPr>
              <w:pStyle w:val="yTable"/>
              <w:jc w:val="center"/>
            </w:pPr>
            <w:r>
              <w:t>9.50</w:t>
            </w:r>
          </w:p>
        </w:tc>
        <w:tc>
          <w:tcPr>
            <w:tcW w:w="1418" w:type="dxa"/>
          </w:tcPr>
          <w:p>
            <w:pPr>
              <w:pStyle w:val="yTable"/>
              <w:jc w:val="center"/>
            </w:pPr>
            <w:r>
              <w:t>10</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10</w:t>
            </w:r>
          </w:p>
        </w:tc>
      </w:tr>
      <w:tr>
        <w:tc>
          <w:tcPr>
            <w:tcW w:w="1417" w:type="dxa"/>
          </w:tcPr>
          <w:p>
            <w:pPr>
              <w:pStyle w:val="yTable"/>
              <w:jc w:val="center"/>
            </w:pPr>
            <w:r>
              <w:t>10.00</w:t>
            </w:r>
          </w:p>
        </w:tc>
        <w:tc>
          <w:tcPr>
            <w:tcW w:w="1418" w:type="dxa"/>
          </w:tcPr>
          <w:p>
            <w:pPr>
              <w:pStyle w:val="yTable"/>
              <w:jc w:val="center"/>
            </w:pPr>
            <w:r>
              <w:t>9</w:t>
            </w:r>
          </w:p>
        </w:tc>
        <w:tc>
          <w:tcPr>
            <w:tcW w:w="1417" w:type="dxa"/>
          </w:tcPr>
          <w:p>
            <w:pPr>
              <w:pStyle w:val="yTable"/>
              <w:jc w:val="center"/>
            </w:pPr>
            <w:r>
              <w:t>10</w:t>
            </w:r>
          </w:p>
        </w:tc>
        <w:tc>
          <w:tcPr>
            <w:tcW w:w="1418" w:type="dxa"/>
          </w:tcPr>
          <w:p>
            <w:pPr>
              <w:pStyle w:val="yTable"/>
              <w:jc w:val="center"/>
            </w:pPr>
            <w:r>
              <w:t>12</w:t>
            </w:r>
          </w:p>
        </w:tc>
        <w:tc>
          <w:tcPr>
            <w:tcW w:w="1418" w:type="dxa"/>
          </w:tcPr>
          <w:p>
            <w:pPr>
              <w:pStyle w:val="yTable"/>
              <w:jc w:val="center"/>
            </w:pPr>
            <w:r>
              <w:t>9</w:t>
            </w:r>
          </w:p>
        </w:tc>
      </w:tr>
      <w:tr>
        <w:tc>
          <w:tcPr>
            <w:tcW w:w="1417" w:type="dxa"/>
          </w:tcPr>
          <w:p>
            <w:pPr>
              <w:pStyle w:val="yTable"/>
              <w:jc w:val="center"/>
            </w:pPr>
            <w:r>
              <w:t>11.00</w:t>
            </w:r>
          </w:p>
        </w:tc>
        <w:tc>
          <w:tcPr>
            <w:tcW w:w="1418" w:type="dxa"/>
          </w:tcPr>
          <w:p>
            <w:pPr>
              <w:pStyle w:val="yTable"/>
              <w:jc w:val="center"/>
            </w:pPr>
            <w:r>
              <w:t>8</w:t>
            </w:r>
          </w:p>
        </w:tc>
        <w:tc>
          <w:tcPr>
            <w:tcW w:w="1417" w:type="dxa"/>
          </w:tcPr>
          <w:p>
            <w:pPr>
              <w:pStyle w:val="yTable"/>
              <w:jc w:val="center"/>
            </w:pPr>
            <w:r>
              <w:t>9</w:t>
            </w:r>
          </w:p>
        </w:tc>
        <w:tc>
          <w:tcPr>
            <w:tcW w:w="1418" w:type="dxa"/>
          </w:tcPr>
          <w:p>
            <w:pPr>
              <w:pStyle w:val="yTable"/>
              <w:jc w:val="center"/>
            </w:pPr>
            <w:r>
              <w:t>11</w:t>
            </w:r>
          </w:p>
        </w:tc>
        <w:tc>
          <w:tcPr>
            <w:tcW w:w="1418" w:type="dxa"/>
          </w:tcPr>
          <w:p>
            <w:pPr>
              <w:pStyle w:val="yTable"/>
              <w:jc w:val="center"/>
            </w:pPr>
            <w:r>
              <w:t>8</w:t>
            </w:r>
          </w:p>
        </w:tc>
      </w:tr>
      <w:tr>
        <w:tc>
          <w:tcPr>
            <w:tcW w:w="1417" w:type="dxa"/>
          </w:tcPr>
          <w:p>
            <w:pPr>
              <w:pStyle w:val="yTable"/>
              <w:jc w:val="center"/>
            </w:pPr>
            <w:r>
              <w:t>12.00</w:t>
            </w:r>
          </w:p>
        </w:tc>
        <w:tc>
          <w:tcPr>
            <w:tcW w:w="1418" w:type="dxa"/>
          </w:tcPr>
          <w:p>
            <w:pPr>
              <w:pStyle w:val="yTable"/>
              <w:jc w:val="center"/>
            </w:pPr>
            <w:r>
              <w:t>8</w:t>
            </w:r>
          </w:p>
        </w:tc>
        <w:tc>
          <w:tcPr>
            <w:tcW w:w="1417" w:type="dxa"/>
          </w:tcPr>
          <w:p>
            <w:pPr>
              <w:pStyle w:val="yTable"/>
              <w:jc w:val="center"/>
            </w:pPr>
            <w:r>
              <w:t>8</w:t>
            </w:r>
          </w:p>
        </w:tc>
        <w:tc>
          <w:tcPr>
            <w:tcW w:w="1418" w:type="dxa"/>
          </w:tcPr>
          <w:p>
            <w:pPr>
              <w:pStyle w:val="yTable"/>
              <w:jc w:val="center"/>
            </w:pPr>
            <w:r>
              <w:t>10</w:t>
            </w:r>
          </w:p>
        </w:tc>
        <w:tc>
          <w:tcPr>
            <w:tcW w:w="1418" w:type="dxa"/>
          </w:tcPr>
          <w:p>
            <w:pPr>
              <w:pStyle w:val="yTable"/>
              <w:jc w:val="center"/>
            </w:pPr>
            <w:r>
              <w:t>8</w:t>
            </w:r>
          </w:p>
        </w:tc>
      </w:tr>
      <w:tr>
        <w:tc>
          <w:tcPr>
            <w:tcW w:w="1417" w:type="dxa"/>
          </w:tcPr>
          <w:p>
            <w:pPr>
              <w:pStyle w:val="yTable"/>
              <w:jc w:val="center"/>
            </w:pPr>
            <w:r>
              <w:t>13.00</w:t>
            </w:r>
          </w:p>
        </w:tc>
        <w:tc>
          <w:tcPr>
            <w:tcW w:w="1418" w:type="dxa"/>
          </w:tcPr>
          <w:p>
            <w:pPr>
              <w:pStyle w:val="yTable"/>
              <w:jc w:val="center"/>
            </w:pPr>
            <w:r>
              <w:t>7</w:t>
            </w:r>
          </w:p>
        </w:tc>
        <w:tc>
          <w:tcPr>
            <w:tcW w:w="1417" w:type="dxa"/>
          </w:tcPr>
          <w:p>
            <w:pPr>
              <w:pStyle w:val="yTable"/>
              <w:jc w:val="center"/>
            </w:pPr>
            <w:r>
              <w:t>8</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14.00</w:t>
            </w:r>
          </w:p>
        </w:tc>
        <w:tc>
          <w:tcPr>
            <w:tcW w:w="1418" w:type="dxa"/>
          </w:tcPr>
          <w:p>
            <w:pPr>
              <w:pStyle w:val="yTable"/>
              <w:jc w:val="center"/>
            </w:pPr>
            <w:r>
              <w:t>7</w:t>
            </w:r>
          </w:p>
        </w:tc>
        <w:tc>
          <w:tcPr>
            <w:tcW w:w="1417" w:type="dxa"/>
          </w:tcPr>
          <w:p>
            <w:pPr>
              <w:pStyle w:val="yTable"/>
              <w:jc w:val="center"/>
            </w:pPr>
            <w:r>
              <w:t>7</w:t>
            </w:r>
          </w:p>
        </w:tc>
        <w:tc>
          <w:tcPr>
            <w:tcW w:w="1418" w:type="dxa"/>
          </w:tcPr>
          <w:p>
            <w:pPr>
              <w:pStyle w:val="yTable"/>
              <w:jc w:val="center"/>
            </w:pPr>
            <w:r>
              <w:t>9</w:t>
            </w:r>
          </w:p>
        </w:tc>
        <w:tc>
          <w:tcPr>
            <w:tcW w:w="1418" w:type="dxa"/>
          </w:tcPr>
          <w:p>
            <w:pPr>
              <w:pStyle w:val="yTable"/>
              <w:jc w:val="center"/>
            </w:pPr>
            <w:r>
              <w:t>7</w:t>
            </w:r>
          </w:p>
        </w:tc>
      </w:tr>
      <w:tr>
        <w:tc>
          <w:tcPr>
            <w:tcW w:w="1417" w:type="dxa"/>
          </w:tcPr>
          <w:p>
            <w:pPr>
              <w:pStyle w:val="yTable"/>
              <w:jc w:val="center"/>
            </w:pPr>
            <w:r>
              <w:t>15.00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16.00</w:t>
            </w:r>
          </w:p>
        </w:tc>
        <w:tc>
          <w:tcPr>
            <w:tcW w:w="1418" w:type="dxa"/>
          </w:tcPr>
          <w:p>
            <w:pPr>
              <w:pStyle w:val="yTable"/>
              <w:jc w:val="center"/>
            </w:pPr>
            <w:r>
              <w:t>6</w:t>
            </w:r>
          </w:p>
        </w:tc>
        <w:tc>
          <w:tcPr>
            <w:tcW w:w="1417" w:type="dxa"/>
          </w:tcPr>
          <w:p>
            <w:pPr>
              <w:pStyle w:val="yTable"/>
              <w:jc w:val="center"/>
            </w:pPr>
            <w:r>
              <w:t>7</w:t>
            </w:r>
          </w:p>
        </w:tc>
        <w:tc>
          <w:tcPr>
            <w:tcW w:w="1418" w:type="dxa"/>
          </w:tcPr>
          <w:p>
            <w:pPr>
              <w:pStyle w:val="yTable"/>
              <w:jc w:val="center"/>
            </w:pPr>
            <w:r>
              <w:t>8</w:t>
            </w:r>
          </w:p>
        </w:tc>
        <w:tc>
          <w:tcPr>
            <w:tcW w:w="1418" w:type="dxa"/>
          </w:tcPr>
          <w:p>
            <w:pPr>
              <w:pStyle w:val="yTable"/>
              <w:jc w:val="center"/>
            </w:pPr>
            <w:r>
              <w:t>6</w:t>
            </w:r>
          </w:p>
        </w:tc>
      </w:tr>
      <w:tr>
        <w:tc>
          <w:tcPr>
            <w:tcW w:w="1417" w:type="dxa"/>
          </w:tcPr>
          <w:p>
            <w:pPr>
              <w:pStyle w:val="yTable"/>
              <w:jc w:val="center"/>
            </w:pPr>
            <w:r>
              <w:t>17.00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18.00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19.00</w:t>
            </w:r>
          </w:p>
        </w:tc>
        <w:tc>
          <w:tcPr>
            <w:tcW w:w="1418" w:type="dxa"/>
          </w:tcPr>
          <w:p>
            <w:pPr>
              <w:pStyle w:val="yTable"/>
              <w:jc w:val="center"/>
            </w:pPr>
            <w:r>
              <w:t>5</w:t>
            </w:r>
          </w:p>
        </w:tc>
        <w:tc>
          <w:tcPr>
            <w:tcW w:w="1417" w:type="dxa"/>
          </w:tcPr>
          <w:p>
            <w:pPr>
              <w:pStyle w:val="yTable"/>
              <w:jc w:val="center"/>
            </w:pPr>
            <w:r>
              <w:t>6</w:t>
            </w:r>
          </w:p>
        </w:tc>
        <w:tc>
          <w:tcPr>
            <w:tcW w:w="1418" w:type="dxa"/>
          </w:tcPr>
          <w:p>
            <w:pPr>
              <w:pStyle w:val="yTable"/>
              <w:jc w:val="center"/>
            </w:pPr>
            <w:r>
              <w:t>7</w:t>
            </w:r>
          </w:p>
        </w:tc>
        <w:tc>
          <w:tcPr>
            <w:tcW w:w="1418" w:type="dxa"/>
          </w:tcPr>
          <w:p>
            <w:pPr>
              <w:pStyle w:val="yTable"/>
              <w:jc w:val="center"/>
            </w:pPr>
            <w:r>
              <w:t>5</w:t>
            </w:r>
          </w:p>
        </w:tc>
      </w:tr>
      <w:tr>
        <w:tc>
          <w:tcPr>
            <w:tcW w:w="1417" w:type="dxa"/>
          </w:tcPr>
          <w:p>
            <w:pPr>
              <w:pStyle w:val="yTable"/>
              <w:jc w:val="center"/>
            </w:pPr>
            <w:r>
              <w:t>20.00</w:t>
            </w:r>
          </w:p>
        </w:tc>
        <w:tc>
          <w:tcPr>
            <w:tcW w:w="1418" w:type="dxa"/>
          </w:tcPr>
          <w:p>
            <w:pPr>
              <w:pStyle w:val="yTable"/>
              <w:jc w:val="center"/>
            </w:pPr>
            <w:r>
              <w:t>5</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5</w:t>
            </w:r>
          </w:p>
        </w:tc>
      </w:tr>
      <w:tr>
        <w:tc>
          <w:tcPr>
            <w:tcW w:w="1417" w:type="dxa"/>
          </w:tcPr>
          <w:p>
            <w:pPr>
              <w:pStyle w:val="yTable"/>
              <w:jc w:val="center"/>
            </w:pPr>
            <w:r>
              <w:t>21.00</w:t>
            </w:r>
          </w:p>
        </w:tc>
        <w:tc>
          <w:tcPr>
            <w:tcW w:w="1418" w:type="dxa"/>
          </w:tcPr>
          <w:p>
            <w:pPr>
              <w:pStyle w:val="yTable"/>
              <w:jc w:val="center"/>
            </w:pPr>
            <w:r>
              <w:t>4</w:t>
            </w:r>
          </w:p>
        </w:tc>
        <w:tc>
          <w:tcPr>
            <w:tcW w:w="1417" w:type="dxa"/>
          </w:tcPr>
          <w:p>
            <w:pPr>
              <w:pStyle w:val="yTable"/>
              <w:jc w:val="center"/>
            </w:pPr>
            <w:r>
              <w:t>5</w:t>
            </w:r>
          </w:p>
        </w:tc>
        <w:tc>
          <w:tcPr>
            <w:tcW w:w="1418" w:type="dxa"/>
          </w:tcPr>
          <w:p>
            <w:pPr>
              <w:pStyle w:val="yTable"/>
              <w:jc w:val="center"/>
            </w:pPr>
            <w:r>
              <w:t>6</w:t>
            </w:r>
          </w:p>
        </w:tc>
        <w:tc>
          <w:tcPr>
            <w:tcW w:w="1418" w:type="dxa"/>
          </w:tcPr>
          <w:p>
            <w:pPr>
              <w:pStyle w:val="yTable"/>
              <w:jc w:val="center"/>
            </w:pPr>
            <w:r>
              <w:t>4</w:t>
            </w:r>
          </w:p>
        </w:tc>
      </w:tr>
      <w:tr>
        <w:tc>
          <w:tcPr>
            <w:tcW w:w="1417" w:type="dxa"/>
          </w:tcPr>
          <w:p>
            <w:pPr>
              <w:pStyle w:val="yTable"/>
              <w:jc w:val="center"/>
            </w:pPr>
            <w:r>
              <w:t>26.00</w:t>
            </w:r>
          </w:p>
        </w:tc>
        <w:tc>
          <w:tcPr>
            <w:tcW w:w="1418" w:type="dxa"/>
          </w:tcPr>
          <w:p>
            <w:pPr>
              <w:pStyle w:val="yTable"/>
              <w:jc w:val="center"/>
            </w:pPr>
            <w:r>
              <w:t>3</w:t>
            </w:r>
          </w:p>
        </w:tc>
        <w:tc>
          <w:tcPr>
            <w:tcW w:w="1417" w:type="dxa"/>
          </w:tcPr>
          <w:p>
            <w:pPr>
              <w:pStyle w:val="yTable"/>
              <w:jc w:val="center"/>
            </w:pPr>
            <w:r>
              <w:t>4</w:t>
            </w:r>
          </w:p>
        </w:tc>
        <w:tc>
          <w:tcPr>
            <w:tcW w:w="1418" w:type="dxa"/>
          </w:tcPr>
          <w:p>
            <w:pPr>
              <w:pStyle w:val="yTable"/>
              <w:jc w:val="center"/>
            </w:pPr>
            <w:r>
              <w:t>5</w:t>
            </w:r>
          </w:p>
        </w:tc>
        <w:tc>
          <w:tcPr>
            <w:tcW w:w="1418" w:type="dxa"/>
          </w:tcPr>
          <w:p>
            <w:pPr>
              <w:pStyle w:val="yTable"/>
              <w:jc w:val="center"/>
            </w:pPr>
            <w:r>
              <w:t>3</w:t>
            </w:r>
          </w:p>
        </w:tc>
      </w:tr>
      <w:tr>
        <w:tc>
          <w:tcPr>
            <w:tcW w:w="1417" w:type="dxa"/>
          </w:tcPr>
          <w:p>
            <w:pPr>
              <w:pStyle w:val="yTable"/>
              <w:jc w:val="center"/>
            </w:pPr>
            <w:r>
              <w:t>31.00</w:t>
            </w:r>
          </w:p>
        </w:tc>
        <w:tc>
          <w:tcPr>
            <w:tcW w:w="1418" w:type="dxa"/>
          </w:tcPr>
          <w:p>
            <w:pPr>
              <w:pStyle w:val="yTable"/>
              <w:jc w:val="center"/>
            </w:pPr>
            <w:r>
              <w:t>3</w:t>
            </w:r>
          </w:p>
        </w:tc>
        <w:tc>
          <w:tcPr>
            <w:tcW w:w="1417" w:type="dxa"/>
          </w:tcPr>
          <w:p>
            <w:pPr>
              <w:pStyle w:val="yTable"/>
              <w:jc w:val="center"/>
            </w:pPr>
            <w:r>
              <w:t>3</w:t>
            </w:r>
          </w:p>
        </w:tc>
        <w:tc>
          <w:tcPr>
            <w:tcW w:w="1418" w:type="dxa"/>
          </w:tcPr>
          <w:p>
            <w:pPr>
              <w:pStyle w:val="yTable"/>
              <w:jc w:val="center"/>
            </w:pPr>
            <w:r>
              <w:t>4</w:t>
            </w:r>
          </w:p>
        </w:tc>
        <w:tc>
          <w:tcPr>
            <w:tcW w:w="1418" w:type="dxa"/>
          </w:tcPr>
          <w:p>
            <w:pPr>
              <w:pStyle w:val="yTable"/>
              <w:jc w:val="center"/>
            </w:pPr>
            <w:r>
              <w:t>3</w:t>
            </w:r>
          </w:p>
        </w:tc>
      </w:tr>
      <w:tr>
        <w:tc>
          <w:tcPr>
            <w:tcW w:w="1417" w:type="dxa"/>
          </w:tcPr>
          <w:p>
            <w:pPr>
              <w:pStyle w:val="yTable"/>
              <w:jc w:val="center"/>
            </w:pPr>
            <w:r>
              <w:t>41.00</w:t>
            </w:r>
          </w:p>
        </w:tc>
        <w:tc>
          <w:tcPr>
            <w:tcW w:w="1418" w:type="dxa"/>
          </w:tcPr>
          <w:p>
            <w:pPr>
              <w:pStyle w:val="yTable"/>
              <w:jc w:val="center"/>
            </w:pPr>
            <w:r>
              <w:t>2</w:t>
            </w:r>
          </w:p>
        </w:tc>
        <w:tc>
          <w:tcPr>
            <w:tcW w:w="1417" w:type="dxa"/>
          </w:tcPr>
          <w:p>
            <w:pPr>
              <w:pStyle w:val="yTable"/>
              <w:jc w:val="center"/>
            </w:pPr>
            <w:r>
              <w:t>3</w:t>
            </w:r>
          </w:p>
        </w:tc>
        <w:tc>
          <w:tcPr>
            <w:tcW w:w="1418" w:type="dxa"/>
          </w:tcPr>
          <w:p>
            <w:pPr>
              <w:pStyle w:val="yTable"/>
              <w:jc w:val="center"/>
            </w:pPr>
            <w:r>
              <w:t>3</w:t>
            </w:r>
          </w:p>
        </w:tc>
        <w:tc>
          <w:tcPr>
            <w:tcW w:w="1418" w:type="dxa"/>
          </w:tcPr>
          <w:p>
            <w:pPr>
              <w:pStyle w:val="yTable"/>
              <w:jc w:val="center"/>
            </w:pPr>
            <w:r>
              <w:t>2</w:t>
            </w:r>
          </w:p>
        </w:tc>
      </w:tr>
      <w:tr>
        <w:tc>
          <w:tcPr>
            <w:tcW w:w="1417" w:type="dxa"/>
            <w:tcBorders>
              <w:bottom w:val="single" w:sz="4" w:space="0" w:color="auto"/>
            </w:tcBorders>
          </w:tcPr>
          <w:p>
            <w:pPr>
              <w:pStyle w:val="yTable"/>
              <w:jc w:val="center"/>
            </w:pPr>
            <w:r>
              <w:t>51.00</w:t>
            </w:r>
          </w:p>
        </w:tc>
        <w:tc>
          <w:tcPr>
            <w:tcW w:w="1418" w:type="dxa"/>
            <w:tcBorders>
              <w:bottom w:val="single" w:sz="4" w:space="0" w:color="auto"/>
            </w:tcBorders>
          </w:tcPr>
          <w:p>
            <w:pPr>
              <w:pStyle w:val="yTable"/>
              <w:jc w:val="center"/>
            </w:pPr>
            <w:r>
              <w:t>2</w:t>
            </w:r>
          </w:p>
        </w:tc>
        <w:tc>
          <w:tcPr>
            <w:tcW w:w="1417"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c>
          <w:tcPr>
            <w:tcW w:w="1418" w:type="dxa"/>
            <w:tcBorders>
              <w:bottom w:val="single" w:sz="4" w:space="0" w:color="auto"/>
            </w:tcBorders>
          </w:tcPr>
          <w:p>
            <w:pPr>
              <w:pStyle w:val="yTable"/>
              <w:jc w:val="center"/>
            </w:pPr>
            <w:r>
              <w:t>2</w:t>
            </w:r>
          </w:p>
        </w:tc>
      </w:tr>
    </w:tbl>
    <w:p>
      <w:pPr>
        <w:pStyle w:val="yScheduleHeading"/>
        <w:sectPr>
          <w:headerReference w:type="even" r:id="rId25"/>
          <w:headerReference w:type="default" r:id="rId26"/>
          <w:pgSz w:w="11906" w:h="16838" w:code="9"/>
          <w:pgMar w:top="2381" w:right="2409" w:bottom="3543" w:left="2409" w:header="720" w:footer="3380" w:gutter="0"/>
          <w:cols w:space="720"/>
          <w:noEndnote/>
          <w:docGrid w:linePitch="326"/>
        </w:sectPr>
      </w:pPr>
      <w:bookmarkStart w:id="920" w:name="_Toc116986522"/>
      <w:bookmarkStart w:id="921" w:name="_Toc133903584"/>
      <w:bookmarkStart w:id="922" w:name="_Toc133903678"/>
    </w:p>
    <w:p>
      <w:pPr>
        <w:pStyle w:val="yScheduleHeading"/>
      </w:pPr>
      <w:bookmarkStart w:id="923" w:name="_Toc133921027"/>
      <w:bookmarkStart w:id="924" w:name="_Toc141162278"/>
      <w:bookmarkStart w:id="925" w:name="_Toc141173867"/>
      <w:bookmarkStart w:id="926" w:name="_Toc148256489"/>
      <w:bookmarkStart w:id="927" w:name="_Toc151192492"/>
      <w:bookmarkStart w:id="928" w:name="_Toc151260861"/>
      <w:bookmarkStart w:id="929" w:name="_Toc155062695"/>
      <w:bookmarkStart w:id="930" w:name="_Toc155080020"/>
      <w:bookmarkStart w:id="931" w:name="_Toc171737795"/>
      <w:bookmarkStart w:id="932" w:name="_Toc172087354"/>
      <w:bookmarkStart w:id="933" w:name="_Toc172087599"/>
      <w:bookmarkStart w:id="934" w:name="_Toc172087861"/>
      <w:bookmarkStart w:id="935" w:name="_Toc173915936"/>
      <w:bookmarkStart w:id="936" w:name="_Toc175536941"/>
      <w:bookmarkStart w:id="937" w:name="_Toc175629442"/>
      <w:bookmarkStart w:id="938" w:name="_Toc177792456"/>
      <w:bookmarkStart w:id="939" w:name="_Toc177877491"/>
      <w:bookmarkStart w:id="940" w:name="_Toc179704124"/>
      <w:bookmarkStart w:id="941" w:name="_Toc185647305"/>
      <w:bookmarkStart w:id="942" w:name="_Toc212947037"/>
      <w:bookmarkStart w:id="943" w:name="_Toc218325423"/>
      <w:bookmarkStart w:id="944" w:name="_Toc218325539"/>
      <w:bookmarkStart w:id="945" w:name="_Toc218400262"/>
      <w:bookmarkStart w:id="946" w:name="_Toc241566840"/>
      <w:bookmarkStart w:id="947" w:name="_Toc241566955"/>
      <w:bookmarkStart w:id="948" w:name="_Toc241571183"/>
      <w:r>
        <w:rPr>
          <w:rStyle w:val="CharSchNo"/>
        </w:rPr>
        <w:t>Schedule 1</w:t>
      </w:r>
      <w:r>
        <w:t> — </w:t>
      </w:r>
      <w:r>
        <w:rPr>
          <w:rStyle w:val="CharSchText"/>
        </w:rPr>
        <w:t>Forms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SClsNo"/>
        </w:rPr>
        <w:t xml:space="preserve"> </w:t>
      </w:r>
    </w:p>
    <w:p>
      <w:pPr>
        <w:pStyle w:val="yShoulderClause"/>
      </w:pPr>
      <w:r>
        <w:t>[r. 77]</w:t>
      </w:r>
    </w:p>
    <w:p>
      <w:pPr>
        <w:pStyle w:val="yFootnoteheading"/>
        <w:rPr>
          <w:b/>
          <w:snapToGrid w:val="0"/>
        </w:rPr>
      </w:pPr>
      <w:r>
        <w:tab/>
        <w:t>[Heading inserted in Gazette 30 Jan 2004 p. 411.]</w:t>
      </w:r>
    </w:p>
    <w:p>
      <w:pPr>
        <w:pStyle w:val="yTable"/>
        <w:tabs>
          <w:tab w:val="right" w:leader="dot" w:pos="7088"/>
        </w:tabs>
        <w:spacing w:before="240"/>
        <w:jc w:val="center"/>
        <w:rPr>
          <w:b/>
          <w:snapToGrid w:val="0"/>
        </w:rPr>
      </w:pPr>
      <w:r>
        <w:rPr>
          <w:b/>
          <w:snapToGrid w:val="0"/>
        </w:rPr>
        <w:t>Form 1</w:t>
      </w:r>
    </w:p>
    <w:p>
      <w:pPr>
        <w:pStyle w:val="yTable"/>
        <w:tabs>
          <w:tab w:val="right" w:leader="dot" w:pos="7088"/>
        </w:tabs>
        <w:jc w:val="center"/>
        <w:rPr>
          <w:i/>
          <w:snapToGrid w:val="0"/>
        </w:rPr>
      </w:pPr>
      <w:r>
        <w:rPr>
          <w:i/>
          <w:snapToGrid w:val="0"/>
        </w:rPr>
        <w:t>Betting Control Act 1954</w:t>
      </w:r>
    </w:p>
    <w:p>
      <w:pPr>
        <w:pStyle w:val="yTable"/>
        <w:tabs>
          <w:tab w:val="right" w:leader="dot" w:pos="7088"/>
        </w:tabs>
        <w:jc w:val="right"/>
        <w:rPr>
          <w:snapToGrid w:val="0"/>
        </w:rPr>
      </w:pPr>
      <w:r>
        <w:rPr>
          <w:snapToGrid w:val="0"/>
        </w:rPr>
        <w:t>[s. 28A]</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snapToGrid w:val="0"/>
        </w:rPr>
        <w:t>Betting Control Act 1954</w:t>
      </w:r>
      <w:r>
        <w:rPr>
          <w:snapToGrid w:val="0"/>
        </w:rPr>
        <w:t xml:space="preserve"> is or is about to be carried on at (1)..............................</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GRANT to (2)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spacing w:before="0"/>
        <w:ind w:left="425" w:hanging="425"/>
        <w:rPr>
          <w:snapToGrid w:val="0"/>
        </w:rPr>
      </w:pPr>
      <w:r>
        <w:rPr>
          <w:snapToGrid w:val="0"/>
        </w:rPr>
        <w:t>(1)</w:t>
      </w:r>
      <w:r>
        <w:rPr>
          <w:snapToGrid w:val="0"/>
        </w:rPr>
        <w:tab/>
        <w:t>Insert particulars of place.</w:t>
      </w:r>
    </w:p>
    <w:p>
      <w:pPr>
        <w:pStyle w:val="yTable"/>
        <w:tabs>
          <w:tab w:val="left" w:pos="426"/>
          <w:tab w:val="right" w:leader="dot" w:pos="7088"/>
        </w:tabs>
        <w:ind w:left="426" w:hanging="426"/>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949" w:name="_Toc77066848"/>
      <w:bookmarkStart w:id="950" w:name="_Toc91479281"/>
      <w:bookmarkStart w:id="951" w:name="_Toc92427346"/>
      <w:bookmarkStart w:id="952" w:name="_Toc100974800"/>
      <w:bookmarkStart w:id="953" w:name="_Toc100975120"/>
      <w:bookmarkStart w:id="954" w:name="_Toc100977254"/>
      <w:bookmarkStart w:id="955" w:name="_Toc101064678"/>
      <w:bookmarkStart w:id="956" w:name="_Toc101081038"/>
      <w:bookmarkStart w:id="957" w:name="_Toc101774553"/>
      <w:bookmarkStart w:id="958" w:name="_Toc101774629"/>
      <w:bookmarkStart w:id="959" w:name="_Toc101774732"/>
      <w:bookmarkStart w:id="960" w:name="_Toc105391581"/>
      <w:bookmarkStart w:id="961" w:name="_Toc105577865"/>
      <w:bookmarkStart w:id="962" w:name="_Toc116984351"/>
      <w:bookmarkStart w:id="963" w:name="_Toc116986523"/>
      <w:bookmarkStart w:id="964" w:name="_Toc123708475"/>
      <w:bookmarkStart w:id="965" w:name="_Toc133903585"/>
      <w:bookmarkStart w:id="966" w:name="_Toc133903679"/>
      <w:bookmarkStart w:id="967" w:name="_Toc133921028"/>
      <w:bookmarkStart w:id="968" w:name="_Toc141162279"/>
      <w:bookmarkStart w:id="969" w:name="_Toc141173868"/>
      <w:bookmarkStart w:id="970" w:name="_Toc148256490"/>
      <w:bookmarkStart w:id="971" w:name="_Toc151192493"/>
      <w:bookmarkStart w:id="972" w:name="_Toc151260862"/>
      <w:bookmarkStart w:id="973" w:name="_Toc155062696"/>
      <w:bookmarkStart w:id="974" w:name="_Toc155080021"/>
      <w:bookmarkStart w:id="975" w:name="_Toc171737796"/>
      <w:bookmarkStart w:id="976" w:name="_Toc172087355"/>
      <w:bookmarkStart w:id="977" w:name="_Toc172087600"/>
      <w:bookmarkStart w:id="978" w:name="_Toc172087862"/>
      <w:bookmarkStart w:id="979" w:name="_Toc173915937"/>
      <w:bookmarkStart w:id="980" w:name="_Toc175536942"/>
      <w:bookmarkStart w:id="981" w:name="_Toc175629443"/>
      <w:bookmarkStart w:id="982" w:name="_Toc177792457"/>
      <w:bookmarkStart w:id="983" w:name="_Toc177877492"/>
      <w:bookmarkStart w:id="984" w:name="_Toc179704125"/>
      <w:bookmarkStart w:id="985" w:name="_Toc185647306"/>
      <w:bookmarkStart w:id="986" w:name="_Toc212947038"/>
      <w:bookmarkStart w:id="987" w:name="_Toc218325424"/>
      <w:bookmarkStart w:id="988" w:name="_Toc218325540"/>
      <w:bookmarkStart w:id="989" w:name="_Toc218400263"/>
      <w:bookmarkStart w:id="990" w:name="_Toc241566841"/>
      <w:bookmarkStart w:id="991" w:name="_Toc241566956"/>
      <w:bookmarkStart w:id="992" w:name="_Toc241571184"/>
      <w:r>
        <w:t>Notes</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993" w:name="_Toc172087863"/>
      <w:bookmarkStart w:id="994" w:name="_Toc212947039"/>
      <w:bookmarkStart w:id="995" w:name="_Toc241571185"/>
      <w:r>
        <w:t>Compilation table</w:t>
      </w:r>
      <w:bookmarkEnd w:id="993"/>
      <w:bookmarkEnd w:id="994"/>
      <w:bookmarkEnd w:id="99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(No. 3) 2009</w:t>
            </w:r>
          </w:p>
        </w:tc>
        <w:tc>
          <w:tcPr>
            <w:tcW w:w="1276" w:type="dxa"/>
            <w:tcBorders>
              <w:bottom w:val="single" w:sz="4" w:space="0" w:color="auto"/>
            </w:tcBorders>
          </w:tcPr>
          <w:p>
            <w:pPr>
              <w:pStyle w:val="nTable"/>
              <w:spacing w:after="40"/>
              <w:rPr>
                <w:sz w:val="19"/>
              </w:rPr>
            </w:pPr>
            <w:r>
              <w:rPr>
                <w:sz w:val="19"/>
              </w:rPr>
              <w:t>25 Sep 2009 p. 3751-2</w:t>
            </w:r>
          </w:p>
        </w:tc>
        <w:tc>
          <w:tcPr>
            <w:tcW w:w="2693" w:type="dxa"/>
            <w:tcBorders>
              <w:bottom w:val="single" w:sz="4" w:space="0" w:color="auto"/>
            </w:tcBorders>
          </w:tcPr>
          <w:p>
            <w:pPr>
              <w:pStyle w:val="nTable"/>
              <w:spacing w:after="40"/>
              <w:rPr>
                <w:snapToGrid w:val="0"/>
                <w:sz w:val="19"/>
                <w:lang w:val="en-US"/>
              </w:rPr>
            </w:pPr>
            <w:r>
              <w:rPr>
                <w:snapToGrid w:val="0"/>
                <w:spacing w:val="-2"/>
                <w:sz w:val="19"/>
                <w:lang w:val="en-US"/>
              </w:rPr>
              <w:t>r. 1 and 2: 25 Sep 2009 (see r. 2(a));</w:t>
            </w:r>
            <w:r>
              <w:rPr>
                <w:snapToGrid w:val="0"/>
                <w:spacing w:val="-2"/>
                <w:sz w:val="19"/>
                <w:lang w:val="en-US"/>
              </w:rPr>
              <w:br/>
              <w:t>Regulations other than r. 1 and 2: 26 Sep 2009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21468</Words>
  <Characters>98757</Characters>
  <Application>Microsoft Office Word</Application>
  <DocSecurity>0</DocSecurity>
  <Lines>3185</Lines>
  <Paragraphs>1970</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118255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1978 - 05-g0-03</dc:title>
  <dc:subject/>
  <dc:creator/>
  <cp:keywords/>
  <dc:description/>
  <cp:lastModifiedBy>svcMRProcess</cp:lastModifiedBy>
  <cp:revision>4</cp:revision>
  <cp:lastPrinted>2007-08-24T03:32:00Z</cp:lastPrinted>
  <dcterms:created xsi:type="dcterms:W3CDTF">2020-02-22T14:34:00Z</dcterms:created>
  <dcterms:modified xsi:type="dcterms:W3CDTF">2020-02-22T14:34:00Z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20090926</vt:lpwstr>
  </property>
  <property fmtid="{D5CDD505-2E9C-101B-9397-08002B2CF9AE}" pid="4" name="DocumentType">
    <vt:lpwstr>Reg</vt:lpwstr>
  </property>
  <property fmtid="{D5CDD505-2E9C-101B-9397-08002B2CF9AE}" pid="5" name="OwlsUID">
    <vt:i4>4296</vt:i4>
  </property>
  <property fmtid="{D5CDD505-2E9C-101B-9397-08002B2CF9AE}" pid="6" name="ReprintNo">
    <vt:lpwstr>5</vt:lpwstr>
  </property>
  <property fmtid="{D5CDD505-2E9C-101B-9397-08002B2CF9AE}" pid="7" name="AsAtDate">
    <vt:lpwstr>26 Sep 2009</vt:lpwstr>
  </property>
  <property fmtid="{D5CDD505-2E9C-101B-9397-08002B2CF9AE}" pid="8" name="Suffix">
    <vt:lpwstr>05-g0-03</vt:lpwstr>
  </property>
</Properties>
</file>