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Fair Trading Act 1987</w:t>
      </w:r>
    </w:p>
    <w:p>
      <w:pPr>
        <w:pStyle w:val="NameofActRegPage1"/>
        <w:spacing w:before="1800" w:after="4200"/>
      </w:pPr>
      <w:r>
        <w:fldChar w:fldCharType="begin"/>
      </w:r>
      <w:r>
        <w:instrText xml:space="preserve"> STYLEREF "Name Of Act/Reg"</w:instrText>
      </w:r>
      <w:r>
        <w:fldChar w:fldCharType="separate"/>
      </w:r>
      <w:r>
        <w:rPr>
          <w:noProof/>
        </w:rPr>
        <w:t>Fair Trading (Retirement Villages Code)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Code) Regulations 2009</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_Toc241555901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_Toc241555902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Code of Practice prescribed</w:t>
      </w:r>
      <w:r>
        <w:tab/>
      </w:r>
      <w:r>
        <w:fldChar w:fldCharType="begin"/>
      </w:r>
      <w:r>
        <w:instrText xml:space="preserve"> PAGEREF _Toc241555903 \h </w:instrText>
      </w:r>
      <w:r>
        <w:fldChar w:fldCharType="separate"/>
      </w:r>
      <w:r>
        <w:t>1</w:t>
      </w:r>
      <w:r>
        <w:fldChar w:fldCharType="end"/>
      </w:r>
    </w:p>
    <w:p>
      <w:pPr>
        <w:pStyle w:val="TOC8"/>
        <w:rPr>
          <w:sz w:val="24"/>
          <w:szCs w:val="24"/>
        </w:rPr>
      </w:pPr>
      <w:r>
        <w:rPr>
          <w:szCs w:val="24"/>
        </w:rPr>
        <w:t>4.</w:t>
      </w:r>
      <w:r>
        <w:rPr>
          <w:szCs w:val="24"/>
        </w:rPr>
        <w:tab/>
        <w:t>Interpretation</w:t>
      </w:r>
      <w:r>
        <w:tab/>
      </w:r>
      <w:r>
        <w:fldChar w:fldCharType="begin"/>
      </w:r>
      <w:r>
        <w:instrText xml:space="preserve"> PAGEREF _Toc241555904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 xml:space="preserve">The </w:t>
      </w:r>
      <w:r>
        <w:rPr>
          <w:i/>
          <w:iCs/>
          <w:snapToGrid w:val="0"/>
          <w:szCs w:val="24"/>
        </w:rPr>
        <w:t>Fair Trading (Retirement Villages Code) Regulations 2006</w:t>
      </w:r>
      <w:r>
        <w:rPr>
          <w:snapToGrid w:val="0"/>
          <w:szCs w:val="24"/>
        </w:rPr>
        <w:t xml:space="preserve"> repealed</w:t>
      </w:r>
      <w:r>
        <w:tab/>
      </w:r>
      <w:r>
        <w:fldChar w:fldCharType="begin"/>
      </w:r>
      <w:r>
        <w:instrText xml:space="preserve"> PAGEREF _Toc241555905 \h </w:instrText>
      </w:r>
      <w:r>
        <w:fldChar w:fldCharType="separate"/>
      </w:r>
      <w:r>
        <w:t>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i/>
          <w:iCs/>
          <w:szCs w:val="28"/>
        </w:rPr>
        <w:t>Code of Fair Practice for Retirement Villages 2009</w:t>
      </w:r>
    </w:p>
    <w:p>
      <w:pPr>
        <w:pStyle w:val="TOC4"/>
        <w:tabs>
          <w:tab w:val="right" w:leader="dot" w:pos="7086"/>
        </w:tabs>
        <w:rPr>
          <w:b w:val="0"/>
          <w:sz w:val="24"/>
          <w:szCs w:val="24"/>
        </w:rPr>
      </w:pPr>
      <w:r>
        <w:rPr>
          <w:szCs w:val="24"/>
        </w:rPr>
        <w:t>Division 1 — Preliminary</w:t>
      </w:r>
    </w:p>
    <w:p>
      <w:pPr>
        <w:pStyle w:val="TOC8"/>
        <w:rPr>
          <w:sz w:val="24"/>
          <w:szCs w:val="24"/>
        </w:rPr>
      </w:pPr>
      <w:r>
        <w:rPr>
          <w:sz w:val="24"/>
          <w:szCs w:val="22"/>
        </w:rPr>
        <w:t>1.1</w:t>
      </w:r>
      <w:r>
        <w:rPr>
          <w:sz w:val="24"/>
          <w:szCs w:val="22"/>
        </w:rPr>
        <w:tab/>
        <w:t>Citation</w:t>
      </w:r>
      <w:r>
        <w:tab/>
      </w:r>
      <w:r>
        <w:fldChar w:fldCharType="begin"/>
      </w:r>
      <w:r>
        <w:instrText xml:space="preserve"> PAGEREF _Toc241555908 \h </w:instrText>
      </w:r>
      <w:r>
        <w:fldChar w:fldCharType="separate"/>
      </w:r>
      <w:r>
        <w:t>6</w:t>
      </w:r>
      <w:r>
        <w:fldChar w:fldCharType="end"/>
      </w:r>
    </w:p>
    <w:p>
      <w:pPr>
        <w:pStyle w:val="TOC8"/>
        <w:rPr>
          <w:sz w:val="24"/>
          <w:szCs w:val="24"/>
        </w:rPr>
      </w:pPr>
      <w:r>
        <w:rPr>
          <w:sz w:val="24"/>
          <w:szCs w:val="22"/>
        </w:rPr>
        <w:t>1.2</w:t>
      </w:r>
      <w:r>
        <w:rPr>
          <w:sz w:val="24"/>
          <w:szCs w:val="22"/>
        </w:rPr>
        <w:tab/>
        <w:t>Application</w:t>
      </w:r>
      <w:r>
        <w:tab/>
      </w:r>
      <w:r>
        <w:fldChar w:fldCharType="begin"/>
      </w:r>
      <w:r>
        <w:instrText xml:space="preserve"> PAGEREF _Toc241555909 \h </w:instrText>
      </w:r>
      <w:r>
        <w:fldChar w:fldCharType="separate"/>
      </w:r>
      <w:r>
        <w:t>9</w:t>
      </w:r>
      <w:r>
        <w:fldChar w:fldCharType="end"/>
      </w:r>
    </w:p>
    <w:p>
      <w:pPr>
        <w:pStyle w:val="TOC8"/>
        <w:rPr>
          <w:sz w:val="24"/>
          <w:szCs w:val="24"/>
        </w:rPr>
      </w:pPr>
      <w:r>
        <w:rPr>
          <w:sz w:val="24"/>
          <w:szCs w:val="22"/>
        </w:rPr>
        <w:t>1.3</w:t>
      </w:r>
      <w:r>
        <w:rPr>
          <w:sz w:val="24"/>
          <w:szCs w:val="22"/>
        </w:rPr>
        <w:tab/>
        <w:t>General principles</w:t>
      </w:r>
      <w:r>
        <w:tab/>
      </w:r>
      <w:r>
        <w:fldChar w:fldCharType="begin"/>
      </w:r>
      <w:r>
        <w:instrText xml:space="preserve"> PAGEREF _Toc241555910 \h </w:instrText>
      </w:r>
      <w:r>
        <w:fldChar w:fldCharType="separate"/>
      </w:r>
      <w:r>
        <w:t>10</w:t>
      </w:r>
      <w:r>
        <w:fldChar w:fldCharType="end"/>
      </w:r>
    </w:p>
    <w:p>
      <w:pPr>
        <w:pStyle w:val="TOC8"/>
        <w:rPr>
          <w:sz w:val="24"/>
          <w:szCs w:val="24"/>
        </w:rPr>
      </w:pPr>
      <w:r>
        <w:rPr>
          <w:sz w:val="24"/>
          <w:szCs w:val="22"/>
        </w:rPr>
        <w:t>1.4</w:t>
      </w:r>
      <w:r>
        <w:rPr>
          <w:sz w:val="24"/>
          <w:szCs w:val="22"/>
        </w:rPr>
        <w:tab/>
        <w:t>Objectives of the Code</w:t>
      </w:r>
      <w:r>
        <w:tab/>
      </w:r>
      <w:r>
        <w:fldChar w:fldCharType="begin"/>
      </w:r>
      <w:r>
        <w:instrText xml:space="preserve"> PAGEREF _Toc241555911 \h </w:instrText>
      </w:r>
      <w:r>
        <w:fldChar w:fldCharType="separate"/>
      </w:r>
      <w:r>
        <w:t>11</w:t>
      </w:r>
      <w:r>
        <w:fldChar w:fldCharType="end"/>
      </w:r>
    </w:p>
    <w:p>
      <w:pPr>
        <w:pStyle w:val="TOC8"/>
        <w:rPr>
          <w:sz w:val="24"/>
          <w:szCs w:val="24"/>
        </w:rPr>
      </w:pPr>
      <w:r>
        <w:rPr>
          <w:sz w:val="24"/>
          <w:szCs w:val="22"/>
        </w:rPr>
        <w:t>1.5</w:t>
      </w:r>
      <w:r>
        <w:rPr>
          <w:sz w:val="24"/>
          <w:szCs w:val="22"/>
        </w:rPr>
        <w:tab/>
        <w:t>Resident’s basic rights</w:t>
      </w:r>
      <w:r>
        <w:tab/>
      </w:r>
      <w:r>
        <w:fldChar w:fldCharType="begin"/>
      </w:r>
      <w:r>
        <w:instrText xml:space="preserve"> PAGEREF _Toc241555912 \h </w:instrText>
      </w:r>
      <w:r>
        <w:fldChar w:fldCharType="separate"/>
      </w:r>
      <w:r>
        <w:t>11</w:t>
      </w:r>
      <w:r>
        <w:fldChar w:fldCharType="end"/>
      </w:r>
    </w:p>
    <w:p>
      <w:pPr>
        <w:pStyle w:val="TOC4"/>
        <w:tabs>
          <w:tab w:val="right" w:leader="dot" w:pos="7086"/>
        </w:tabs>
        <w:rPr>
          <w:b w:val="0"/>
          <w:sz w:val="24"/>
          <w:szCs w:val="24"/>
        </w:rPr>
      </w:pPr>
      <w:r>
        <w:rPr>
          <w:szCs w:val="24"/>
        </w:rPr>
        <w:t>Division 2 — Advertising and promotion of retirement villages</w:t>
      </w:r>
    </w:p>
    <w:p>
      <w:pPr>
        <w:pStyle w:val="TOC8"/>
        <w:rPr>
          <w:sz w:val="24"/>
          <w:szCs w:val="24"/>
        </w:rPr>
      </w:pPr>
      <w:r>
        <w:rPr>
          <w:sz w:val="24"/>
          <w:szCs w:val="22"/>
        </w:rPr>
        <w:t>2.1</w:t>
      </w:r>
      <w:r>
        <w:rPr>
          <w:sz w:val="24"/>
          <w:szCs w:val="22"/>
        </w:rPr>
        <w:tab/>
        <w:t>General</w:t>
      </w:r>
      <w:r>
        <w:tab/>
      </w:r>
      <w:r>
        <w:fldChar w:fldCharType="begin"/>
      </w:r>
      <w:r>
        <w:instrText xml:space="preserve"> PAGEREF _Toc241555914 \h </w:instrText>
      </w:r>
      <w:r>
        <w:fldChar w:fldCharType="separate"/>
      </w:r>
      <w:r>
        <w:t>13</w:t>
      </w:r>
      <w:r>
        <w:fldChar w:fldCharType="end"/>
      </w:r>
    </w:p>
    <w:p>
      <w:pPr>
        <w:pStyle w:val="TOC8"/>
        <w:rPr>
          <w:sz w:val="24"/>
          <w:szCs w:val="24"/>
        </w:rPr>
      </w:pPr>
      <w:r>
        <w:rPr>
          <w:sz w:val="24"/>
          <w:szCs w:val="22"/>
        </w:rPr>
        <w:t>2.2</w:t>
      </w:r>
      <w:r>
        <w:rPr>
          <w:sz w:val="24"/>
          <w:szCs w:val="22"/>
        </w:rPr>
        <w:tab/>
        <w:t>Retirement village developments</w:t>
      </w:r>
      <w:r>
        <w:tab/>
      </w:r>
      <w:r>
        <w:fldChar w:fldCharType="begin"/>
      </w:r>
      <w:r>
        <w:instrText xml:space="preserve"> PAGEREF _Toc241555915 \h </w:instrText>
      </w:r>
      <w:r>
        <w:fldChar w:fldCharType="separate"/>
      </w:r>
      <w:r>
        <w:t>13</w:t>
      </w:r>
      <w:r>
        <w:fldChar w:fldCharType="end"/>
      </w:r>
    </w:p>
    <w:p>
      <w:pPr>
        <w:pStyle w:val="TOC8"/>
        <w:rPr>
          <w:sz w:val="24"/>
          <w:szCs w:val="24"/>
        </w:rPr>
      </w:pPr>
      <w:r>
        <w:rPr>
          <w:sz w:val="24"/>
          <w:szCs w:val="22"/>
        </w:rPr>
        <w:t>2.3</w:t>
      </w:r>
      <w:r>
        <w:rPr>
          <w:sz w:val="24"/>
          <w:szCs w:val="22"/>
        </w:rPr>
        <w:tab/>
        <w:t>Proposed amenities and services</w:t>
      </w:r>
      <w:r>
        <w:tab/>
      </w:r>
      <w:r>
        <w:fldChar w:fldCharType="begin"/>
      </w:r>
      <w:r>
        <w:instrText xml:space="preserve"> PAGEREF _Toc241555916 \h </w:instrText>
      </w:r>
      <w:r>
        <w:fldChar w:fldCharType="separate"/>
      </w:r>
      <w:r>
        <w:t>13</w:t>
      </w:r>
      <w:r>
        <w:fldChar w:fldCharType="end"/>
      </w:r>
    </w:p>
    <w:p>
      <w:pPr>
        <w:pStyle w:val="TOC8"/>
        <w:rPr>
          <w:sz w:val="24"/>
          <w:szCs w:val="24"/>
        </w:rPr>
      </w:pPr>
      <w:r>
        <w:rPr>
          <w:sz w:val="24"/>
          <w:szCs w:val="22"/>
        </w:rPr>
        <w:t>2.4</w:t>
      </w:r>
      <w:r>
        <w:rPr>
          <w:sz w:val="24"/>
          <w:szCs w:val="22"/>
        </w:rPr>
        <w:tab/>
        <w:t>Approvals for facilities that provide residential aged care services</w:t>
      </w:r>
      <w:r>
        <w:tab/>
      </w:r>
      <w:r>
        <w:fldChar w:fldCharType="begin"/>
      </w:r>
      <w:r>
        <w:instrText xml:space="preserve"> PAGEREF _Toc241555917 \h </w:instrText>
      </w:r>
      <w:r>
        <w:fldChar w:fldCharType="separate"/>
      </w:r>
      <w:r>
        <w:t>14</w:t>
      </w:r>
      <w:r>
        <w:fldChar w:fldCharType="end"/>
      </w:r>
    </w:p>
    <w:p>
      <w:pPr>
        <w:pStyle w:val="TOC8"/>
        <w:rPr>
          <w:sz w:val="24"/>
          <w:szCs w:val="24"/>
        </w:rPr>
      </w:pPr>
      <w:r>
        <w:rPr>
          <w:sz w:val="24"/>
          <w:szCs w:val="22"/>
        </w:rPr>
        <w:t>2.5</w:t>
      </w:r>
      <w:r>
        <w:rPr>
          <w:szCs w:val="22"/>
        </w:rPr>
        <w:tab/>
      </w:r>
      <w:r>
        <w:rPr>
          <w:sz w:val="24"/>
          <w:szCs w:val="22"/>
        </w:rPr>
        <w:t>Access to residential aged care services</w:t>
      </w:r>
      <w:r>
        <w:tab/>
      </w:r>
      <w:r>
        <w:fldChar w:fldCharType="begin"/>
      </w:r>
      <w:r>
        <w:instrText xml:space="preserve"> PAGEREF _Toc241555918 \h </w:instrText>
      </w:r>
      <w:r>
        <w:fldChar w:fldCharType="separate"/>
      </w:r>
      <w:r>
        <w:t>14</w:t>
      </w:r>
      <w:r>
        <w:fldChar w:fldCharType="end"/>
      </w:r>
    </w:p>
    <w:p>
      <w:pPr>
        <w:pStyle w:val="TOC4"/>
        <w:tabs>
          <w:tab w:val="right" w:leader="dot" w:pos="7086"/>
        </w:tabs>
        <w:rPr>
          <w:b w:val="0"/>
          <w:sz w:val="24"/>
          <w:szCs w:val="24"/>
        </w:rPr>
      </w:pPr>
      <w:r>
        <w:rPr>
          <w:szCs w:val="24"/>
        </w:rPr>
        <w:t>Division 3 — Prospective resident’s right to information before entering into a residence contract or service contract</w:t>
      </w:r>
    </w:p>
    <w:p>
      <w:pPr>
        <w:pStyle w:val="TOC8"/>
        <w:rPr>
          <w:sz w:val="24"/>
          <w:szCs w:val="24"/>
        </w:rPr>
      </w:pPr>
      <w:r>
        <w:rPr>
          <w:sz w:val="24"/>
          <w:szCs w:val="22"/>
        </w:rPr>
        <w:t>3.1</w:t>
      </w:r>
      <w:r>
        <w:rPr>
          <w:szCs w:val="22"/>
        </w:rPr>
        <w:tab/>
      </w:r>
      <w:r>
        <w:rPr>
          <w:sz w:val="24"/>
          <w:szCs w:val="22"/>
        </w:rPr>
        <w:t>Before entering into a residence contract</w:t>
      </w:r>
      <w:r>
        <w:tab/>
      </w:r>
      <w:r>
        <w:fldChar w:fldCharType="begin"/>
      </w:r>
      <w:r>
        <w:instrText xml:space="preserve"> PAGEREF _Toc241555920 \h </w:instrText>
      </w:r>
      <w:r>
        <w:fldChar w:fldCharType="separate"/>
      </w:r>
      <w:r>
        <w:t>15</w:t>
      </w:r>
      <w:r>
        <w:fldChar w:fldCharType="end"/>
      </w:r>
    </w:p>
    <w:p>
      <w:pPr>
        <w:pStyle w:val="TOC8"/>
        <w:rPr>
          <w:sz w:val="24"/>
          <w:szCs w:val="24"/>
        </w:rPr>
      </w:pPr>
      <w:r>
        <w:rPr>
          <w:sz w:val="24"/>
          <w:szCs w:val="22"/>
        </w:rPr>
        <w:t>3.2</w:t>
      </w:r>
      <w:r>
        <w:rPr>
          <w:sz w:val="24"/>
          <w:szCs w:val="22"/>
        </w:rPr>
        <w:tab/>
        <w:t>Before entering into a service contract</w:t>
      </w:r>
      <w:r>
        <w:tab/>
      </w:r>
      <w:r>
        <w:fldChar w:fldCharType="begin"/>
      </w:r>
      <w:r>
        <w:instrText xml:space="preserve"> PAGEREF _Toc241555921 \h </w:instrText>
      </w:r>
      <w:r>
        <w:fldChar w:fldCharType="separate"/>
      </w:r>
      <w:r>
        <w:t>16</w:t>
      </w:r>
      <w:r>
        <w:fldChar w:fldCharType="end"/>
      </w:r>
    </w:p>
    <w:p>
      <w:pPr>
        <w:pStyle w:val="TOC4"/>
        <w:tabs>
          <w:tab w:val="right" w:leader="dot" w:pos="7086"/>
        </w:tabs>
        <w:rPr>
          <w:b w:val="0"/>
          <w:sz w:val="24"/>
          <w:szCs w:val="24"/>
        </w:rPr>
      </w:pPr>
      <w:r>
        <w:rPr>
          <w:szCs w:val="24"/>
        </w:rPr>
        <w:t>Division 4 — Residence contract and service contract</w:t>
      </w:r>
    </w:p>
    <w:p>
      <w:pPr>
        <w:pStyle w:val="TOC8"/>
        <w:rPr>
          <w:sz w:val="24"/>
          <w:szCs w:val="24"/>
        </w:rPr>
      </w:pPr>
      <w:r>
        <w:rPr>
          <w:sz w:val="24"/>
          <w:szCs w:val="22"/>
        </w:rPr>
        <w:t>4.1</w:t>
      </w:r>
      <w:r>
        <w:rPr>
          <w:sz w:val="24"/>
          <w:szCs w:val="22"/>
        </w:rPr>
        <w:tab/>
        <w:t>Legibility and presentation requirements</w:t>
      </w:r>
      <w:r>
        <w:tab/>
      </w:r>
      <w:r>
        <w:fldChar w:fldCharType="begin"/>
      </w:r>
      <w:r>
        <w:instrText xml:space="preserve"> PAGEREF _Toc241555923 \h </w:instrText>
      </w:r>
      <w:r>
        <w:fldChar w:fldCharType="separate"/>
      </w:r>
      <w:r>
        <w:t>18</w:t>
      </w:r>
      <w:r>
        <w:fldChar w:fldCharType="end"/>
      </w:r>
    </w:p>
    <w:p>
      <w:pPr>
        <w:pStyle w:val="TOC8"/>
        <w:rPr>
          <w:sz w:val="24"/>
          <w:szCs w:val="24"/>
        </w:rPr>
      </w:pPr>
      <w:r>
        <w:rPr>
          <w:sz w:val="24"/>
          <w:szCs w:val="22"/>
        </w:rPr>
        <w:t>4.2</w:t>
      </w:r>
      <w:r>
        <w:rPr>
          <w:sz w:val="24"/>
          <w:szCs w:val="22"/>
        </w:rPr>
        <w:tab/>
        <w:t>Title and tenure</w:t>
      </w:r>
      <w:r>
        <w:tab/>
      </w:r>
      <w:r>
        <w:fldChar w:fldCharType="begin"/>
      </w:r>
      <w:r>
        <w:instrText xml:space="preserve"> PAGEREF _Toc241555924 \h </w:instrText>
      </w:r>
      <w:r>
        <w:fldChar w:fldCharType="separate"/>
      </w:r>
      <w:r>
        <w:t>19</w:t>
      </w:r>
      <w:r>
        <w:fldChar w:fldCharType="end"/>
      </w:r>
    </w:p>
    <w:p>
      <w:pPr>
        <w:pStyle w:val="TOC8"/>
        <w:rPr>
          <w:sz w:val="24"/>
          <w:szCs w:val="24"/>
        </w:rPr>
      </w:pPr>
      <w:r>
        <w:rPr>
          <w:sz w:val="24"/>
          <w:szCs w:val="22"/>
        </w:rPr>
        <w:t>4.3</w:t>
      </w:r>
      <w:r>
        <w:rPr>
          <w:szCs w:val="22"/>
        </w:rPr>
        <w:tab/>
      </w:r>
      <w:r>
        <w:rPr>
          <w:sz w:val="24"/>
          <w:szCs w:val="22"/>
        </w:rPr>
        <w:t>Residential premises</w:t>
      </w:r>
      <w:r>
        <w:tab/>
      </w:r>
      <w:r>
        <w:fldChar w:fldCharType="begin"/>
      </w:r>
      <w:r>
        <w:instrText xml:space="preserve"> PAGEREF _Toc241555925 \h </w:instrText>
      </w:r>
      <w:r>
        <w:fldChar w:fldCharType="separate"/>
      </w:r>
      <w:r>
        <w:t>19</w:t>
      </w:r>
      <w:r>
        <w:fldChar w:fldCharType="end"/>
      </w:r>
    </w:p>
    <w:p>
      <w:pPr>
        <w:pStyle w:val="TOC8"/>
        <w:rPr>
          <w:sz w:val="24"/>
          <w:szCs w:val="24"/>
        </w:rPr>
      </w:pPr>
      <w:r>
        <w:rPr>
          <w:sz w:val="24"/>
          <w:szCs w:val="22"/>
        </w:rPr>
        <w:t>4.4</w:t>
      </w:r>
      <w:r>
        <w:rPr>
          <w:szCs w:val="22"/>
        </w:rPr>
        <w:tab/>
      </w:r>
      <w:r>
        <w:rPr>
          <w:sz w:val="24"/>
          <w:szCs w:val="22"/>
        </w:rPr>
        <w:t>Amenities</w:t>
      </w:r>
      <w:r>
        <w:tab/>
      </w:r>
      <w:r>
        <w:fldChar w:fldCharType="begin"/>
      </w:r>
      <w:r>
        <w:instrText xml:space="preserve"> PAGEREF _Toc241555926 \h </w:instrText>
      </w:r>
      <w:r>
        <w:fldChar w:fldCharType="separate"/>
      </w:r>
      <w:r>
        <w:t>20</w:t>
      </w:r>
      <w:r>
        <w:fldChar w:fldCharType="end"/>
      </w:r>
    </w:p>
    <w:p>
      <w:pPr>
        <w:pStyle w:val="TOC8"/>
        <w:rPr>
          <w:sz w:val="24"/>
          <w:szCs w:val="24"/>
        </w:rPr>
      </w:pPr>
      <w:r>
        <w:rPr>
          <w:sz w:val="24"/>
          <w:szCs w:val="22"/>
        </w:rPr>
        <w:t>4.5</w:t>
      </w:r>
      <w:r>
        <w:rPr>
          <w:szCs w:val="22"/>
        </w:rPr>
        <w:tab/>
      </w:r>
      <w:r>
        <w:rPr>
          <w:sz w:val="24"/>
          <w:szCs w:val="22"/>
        </w:rPr>
        <w:t>Services</w:t>
      </w:r>
      <w:r>
        <w:tab/>
      </w:r>
      <w:r>
        <w:fldChar w:fldCharType="begin"/>
      </w:r>
      <w:r>
        <w:instrText xml:space="preserve"> PAGEREF _Toc241555927 \h </w:instrText>
      </w:r>
      <w:r>
        <w:fldChar w:fldCharType="separate"/>
      </w:r>
      <w:r>
        <w:t>20</w:t>
      </w:r>
      <w:r>
        <w:fldChar w:fldCharType="end"/>
      </w:r>
    </w:p>
    <w:p>
      <w:pPr>
        <w:pStyle w:val="TOC8"/>
        <w:rPr>
          <w:sz w:val="24"/>
          <w:szCs w:val="24"/>
        </w:rPr>
      </w:pPr>
      <w:r>
        <w:rPr>
          <w:sz w:val="24"/>
          <w:szCs w:val="22"/>
        </w:rPr>
        <w:t>4.6</w:t>
      </w:r>
      <w:r>
        <w:rPr>
          <w:szCs w:val="22"/>
        </w:rPr>
        <w:tab/>
      </w:r>
      <w:r>
        <w:rPr>
          <w:sz w:val="24"/>
          <w:szCs w:val="22"/>
        </w:rPr>
        <w:t>Payment of premium and refund entitlement</w:t>
      </w:r>
      <w:r>
        <w:tab/>
      </w:r>
      <w:r>
        <w:fldChar w:fldCharType="begin"/>
      </w:r>
      <w:r>
        <w:instrText xml:space="preserve"> PAGEREF _Toc241555928 \h </w:instrText>
      </w:r>
      <w:r>
        <w:fldChar w:fldCharType="separate"/>
      </w:r>
      <w:r>
        <w:t>21</w:t>
      </w:r>
      <w:r>
        <w:fldChar w:fldCharType="end"/>
      </w:r>
    </w:p>
    <w:p>
      <w:pPr>
        <w:pStyle w:val="TOC8"/>
        <w:rPr>
          <w:sz w:val="24"/>
          <w:szCs w:val="24"/>
        </w:rPr>
      </w:pPr>
      <w:r>
        <w:rPr>
          <w:sz w:val="24"/>
          <w:szCs w:val="22"/>
        </w:rPr>
        <w:t>4.7</w:t>
      </w:r>
      <w:r>
        <w:rPr>
          <w:szCs w:val="22"/>
        </w:rPr>
        <w:tab/>
      </w:r>
      <w:r>
        <w:rPr>
          <w:sz w:val="24"/>
          <w:szCs w:val="22"/>
        </w:rPr>
        <w:t>Charges for village operating costs</w:t>
      </w:r>
      <w:r>
        <w:tab/>
      </w:r>
      <w:r>
        <w:fldChar w:fldCharType="begin"/>
      </w:r>
      <w:r>
        <w:instrText xml:space="preserve"> PAGEREF _Toc241555929 \h </w:instrText>
      </w:r>
      <w:r>
        <w:fldChar w:fldCharType="separate"/>
      </w:r>
      <w:r>
        <w:t>22</w:t>
      </w:r>
      <w:r>
        <w:fldChar w:fldCharType="end"/>
      </w:r>
    </w:p>
    <w:p>
      <w:pPr>
        <w:pStyle w:val="TOC8"/>
        <w:rPr>
          <w:sz w:val="24"/>
          <w:szCs w:val="24"/>
        </w:rPr>
      </w:pPr>
      <w:r>
        <w:rPr>
          <w:sz w:val="24"/>
          <w:szCs w:val="22"/>
        </w:rPr>
        <w:t>4.8</w:t>
      </w:r>
      <w:r>
        <w:rPr>
          <w:szCs w:val="22"/>
        </w:rPr>
        <w:tab/>
      </w:r>
      <w:r>
        <w:rPr>
          <w:sz w:val="24"/>
          <w:szCs w:val="22"/>
        </w:rPr>
        <w:t>Reserve funds</w:t>
      </w:r>
      <w:r>
        <w:tab/>
      </w:r>
      <w:r>
        <w:fldChar w:fldCharType="begin"/>
      </w:r>
      <w:r>
        <w:instrText xml:space="preserve"> PAGEREF _Toc241555930 \h </w:instrText>
      </w:r>
      <w:r>
        <w:fldChar w:fldCharType="separate"/>
      </w:r>
      <w:r>
        <w:t>22</w:t>
      </w:r>
      <w:r>
        <w:fldChar w:fldCharType="end"/>
      </w:r>
    </w:p>
    <w:p>
      <w:pPr>
        <w:pStyle w:val="TOC8"/>
        <w:rPr>
          <w:sz w:val="24"/>
          <w:szCs w:val="24"/>
        </w:rPr>
      </w:pPr>
      <w:r>
        <w:rPr>
          <w:sz w:val="24"/>
          <w:szCs w:val="22"/>
        </w:rPr>
        <w:t>4.9</w:t>
      </w:r>
      <w:r>
        <w:rPr>
          <w:szCs w:val="22"/>
        </w:rPr>
        <w:tab/>
      </w:r>
      <w:r>
        <w:rPr>
          <w:sz w:val="24"/>
          <w:szCs w:val="22"/>
        </w:rPr>
        <w:t>Relocation</w:t>
      </w:r>
      <w:r>
        <w:tab/>
      </w:r>
      <w:r>
        <w:fldChar w:fldCharType="begin"/>
      </w:r>
      <w:r>
        <w:instrText xml:space="preserve"> PAGEREF _Toc241555931 \h </w:instrText>
      </w:r>
      <w:r>
        <w:fldChar w:fldCharType="separate"/>
      </w:r>
      <w:r>
        <w:t>23</w:t>
      </w:r>
      <w:r>
        <w:fldChar w:fldCharType="end"/>
      </w:r>
    </w:p>
    <w:p>
      <w:pPr>
        <w:pStyle w:val="TOC8"/>
        <w:rPr>
          <w:sz w:val="24"/>
          <w:szCs w:val="24"/>
        </w:rPr>
      </w:pPr>
      <w:r>
        <w:rPr>
          <w:sz w:val="24"/>
          <w:szCs w:val="22"/>
        </w:rPr>
        <w:t>4.10</w:t>
      </w:r>
      <w:r>
        <w:rPr>
          <w:szCs w:val="22"/>
        </w:rPr>
        <w:tab/>
      </w:r>
      <w:r>
        <w:rPr>
          <w:sz w:val="24"/>
          <w:szCs w:val="22"/>
        </w:rPr>
        <w:t>Termination of residence contract and fees payable on termination</w:t>
      </w:r>
      <w:r>
        <w:tab/>
      </w:r>
      <w:r>
        <w:fldChar w:fldCharType="begin"/>
      </w:r>
      <w:r>
        <w:instrText xml:space="preserve"> PAGEREF _Toc241555932 \h </w:instrText>
      </w:r>
      <w:r>
        <w:fldChar w:fldCharType="separate"/>
      </w:r>
      <w:r>
        <w:t>23</w:t>
      </w:r>
      <w:r>
        <w:fldChar w:fldCharType="end"/>
      </w:r>
    </w:p>
    <w:p>
      <w:pPr>
        <w:pStyle w:val="TOC8"/>
        <w:rPr>
          <w:sz w:val="24"/>
          <w:szCs w:val="24"/>
        </w:rPr>
      </w:pPr>
      <w:r>
        <w:rPr>
          <w:sz w:val="24"/>
          <w:szCs w:val="22"/>
        </w:rPr>
        <w:t>4.11</w:t>
      </w:r>
      <w:r>
        <w:rPr>
          <w:sz w:val="24"/>
          <w:szCs w:val="22"/>
        </w:rPr>
        <w:tab/>
        <w:t>Residence contract to refer to this Code and the Retirement Villages Act 1992</w:t>
      </w:r>
      <w:r>
        <w:tab/>
      </w:r>
      <w:r>
        <w:fldChar w:fldCharType="begin"/>
      </w:r>
      <w:r>
        <w:instrText xml:space="preserve"> PAGEREF _Toc241555933 \h </w:instrText>
      </w:r>
      <w:r>
        <w:fldChar w:fldCharType="separate"/>
      </w:r>
      <w:r>
        <w:t>24</w:t>
      </w:r>
      <w:r>
        <w:fldChar w:fldCharType="end"/>
      </w:r>
    </w:p>
    <w:p>
      <w:pPr>
        <w:pStyle w:val="TOC4"/>
        <w:tabs>
          <w:tab w:val="right" w:leader="dot" w:pos="7086"/>
        </w:tabs>
        <w:rPr>
          <w:b w:val="0"/>
          <w:sz w:val="24"/>
          <w:szCs w:val="24"/>
        </w:rPr>
      </w:pPr>
      <w:r>
        <w:rPr>
          <w:szCs w:val="24"/>
        </w:rPr>
        <w:t>Division 5 — Village management</w:t>
      </w:r>
    </w:p>
    <w:p>
      <w:pPr>
        <w:pStyle w:val="TOC8"/>
        <w:rPr>
          <w:sz w:val="24"/>
          <w:szCs w:val="24"/>
        </w:rPr>
      </w:pPr>
      <w:r>
        <w:rPr>
          <w:sz w:val="24"/>
          <w:szCs w:val="22"/>
        </w:rPr>
        <w:t>5.1</w:t>
      </w:r>
      <w:r>
        <w:rPr>
          <w:szCs w:val="22"/>
        </w:rPr>
        <w:tab/>
      </w:r>
      <w:r>
        <w:rPr>
          <w:sz w:val="24"/>
          <w:szCs w:val="22"/>
        </w:rPr>
        <w:t>Interpretation</w:t>
      </w:r>
      <w:r>
        <w:tab/>
      </w:r>
      <w:r>
        <w:fldChar w:fldCharType="begin"/>
      </w:r>
      <w:r>
        <w:instrText xml:space="preserve"> PAGEREF _Toc241555935 \h </w:instrText>
      </w:r>
      <w:r>
        <w:fldChar w:fldCharType="separate"/>
      </w:r>
      <w:r>
        <w:t>26</w:t>
      </w:r>
      <w:r>
        <w:fldChar w:fldCharType="end"/>
      </w:r>
    </w:p>
    <w:p>
      <w:pPr>
        <w:pStyle w:val="TOC8"/>
        <w:rPr>
          <w:sz w:val="24"/>
          <w:szCs w:val="24"/>
        </w:rPr>
      </w:pPr>
      <w:r>
        <w:rPr>
          <w:sz w:val="24"/>
          <w:szCs w:val="22"/>
        </w:rPr>
        <w:t>5.2</w:t>
      </w:r>
      <w:r>
        <w:rPr>
          <w:szCs w:val="22"/>
        </w:rPr>
        <w:tab/>
      </w:r>
      <w:r>
        <w:rPr>
          <w:sz w:val="24"/>
          <w:szCs w:val="22"/>
        </w:rPr>
        <w:t>Management procedures and resident consultation</w:t>
      </w:r>
      <w:r>
        <w:tab/>
      </w:r>
      <w:r>
        <w:fldChar w:fldCharType="begin"/>
      </w:r>
      <w:r>
        <w:instrText xml:space="preserve"> PAGEREF _Toc241555936 \h </w:instrText>
      </w:r>
      <w:r>
        <w:fldChar w:fldCharType="separate"/>
      </w:r>
      <w:r>
        <w:t>27</w:t>
      </w:r>
      <w:r>
        <w:fldChar w:fldCharType="end"/>
      </w:r>
    </w:p>
    <w:p>
      <w:pPr>
        <w:pStyle w:val="TOC8"/>
        <w:rPr>
          <w:sz w:val="24"/>
          <w:szCs w:val="24"/>
        </w:rPr>
      </w:pPr>
      <w:r>
        <w:rPr>
          <w:sz w:val="24"/>
          <w:szCs w:val="22"/>
        </w:rPr>
        <w:t>5.3</w:t>
      </w:r>
      <w:r>
        <w:rPr>
          <w:szCs w:val="22"/>
        </w:rPr>
        <w:tab/>
      </w:r>
      <w:r>
        <w:rPr>
          <w:sz w:val="24"/>
          <w:szCs w:val="22"/>
        </w:rPr>
        <w:t>Village operating budget</w:t>
      </w:r>
      <w:r>
        <w:tab/>
      </w:r>
      <w:r>
        <w:fldChar w:fldCharType="begin"/>
      </w:r>
      <w:r>
        <w:instrText xml:space="preserve"> PAGEREF _Toc241555937 \h </w:instrText>
      </w:r>
      <w:r>
        <w:fldChar w:fldCharType="separate"/>
      </w:r>
      <w:r>
        <w:t>28</w:t>
      </w:r>
      <w:r>
        <w:fldChar w:fldCharType="end"/>
      </w:r>
    </w:p>
    <w:p>
      <w:pPr>
        <w:pStyle w:val="TOC8"/>
        <w:rPr>
          <w:sz w:val="24"/>
          <w:szCs w:val="24"/>
        </w:rPr>
      </w:pPr>
      <w:r>
        <w:rPr>
          <w:sz w:val="24"/>
          <w:szCs w:val="22"/>
        </w:rPr>
        <w:t>5.4</w:t>
      </w:r>
      <w:r>
        <w:rPr>
          <w:szCs w:val="22"/>
        </w:rPr>
        <w:tab/>
      </w:r>
      <w:r>
        <w:rPr>
          <w:sz w:val="24"/>
          <w:szCs w:val="22"/>
        </w:rPr>
        <w:t>Quarterly operating income and expenditure statements</w:t>
      </w:r>
      <w:r>
        <w:tab/>
      </w:r>
      <w:r>
        <w:fldChar w:fldCharType="begin"/>
      </w:r>
      <w:r>
        <w:instrText xml:space="preserve"> PAGEREF _Toc241555938 \h </w:instrText>
      </w:r>
      <w:r>
        <w:fldChar w:fldCharType="separate"/>
      </w:r>
      <w:r>
        <w:t>30</w:t>
      </w:r>
      <w:r>
        <w:fldChar w:fldCharType="end"/>
      </w:r>
    </w:p>
    <w:p>
      <w:pPr>
        <w:pStyle w:val="TOC8"/>
        <w:rPr>
          <w:sz w:val="24"/>
          <w:szCs w:val="24"/>
        </w:rPr>
      </w:pPr>
      <w:r>
        <w:rPr>
          <w:sz w:val="24"/>
          <w:szCs w:val="22"/>
        </w:rPr>
        <w:t>5.5</w:t>
      </w:r>
      <w:r>
        <w:rPr>
          <w:szCs w:val="22"/>
        </w:rPr>
        <w:tab/>
      </w:r>
      <w:r>
        <w:rPr>
          <w:sz w:val="24"/>
          <w:szCs w:val="22"/>
        </w:rPr>
        <w:t>Annual accounts</w:t>
      </w:r>
      <w:r>
        <w:tab/>
      </w:r>
      <w:r>
        <w:fldChar w:fldCharType="begin"/>
      </w:r>
      <w:r>
        <w:instrText xml:space="preserve"> PAGEREF _Toc241555939 \h </w:instrText>
      </w:r>
      <w:r>
        <w:fldChar w:fldCharType="separate"/>
      </w:r>
      <w:r>
        <w:t>30</w:t>
      </w:r>
      <w:r>
        <w:fldChar w:fldCharType="end"/>
      </w:r>
    </w:p>
    <w:p>
      <w:pPr>
        <w:pStyle w:val="TOC8"/>
        <w:rPr>
          <w:sz w:val="24"/>
          <w:szCs w:val="24"/>
        </w:rPr>
      </w:pPr>
      <w:r>
        <w:rPr>
          <w:sz w:val="24"/>
          <w:szCs w:val="22"/>
        </w:rPr>
        <w:t>5.6</w:t>
      </w:r>
      <w:r>
        <w:rPr>
          <w:szCs w:val="22"/>
        </w:rPr>
        <w:tab/>
      </w:r>
      <w:r>
        <w:rPr>
          <w:sz w:val="24"/>
          <w:szCs w:val="22"/>
        </w:rPr>
        <w:t>Budget surplus</w:t>
      </w:r>
      <w:r>
        <w:tab/>
      </w:r>
      <w:r>
        <w:fldChar w:fldCharType="begin"/>
      </w:r>
      <w:r>
        <w:instrText xml:space="preserve"> PAGEREF _Toc241555940 \h </w:instrText>
      </w:r>
      <w:r>
        <w:fldChar w:fldCharType="separate"/>
      </w:r>
      <w:r>
        <w:t>31</w:t>
      </w:r>
      <w:r>
        <w:fldChar w:fldCharType="end"/>
      </w:r>
    </w:p>
    <w:p>
      <w:pPr>
        <w:pStyle w:val="TOC8"/>
        <w:rPr>
          <w:sz w:val="24"/>
          <w:szCs w:val="24"/>
        </w:rPr>
      </w:pPr>
      <w:r>
        <w:rPr>
          <w:sz w:val="24"/>
          <w:szCs w:val="22"/>
        </w:rPr>
        <w:t>5.7</w:t>
      </w:r>
      <w:r>
        <w:rPr>
          <w:szCs w:val="22"/>
        </w:rPr>
        <w:tab/>
      </w:r>
      <w:r>
        <w:rPr>
          <w:sz w:val="24"/>
          <w:szCs w:val="22"/>
        </w:rPr>
        <w:t>Marketing of residential premises</w:t>
      </w:r>
      <w:r>
        <w:tab/>
      </w:r>
      <w:r>
        <w:fldChar w:fldCharType="begin"/>
      </w:r>
      <w:r>
        <w:instrText xml:space="preserve"> PAGEREF _Toc241555941 \h </w:instrText>
      </w:r>
      <w:r>
        <w:fldChar w:fldCharType="separate"/>
      </w:r>
      <w:r>
        <w:t>31</w:t>
      </w:r>
      <w:r>
        <w:fldChar w:fldCharType="end"/>
      </w:r>
    </w:p>
    <w:p>
      <w:pPr>
        <w:pStyle w:val="TOC8"/>
        <w:rPr>
          <w:sz w:val="24"/>
          <w:szCs w:val="24"/>
        </w:rPr>
      </w:pPr>
      <w:r>
        <w:rPr>
          <w:sz w:val="24"/>
          <w:szCs w:val="22"/>
        </w:rPr>
        <w:t>5.8</w:t>
      </w:r>
      <w:r>
        <w:rPr>
          <w:szCs w:val="22"/>
        </w:rPr>
        <w:tab/>
      </w:r>
      <w:r>
        <w:rPr>
          <w:sz w:val="24"/>
          <w:szCs w:val="22"/>
        </w:rPr>
        <w:t>Repair and refurbishment of residential premises</w:t>
      </w:r>
      <w:r>
        <w:tab/>
      </w:r>
      <w:r>
        <w:fldChar w:fldCharType="begin"/>
      </w:r>
      <w:r>
        <w:instrText xml:space="preserve"> PAGEREF _Toc241555942 \h </w:instrText>
      </w:r>
      <w:r>
        <w:fldChar w:fldCharType="separate"/>
      </w:r>
      <w:r>
        <w:t>32</w:t>
      </w:r>
      <w:r>
        <w:fldChar w:fldCharType="end"/>
      </w:r>
    </w:p>
    <w:p>
      <w:pPr>
        <w:pStyle w:val="TOC8"/>
        <w:rPr>
          <w:sz w:val="24"/>
          <w:szCs w:val="24"/>
        </w:rPr>
      </w:pPr>
      <w:r>
        <w:rPr>
          <w:sz w:val="24"/>
          <w:szCs w:val="22"/>
        </w:rPr>
        <w:t>5.9</w:t>
      </w:r>
      <w:r>
        <w:rPr>
          <w:szCs w:val="22"/>
        </w:rPr>
        <w:tab/>
      </w:r>
      <w:r>
        <w:rPr>
          <w:sz w:val="24"/>
          <w:szCs w:val="22"/>
        </w:rPr>
        <w:t>Residence rules</w:t>
      </w:r>
      <w:r>
        <w:tab/>
      </w:r>
      <w:r>
        <w:fldChar w:fldCharType="begin"/>
      </w:r>
      <w:r>
        <w:instrText xml:space="preserve"> PAGEREF _Toc241555943 \h </w:instrText>
      </w:r>
      <w:r>
        <w:fldChar w:fldCharType="separate"/>
      </w:r>
      <w:r>
        <w:t>32</w:t>
      </w:r>
      <w:r>
        <w:fldChar w:fldCharType="end"/>
      </w:r>
    </w:p>
    <w:p>
      <w:pPr>
        <w:pStyle w:val="TOC8"/>
        <w:rPr>
          <w:sz w:val="24"/>
          <w:szCs w:val="24"/>
        </w:rPr>
      </w:pPr>
      <w:r>
        <w:rPr>
          <w:sz w:val="24"/>
          <w:szCs w:val="22"/>
        </w:rPr>
        <w:t>5.10</w:t>
      </w:r>
      <w:r>
        <w:rPr>
          <w:szCs w:val="22"/>
        </w:rPr>
        <w:tab/>
      </w:r>
      <w:r>
        <w:rPr>
          <w:sz w:val="24"/>
          <w:szCs w:val="22"/>
        </w:rPr>
        <w:t>Residents’ committee</w:t>
      </w:r>
      <w:r>
        <w:tab/>
      </w:r>
      <w:r>
        <w:fldChar w:fldCharType="begin"/>
      </w:r>
      <w:r>
        <w:instrText xml:space="preserve"> PAGEREF _Toc241555944 \h </w:instrText>
      </w:r>
      <w:r>
        <w:fldChar w:fldCharType="separate"/>
      </w:r>
      <w:r>
        <w:t>33</w:t>
      </w:r>
      <w:r>
        <w:fldChar w:fldCharType="end"/>
      </w:r>
    </w:p>
    <w:p>
      <w:pPr>
        <w:pStyle w:val="TOC8"/>
        <w:rPr>
          <w:sz w:val="24"/>
          <w:szCs w:val="24"/>
        </w:rPr>
      </w:pPr>
      <w:r>
        <w:rPr>
          <w:sz w:val="24"/>
          <w:szCs w:val="22"/>
        </w:rPr>
        <w:t>5.11</w:t>
      </w:r>
      <w:r>
        <w:rPr>
          <w:szCs w:val="22"/>
        </w:rPr>
        <w:tab/>
      </w:r>
      <w:r>
        <w:rPr>
          <w:sz w:val="24"/>
          <w:szCs w:val="22"/>
        </w:rPr>
        <w:t>Residents’ meetings</w:t>
      </w:r>
      <w:r>
        <w:tab/>
      </w:r>
      <w:r>
        <w:fldChar w:fldCharType="begin"/>
      </w:r>
      <w:r>
        <w:instrText xml:space="preserve"> PAGEREF _Toc241555945 \h </w:instrText>
      </w:r>
      <w:r>
        <w:fldChar w:fldCharType="separate"/>
      </w:r>
      <w:r>
        <w:t>34</w:t>
      </w:r>
      <w:r>
        <w:fldChar w:fldCharType="end"/>
      </w:r>
    </w:p>
    <w:p>
      <w:pPr>
        <w:pStyle w:val="TOC8"/>
        <w:rPr>
          <w:sz w:val="24"/>
          <w:szCs w:val="24"/>
        </w:rPr>
      </w:pPr>
      <w:r>
        <w:rPr>
          <w:sz w:val="24"/>
          <w:szCs w:val="22"/>
        </w:rPr>
        <w:t>5.12</w:t>
      </w:r>
      <w:r>
        <w:rPr>
          <w:szCs w:val="22"/>
        </w:rPr>
        <w:tab/>
      </w:r>
      <w:r>
        <w:rPr>
          <w:sz w:val="24"/>
          <w:szCs w:val="22"/>
        </w:rPr>
        <w:t>Proxy voting</w:t>
      </w:r>
      <w:r>
        <w:tab/>
      </w:r>
      <w:r>
        <w:fldChar w:fldCharType="begin"/>
      </w:r>
      <w:r>
        <w:instrText xml:space="preserve"> PAGEREF _Toc241555946 \h </w:instrText>
      </w:r>
      <w:r>
        <w:fldChar w:fldCharType="separate"/>
      </w:r>
      <w:r>
        <w:t>36</w:t>
      </w:r>
      <w:r>
        <w:fldChar w:fldCharType="end"/>
      </w:r>
    </w:p>
    <w:p>
      <w:pPr>
        <w:pStyle w:val="TOC4"/>
        <w:tabs>
          <w:tab w:val="right" w:leader="dot" w:pos="7086"/>
        </w:tabs>
        <w:rPr>
          <w:b w:val="0"/>
          <w:sz w:val="24"/>
          <w:szCs w:val="24"/>
        </w:rPr>
      </w:pPr>
      <w:r>
        <w:rPr>
          <w:szCs w:val="24"/>
        </w:rPr>
        <w:t>Division 6 — Dispute resolution</w:t>
      </w:r>
    </w:p>
    <w:p>
      <w:pPr>
        <w:pStyle w:val="TOC8"/>
        <w:rPr>
          <w:sz w:val="24"/>
          <w:szCs w:val="24"/>
        </w:rPr>
      </w:pPr>
      <w:r>
        <w:rPr>
          <w:sz w:val="24"/>
          <w:szCs w:val="22"/>
        </w:rPr>
        <w:t>6.1</w:t>
      </w:r>
      <w:r>
        <w:rPr>
          <w:szCs w:val="22"/>
        </w:rPr>
        <w:tab/>
      </w:r>
      <w:r>
        <w:rPr>
          <w:sz w:val="24"/>
          <w:szCs w:val="22"/>
        </w:rPr>
        <w:t>Interpretation</w:t>
      </w:r>
      <w:r>
        <w:tab/>
      </w:r>
      <w:r>
        <w:fldChar w:fldCharType="begin"/>
      </w:r>
      <w:r>
        <w:instrText xml:space="preserve"> PAGEREF _Toc241555948 \h </w:instrText>
      </w:r>
      <w:r>
        <w:fldChar w:fldCharType="separate"/>
      </w:r>
      <w:r>
        <w:t>38</w:t>
      </w:r>
      <w:r>
        <w:fldChar w:fldCharType="end"/>
      </w:r>
    </w:p>
    <w:p>
      <w:pPr>
        <w:pStyle w:val="TOC8"/>
        <w:rPr>
          <w:sz w:val="24"/>
          <w:szCs w:val="24"/>
        </w:rPr>
      </w:pPr>
      <w:r>
        <w:rPr>
          <w:sz w:val="24"/>
          <w:szCs w:val="22"/>
        </w:rPr>
        <w:t>6.2</w:t>
      </w:r>
      <w:r>
        <w:rPr>
          <w:szCs w:val="22"/>
        </w:rPr>
        <w:tab/>
      </w:r>
      <w:r>
        <w:rPr>
          <w:sz w:val="24"/>
          <w:szCs w:val="22"/>
        </w:rPr>
        <w:t>Village dispute process</w:t>
      </w:r>
      <w:r>
        <w:tab/>
      </w:r>
      <w:r>
        <w:fldChar w:fldCharType="begin"/>
      </w:r>
      <w:r>
        <w:instrText xml:space="preserve"> PAGEREF _Toc241555949 \h </w:instrText>
      </w:r>
      <w:r>
        <w:fldChar w:fldCharType="separate"/>
      </w:r>
      <w:r>
        <w:t>38</w:t>
      </w:r>
      <w:r>
        <w:fldChar w:fldCharType="end"/>
      </w:r>
    </w:p>
    <w:p>
      <w:pPr>
        <w:pStyle w:val="TOC8"/>
        <w:rPr>
          <w:sz w:val="24"/>
          <w:szCs w:val="24"/>
        </w:rPr>
      </w:pPr>
      <w:r>
        <w:rPr>
          <w:sz w:val="24"/>
          <w:szCs w:val="22"/>
        </w:rPr>
        <w:t>6.3</w:t>
      </w:r>
      <w:r>
        <w:rPr>
          <w:szCs w:val="22"/>
        </w:rPr>
        <w:tab/>
      </w:r>
      <w:r>
        <w:rPr>
          <w:sz w:val="24"/>
          <w:szCs w:val="22"/>
        </w:rPr>
        <w:t>Mediation of dispute</w:t>
      </w:r>
      <w:r>
        <w:tab/>
      </w:r>
      <w:r>
        <w:fldChar w:fldCharType="begin"/>
      </w:r>
      <w:r>
        <w:instrText xml:space="preserve"> PAGEREF _Toc241555950 \h </w:instrText>
      </w:r>
      <w:r>
        <w:fldChar w:fldCharType="separate"/>
      </w:r>
      <w:r>
        <w:t>39</w:t>
      </w:r>
      <w:r>
        <w:fldChar w:fldCharType="end"/>
      </w:r>
    </w:p>
    <w:p>
      <w:pPr>
        <w:pStyle w:val="TOC4"/>
        <w:tabs>
          <w:tab w:val="right" w:leader="dot" w:pos="7086"/>
        </w:tabs>
        <w:rPr>
          <w:b w:val="0"/>
          <w:sz w:val="24"/>
          <w:szCs w:val="24"/>
        </w:rPr>
      </w:pPr>
      <w:r>
        <w:rPr>
          <w:szCs w:val="24"/>
        </w:rPr>
        <w:t>Division 7 — Termination of residence contracts</w:t>
      </w:r>
    </w:p>
    <w:p>
      <w:pPr>
        <w:pStyle w:val="TOC8"/>
        <w:rPr>
          <w:sz w:val="24"/>
          <w:szCs w:val="24"/>
        </w:rPr>
      </w:pPr>
      <w:r>
        <w:rPr>
          <w:sz w:val="24"/>
          <w:szCs w:val="22"/>
        </w:rPr>
        <w:t>7.1</w:t>
      </w:r>
      <w:r>
        <w:rPr>
          <w:sz w:val="24"/>
          <w:szCs w:val="22"/>
        </w:rPr>
        <w:tab/>
        <w:t>Notice of intention to terminate</w:t>
      </w:r>
      <w:r>
        <w:tab/>
      </w:r>
      <w:r>
        <w:fldChar w:fldCharType="begin"/>
      </w:r>
      <w:r>
        <w:instrText xml:space="preserve"> PAGEREF _Toc241555952 \h </w:instrText>
      </w:r>
      <w:r>
        <w:fldChar w:fldCharType="separate"/>
      </w:r>
      <w:r>
        <w:t>44</w:t>
      </w:r>
      <w:r>
        <w:fldChar w:fldCharType="end"/>
      </w:r>
    </w:p>
    <w:p>
      <w:pPr>
        <w:pStyle w:val="TOC4"/>
        <w:tabs>
          <w:tab w:val="right" w:leader="dot" w:pos="7086"/>
        </w:tabs>
        <w:rPr>
          <w:b w:val="0"/>
          <w:sz w:val="24"/>
          <w:szCs w:val="24"/>
        </w:rPr>
      </w:pPr>
      <w:r>
        <w:rPr>
          <w:szCs w:val="24"/>
        </w:rPr>
        <w:t>Division 8 — Miscellaneous</w:t>
      </w:r>
    </w:p>
    <w:p>
      <w:pPr>
        <w:pStyle w:val="TOC8"/>
        <w:rPr>
          <w:sz w:val="24"/>
          <w:szCs w:val="24"/>
        </w:rPr>
      </w:pPr>
      <w:r>
        <w:rPr>
          <w:sz w:val="24"/>
          <w:szCs w:val="22"/>
        </w:rPr>
        <w:t>8.1</w:t>
      </w:r>
      <w:r>
        <w:rPr>
          <w:sz w:val="24"/>
          <w:szCs w:val="22"/>
        </w:rPr>
        <w:tab/>
        <w:t>Service of documents</w:t>
      </w:r>
      <w:r>
        <w:tab/>
      </w:r>
      <w:r>
        <w:fldChar w:fldCharType="begin"/>
      </w:r>
      <w:r>
        <w:instrText xml:space="preserve"> PAGEREF _Toc241555954 \h </w:instrText>
      </w:r>
      <w:r>
        <w:fldChar w:fldCharType="separate"/>
      </w:r>
      <w:r>
        <w:t>48</w:t>
      </w:r>
      <w:r>
        <w:fldChar w:fldCharType="end"/>
      </w:r>
    </w:p>
    <w:p>
      <w:pPr>
        <w:pStyle w:val="TOC2"/>
        <w:tabs>
          <w:tab w:val="right" w:leader="dot" w:pos="7086"/>
        </w:tabs>
        <w:rPr>
          <w:b w:val="0"/>
          <w:sz w:val="24"/>
          <w:szCs w:val="24"/>
        </w:rPr>
      </w:pPr>
      <w:r>
        <w:rPr>
          <w:szCs w:val="28"/>
        </w:rPr>
        <w:t>Appendix 1 — Checklist for prospective resident</w:t>
      </w:r>
    </w:p>
    <w:p>
      <w:pPr>
        <w:pStyle w:val="TOC2"/>
        <w:tabs>
          <w:tab w:val="right" w:leader="dot" w:pos="7086"/>
        </w:tabs>
        <w:rPr>
          <w:b w:val="0"/>
          <w:sz w:val="24"/>
          <w:szCs w:val="24"/>
        </w:rPr>
      </w:pPr>
      <w:r>
        <w:rPr>
          <w:szCs w:val="28"/>
        </w:rPr>
        <w:t>Appendix 2 — Model proposed operating budget form</w:t>
      </w:r>
    </w:p>
    <w:p>
      <w:pPr>
        <w:pStyle w:val="TOC2"/>
        <w:tabs>
          <w:tab w:val="right" w:leader="dot" w:pos="7086"/>
        </w:tabs>
        <w:rPr>
          <w:b w:val="0"/>
          <w:sz w:val="24"/>
          <w:szCs w:val="24"/>
        </w:rPr>
      </w:pPr>
      <w:r>
        <w:rPr>
          <w:szCs w:val="28"/>
        </w:rPr>
        <w:t>Appendix 3 — Model quarterly income and expenditure statement</w:t>
      </w:r>
    </w:p>
    <w:p>
      <w:pPr>
        <w:pStyle w:val="TOC2"/>
        <w:tabs>
          <w:tab w:val="right" w:leader="dot" w:pos="7086"/>
        </w:tabs>
        <w:rPr>
          <w:b w:val="0"/>
          <w:sz w:val="24"/>
          <w:szCs w:val="24"/>
        </w:rPr>
      </w:pPr>
      <w:r>
        <w:rPr>
          <w:szCs w:val="28"/>
        </w:rPr>
        <w:t>Appendix 4 — Model reserve fund quarterly income and expenditure statement</w:t>
      </w:r>
    </w:p>
    <w:p>
      <w:pPr>
        <w:pStyle w:val="TOC2"/>
        <w:tabs>
          <w:tab w:val="right" w:leader="dot" w:pos="7086"/>
        </w:tabs>
        <w:rPr>
          <w:b w:val="0"/>
          <w:sz w:val="24"/>
          <w:szCs w:val="24"/>
        </w:rPr>
      </w:pPr>
      <w:r>
        <w:rPr>
          <w:szCs w:val="28"/>
        </w:rPr>
        <w:t>Appendix 5 — Form of appointment of proxy</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_Toc241555961 \h </w:instrText>
      </w:r>
      <w:r>
        <w:fldChar w:fldCharType="separate"/>
      </w:r>
      <w:r>
        <w:t>61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(Retirement Villages Code) Regulations 2009</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41555901"/>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Fair Trading (Retirement Villages Code) Regulations 2009</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4155590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October 2009.</w:t>
      </w:r>
    </w:p>
    <w:p>
      <w:pPr>
        <w:pStyle w:val="Heading5"/>
        <w:rPr>
          <w:snapToGrid w:val="0"/>
        </w:rPr>
      </w:pPr>
      <w:bookmarkStart w:id="19" w:name="_Toc423332724"/>
      <w:bookmarkStart w:id="20" w:name="_Toc425219443"/>
      <w:bookmarkStart w:id="21" w:name="_Toc426249310"/>
      <w:bookmarkStart w:id="22" w:name="_Toc449924706"/>
      <w:bookmarkStart w:id="23" w:name="_Toc449947724"/>
      <w:bookmarkStart w:id="24" w:name="_Toc454185715"/>
      <w:bookmarkStart w:id="25" w:name="_Toc515958688"/>
      <w:bookmarkStart w:id="26" w:name="_Toc241555903"/>
      <w:r>
        <w:rPr>
          <w:rStyle w:val="CharSectno"/>
        </w:rPr>
        <w:t>3</w:t>
      </w:r>
      <w:r>
        <w:rPr>
          <w:snapToGrid w:val="0"/>
        </w:rPr>
        <w:t>.</w:t>
      </w:r>
      <w:r>
        <w:rPr>
          <w:snapToGrid w:val="0"/>
        </w:rPr>
        <w:tab/>
        <w:t>Code of Practice prescribed</w:t>
      </w:r>
      <w:bookmarkEnd w:id="19"/>
      <w:bookmarkEnd w:id="20"/>
      <w:bookmarkEnd w:id="21"/>
      <w:bookmarkEnd w:id="22"/>
      <w:bookmarkEnd w:id="23"/>
      <w:bookmarkEnd w:id="24"/>
      <w:bookmarkEnd w:id="25"/>
      <w:bookmarkEnd w:id="26"/>
    </w:p>
    <w:p>
      <w:pPr>
        <w:pStyle w:val="Subsection"/>
      </w:pPr>
      <w:r>
        <w:tab/>
      </w:r>
      <w:r>
        <w:tab/>
        <w:t xml:space="preserve">The Code of Practice set out in Schedule 1 and cited as the </w:t>
      </w:r>
      <w:r>
        <w:rPr>
          <w:i/>
          <w:iCs/>
        </w:rPr>
        <w:t>Code of Fair Practice for Retirement Villages 2009</w:t>
      </w:r>
      <w:r>
        <w:t xml:space="preserve"> is prescribed under the </w:t>
      </w:r>
      <w:r>
        <w:rPr>
          <w:i/>
          <w:iCs/>
        </w:rPr>
        <w:t>Fair Trading Act 1987</w:t>
      </w:r>
      <w:r>
        <w:t xml:space="preserve"> section 43(1) as a code of practice that applies in relation to retirement villages as defined in the </w:t>
      </w:r>
      <w:r>
        <w:rPr>
          <w:i/>
          <w:iCs/>
        </w:rPr>
        <w:t>Retirement Villages Act 1992</w:t>
      </w:r>
      <w:r>
        <w:t>.</w:t>
      </w:r>
    </w:p>
    <w:p>
      <w:pPr>
        <w:pStyle w:val="Heading5"/>
      </w:pPr>
      <w:bookmarkStart w:id="27" w:name="_Toc524425317"/>
      <w:bookmarkStart w:id="28" w:name="_Toc524429494"/>
      <w:bookmarkStart w:id="29" w:name="_Toc524484936"/>
      <w:bookmarkStart w:id="30" w:name="_Toc524485120"/>
      <w:bookmarkStart w:id="31" w:name="_Toc524843362"/>
      <w:bookmarkStart w:id="32" w:name="_Toc34798996"/>
      <w:bookmarkStart w:id="33" w:name="_Toc49158005"/>
      <w:bookmarkStart w:id="34" w:name="_Toc49229987"/>
      <w:bookmarkStart w:id="35" w:name="_Toc241555904"/>
      <w:r>
        <w:rPr>
          <w:rStyle w:val="CharSectno"/>
        </w:rPr>
        <w:t>4</w:t>
      </w:r>
      <w:r>
        <w:t>.</w:t>
      </w:r>
      <w:r>
        <w:tab/>
        <w:t>Interpretation</w:t>
      </w:r>
      <w:bookmarkEnd w:id="27"/>
      <w:bookmarkEnd w:id="28"/>
      <w:bookmarkEnd w:id="29"/>
      <w:bookmarkEnd w:id="30"/>
      <w:bookmarkEnd w:id="31"/>
      <w:bookmarkEnd w:id="32"/>
      <w:bookmarkEnd w:id="33"/>
      <w:bookmarkEnd w:id="34"/>
      <w:bookmarkEnd w:id="35"/>
    </w:p>
    <w:p>
      <w:pPr>
        <w:pStyle w:val="Subsection"/>
      </w:pPr>
      <w:r>
        <w:tab/>
        <w:t>(1)</w:t>
      </w:r>
      <w:r>
        <w:tab/>
        <w:t xml:space="preserve">Except where the contrary intention appears, words and expressions used in the Code set out in Schedule 1 have the same meaning as are given to them in the </w:t>
      </w:r>
      <w:r>
        <w:rPr>
          <w:i/>
        </w:rPr>
        <w:t>Retirement Villages Act 1992</w:t>
      </w:r>
      <w:r>
        <w:t>.</w:t>
      </w:r>
    </w:p>
    <w:p>
      <w:pPr>
        <w:pStyle w:val="Subsection"/>
      </w:pPr>
      <w:r>
        <w:tab/>
        <w:t>(2)</w:t>
      </w:r>
      <w:r>
        <w:tab/>
        <w:t>Boxed and shaded paragraphs in the Code set out in Schedule 1 are not part of the Code and are included only to assist readers of the Code.</w:t>
      </w:r>
    </w:p>
    <w:p>
      <w:pPr>
        <w:pStyle w:val="Heading5"/>
        <w:rPr>
          <w:snapToGrid w:val="0"/>
        </w:rPr>
      </w:pPr>
      <w:bookmarkStart w:id="36" w:name="_Toc241555905"/>
      <w:r>
        <w:rPr>
          <w:rStyle w:val="CharSectno"/>
        </w:rPr>
        <w:t>5</w:t>
      </w:r>
      <w:r>
        <w:rPr>
          <w:snapToGrid w:val="0"/>
        </w:rPr>
        <w:t>.</w:t>
      </w:r>
      <w:r>
        <w:rPr>
          <w:snapToGrid w:val="0"/>
        </w:rPr>
        <w:tab/>
        <w:t xml:space="preserve">The </w:t>
      </w:r>
      <w:r>
        <w:rPr>
          <w:i/>
          <w:iCs/>
          <w:snapToGrid w:val="0"/>
        </w:rPr>
        <w:t>Fair Trading (Retirement Villages Code) Regulations 2006</w:t>
      </w:r>
      <w:r>
        <w:rPr>
          <w:snapToGrid w:val="0"/>
        </w:rPr>
        <w:t xml:space="preserve"> repealed</w:t>
      </w:r>
      <w:bookmarkEnd w:id="36"/>
    </w:p>
    <w:p>
      <w:pPr>
        <w:pStyle w:val="Subsection"/>
        <w:rPr>
          <w:iCs/>
        </w:rPr>
      </w:pPr>
      <w:r>
        <w:tab/>
      </w:r>
      <w:r>
        <w:tab/>
        <w:t xml:space="preserve">The </w:t>
      </w:r>
      <w:r>
        <w:rPr>
          <w:i/>
          <w:iCs/>
        </w:rPr>
        <w:t>Fair Trading (Retirement Villages Code) Regulations 2006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7" w:name="_Toc241299832"/>
      <w:bookmarkStart w:id="38" w:name="_Toc241301089"/>
    </w:p>
    <w:p>
      <w:pPr>
        <w:pStyle w:val="yScheduleHeading"/>
        <w:ind w:left="284" w:right="424"/>
        <w:outlineLvl w:val="0"/>
      </w:pPr>
      <w:bookmarkStart w:id="39" w:name="_Toc241463642"/>
      <w:bookmarkStart w:id="40" w:name="_Toc241555906"/>
      <w:r>
        <w:rPr>
          <w:rStyle w:val="CharSchNo"/>
        </w:rPr>
        <w:t>Schedule 1</w:t>
      </w:r>
      <w:r>
        <w:rPr>
          <w:rStyle w:val="CharSDivNo"/>
        </w:rPr>
        <w:t> </w:t>
      </w:r>
      <w:r>
        <w:t>—</w:t>
      </w:r>
      <w:bookmarkStart w:id="41" w:name="AutoSch"/>
      <w:bookmarkEnd w:id="41"/>
      <w:r>
        <w:rPr>
          <w:rStyle w:val="CharSDivText"/>
        </w:rPr>
        <w:t> </w:t>
      </w:r>
      <w:r>
        <w:rPr>
          <w:rStyle w:val="CharSchText"/>
          <w:i/>
          <w:iCs/>
        </w:rPr>
        <w:t>Code of Fair Practice for Retirement Villages 2009</w:t>
      </w:r>
      <w:bookmarkEnd w:id="37"/>
      <w:bookmarkEnd w:id="38"/>
      <w:bookmarkEnd w:id="39"/>
      <w:bookmarkEnd w:id="40"/>
    </w:p>
    <w:p>
      <w:pPr>
        <w:pStyle w:val="yShoulderClause"/>
      </w:pPr>
      <w:r>
        <w:t>[r. 3]</w:t>
      </w:r>
    </w:p>
    <w:p>
      <w:pPr>
        <w:pStyle w:val="zMiscellaneousBody"/>
        <w:pBdr>
          <w:top w:val="single" w:sz="4" w:space="1" w:color="auto"/>
          <w:left w:val="single" w:sz="4" w:space="0" w:color="auto"/>
          <w:bottom w:val="single" w:sz="4" w:space="1" w:color="auto"/>
          <w:right w:val="single" w:sz="4" w:space="4" w:color="auto"/>
        </w:pBdr>
        <w:shd w:val="pct15" w:color="auto" w:fill="FFFFFF"/>
        <w:ind w:left="851"/>
        <w:jc w:val="center"/>
        <w:rPr>
          <w:b/>
        </w:rPr>
      </w:pPr>
      <w:r>
        <w:rPr>
          <w:b/>
        </w:rPr>
        <w:t>Foreword</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This Code has been prescribed under the </w:t>
      </w:r>
      <w:r>
        <w:rPr>
          <w:i/>
        </w:rPr>
        <w:t>Fair Trading Act 1987</w:t>
      </w:r>
      <w:r>
        <w:t xml:space="preserve"> and has been prepared after extensive consultation with relevant industry and consumer/resident organisations and other interested organisations and individuals, including State and Commonwealth departments. The Code must be reviewed in consultation with interested parties no later than 3 years after the commencement date of 1 October 2009.</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t xml:space="preserve">The Code, the </w:t>
      </w:r>
      <w:r>
        <w:rPr>
          <w:i/>
        </w:rPr>
        <w:t>Retirement Villages Act 1992</w:t>
      </w:r>
      <w:r>
        <w:t xml:space="preserve"> and </w:t>
      </w:r>
      <w:r>
        <w:rPr>
          <w:i/>
        </w:rPr>
        <w:t>Retirement Villages Regulations 1992</w:t>
      </w:r>
      <w: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zMiscellaneousBody"/>
        <w:pBdr>
          <w:top w:val="single" w:sz="4" w:space="1" w:color="auto"/>
          <w:left w:val="single" w:sz="4" w:space="0" w:color="auto"/>
          <w:bottom w:val="single" w:sz="4" w:space="1" w:color="auto"/>
          <w:right w:val="single" w:sz="4" w:space="4" w:color="auto"/>
        </w:pBdr>
        <w:shd w:val="pct15" w:color="auto" w:fill="FFFFFF"/>
        <w:spacing w:before="80"/>
        <w:ind w:left="851"/>
      </w:pPr>
      <w:r>
        <w:rPr>
          <w:b/>
        </w:rPr>
        <w:t>Division 1</w:t>
      </w:r>
      <w: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zMiscellaneousBody"/>
        <w:keepLines/>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2</w:t>
      </w:r>
      <w:r>
        <w:t xml:space="preserve"> sets out the approvals that must be obtained before any sales promotion of a retirement village is undertaken, and specifies the information that must be disclosed in any advertising or promotional material.</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3</w:t>
      </w:r>
      <w:r>
        <w:t xml:space="preserve"> sets out the information that must be provided to a prospective resident of a retirement village before the person enters into a residence contract or any service contract with the administering body of the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80"/>
        <w:ind w:left="851"/>
      </w:pPr>
      <w:r>
        <w:rPr>
          <w:b/>
        </w:rPr>
        <w:t>Division 4</w:t>
      </w:r>
      <w:r>
        <w:t xml:space="preserve"> specifies the information that must be included in the residence contract and any service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5</w:t>
      </w:r>
      <w: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rPr>
          <w:b/>
        </w:rPr>
      </w:pPr>
      <w:r>
        <w:rPr>
          <w:b/>
        </w:rPr>
        <w:t>Division 6</w:t>
      </w:r>
      <w:r>
        <w:t xml:space="preserve"> recognises that disputes may occur in a retirement village and outlines the processes that may be utilised to resolve them, including mediation.</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7</w:t>
      </w:r>
      <w:r>
        <w:t xml:space="preserve"> explains the rights and the obligations of the administering body and a resident of a retirement village, in relation to the termination of a residence contract.</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Division 8</w:t>
      </w:r>
      <w:r>
        <w:t xml:space="preserve"> specifies the method of delivery of any written notice, correspondence or other document that must be given under this Code to a resident or the administering body of a retirement village.</w:t>
      </w:r>
    </w:p>
    <w:p>
      <w:pPr>
        <w:pStyle w:val="zMiscellaneousBody"/>
        <w:pBdr>
          <w:top w:val="single" w:sz="4" w:space="1" w:color="auto"/>
          <w:left w:val="single" w:sz="4" w:space="2" w:color="auto"/>
          <w:bottom w:val="single" w:sz="4" w:space="1" w:color="auto"/>
          <w:right w:val="single" w:sz="4" w:space="4" w:color="auto"/>
        </w:pBdr>
        <w:shd w:val="pct15" w:color="auto" w:fill="FFFFFF"/>
        <w:spacing w:before="120"/>
        <w:ind w:left="851"/>
      </w:pPr>
      <w:r>
        <w:rPr>
          <w:b/>
        </w:rPr>
        <w:t>Appendix 1</w:t>
      </w:r>
      <w:r>
        <w:t xml:space="preserve"> provides a list of questions that a prospective resident should carefully read and consider before deciding to enter any retirement village.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rPr>
          <w:b/>
        </w:rPr>
      </w:pPr>
      <w:bookmarkStart w:id="42" w:name="_Toc524429497"/>
      <w:bookmarkStart w:id="43" w:name="_Toc524484939"/>
      <w:bookmarkStart w:id="44" w:name="_Toc524485123"/>
      <w:bookmarkStart w:id="45" w:name="_Toc524843365"/>
      <w:bookmarkStart w:id="46" w:name="_Toc34798998"/>
      <w:r>
        <w:rPr>
          <w:b/>
        </w:rPr>
        <w:t>Compliance with this Code</w:t>
      </w:r>
    </w:p>
    <w:p>
      <w:pPr>
        <w:pStyle w:val="zMiscellaneousBody"/>
        <w:keepNext/>
        <w:keepLines/>
        <w:pBdr>
          <w:top w:val="single" w:sz="4" w:space="1" w:color="auto"/>
          <w:left w:val="single" w:sz="4" w:space="2" w:color="auto"/>
          <w:bottom w:val="single" w:sz="4" w:space="1" w:color="auto"/>
          <w:right w:val="single" w:sz="4" w:space="4" w:color="auto"/>
        </w:pBdr>
        <w:shd w:val="pct15" w:color="auto" w:fill="FFFFFF"/>
        <w:spacing w:before="80"/>
        <w:ind w:left="851"/>
      </w:pPr>
      <w:r>
        <w:t xml:space="preserve">The Code must be complied with and is enforceable by the Commissioner and the State Administrative Tribunal under the </w:t>
      </w:r>
      <w:r>
        <w:rPr>
          <w:i/>
        </w:rPr>
        <w:t>Fair Trading Act 1987</w:t>
      </w:r>
      <w:r>
        <w:t>.</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 w:val="num" w:pos="927"/>
        </w:tabs>
        <w:spacing w:before="80"/>
        <w:ind w:left="851"/>
      </w:pPr>
      <w:r>
        <w:t xml:space="preserve">Where it appears to the Commissioner that an administering body has not complied with the Code, the Commissioner may — </w:t>
      </w:r>
    </w:p>
    <w:p>
      <w:pPr>
        <w:pStyle w:val="zMiscellaneousBody"/>
        <w:numPr>
          <w:ilvl w:val="0"/>
          <w:numId w:val="13"/>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request the administering body to give a deed of undertaking to comply with the Code and/or rectify the consequences of its failure to comply; or</w:t>
      </w:r>
    </w:p>
    <w:p>
      <w:pPr>
        <w:pStyle w:val="zMiscellaneousBody"/>
        <w:numPr>
          <w:ilvl w:val="0"/>
          <w:numId w:val="14"/>
        </w:numPr>
        <w:pBdr>
          <w:top w:val="single" w:sz="4" w:space="1" w:color="auto"/>
          <w:left w:val="single" w:sz="4" w:space="0" w:color="auto"/>
          <w:bottom w:val="single" w:sz="4" w:space="1" w:color="auto"/>
          <w:right w:val="single" w:sz="4" w:space="4" w:color="auto"/>
        </w:pBdr>
        <w:shd w:val="pct15" w:color="auto" w:fill="FFFFFF"/>
        <w:tabs>
          <w:tab w:val="clear" w:pos="360"/>
          <w:tab w:val="num" w:pos="1560"/>
        </w:tabs>
        <w:spacing w:before="80"/>
        <w:ind w:left="1560" w:hanging="426"/>
      </w:pPr>
      <w:r>
        <w:t>if the administering body does not give the requested undertaking, apply to the State Administrative Tribunal for an order that the administering body act in a manner required by the Code.</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If the administering body fails to observe an undertaking to the Commissioner, the Commissioner may apply to the State Administrative Tribunal for an order requiring the administering body to do so.</w:t>
      </w:r>
    </w:p>
    <w:p>
      <w:pPr>
        <w:pStyle w:val="zMiscellaneousBody"/>
        <w:pBdr>
          <w:top w:val="single" w:sz="4" w:space="1" w:color="auto"/>
          <w:left w:val="single" w:sz="4" w:space="2" w:color="auto"/>
          <w:bottom w:val="single" w:sz="4" w:space="1" w:color="auto"/>
          <w:right w:val="single" w:sz="4" w:space="4" w:color="auto"/>
        </w:pBdr>
        <w:shd w:val="pct15" w:color="auto" w:fill="FFFFFF"/>
        <w:tabs>
          <w:tab w:val="left" w:pos="284"/>
        </w:tabs>
        <w:spacing w:before="80"/>
        <w:ind w:left="851"/>
      </w:pPr>
      <w:r>
        <w:t>An administering body that fails to comply with an order made by the State Administrative Tribunal commits an offence that is punishable by a fine of up to $10,000.</w:t>
      </w:r>
    </w:p>
    <w:p>
      <w:pPr>
        <w:pStyle w:val="yHeading3"/>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bookmarkStart w:id="47" w:name="_Toc49158007"/>
      <w:bookmarkStart w:id="48" w:name="_Toc49229989"/>
    </w:p>
    <w:p>
      <w:pPr>
        <w:pStyle w:val="yHeading3"/>
      </w:pPr>
      <w:bookmarkStart w:id="49" w:name="_Toc241299833"/>
      <w:bookmarkStart w:id="50" w:name="_Toc241301090"/>
      <w:bookmarkStart w:id="51" w:name="_Toc241463643"/>
      <w:bookmarkStart w:id="52" w:name="_Toc241555907"/>
      <w:r>
        <w:rPr>
          <w:rStyle w:val="CharSDivNo"/>
        </w:rPr>
        <w:t>Division 1</w:t>
      </w:r>
      <w:r>
        <w:t> — </w:t>
      </w:r>
      <w:r>
        <w:rPr>
          <w:rStyle w:val="CharSDivText"/>
        </w:rPr>
        <w:t>Preliminary</w:t>
      </w:r>
      <w:bookmarkEnd w:id="49"/>
      <w:bookmarkEnd w:id="50"/>
      <w:bookmarkEnd w:id="51"/>
      <w:bookmarkEnd w:id="52"/>
    </w:p>
    <w:p>
      <w:pPr>
        <w:pStyle w:val="yHeading5"/>
        <w:keepLines w:val="0"/>
        <w:spacing w:before="120"/>
        <w:rPr>
          <w:sz w:val="24"/>
        </w:rPr>
      </w:pPr>
      <w:bookmarkStart w:id="53" w:name="_Toc524425319"/>
      <w:bookmarkStart w:id="54" w:name="_Toc524429498"/>
      <w:bookmarkStart w:id="55" w:name="_Toc524484940"/>
      <w:bookmarkStart w:id="56" w:name="_Toc524485124"/>
      <w:bookmarkStart w:id="57" w:name="_Toc524843366"/>
      <w:bookmarkStart w:id="58" w:name="_Toc34798999"/>
      <w:bookmarkStart w:id="59" w:name="_Toc49158008"/>
      <w:bookmarkStart w:id="60" w:name="_Toc49229990"/>
      <w:bookmarkStart w:id="61" w:name="_Toc241555908"/>
      <w:bookmarkEnd w:id="42"/>
      <w:bookmarkEnd w:id="43"/>
      <w:bookmarkEnd w:id="44"/>
      <w:bookmarkEnd w:id="45"/>
      <w:bookmarkEnd w:id="46"/>
      <w:bookmarkEnd w:id="47"/>
      <w:bookmarkEnd w:id="48"/>
      <w:r>
        <w:rPr>
          <w:rStyle w:val="CharSClsNo"/>
          <w:sz w:val="24"/>
        </w:rPr>
        <w:t>1.1</w:t>
      </w:r>
      <w:r>
        <w:rPr>
          <w:sz w:val="24"/>
        </w:rPr>
        <w:tab/>
        <w:t>Citation</w:t>
      </w:r>
      <w:bookmarkEnd w:id="53"/>
      <w:bookmarkEnd w:id="54"/>
      <w:bookmarkEnd w:id="55"/>
      <w:bookmarkEnd w:id="56"/>
      <w:bookmarkEnd w:id="57"/>
      <w:bookmarkEnd w:id="58"/>
      <w:bookmarkEnd w:id="59"/>
      <w:bookmarkEnd w:id="60"/>
      <w:bookmarkEnd w:id="61"/>
    </w:p>
    <w:p>
      <w:pPr>
        <w:pStyle w:val="ySubsection"/>
        <w:tabs>
          <w:tab w:val="clear" w:pos="879"/>
        </w:tabs>
        <w:spacing w:before="120"/>
        <w:ind w:right="283"/>
        <w:rPr>
          <w:sz w:val="24"/>
        </w:rPr>
      </w:pPr>
      <w:r>
        <w:rPr>
          <w:sz w:val="24"/>
        </w:rPr>
        <w:tab/>
      </w:r>
      <w:r>
        <w:rPr>
          <w:sz w:val="24"/>
        </w:rPr>
        <w:tab/>
        <w:t xml:space="preserve">This Code is the </w:t>
      </w:r>
      <w:r>
        <w:rPr>
          <w:i/>
          <w:sz w:val="24"/>
        </w:rPr>
        <w:t>Code of Fair Practice for Retirement Villages 2009</w:t>
      </w:r>
      <w:r>
        <w:rPr>
          <w:sz w:val="24"/>
        </w:rP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ind w:left="1021" w:hanging="170"/>
        <w:rPr>
          <w:b/>
        </w:rPr>
      </w:pPr>
      <w:r>
        <w:rPr>
          <w:b/>
        </w:rPr>
        <w:t xml:space="preserve">Definitions in the </w:t>
      </w:r>
      <w:r>
        <w:rPr>
          <w:b/>
          <w:i/>
        </w:rPr>
        <w:t>Retirement Villages Act 1992</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The following definitions from the </w:t>
      </w:r>
      <w:r>
        <w:rPr>
          <w:rStyle w:val="CharPartNo"/>
          <w:i/>
        </w:rPr>
        <w:t>Retirement Villages Act 1992</w:t>
      </w:r>
      <w:r>
        <w:rPr>
          <w:rStyle w:val="CharPartNo"/>
        </w:rPr>
        <w:t xml:space="preserve"> have application to this Code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Commissioner</w:t>
      </w:r>
      <w:r>
        <w:t xml:space="preserve"> means the person for the time being designated as the Commissioner under section 7A;</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s>
        <w:spacing w:before="80"/>
        <w:ind w:left="1843" w:hanging="992"/>
      </w:pPr>
      <w:r>
        <w:tab/>
        <w:t>(a)</w:t>
      </w:r>
      <w:r>
        <w:tab/>
        <w:t>any such payment excluded by regulation from the ambit of this definition;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recurrent charges;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recurrent charge</w:t>
      </w:r>
      <w:r>
        <w:t xml:space="preserve"> means any amount (including rent) payable by a resident to the administering body of a retirement village on a recurrent basis;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is residing with that person;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was residing with that person at the time of his or her death;</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residential tenancy agreement</w:t>
      </w:r>
      <w:r>
        <w:t xml:space="preserve"> has the same meaning as in the </w:t>
      </w:r>
      <w:r>
        <w:rPr>
          <w:i/>
        </w:rPr>
        <w:t>Residential Tenancies Act 1987</w:t>
      </w:r>
      <w:r>
        <w: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(a)</w:t>
      </w:r>
      <w:r>
        <w:tab/>
        <w:t>residential premises are occupied in pursuance of a residential tenancy agreement or any other lease or licence;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(b)</w:t>
      </w:r>
      <w:r>
        <w:tab/>
        <w:t>a right to occupation of residential premises is conferred by ownership of shares;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(c)</w:t>
      </w:r>
      <w:r>
        <w:tab/>
        <w:t>residential premises are purchased from the administering body subject to a right or option of repurchase;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(d)</w:t>
      </w:r>
      <w:r>
        <w:tab/>
        <w:t>residential premises are purchased subject to conditions restricting the subsequent disposal of the premises;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1843" w:hanging="992"/>
      </w:pPr>
      <w:r>
        <w:tab/>
        <w:t>(e)</w:t>
      </w:r>
      <w:r>
        <w:tab/>
        <w:t>residential premises are occupied under any other scheme or arrangement prescribed for the purposes of this definition,</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but does not include any such scheme under which no resident or prospective resident of residential premises pays a premium in consideration for, or in contemplation of, admission as a resident under the scheme;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service contract</w:t>
      </w:r>
      <w:r>
        <w:t xml:space="preserve"> means a contract between an administering body or former administering body of a retirement village and a resident for the provision to the resident of — </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(a)</w:t>
      </w:r>
      <w:r>
        <w:tab/>
        <w:t>hostel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(b)</w:t>
      </w:r>
      <w:r>
        <w:tab/>
        <w:t>infirmary care;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(c)</w:t>
      </w:r>
      <w:r>
        <w:tab/>
        <w:t>medical or nursing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(d)</w:t>
      </w:r>
      <w:r>
        <w:tab/>
        <w:t>meals;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(e)</w:t>
      </w:r>
      <w:r>
        <w:tab/>
        <w:t>administrative and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(f)</w:t>
      </w:r>
      <w:r>
        <w:tab/>
        <w:t>maintenance and repair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(g)</w:t>
      </w:r>
      <w:r>
        <w:tab/>
        <w:t>recreation services; or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tabs>
          <w:tab w:val="left" w:pos="1276"/>
          <w:tab w:val="left" w:pos="1843"/>
        </w:tabs>
        <w:spacing w:before="80"/>
        <w:ind w:left="851"/>
      </w:pPr>
      <w:r>
        <w:tab/>
        <w:t>(h)</w:t>
      </w:r>
      <w:r>
        <w:tab/>
        <w:t>any other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and any collateral agreement or document relating to the provision of any such service;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rStyle w:val="CharDefText"/>
        </w:rPr>
        <w:t>working day</w:t>
      </w:r>
      <w:bookmarkStart w:id="62" w:name="endcomma"/>
      <w:bookmarkEnd w:id="62"/>
      <w:r>
        <w:t xml:space="preserve"> </w:t>
      </w:r>
      <w:bookmarkStart w:id="63" w:name="comma"/>
      <w:bookmarkEnd w:id="63"/>
      <w:r>
        <w:t>means a day other than a Saturday, a Sunday or a public holiday.</w:t>
      </w:r>
    </w:p>
    <w:p>
      <w:pPr>
        <w:pStyle w:val="yHeading5"/>
        <w:rPr>
          <w:sz w:val="24"/>
        </w:rPr>
      </w:pPr>
      <w:bookmarkStart w:id="64" w:name="_Toc524425320"/>
      <w:bookmarkStart w:id="65" w:name="_Toc524429499"/>
      <w:bookmarkStart w:id="66" w:name="_Toc524484941"/>
      <w:bookmarkStart w:id="67" w:name="_Toc524485125"/>
      <w:bookmarkStart w:id="68" w:name="_Toc524843367"/>
      <w:bookmarkStart w:id="69" w:name="_Toc34799000"/>
      <w:bookmarkStart w:id="70" w:name="_Toc49158009"/>
      <w:bookmarkStart w:id="71" w:name="_Toc49229991"/>
      <w:bookmarkStart w:id="72" w:name="_Toc241555909"/>
      <w:r>
        <w:rPr>
          <w:rStyle w:val="CharSClsNo"/>
          <w:sz w:val="24"/>
        </w:rPr>
        <w:t>1.2</w:t>
      </w:r>
      <w:r>
        <w:rPr>
          <w:sz w:val="24"/>
        </w:rPr>
        <w:tab/>
        <w:t>Application</w:t>
      </w:r>
      <w:bookmarkEnd w:id="64"/>
      <w:bookmarkEnd w:id="65"/>
      <w:bookmarkEnd w:id="66"/>
      <w:bookmarkEnd w:id="67"/>
      <w:bookmarkEnd w:id="68"/>
      <w:bookmarkEnd w:id="69"/>
      <w:bookmarkEnd w:id="70"/>
      <w:bookmarkEnd w:id="71"/>
      <w:bookmarkEnd w:id="72"/>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w:t>
      </w:r>
      <w:bookmarkStart w:id="73" w:name="RuleErr_1"/>
      <w:r>
        <w:rPr>
          <w:i/>
          <w:sz w:val="24"/>
        </w:rPr>
        <w:t>7</w:t>
      </w:r>
      <w:r>
        <w:rPr>
          <w:sz w:val="24"/>
        </w:rPr>
        <w:t xml:space="preserve"> (</w:t>
      </w:r>
      <w:bookmarkEnd w:id="73"/>
      <w:r>
        <w:rPr>
          <w:sz w:val="24"/>
        </w:rPr>
        <w:t>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t xml:space="preserve">This Code does not apply to residential care services provided by an administering body under the </w:t>
      </w:r>
      <w:r>
        <w:rPr>
          <w:i/>
        </w:rPr>
        <w:t>Aged Care Act 1997</w:t>
      </w:r>
      <w:r>
        <w:t xml:space="preserve"> (Cwlth). However, the </w:t>
      </w:r>
      <w:r>
        <w:rPr>
          <w:i/>
        </w:rPr>
        <w:t>Retirement Villages Act 1992</w:t>
      </w:r>
      <w:r>
        <w:t xml:space="preserve"> will continue to apply to those services until such time as the Act is amended to provide otherwise.</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rPr>
      </w:pPr>
      <w:r>
        <w:rPr>
          <w:rStyle w:val="CharPartNo"/>
        </w:rPr>
        <w:t xml:space="preserve">Note that under the </w:t>
      </w:r>
      <w:r>
        <w:rPr>
          <w:rStyle w:val="CharPartNo"/>
          <w:i/>
        </w:rPr>
        <w:t>Fair Trading Act 1987</w:t>
      </w:r>
      <w:r>
        <w:rPr>
          <w:rStyle w:val="CharPartNo"/>
        </w:rPr>
        <w:t xml:space="preserve"> section 3 this Code binds the Crown.</w:t>
      </w:r>
    </w:p>
    <w:p>
      <w:pPr>
        <w:pStyle w:val="yHeading5"/>
        <w:keepLines w:val="0"/>
        <w:rPr>
          <w:sz w:val="24"/>
        </w:rPr>
      </w:pPr>
      <w:bookmarkStart w:id="74" w:name="_Toc524425321"/>
      <w:bookmarkStart w:id="75" w:name="_Toc524429500"/>
      <w:bookmarkStart w:id="76" w:name="_Toc524484942"/>
      <w:bookmarkStart w:id="77" w:name="_Toc524485126"/>
      <w:bookmarkStart w:id="78" w:name="_Toc524843368"/>
      <w:bookmarkStart w:id="79" w:name="_Toc34799001"/>
      <w:bookmarkStart w:id="80" w:name="_Toc49158010"/>
      <w:bookmarkStart w:id="81" w:name="_Toc49229992"/>
      <w:bookmarkStart w:id="82" w:name="_Toc241555910"/>
      <w:r>
        <w:rPr>
          <w:rStyle w:val="CharSClsNo"/>
          <w:sz w:val="24"/>
        </w:rPr>
        <w:t>1.3</w:t>
      </w:r>
      <w:r>
        <w:rPr>
          <w:sz w:val="24"/>
        </w:rPr>
        <w:tab/>
        <w:t>General principles</w:t>
      </w:r>
      <w:bookmarkEnd w:id="74"/>
      <w:bookmarkEnd w:id="75"/>
      <w:bookmarkEnd w:id="76"/>
      <w:bookmarkEnd w:id="77"/>
      <w:bookmarkEnd w:id="78"/>
      <w:bookmarkEnd w:id="79"/>
      <w:bookmarkEnd w:id="80"/>
      <w:bookmarkEnd w:id="81"/>
      <w:bookmarkEnd w:id="82"/>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pageBreakBefore/>
        <w:rPr>
          <w:sz w:val="24"/>
        </w:rPr>
      </w:pPr>
      <w:bookmarkStart w:id="83" w:name="_Toc524425322"/>
      <w:bookmarkStart w:id="84" w:name="_Toc524429501"/>
      <w:bookmarkStart w:id="85" w:name="_Toc524484943"/>
      <w:bookmarkStart w:id="86" w:name="_Toc524485127"/>
      <w:bookmarkStart w:id="87" w:name="_Toc524843369"/>
      <w:bookmarkStart w:id="88" w:name="_Toc34799002"/>
      <w:bookmarkStart w:id="89" w:name="_Toc49158011"/>
      <w:bookmarkStart w:id="90" w:name="_Toc49229993"/>
      <w:bookmarkStart w:id="91" w:name="_Toc241555911"/>
      <w:r>
        <w:rPr>
          <w:rStyle w:val="CharSClsNo"/>
          <w:sz w:val="24"/>
        </w:rPr>
        <w:t>1.4</w:t>
      </w:r>
      <w:r>
        <w:rPr>
          <w:sz w:val="24"/>
        </w:rPr>
        <w:tab/>
        <w:t>Objectives of the Code</w:t>
      </w:r>
      <w:bookmarkEnd w:id="83"/>
      <w:bookmarkEnd w:id="84"/>
      <w:bookmarkEnd w:id="85"/>
      <w:bookmarkEnd w:id="86"/>
      <w:bookmarkEnd w:id="87"/>
      <w:bookmarkEnd w:id="88"/>
      <w:bookmarkEnd w:id="89"/>
      <w:bookmarkEnd w:id="90"/>
      <w:bookmarkEnd w:id="91"/>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92" w:name="_Toc524425323"/>
      <w:bookmarkStart w:id="93" w:name="_Toc524429502"/>
      <w:bookmarkStart w:id="94" w:name="_Toc524484944"/>
      <w:bookmarkStart w:id="95" w:name="_Toc524485128"/>
      <w:bookmarkStart w:id="96" w:name="_Toc524843370"/>
      <w:bookmarkStart w:id="97" w:name="_Toc34799003"/>
      <w:bookmarkStart w:id="98" w:name="_Toc49158012"/>
      <w:bookmarkStart w:id="99" w:name="_Toc49229994"/>
      <w:bookmarkStart w:id="100" w:name="_Toc241555912"/>
      <w:r>
        <w:rPr>
          <w:rStyle w:val="CharSClsNo"/>
          <w:sz w:val="24"/>
        </w:rPr>
        <w:t>1.5</w:t>
      </w:r>
      <w:r>
        <w:rPr>
          <w:sz w:val="24"/>
        </w:rPr>
        <w:tab/>
        <w:t>Resident’s basic rights</w:t>
      </w:r>
      <w:bookmarkEnd w:id="92"/>
      <w:bookmarkEnd w:id="93"/>
      <w:bookmarkEnd w:id="94"/>
      <w:bookmarkEnd w:id="95"/>
      <w:bookmarkEnd w:id="96"/>
      <w:bookmarkEnd w:id="97"/>
      <w:bookmarkEnd w:id="98"/>
      <w:bookmarkEnd w:id="99"/>
      <w:bookmarkEnd w:id="100"/>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rPr>
          <w:b/>
        </w:rPr>
      </w:pPr>
      <w:r>
        <w:rPr>
          <w:b/>
        </w:rPr>
        <w:t>Other relevant legislation</w:t>
      </w:r>
    </w:p>
    <w:p>
      <w:pPr>
        <w:pStyle w:val="zMiscellaneousBody"/>
        <w:keepNext/>
        <w:keepLines/>
        <w:pBdr>
          <w:top w:val="single" w:sz="4" w:space="1" w:color="auto" w:shadow="1"/>
          <w:left w:val="single" w:sz="4" w:space="0" w:color="auto" w:shadow="1"/>
          <w:bottom w:val="single" w:sz="4" w:space="1" w:color="auto" w:shadow="1"/>
          <w:right w:val="single" w:sz="4" w:space="4" w:color="auto" w:shadow="1"/>
        </w:pBdr>
        <w:shd w:val="pct15" w:color="auto" w:fill="FFFFFF"/>
        <w:ind w:left="851"/>
      </w:pPr>
      <w:r>
        <w:t xml:space="preserve">The provisions of this Code should be read in conjunction with other relevant legislation.  The </w:t>
      </w:r>
      <w:r>
        <w:rPr>
          <w:i/>
        </w:rPr>
        <w:t>Retirement Villages Act 1992</w:t>
      </w:r>
      <w:r>
        <w:t xml:space="preserve"> and the </w:t>
      </w:r>
      <w:r>
        <w:rPr>
          <w:i/>
        </w:rPr>
        <w:t>Retirement Villages Regulations 1992</w:t>
      </w:r>
      <w:r>
        <w:t xml:space="preserve"> set out rights and obligations relating to retirement villages.  The </w:t>
      </w:r>
      <w:r>
        <w:rPr>
          <w:i/>
        </w:rPr>
        <w:t>Fair Trading Act 1987</w:t>
      </w:r>
      <w:r>
        <w:t xml:space="preserve"> is applicable to residence contracts and other contracts concerning retirement villages.  Where residential premises in a retirement village are strata titled, the provisions of the </w:t>
      </w:r>
      <w:r>
        <w:rPr>
          <w:i/>
        </w:rPr>
        <w:t>Strata Titles Act 1985</w:t>
      </w:r>
      <w:r>
        <w:t xml:space="preserve"> and any applicable by</w:t>
      </w:r>
      <w:r>
        <w:noBreakHyphen/>
        <w:t>laws also apply.</w:t>
      </w:r>
    </w:p>
    <w:p>
      <w:pPr>
        <w:pStyle w:val="zMiscellaneousBody"/>
        <w:pBdr>
          <w:top w:val="single" w:sz="4" w:space="1" w:color="auto" w:shadow="1"/>
          <w:left w:val="single" w:sz="4" w:space="0" w:color="auto" w:shadow="1"/>
          <w:bottom w:val="single" w:sz="4" w:space="1" w:color="auto" w:shadow="1"/>
          <w:right w:val="single" w:sz="4" w:space="4" w:color="auto" w:shadow="1"/>
        </w:pBdr>
        <w:shd w:val="pct15" w:color="auto" w:fill="FFFFFF"/>
        <w:ind w:left="851"/>
        <w:rPr>
          <w:rStyle w:val="CharPartNo"/>
        </w:rPr>
      </w:pPr>
      <w:r>
        <w:t>The</w:t>
      </w:r>
      <w:r>
        <w:rPr>
          <w:i/>
        </w:rPr>
        <w:t xml:space="preserve"> Aged Care Act 1997 </w:t>
      </w:r>
      <w:r>
        <w:t>(Cwlth) has application to residential care services provided under that Act by the administering body of a retirement village.</w:t>
      </w:r>
    </w:p>
    <w:p>
      <w:pPr>
        <w:pStyle w:val="yHeading3"/>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bookmarkStart w:id="101" w:name="_Toc524429503"/>
      <w:bookmarkStart w:id="102" w:name="_Toc524484945"/>
      <w:bookmarkStart w:id="103" w:name="_Toc524485129"/>
      <w:bookmarkStart w:id="104" w:name="_Toc524843371"/>
      <w:bookmarkStart w:id="105" w:name="_Toc34799004"/>
      <w:bookmarkStart w:id="106" w:name="_Toc49158013"/>
      <w:bookmarkStart w:id="107" w:name="_Toc49229995"/>
    </w:p>
    <w:p>
      <w:pPr>
        <w:pStyle w:val="yHeading3"/>
      </w:pPr>
      <w:bookmarkStart w:id="108" w:name="_Toc241299839"/>
      <w:bookmarkStart w:id="109" w:name="_Toc241301096"/>
      <w:bookmarkStart w:id="110" w:name="_Toc241463649"/>
      <w:bookmarkStart w:id="111" w:name="_Toc241555913"/>
      <w:r>
        <w:rPr>
          <w:rStyle w:val="CharSDivNo"/>
        </w:rPr>
        <w:t>Division 2</w:t>
      </w:r>
      <w:r>
        <w:t> — </w:t>
      </w:r>
      <w:r>
        <w:rPr>
          <w:rStyle w:val="CharSDivText"/>
        </w:rPr>
        <w:t xml:space="preserve">Advertising and promotion of retirement </w:t>
      </w:r>
      <w:r>
        <w:t>villages</w:t>
      </w:r>
      <w:bookmarkEnd w:id="108"/>
      <w:bookmarkEnd w:id="109"/>
      <w:bookmarkEnd w:id="110"/>
      <w:bookmarkEnd w:id="111"/>
    </w:p>
    <w:p>
      <w:pPr>
        <w:pStyle w:val="yHeading5"/>
        <w:rPr>
          <w:sz w:val="24"/>
        </w:rPr>
      </w:pPr>
      <w:bookmarkStart w:id="112" w:name="_Toc524425324"/>
      <w:bookmarkStart w:id="113" w:name="_Toc524429504"/>
      <w:bookmarkStart w:id="114" w:name="_Toc524484946"/>
      <w:bookmarkStart w:id="115" w:name="_Toc524485130"/>
      <w:bookmarkStart w:id="116" w:name="_Toc524843372"/>
      <w:bookmarkStart w:id="117" w:name="_Toc34799005"/>
      <w:bookmarkStart w:id="118" w:name="_Toc49158014"/>
      <w:bookmarkStart w:id="119" w:name="_Toc49229996"/>
      <w:bookmarkStart w:id="120" w:name="_Toc241555914"/>
      <w:bookmarkEnd w:id="101"/>
      <w:bookmarkEnd w:id="102"/>
      <w:bookmarkEnd w:id="103"/>
      <w:bookmarkEnd w:id="104"/>
      <w:bookmarkEnd w:id="105"/>
      <w:bookmarkEnd w:id="106"/>
      <w:bookmarkEnd w:id="107"/>
      <w:r>
        <w:rPr>
          <w:rStyle w:val="CharSClsNo"/>
          <w:sz w:val="24"/>
        </w:rPr>
        <w:t>2.1</w:t>
      </w:r>
      <w:r>
        <w:rPr>
          <w:sz w:val="24"/>
        </w:rPr>
        <w:tab/>
        <w:t>General</w:t>
      </w:r>
      <w:bookmarkEnd w:id="112"/>
      <w:bookmarkEnd w:id="113"/>
      <w:bookmarkEnd w:id="114"/>
      <w:bookmarkEnd w:id="115"/>
      <w:bookmarkEnd w:id="116"/>
      <w:bookmarkEnd w:id="117"/>
      <w:bookmarkEnd w:id="118"/>
      <w:bookmarkEnd w:id="119"/>
      <w:bookmarkEnd w:id="120"/>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1987</w:t>
      </w:r>
      <w:r>
        <w:rPr>
          <w:sz w:val="24"/>
        </w:rPr>
        <w:t>.</w:t>
      </w:r>
    </w:p>
    <w:p>
      <w:pPr>
        <w:pStyle w:val="yHeading5"/>
        <w:rPr>
          <w:sz w:val="24"/>
        </w:rPr>
      </w:pPr>
      <w:bookmarkStart w:id="121" w:name="_Toc524425325"/>
      <w:bookmarkStart w:id="122" w:name="_Toc524429505"/>
      <w:bookmarkStart w:id="123" w:name="_Toc524484947"/>
      <w:bookmarkStart w:id="124" w:name="_Toc524485131"/>
      <w:bookmarkStart w:id="125" w:name="_Toc524843373"/>
      <w:bookmarkStart w:id="126" w:name="_Toc34799006"/>
      <w:bookmarkStart w:id="127" w:name="_Toc49158015"/>
      <w:bookmarkStart w:id="128" w:name="_Toc49229997"/>
      <w:bookmarkStart w:id="129" w:name="_Toc241555915"/>
      <w:r>
        <w:rPr>
          <w:rStyle w:val="CharSClsNo"/>
          <w:sz w:val="24"/>
        </w:rPr>
        <w:t>2.2</w:t>
      </w:r>
      <w:r>
        <w:rPr>
          <w:sz w:val="24"/>
        </w:rPr>
        <w:tab/>
        <w:t>Retirement village developments</w:t>
      </w:r>
      <w:bookmarkEnd w:id="121"/>
      <w:bookmarkEnd w:id="122"/>
      <w:bookmarkEnd w:id="123"/>
      <w:bookmarkEnd w:id="124"/>
      <w:bookmarkEnd w:id="125"/>
      <w:bookmarkEnd w:id="126"/>
      <w:bookmarkEnd w:id="127"/>
      <w:bookmarkEnd w:id="128"/>
      <w:bookmarkEnd w:id="12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130" w:name="_Toc524425326"/>
      <w:bookmarkStart w:id="131" w:name="_Toc524429506"/>
      <w:bookmarkStart w:id="132" w:name="_Toc524484948"/>
      <w:bookmarkStart w:id="133" w:name="_Toc524485132"/>
      <w:bookmarkStart w:id="134" w:name="_Toc524843374"/>
      <w:bookmarkStart w:id="135" w:name="_Toc34799007"/>
      <w:bookmarkStart w:id="136" w:name="_Toc49158016"/>
      <w:bookmarkStart w:id="137" w:name="_Toc49229998"/>
      <w:bookmarkStart w:id="138" w:name="_Toc241555916"/>
      <w:r>
        <w:rPr>
          <w:rStyle w:val="CharSClsNo"/>
          <w:sz w:val="24"/>
        </w:rPr>
        <w:t>2.3</w:t>
      </w:r>
      <w:r>
        <w:rPr>
          <w:sz w:val="24"/>
        </w:rPr>
        <w:tab/>
        <w:t>Proposed amenities and services</w:t>
      </w:r>
      <w:bookmarkEnd w:id="130"/>
      <w:bookmarkEnd w:id="131"/>
      <w:bookmarkEnd w:id="132"/>
      <w:bookmarkEnd w:id="133"/>
      <w:bookmarkEnd w:id="134"/>
      <w:bookmarkEnd w:id="135"/>
      <w:bookmarkEnd w:id="136"/>
      <w:bookmarkEnd w:id="137"/>
      <w:bookmarkEnd w:id="138"/>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bookmarkStart w:id="139" w:name="_Toc524425327"/>
      <w:bookmarkStart w:id="140" w:name="_Toc524429507"/>
      <w:bookmarkStart w:id="141" w:name="_Toc524484949"/>
      <w:bookmarkStart w:id="142" w:name="_Toc524485133"/>
      <w:bookmarkStart w:id="143" w:name="_Toc524843375"/>
      <w:bookmarkStart w:id="144" w:name="_Toc34799008"/>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145" w:name="_Toc49158017"/>
      <w:bookmarkStart w:id="146" w:name="_Toc49229999"/>
      <w:bookmarkStart w:id="147" w:name="_Toc241555917"/>
      <w:r>
        <w:rPr>
          <w:rStyle w:val="CharSClsNo"/>
          <w:sz w:val="24"/>
        </w:rPr>
        <w:t>2.4</w:t>
      </w:r>
      <w:r>
        <w:rPr>
          <w:sz w:val="24"/>
        </w:rPr>
        <w:tab/>
      </w:r>
      <w:bookmarkEnd w:id="139"/>
      <w:bookmarkEnd w:id="140"/>
      <w:bookmarkEnd w:id="141"/>
      <w:bookmarkEnd w:id="142"/>
      <w:bookmarkEnd w:id="143"/>
      <w:bookmarkEnd w:id="144"/>
      <w:r>
        <w:rPr>
          <w:sz w:val="24"/>
        </w:rPr>
        <w:t>Approvals for facilities that provide residential aged care services</w:t>
      </w:r>
      <w:bookmarkEnd w:id="145"/>
      <w:bookmarkEnd w:id="146"/>
      <w:bookmarkEnd w:id="147"/>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148" w:name="_Toc524843376"/>
      <w:bookmarkStart w:id="149" w:name="_Toc34799009"/>
      <w:bookmarkStart w:id="150" w:name="_Toc49158018"/>
      <w:bookmarkStart w:id="151" w:name="_Toc49230000"/>
      <w:bookmarkStart w:id="152" w:name="_Toc241555918"/>
      <w:r>
        <w:rPr>
          <w:rStyle w:val="CharSClsNo"/>
          <w:sz w:val="24"/>
        </w:rPr>
        <w:t>2.5</w:t>
      </w:r>
      <w:r>
        <w:tab/>
      </w:r>
      <w:bookmarkEnd w:id="148"/>
      <w:bookmarkEnd w:id="149"/>
      <w:r>
        <w:rPr>
          <w:sz w:val="24"/>
        </w:rPr>
        <w:t>Access to residential aged care services</w:t>
      </w:r>
      <w:bookmarkEnd w:id="150"/>
      <w:bookmarkEnd w:id="151"/>
      <w:bookmarkEnd w:id="152"/>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zMiscellaneousBody"/>
        <w:pBdr>
          <w:top w:val="single" w:sz="4" w:space="1" w:color="auto" w:shadow="1"/>
          <w:left w:val="single" w:sz="4" w:space="0" w:color="auto" w:shadow="1"/>
          <w:bottom w:val="single" w:sz="4" w:space="1" w:color="auto" w:shadow="1"/>
          <w:right w:val="single" w:sz="4" w:space="11" w:color="auto" w:shadow="1"/>
        </w:pBdr>
        <w:shd w:val="clear" w:color="auto" w:fill="FFFFFF"/>
        <w:spacing w:before="120"/>
        <w:ind w:left="851"/>
        <w:rPr>
          <w:spacing w:val="-6"/>
          <w:sz w:val="32"/>
        </w:rPr>
      </w:pPr>
      <w:r>
        <w:rPr>
          <w:spacing w:val="-6"/>
          <w:sz w:val="32"/>
        </w:rPr>
        <w:t xml:space="preserve">You should be aware that current Commonwealth policy guidelines on admission to Commonwealth </w:t>
      </w:r>
      <w:r>
        <w:rPr>
          <w:sz w:val="32"/>
        </w:rPr>
        <w:t>funded</w:t>
      </w:r>
      <w:r>
        <w:rPr>
          <w:spacing w:val="-6"/>
          <w:sz w:val="32"/>
        </w:rPr>
        <w:t xml:space="preserve"> residential aged care facilities require places to be allocated on a “needs” basis.  It is not possible for an organisation providing services for older people to guarantee admission to Commonwealth funded residential aged care facilities.</w:t>
      </w:r>
    </w:p>
    <w:p>
      <w:pPr>
        <w:pStyle w:val="yHeading3"/>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bookmarkStart w:id="153" w:name="_Toc524429509"/>
      <w:bookmarkStart w:id="154" w:name="_Toc524484951"/>
      <w:bookmarkStart w:id="155" w:name="_Toc524485135"/>
      <w:bookmarkStart w:id="156" w:name="_Toc524843377"/>
      <w:bookmarkStart w:id="157" w:name="_Toc34799010"/>
      <w:bookmarkStart w:id="158" w:name="_Toc49158019"/>
      <w:bookmarkStart w:id="159" w:name="_Toc49230001"/>
    </w:p>
    <w:p>
      <w:pPr>
        <w:pStyle w:val="yHeading3"/>
      </w:pPr>
      <w:bookmarkStart w:id="160" w:name="_Toc241299845"/>
      <w:bookmarkStart w:id="161" w:name="_Toc241301102"/>
      <w:bookmarkStart w:id="162" w:name="_Toc241463655"/>
      <w:bookmarkStart w:id="163" w:name="_Toc241555919"/>
      <w:r>
        <w:rPr>
          <w:rStyle w:val="CharSDivNo"/>
        </w:rPr>
        <w:t>Division 3</w:t>
      </w:r>
      <w:r>
        <w:t> — </w:t>
      </w:r>
      <w:r>
        <w:rPr>
          <w:rStyle w:val="CharSDivText"/>
        </w:rPr>
        <w:t>Prospective resident’s right to information before entering into a residence contract or service contract</w:t>
      </w:r>
      <w:bookmarkEnd w:id="160"/>
      <w:bookmarkEnd w:id="161"/>
      <w:bookmarkEnd w:id="162"/>
      <w:bookmarkEnd w:id="163"/>
    </w:p>
    <w:p>
      <w:pPr>
        <w:pStyle w:val="yHeading5"/>
        <w:spacing w:before="160"/>
        <w:rPr>
          <w:sz w:val="24"/>
        </w:rPr>
      </w:pPr>
      <w:bookmarkStart w:id="164" w:name="_Toc524425329"/>
      <w:bookmarkStart w:id="165" w:name="_Toc524429510"/>
      <w:bookmarkStart w:id="166" w:name="_Toc524484952"/>
      <w:bookmarkStart w:id="167" w:name="_Toc524485136"/>
      <w:bookmarkStart w:id="168" w:name="_Toc524843378"/>
      <w:bookmarkStart w:id="169" w:name="_Toc34799011"/>
      <w:bookmarkStart w:id="170" w:name="_Toc49158020"/>
      <w:bookmarkStart w:id="171" w:name="_Toc49230002"/>
      <w:bookmarkStart w:id="172" w:name="_Toc241555920"/>
      <w:bookmarkEnd w:id="153"/>
      <w:bookmarkEnd w:id="154"/>
      <w:bookmarkEnd w:id="155"/>
      <w:bookmarkEnd w:id="156"/>
      <w:bookmarkEnd w:id="157"/>
      <w:bookmarkEnd w:id="158"/>
      <w:bookmarkEnd w:id="159"/>
      <w:r>
        <w:rPr>
          <w:rStyle w:val="CharSClsNo"/>
          <w:sz w:val="24"/>
        </w:rPr>
        <w:t>3.1</w:t>
      </w:r>
      <w:r>
        <w:tab/>
      </w:r>
      <w:r>
        <w:rPr>
          <w:sz w:val="24"/>
        </w:rPr>
        <w:t>Before entering into a residence contract</w:t>
      </w:r>
      <w:bookmarkEnd w:id="164"/>
      <w:bookmarkEnd w:id="165"/>
      <w:bookmarkEnd w:id="166"/>
      <w:bookmarkEnd w:id="167"/>
      <w:bookmarkEnd w:id="168"/>
      <w:bookmarkEnd w:id="169"/>
      <w:bookmarkEnd w:id="170"/>
      <w:bookmarkEnd w:id="171"/>
      <w:bookmarkEnd w:id="172"/>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13(2)(c) the owner of a retirement village is obliged to provide a prospective resident with a copy of the residence rules of that village.  A full statement of the rights conferred under</w:t>
      </w:r>
      <w:r>
        <w:rPr>
          <w:rStyle w:val="CharPartNo"/>
        </w:rPr>
        <w:t xml:space="preserve"> </w:t>
      </w:r>
      <w:r>
        <w:t xml:space="preserve">sections 13 and 14 of that Act is set out in the </w:t>
      </w:r>
      <w:r>
        <w:rPr>
          <w:i/>
        </w:rPr>
        <w:t xml:space="preserve">Retirement Villages Regulations 1992 </w:t>
      </w:r>
      <w:r>
        <w:rPr>
          <w:iCs/>
        </w:rPr>
        <w:t>Schedule 1 Form 2</w:t>
      </w:r>
      <w:r>
        <w: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Information statement by owner</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 xml:space="preserve">Note that under the </w:t>
      </w:r>
      <w:r>
        <w:rPr>
          <w:i/>
        </w:rPr>
        <w:t>Retirement Villages Act 1992</w:t>
      </w:r>
      <w:r>
        <w:t xml:space="preserve"> section 13(2)(a), an owner is required to provide a prospective resident with written answers to the questions set out in the </w:t>
      </w:r>
      <w:r>
        <w:rPr>
          <w:i/>
        </w:rPr>
        <w:t xml:space="preserve">Retirement Villages Regulations 1992 </w:t>
      </w:r>
      <w:r>
        <w:rPr>
          <w:iCs/>
        </w:rPr>
        <w:t>Schedule 1 Form 1</w:t>
      </w:r>
      <w:r>
        <w:t xml:space="preserve">. </w:t>
      </w:r>
      <w:r>
        <w:rPr>
          <w:rStyle w:val="CharPartNo"/>
        </w:rPr>
        <w:t xml:space="preserve"> The questions </w:t>
      </w:r>
      <w:r>
        <w:t>require the owner to disclose such things as —</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premium (i.e. the ingoing contribution) and other costs payable by the resident to enter the retirement village;</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village operating costs payable by the resident and the method or calculation used to determine and vary those costs;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the amenities and services that are provided or made available to the resident and the charges or fees payable by the resident to access or use those amenities and services;</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details of costs associated with moving to and living in alternative accommodation within the retirement village; and</w:t>
      </w:r>
    </w:p>
    <w:p>
      <w:pPr>
        <w:pStyle w:val="zMiscellaneousBody"/>
        <w:numPr>
          <w:ilvl w:val="0"/>
          <w:numId w:val="23"/>
        </w:numPr>
        <w:pBdr>
          <w:top w:val="single" w:sz="4" w:space="1" w:color="auto" w:shadow="1"/>
          <w:left w:val="single" w:sz="4" w:space="1" w:color="auto" w:shadow="1"/>
          <w:bottom w:val="single" w:sz="4" w:space="1" w:color="auto" w:shadow="1"/>
          <w:right w:val="single" w:sz="4" w:space="5" w:color="auto" w:shadow="1"/>
        </w:pBdr>
        <w:shd w:val="pct15" w:color="auto" w:fill="FFFFFF"/>
        <w:tabs>
          <w:tab w:val="num" w:pos="1418"/>
        </w:tabs>
        <w:spacing w:before="120"/>
        <w:ind w:left="1418" w:hanging="567"/>
        <w:rPr>
          <w:iCs/>
        </w:rPr>
      </w:pPr>
      <w:r>
        <w:rPr>
          <w:iCs/>
        </w:rPr>
        <w:t>a clear explanation of the right of the resident to a refund of the whole or a part of the premium on the termination of the residence contract.</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rPr>
          <w:b/>
        </w:rPr>
      </w:pPr>
      <w:r>
        <w:rPr>
          <w:b/>
        </w:rPr>
        <w:t>Appendix 1 — Checklist for residents</w:t>
      </w:r>
    </w:p>
    <w:p>
      <w:pPr>
        <w:pStyle w:val="zMiscellaneousBody"/>
        <w:pBdr>
          <w:top w:val="single" w:sz="4" w:space="1" w:color="auto" w:shadow="1"/>
          <w:left w:val="single" w:sz="4" w:space="1" w:color="auto" w:shadow="1"/>
          <w:bottom w:val="single" w:sz="4" w:space="1" w:color="auto" w:shadow="1"/>
          <w:right w:val="single" w:sz="4" w:space="5" w:color="auto" w:shadow="1"/>
        </w:pBdr>
        <w:shd w:val="pct15" w:color="auto" w:fill="FFFFFF"/>
        <w:spacing w:before="120"/>
        <w:ind w:left="851"/>
      </w:pPr>
      <w:r>
        <w:t>A prospective resident should carefully read and consider the list of questions provided in Appendix 1 to this Code before deciding to enter any retirement village.</w:t>
      </w:r>
    </w:p>
    <w:p>
      <w:pPr>
        <w:pStyle w:val="yHeading5"/>
        <w:spacing w:before="360"/>
        <w:rPr>
          <w:sz w:val="24"/>
        </w:rPr>
      </w:pPr>
      <w:bookmarkStart w:id="173" w:name="_Toc524425330"/>
      <w:bookmarkStart w:id="174" w:name="_Toc524429511"/>
      <w:bookmarkStart w:id="175" w:name="_Toc524484953"/>
      <w:bookmarkStart w:id="176" w:name="_Toc524485137"/>
      <w:bookmarkStart w:id="177" w:name="_Toc524843379"/>
      <w:bookmarkStart w:id="178" w:name="_Toc34799012"/>
      <w:bookmarkStart w:id="179" w:name="_Toc49158021"/>
      <w:bookmarkStart w:id="180" w:name="_Toc49230003"/>
      <w:bookmarkStart w:id="181" w:name="_Toc241555921"/>
      <w:r>
        <w:rPr>
          <w:rStyle w:val="CharSClsNo"/>
          <w:sz w:val="24"/>
        </w:rPr>
        <w:t>3.2</w:t>
      </w:r>
      <w:r>
        <w:rPr>
          <w:sz w:val="24"/>
        </w:rPr>
        <w:tab/>
        <w:t>Before entering into a service contract</w:t>
      </w:r>
      <w:bookmarkEnd w:id="173"/>
      <w:bookmarkEnd w:id="174"/>
      <w:bookmarkEnd w:id="175"/>
      <w:bookmarkEnd w:id="176"/>
      <w:bookmarkEnd w:id="177"/>
      <w:bookmarkEnd w:id="178"/>
      <w:bookmarkEnd w:id="179"/>
      <w:bookmarkEnd w:id="180"/>
      <w:bookmarkEnd w:id="181"/>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bookmarkStart w:id="182" w:name="_Toc524429512"/>
      <w:bookmarkStart w:id="183" w:name="_Toc524484954"/>
      <w:bookmarkStart w:id="184" w:name="_Toc524485138"/>
      <w:bookmarkStart w:id="185" w:name="_Toc524843380"/>
      <w:bookmarkStart w:id="186" w:name="_Toc34799013"/>
      <w:bookmarkStart w:id="187" w:name="_Toc49158022"/>
      <w:bookmarkStart w:id="188" w:name="_Toc49230004"/>
    </w:p>
    <w:p>
      <w:pPr>
        <w:pStyle w:val="yHeading3"/>
      </w:pPr>
      <w:bookmarkStart w:id="189" w:name="_Toc241299848"/>
      <w:bookmarkStart w:id="190" w:name="_Toc241301105"/>
      <w:bookmarkStart w:id="191" w:name="_Toc241463658"/>
      <w:bookmarkStart w:id="192" w:name="_Toc241555922"/>
      <w:r>
        <w:rPr>
          <w:rStyle w:val="CharSDivNo"/>
        </w:rPr>
        <w:t>Division 4</w:t>
      </w:r>
      <w:r>
        <w:t> — </w:t>
      </w:r>
      <w:r>
        <w:rPr>
          <w:rStyle w:val="CharSDivText"/>
        </w:rPr>
        <w:t>Residence contract and service contract</w:t>
      </w:r>
      <w:bookmarkEnd w:id="189"/>
      <w:bookmarkEnd w:id="190"/>
      <w:bookmarkEnd w:id="191"/>
      <w:bookmarkEnd w:id="192"/>
    </w:p>
    <w:p>
      <w:pPr>
        <w:pStyle w:val="yHeading5"/>
        <w:rPr>
          <w:sz w:val="24"/>
        </w:rPr>
      </w:pPr>
      <w:bookmarkStart w:id="193" w:name="_Toc524425331"/>
      <w:bookmarkStart w:id="194" w:name="_Toc524429513"/>
      <w:bookmarkStart w:id="195" w:name="_Toc524484955"/>
      <w:bookmarkStart w:id="196" w:name="_Toc524485139"/>
      <w:bookmarkStart w:id="197" w:name="_Toc524843381"/>
      <w:bookmarkStart w:id="198" w:name="_Toc34799014"/>
      <w:bookmarkStart w:id="199" w:name="_Toc49158023"/>
      <w:bookmarkStart w:id="200" w:name="_Toc49230005"/>
      <w:bookmarkStart w:id="201" w:name="_Toc241555923"/>
      <w:bookmarkEnd w:id="182"/>
      <w:bookmarkEnd w:id="183"/>
      <w:bookmarkEnd w:id="184"/>
      <w:bookmarkEnd w:id="185"/>
      <w:bookmarkEnd w:id="186"/>
      <w:bookmarkEnd w:id="187"/>
      <w:bookmarkEnd w:id="188"/>
      <w:r>
        <w:rPr>
          <w:rStyle w:val="CharSClsNo"/>
          <w:sz w:val="24"/>
        </w:rPr>
        <w:t>4.1</w:t>
      </w:r>
      <w:r>
        <w:rPr>
          <w:sz w:val="24"/>
        </w:rPr>
        <w:tab/>
        <w:t>Legibility and presentation requirements</w:t>
      </w:r>
      <w:bookmarkEnd w:id="193"/>
      <w:bookmarkEnd w:id="194"/>
      <w:bookmarkEnd w:id="195"/>
      <w:bookmarkEnd w:id="196"/>
      <w:bookmarkEnd w:id="197"/>
      <w:bookmarkEnd w:id="198"/>
      <w:bookmarkEnd w:id="199"/>
      <w:bookmarkEnd w:id="200"/>
      <w:bookmarkEnd w:id="201"/>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zMiscellaneousBody"/>
        <w:keepNext/>
        <w:keepLines/>
        <w:pBdr>
          <w:top w:val="single" w:sz="4" w:space="1" w:color="auto"/>
          <w:left w:val="single" w:sz="4" w:space="0" w:color="auto"/>
          <w:bottom w:val="single" w:sz="4" w:space="1" w:color="auto"/>
          <w:right w:val="single" w:sz="4" w:space="4" w:color="auto"/>
        </w:pBdr>
        <w:spacing w:before="120"/>
        <w:ind w:left="851"/>
        <w:rPr>
          <w:sz w:val="32"/>
        </w:rPr>
      </w:pPr>
      <w:r>
        <w:rPr>
          <w:sz w:val="32"/>
        </w:rPr>
        <w:t>I acknowledge that I have been given a copy of, and have had the opportunity to take independent advice on, this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rStyle w:val="CharPartNo"/>
          <w:b/>
        </w:rPr>
      </w:pPr>
      <w:r>
        <w:rPr>
          <w:b/>
        </w:rPr>
        <w:t>Residence contract cooling 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Under the </w:t>
      </w:r>
      <w:r>
        <w:rPr>
          <w:i/>
        </w:rPr>
        <w:t>Retirement Villages Act 1992</w:t>
      </w:r>
      <w:r>
        <w:t xml:space="preserve"> section 14, a residence contract entered into after the commencement of the Act must provide for a cooling</w:t>
      </w:r>
      <w:r>
        <w:noBreakHyphen/>
        <w:t>off period of not less than 5 working days after the date of the contract (i.e. the day on which the contract was signed by the last party to sign it).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If the information referred to in section 13(2) of that Act is not provided at least 5 days before a residence contract is entered into, the cooling</w:t>
      </w:r>
      <w:r>
        <w:noBreakHyphen/>
        <w:t>off period for that contract is 10 days after the day on which the information is provided.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During the cooling</w:t>
      </w:r>
      <w:r>
        <w:rPr>
          <w:spacing w:val="-4"/>
        </w:rPr>
        <w:noBreakHyphen/>
        <w:t>off period, a person may withdraw from a residence contract by giving notice in writing to all other parties to the contract (unless the person has entered into residence in the retirement village during the cooling</w:t>
      </w:r>
      <w:r>
        <w:rPr>
          <w:spacing w:val="-4"/>
        </w:rPr>
        <w:noBreakHyphen/>
        <w:t>off period).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rPr>
          <w:spacing w:val="-4"/>
        </w:rPr>
      </w:pPr>
      <w:r>
        <w:rPr>
          <w:spacing w:val="-4"/>
        </w:rPr>
        <w:t xml:space="preserve">On withdrawing from a residence contract a person is entitled, subject to the provisions of the </w:t>
      </w:r>
      <w:r>
        <w:rPr>
          <w:i/>
          <w:spacing w:val="-4"/>
        </w:rPr>
        <w:t>Retirement Villages Act 1992</w:t>
      </w:r>
      <w:r>
        <w:rPr>
          <w:spacing w:val="-4"/>
        </w:rPr>
        <w:t xml:space="preserve"> sections 14(2) and 75, to the full repayment of all moneys paid.</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rPr>
          <w:spacing w:val="-4"/>
        </w:rPr>
        <w:t xml:space="preserve">Where a facility provides a residential care service to a person under the </w:t>
      </w:r>
      <w:r>
        <w:rPr>
          <w:i/>
          <w:spacing w:val="-4"/>
        </w:rPr>
        <w:t>Aged Care Act 1997</w:t>
      </w:r>
      <w:r>
        <w:rPr>
          <w:spacing w:val="-4"/>
        </w:rPr>
        <w:t xml:space="preserve"> </w:t>
      </w:r>
      <w:r>
        <w:t>(Cwlth)</w:t>
      </w:r>
      <w:r>
        <w:rPr>
          <w:spacing w:val="-4"/>
        </w:rPr>
        <w:t>, Subdivision 57</w:t>
      </w:r>
      <w:r>
        <w:rPr>
          <w:spacing w:val="-4"/>
        </w:rPr>
        <w:noBreakHyphen/>
        <w:t>G of that Act will apply to the refund of any entry payment made by the person for the provision of the service.</w:t>
      </w:r>
    </w:p>
    <w:p>
      <w:pPr>
        <w:pStyle w:val="yHeading5"/>
        <w:rPr>
          <w:sz w:val="24"/>
        </w:rPr>
      </w:pPr>
      <w:bookmarkStart w:id="202" w:name="_Toc524425332"/>
      <w:bookmarkStart w:id="203" w:name="_Toc524429514"/>
      <w:bookmarkStart w:id="204" w:name="_Toc524484956"/>
      <w:bookmarkStart w:id="205" w:name="_Toc524485140"/>
      <w:bookmarkStart w:id="206" w:name="_Toc524843382"/>
      <w:bookmarkStart w:id="207" w:name="_Toc34799015"/>
      <w:bookmarkStart w:id="208" w:name="_Toc49158024"/>
      <w:bookmarkStart w:id="209" w:name="_Toc49230006"/>
      <w:bookmarkStart w:id="210" w:name="_Toc241555924"/>
      <w:r>
        <w:rPr>
          <w:rStyle w:val="CharSClsNo"/>
          <w:sz w:val="24"/>
        </w:rPr>
        <w:t>4.2</w:t>
      </w:r>
      <w:r>
        <w:rPr>
          <w:sz w:val="24"/>
        </w:rPr>
        <w:tab/>
        <w:t>Title and tenure</w:t>
      </w:r>
      <w:bookmarkEnd w:id="202"/>
      <w:bookmarkEnd w:id="203"/>
      <w:bookmarkEnd w:id="204"/>
      <w:bookmarkEnd w:id="205"/>
      <w:bookmarkEnd w:id="206"/>
      <w:bookmarkEnd w:id="207"/>
      <w:bookmarkEnd w:id="208"/>
      <w:bookmarkEnd w:id="209"/>
      <w:bookmarkEnd w:id="210"/>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211" w:name="_Toc524425333"/>
      <w:bookmarkStart w:id="212" w:name="_Toc524429515"/>
      <w:bookmarkStart w:id="213" w:name="_Toc524484957"/>
      <w:bookmarkStart w:id="214" w:name="_Toc524485141"/>
      <w:bookmarkStart w:id="215" w:name="_Toc524843383"/>
      <w:bookmarkStart w:id="216" w:name="_Toc34799016"/>
      <w:bookmarkStart w:id="217" w:name="_Toc49158025"/>
      <w:bookmarkStart w:id="218" w:name="_Toc49230007"/>
      <w:bookmarkStart w:id="219" w:name="_Toc241555925"/>
      <w:r>
        <w:rPr>
          <w:rStyle w:val="CharSClsNo"/>
          <w:sz w:val="24"/>
        </w:rPr>
        <w:t>4.3</w:t>
      </w:r>
      <w:r>
        <w:tab/>
      </w:r>
      <w:bookmarkEnd w:id="211"/>
      <w:bookmarkEnd w:id="212"/>
      <w:bookmarkEnd w:id="213"/>
      <w:bookmarkEnd w:id="214"/>
      <w:bookmarkEnd w:id="215"/>
      <w:bookmarkEnd w:id="216"/>
      <w:r>
        <w:rPr>
          <w:sz w:val="24"/>
        </w:rPr>
        <w:t>Residential premises</w:t>
      </w:r>
      <w:bookmarkEnd w:id="217"/>
      <w:bookmarkEnd w:id="218"/>
      <w:bookmarkEnd w:id="219"/>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220" w:name="_Toc524425334"/>
      <w:bookmarkStart w:id="221" w:name="_Toc524429516"/>
      <w:bookmarkStart w:id="222" w:name="_Toc524484958"/>
      <w:bookmarkStart w:id="223" w:name="_Toc524485142"/>
      <w:bookmarkStart w:id="224" w:name="_Toc524843384"/>
      <w:bookmarkStart w:id="225" w:name="_Toc34799017"/>
      <w:bookmarkStart w:id="226" w:name="_Toc49158026"/>
      <w:bookmarkStart w:id="227" w:name="_Toc49230008"/>
      <w:bookmarkStart w:id="228" w:name="_Toc241555926"/>
      <w:r>
        <w:rPr>
          <w:rStyle w:val="CharSClsNo"/>
          <w:sz w:val="24"/>
        </w:rPr>
        <w:t>4.4</w:t>
      </w:r>
      <w:r>
        <w:tab/>
      </w:r>
      <w:bookmarkEnd w:id="220"/>
      <w:bookmarkEnd w:id="221"/>
      <w:bookmarkEnd w:id="222"/>
      <w:bookmarkEnd w:id="223"/>
      <w:bookmarkEnd w:id="224"/>
      <w:bookmarkEnd w:id="225"/>
      <w:r>
        <w:rPr>
          <w:sz w:val="24"/>
        </w:rPr>
        <w:t>Amenities</w:t>
      </w:r>
      <w:bookmarkEnd w:id="226"/>
      <w:bookmarkEnd w:id="227"/>
      <w:bookmarkEnd w:id="228"/>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bookmarkStart w:id="229" w:name="_Toc524425335"/>
      <w:bookmarkStart w:id="230" w:name="_Toc524429517"/>
      <w:bookmarkStart w:id="231" w:name="_Toc524484959"/>
      <w:bookmarkStart w:id="232" w:name="_Toc524485143"/>
      <w:bookmarkStart w:id="233" w:name="_Toc524843385"/>
      <w:bookmarkStart w:id="234" w:name="_Toc34799018"/>
      <w:r>
        <w:rPr>
          <w:sz w:val="24"/>
        </w:rPr>
        <w:tab/>
        <w:t>(c)</w:t>
      </w:r>
      <w:r>
        <w:rPr>
          <w:sz w:val="24"/>
        </w:rPr>
        <w:tab/>
        <w:t>the basis for the future determination of the costs of providing or making those amenities available.</w:t>
      </w:r>
    </w:p>
    <w:p>
      <w:pPr>
        <w:pStyle w:val="yHeading5"/>
        <w:rPr>
          <w:sz w:val="24"/>
        </w:rPr>
      </w:pPr>
      <w:bookmarkStart w:id="235" w:name="_Toc49158027"/>
      <w:bookmarkStart w:id="236" w:name="_Toc49230009"/>
      <w:bookmarkStart w:id="237" w:name="_Toc241555927"/>
      <w:r>
        <w:rPr>
          <w:rStyle w:val="CharSClsNo"/>
          <w:sz w:val="24"/>
        </w:rPr>
        <w:t>4.5</w:t>
      </w:r>
      <w:r>
        <w:tab/>
      </w:r>
      <w:bookmarkEnd w:id="229"/>
      <w:bookmarkEnd w:id="230"/>
      <w:bookmarkEnd w:id="231"/>
      <w:bookmarkEnd w:id="232"/>
      <w:bookmarkEnd w:id="233"/>
      <w:bookmarkEnd w:id="234"/>
      <w:r>
        <w:rPr>
          <w:sz w:val="24"/>
        </w:rPr>
        <w:t>Services</w:t>
      </w:r>
      <w:bookmarkEnd w:id="235"/>
      <w:bookmarkEnd w:id="236"/>
      <w:bookmarkEnd w:id="237"/>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Examples of personal services are the provision of meals, laundry services and the cleaning of the resident’s residential premises.</w:t>
      </w:r>
    </w:p>
    <w:p>
      <w:pPr>
        <w:pStyle w:val="yHeading5"/>
      </w:pPr>
      <w:bookmarkStart w:id="238" w:name="_Toc524425336"/>
      <w:bookmarkStart w:id="239" w:name="_Toc524429518"/>
      <w:bookmarkStart w:id="240" w:name="_Toc524484960"/>
      <w:bookmarkStart w:id="241" w:name="_Toc524485144"/>
      <w:bookmarkStart w:id="242" w:name="_Toc524843386"/>
      <w:bookmarkStart w:id="243" w:name="_Toc34799019"/>
      <w:bookmarkStart w:id="244" w:name="_Toc49158028"/>
      <w:bookmarkStart w:id="245" w:name="_Toc49230010"/>
      <w:bookmarkStart w:id="246" w:name="_Toc241555928"/>
      <w:r>
        <w:rPr>
          <w:rStyle w:val="CharSClsNo"/>
          <w:sz w:val="24"/>
        </w:rPr>
        <w:t>4.6</w:t>
      </w:r>
      <w:r>
        <w:tab/>
      </w:r>
      <w:bookmarkEnd w:id="238"/>
      <w:bookmarkEnd w:id="239"/>
      <w:bookmarkEnd w:id="240"/>
      <w:bookmarkEnd w:id="241"/>
      <w:bookmarkEnd w:id="242"/>
      <w:bookmarkEnd w:id="243"/>
      <w:r>
        <w:rPr>
          <w:sz w:val="24"/>
        </w:rPr>
        <w:t>Payment of premium and refund entitlement</w:t>
      </w:r>
      <w:bookmarkEnd w:id="244"/>
      <w:bookmarkEnd w:id="245"/>
      <w:bookmarkEnd w:id="246"/>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bookmarkStart w:id="247" w:name="_Toc524425337"/>
      <w:bookmarkStart w:id="248" w:name="_Toc524429519"/>
      <w:bookmarkStart w:id="249" w:name="_Toc524484961"/>
      <w:bookmarkStart w:id="250" w:name="_Toc524485145"/>
      <w:bookmarkStart w:id="251" w:name="_Toc524843387"/>
      <w:bookmarkStart w:id="252" w:name="_Toc34799020"/>
      <w:r>
        <w:t>An example of a cost referred to in paragraph (b)(iii) above is the cost of any repair or refurbishment of the residential premises.</w:t>
      </w:r>
    </w:p>
    <w:p>
      <w:pPr>
        <w:pStyle w:val="yHeading5"/>
      </w:pPr>
      <w:bookmarkStart w:id="253" w:name="_Toc49158029"/>
      <w:bookmarkStart w:id="254" w:name="_Toc49230011"/>
      <w:bookmarkStart w:id="255" w:name="_Toc241555929"/>
      <w:r>
        <w:rPr>
          <w:rStyle w:val="CharSClsNo"/>
          <w:sz w:val="24"/>
        </w:rPr>
        <w:t>4.7</w:t>
      </w:r>
      <w:r>
        <w:tab/>
      </w:r>
      <w:bookmarkEnd w:id="247"/>
      <w:bookmarkEnd w:id="248"/>
      <w:bookmarkEnd w:id="249"/>
      <w:bookmarkEnd w:id="250"/>
      <w:bookmarkEnd w:id="251"/>
      <w:bookmarkEnd w:id="252"/>
      <w:r>
        <w:rPr>
          <w:sz w:val="24"/>
        </w:rPr>
        <w:t>Charges for village operating costs</w:t>
      </w:r>
      <w:bookmarkEnd w:id="253"/>
      <w:bookmarkEnd w:id="254"/>
      <w:bookmarkEnd w:id="255"/>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bookmarkStart w:id="256" w:name="_Toc524425338"/>
      <w:bookmarkStart w:id="257" w:name="_Toc524429520"/>
      <w:bookmarkStart w:id="258" w:name="_Toc524484962"/>
      <w:bookmarkStart w:id="259" w:name="_Toc524485146"/>
      <w:bookmarkStart w:id="260" w:name="_Toc524843388"/>
      <w:bookmarkStart w:id="261" w:name="_Toc34799021"/>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262" w:name="_Toc49158030"/>
      <w:bookmarkStart w:id="263" w:name="_Toc49230012"/>
      <w:bookmarkStart w:id="264" w:name="_Toc241555930"/>
      <w:r>
        <w:rPr>
          <w:rStyle w:val="CharSClsNo"/>
          <w:sz w:val="24"/>
        </w:rPr>
        <w:t>4.8</w:t>
      </w:r>
      <w:r>
        <w:tab/>
      </w:r>
      <w:r>
        <w:rPr>
          <w:sz w:val="24"/>
        </w:rPr>
        <w:t>Reserve funds</w:t>
      </w:r>
      <w:bookmarkEnd w:id="262"/>
      <w:bookmarkEnd w:id="263"/>
      <w:bookmarkEnd w:id="264"/>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265" w:name="_Toc49158031"/>
      <w:bookmarkStart w:id="266" w:name="_Toc49230013"/>
      <w:bookmarkStart w:id="267" w:name="_Toc241555931"/>
      <w:r>
        <w:rPr>
          <w:rStyle w:val="CharSClsNo"/>
          <w:sz w:val="24"/>
        </w:rPr>
        <w:t>4.9</w:t>
      </w:r>
      <w:r>
        <w:tab/>
      </w:r>
      <w:r>
        <w:rPr>
          <w:sz w:val="24"/>
        </w:rPr>
        <w:t>Relocation</w:t>
      </w:r>
      <w:bookmarkEnd w:id="265"/>
      <w:bookmarkEnd w:id="266"/>
      <w:bookmarkEnd w:id="267"/>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268" w:name="_Toc49158032"/>
      <w:bookmarkStart w:id="269" w:name="_Toc49230014"/>
      <w:bookmarkStart w:id="270" w:name="_Toc241555932"/>
      <w:r>
        <w:rPr>
          <w:rStyle w:val="CharSClsNo"/>
          <w:sz w:val="24"/>
        </w:rPr>
        <w:t>4.10</w:t>
      </w:r>
      <w:r>
        <w:tab/>
      </w:r>
      <w:bookmarkEnd w:id="256"/>
      <w:bookmarkEnd w:id="257"/>
      <w:bookmarkEnd w:id="258"/>
      <w:bookmarkEnd w:id="259"/>
      <w:bookmarkEnd w:id="260"/>
      <w:bookmarkEnd w:id="261"/>
      <w:r>
        <w:rPr>
          <w:sz w:val="24"/>
        </w:rPr>
        <w:t>Termination of residence contract and fees payable on termination</w:t>
      </w:r>
      <w:bookmarkEnd w:id="268"/>
      <w:bookmarkEnd w:id="269"/>
      <w:bookmarkEnd w:id="270"/>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zMiscellaneousBody"/>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conditions under which a residence contract can be terminated, and the cost of the termination, must also be specified in the answers to the questions set out in Form 1 of Schedule 1 to the </w:t>
      </w:r>
      <w:r>
        <w:rPr>
          <w:i/>
        </w:rPr>
        <w:t>Retirement Villages Regulations 1992</w:t>
      </w:r>
      <w:r>
        <w:t xml:space="preserve">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 xml:space="preserve">The legal rights and responsibilities of the administering body and the resident in relation to the termination of a residence contract are set out in Part 4 Division 5 of the </w:t>
      </w:r>
      <w:r>
        <w:rPr>
          <w:i/>
        </w:rPr>
        <w:t>Retirement Villages Act 1992</w:t>
      </w:r>
      <w:r>
        <w:t xml:space="preserve"> and clause 7.1 of this Code.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A summary of these rights and responsibilities and the powers of the State Administrative Tribunal to terminate a residence contract, is set out in the boxed and shaded information in Division 7 of this Code.</w:t>
      </w:r>
    </w:p>
    <w:p>
      <w:pPr>
        <w:pStyle w:val="yHeading5"/>
        <w:rPr>
          <w:sz w:val="24"/>
        </w:rPr>
      </w:pPr>
      <w:bookmarkStart w:id="271" w:name="_Toc524425339"/>
      <w:bookmarkStart w:id="272" w:name="_Toc524429521"/>
      <w:bookmarkStart w:id="273" w:name="_Toc524484963"/>
      <w:bookmarkStart w:id="274" w:name="_Toc524485147"/>
      <w:bookmarkStart w:id="275" w:name="_Toc524843389"/>
      <w:bookmarkStart w:id="276" w:name="_Toc34799022"/>
      <w:bookmarkStart w:id="277" w:name="_Toc49158033"/>
      <w:bookmarkStart w:id="278" w:name="_Toc49230015"/>
      <w:bookmarkStart w:id="279" w:name="_Toc241555933"/>
      <w:r>
        <w:rPr>
          <w:rStyle w:val="CharSClsNo"/>
          <w:sz w:val="24"/>
        </w:rPr>
        <w:t>4.11</w:t>
      </w:r>
      <w:r>
        <w:rPr>
          <w:sz w:val="24"/>
        </w:rPr>
        <w:tab/>
        <w:t>Residence contract to refer to this Code and the Retirement Villages Act 1992</w:t>
      </w:r>
      <w:bookmarkEnd w:id="271"/>
      <w:bookmarkEnd w:id="272"/>
      <w:bookmarkEnd w:id="273"/>
      <w:bookmarkEnd w:id="274"/>
      <w:bookmarkEnd w:id="275"/>
      <w:bookmarkEnd w:id="276"/>
      <w:bookmarkEnd w:id="277"/>
      <w:bookmarkEnd w:id="278"/>
      <w:bookmarkEnd w:id="279"/>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bookmarkStart w:id="280" w:name="_Toc49158034"/>
      <w:bookmarkStart w:id="281" w:name="_Toc49230016"/>
    </w:p>
    <w:p>
      <w:pPr>
        <w:pStyle w:val="yHeading3"/>
      </w:pPr>
      <w:bookmarkStart w:id="282" w:name="_Toc241299860"/>
      <w:bookmarkStart w:id="283" w:name="_Toc241301117"/>
      <w:bookmarkStart w:id="284" w:name="_Toc241463670"/>
      <w:bookmarkStart w:id="285" w:name="_Toc241555934"/>
      <w:r>
        <w:rPr>
          <w:rStyle w:val="CharSDivNo"/>
        </w:rPr>
        <w:t>Division 5</w:t>
      </w:r>
      <w:r>
        <w:t> — </w:t>
      </w:r>
      <w:r>
        <w:rPr>
          <w:rStyle w:val="CharSDivText"/>
        </w:rPr>
        <w:t>Village management</w:t>
      </w:r>
      <w:bookmarkEnd w:id="282"/>
      <w:bookmarkEnd w:id="283"/>
      <w:bookmarkEnd w:id="284"/>
      <w:bookmarkEnd w:id="285"/>
    </w:p>
    <w:p>
      <w:pPr>
        <w:pStyle w:val="yHeading5"/>
      </w:pPr>
      <w:bookmarkStart w:id="286" w:name="_Toc524425340"/>
      <w:bookmarkStart w:id="287" w:name="_Toc524429523"/>
      <w:bookmarkStart w:id="288" w:name="_Toc524484965"/>
      <w:bookmarkStart w:id="289" w:name="_Toc524485149"/>
      <w:bookmarkStart w:id="290" w:name="_Toc524843391"/>
      <w:bookmarkStart w:id="291" w:name="_Toc34799024"/>
      <w:bookmarkStart w:id="292" w:name="_Toc49158035"/>
      <w:bookmarkStart w:id="293" w:name="_Toc49230017"/>
      <w:bookmarkStart w:id="294" w:name="_Toc241555935"/>
      <w:bookmarkEnd w:id="280"/>
      <w:bookmarkEnd w:id="281"/>
      <w:r>
        <w:rPr>
          <w:rStyle w:val="CharSClsNo"/>
          <w:sz w:val="24"/>
        </w:rPr>
        <w:t>5.1</w:t>
      </w:r>
      <w:r>
        <w:tab/>
      </w:r>
      <w:r>
        <w:rPr>
          <w:sz w:val="24"/>
        </w:rPr>
        <w:t>Interpretation</w:t>
      </w:r>
      <w:bookmarkEnd w:id="286"/>
      <w:bookmarkEnd w:id="287"/>
      <w:bookmarkEnd w:id="288"/>
      <w:bookmarkEnd w:id="289"/>
      <w:bookmarkEnd w:id="290"/>
      <w:bookmarkEnd w:id="291"/>
      <w:bookmarkEnd w:id="292"/>
      <w:bookmarkEnd w:id="293"/>
      <w:bookmarkEnd w:id="294"/>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zMiscellaneousBody"/>
        <w:keepNext/>
        <w:keepLines/>
        <w:pBdr>
          <w:top w:val="single" w:sz="4" w:space="1" w:color="auto" w:shadow="1"/>
          <w:left w:val="single" w:sz="4" w:space="0" w:color="auto" w:shadow="1"/>
          <w:bottom w:val="single" w:sz="4" w:space="1" w:color="auto" w:shadow="1"/>
          <w:right w:val="single" w:sz="4" w:space="5" w:color="auto" w:shadow="1"/>
        </w:pBdr>
        <w:shd w:val="pct15" w:color="auto" w:fill="FFFFFF"/>
        <w:spacing w:before="120"/>
        <w:ind w:left="851"/>
      </w:pPr>
      <w:r>
        <w:t>The voting entitlement of the residents is specified at clause 5.11(9) of this Code.</w:t>
      </w:r>
    </w:p>
    <w:p>
      <w:pPr>
        <w:pStyle w:val="yHeading5"/>
        <w:spacing w:before="160"/>
      </w:pPr>
      <w:bookmarkStart w:id="295" w:name="_Toc49158036"/>
      <w:bookmarkStart w:id="296" w:name="_Toc49230018"/>
      <w:bookmarkStart w:id="297" w:name="_Toc241555936"/>
      <w:r>
        <w:rPr>
          <w:rStyle w:val="CharSClsNo"/>
          <w:sz w:val="24"/>
        </w:rPr>
        <w:t>5.2</w:t>
      </w:r>
      <w:r>
        <w:tab/>
      </w:r>
      <w:r>
        <w:rPr>
          <w:sz w:val="24"/>
        </w:rPr>
        <w:t>Management procedures and resident consultation</w:t>
      </w:r>
      <w:bookmarkEnd w:id="295"/>
      <w:bookmarkEnd w:id="296"/>
      <w:bookmarkEnd w:id="297"/>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298" w:name="_Toc524425341"/>
      <w:bookmarkStart w:id="299" w:name="_Toc524429524"/>
      <w:bookmarkStart w:id="300" w:name="_Toc524484966"/>
      <w:bookmarkStart w:id="301" w:name="_Toc524485150"/>
      <w:bookmarkStart w:id="302" w:name="_Toc524843392"/>
      <w:bookmarkStart w:id="303" w:name="_Toc34799025"/>
      <w:bookmarkStart w:id="304" w:name="_Toc49158037"/>
      <w:bookmarkStart w:id="305" w:name="_Toc49230019"/>
      <w:bookmarkStart w:id="306" w:name="_Toc241555937"/>
      <w:r>
        <w:rPr>
          <w:rStyle w:val="CharSClsNo"/>
          <w:sz w:val="24"/>
        </w:rPr>
        <w:t>5.3</w:t>
      </w:r>
      <w:r>
        <w:tab/>
      </w:r>
      <w:bookmarkEnd w:id="298"/>
      <w:bookmarkEnd w:id="299"/>
      <w:bookmarkEnd w:id="300"/>
      <w:bookmarkEnd w:id="301"/>
      <w:bookmarkEnd w:id="302"/>
      <w:bookmarkEnd w:id="303"/>
      <w:r>
        <w:rPr>
          <w:sz w:val="24"/>
        </w:rPr>
        <w:t>Village operating budget</w:t>
      </w:r>
      <w:bookmarkEnd w:id="304"/>
      <w:bookmarkEnd w:id="305"/>
      <w:bookmarkEnd w:id="306"/>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r>
      <w:bookmarkStart w:id="307" w:name="_Hlt48105213"/>
      <w:bookmarkEnd w:id="307"/>
      <w:r>
        <w:rPr>
          <w:sz w:val="24"/>
        </w:rPr>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308" w:name="_Hlt48116945"/>
      <w:bookmarkStart w:id="309" w:name="_Toc49158038"/>
      <w:bookmarkStart w:id="310" w:name="_Toc49230020"/>
      <w:bookmarkStart w:id="311" w:name="_Toc241555938"/>
      <w:bookmarkEnd w:id="308"/>
      <w:r>
        <w:rPr>
          <w:rStyle w:val="CharSClsNo"/>
          <w:sz w:val="24"/>
        </w:rPr>
        <w:t>5.4</w:t>
      </w:r>
      <w:r>
        <w:tab/>
      </w:r>
      <w:r>
        <w:rPr>
          <w:sz w:val="24"/>
        </w:rPr>
        <w:t>Quarterly operating income and expenditure statements</w:t>
      </w:r>
      <w:bookmarkEnd w:id="309"/>
      <w:bookmarkEnd w:id="310"/>
      <w:bookmarkEnd w:id="311"/>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r>
      <w:bookmarkStart w:id="312" w:name="_Hlt48116458"/>
      <w:bookmarkEnd w:id="312"/>
      <w:r>
        <w:rPr>
          <w:sz w:val="24"/>
        </w:rPr>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313" w:name="_Toc49158039"/>
      <w:bookmarkStart w:id="314" w:name="_Toc49230021"/>
      <w:bookmarkStart w:id="315" w:name="_Toc241555939"/>
      <w:r>
        <w:rPr>
          <w:rStyle w:val="CharSClsNo"/>
          <w:sz w:val="24"/>
        </w:rPr>
        <w:t>5.5</w:t>
      </w:r>
      <w:r>
        <w:tab/>
      </w:r>
      <w:r>
        <w:rPr>
          <w:sz w:val="24"/>
        </w:rPr>
        <w:t>Annual accounts</w:t>
      </w:r>
      <w:bookmarkEnd w:id="313"/>
      <w:bookmarkEnd w:id="314"/>
      <w:bookmarkEnd w:id="315"/>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316" w:name="_Toc49158040"/>
      <w:bookmarkStart w:id="317" w:name="_Toc49230022"/>
      <w:bookmarkStart w:id="318" w:name="_Toc241555940"/>
      <w:r>
        <w:rPr>
          <w:rStyle w:val="CharSClsNo"/>
          <w:sz w:val="24"/>
        </w:rPr>
        <w:t>5.6</w:t>
      </w:r>
      <w:r>
        <w:tab/>
      </w:r>
      <w:r>
        <w:rPr>
          <w:sz w:val="24"/>
        </w:rPr>
        <w:t>Budget surplus</w:t>
      </w:r>
      <w:bookmarkEnd w:id="316"/>
      <w:bookmarkEnd w:id="317"/>
      <w:bookmarkEnd w:id="318"/>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319" w:name="_Toc49158041"/>
      <w:bookmarkStart w:id="320" w:name="_Toc49230023"/>
      <w:bookmarkStart w:id="321" w:name="_Toc241555941"/>
      <w:r>
        <w:rPr>
          <w:rStyle w:val="CharSClsNo"/>
          <w:sz w:val="24"/>
        </w:rPr>
        <w:t>5.7</w:t>
      </w:r>
      <w:r>
        <w:tab/>
      </w:r>
      <w:r>
        <w:rPr>
          <w:sz w:val="24"/>
        </w:rPr>
        <w:t>Marketing of residential premises</w:t>
      </w:r>
      <w:bookmarkEnd w:id="319"/>
      <w:bookmarkEnd w:id="320"/>
      <w:bookmarkEnd w:id="321"/>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322" w:name="_Toc49158042"/>
      <w:bookmarkStart w:id="323" w:name="_Toc49230024"/>
      <w:bookmarkStart w:id="324" w:name="_Toc241555942"/>
      <w:r>
        <w:rPr>
          <w:rStyle w:val="CharSClsNo"/>
          <w:sz w:val="24"/>
        </w:rPr>
        <w:t>5.8</w:t>
      </w:r>
      <w:r>
        <w:tab/>
      </w:r>
      <w:r>
        <w:rPr>
          <w:sz w:val="24"/>
        </w:rPr>
        <w:t>Repair and refurbishment of residential premises</w:t>
      </w:r>
      <w:bookmarkEnd w:id="322"/>
      <w:bookmarkEnd w:id="323"/>
      <w:bookmarkEnd w:id="324"/>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325" w:name="_Toc524425343"/>
      <w:bookmarkStart w:id="326" w:name="_Toc524429526"/>
      <w:bookmarkStart w:id="327" w:name="_Toc524484968"/>
      <w:bookmarkStart w:id="328" w:name="_Toc524485152"/>
      <w:bookmarkStart w:id="329" w:name="_Toc524843394"/>
      <w:bookmarkStart w:id="330" w:name="_Toc34799027"/>
      <w:bookmarkStart w:id="331" w:name="_Toc49158043"/>
      <w:bookmarkStart w:id="332" w:name="_Toc49230025"/>
      <w:bookmarkStart w:id="333" w:name="_Toc241555943"/>
      <w:r>
        <w:rPr>
          <w:rStyle w:val="CharSClsNo"/>
          <w:sz w:val="24"/>
        </w:rPr>
        <w:t>5.9</w:t>
      </w:r>
      <w:r>
        <w:tab/>
      </w:r>
      <w:r>
        <w:rPr>
          <w:sz w:val="24"/>
        </w:rPr>
        <w:t>Residence rules</w:t>
      </w:r>
      <w:bookmarkEnd w:id="325"/>
      <w:bookmarkEnd w:id="326"/>
      <w:bookmarkEnd w:id="327"/>
      <w:bookmarkEnd w:id="328"/>
      <w:bookmarkEnd w:id="329"/>
      <w:bookmarkEnd w:id="330"/>
      <w:bookmarkEnd w:id="331"/>
      <w:bookmarkEnd w:id="332"/>
      <w:bookmarkEnd w:id="333"/>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334" w:name="_Toc49158044"/>
      <w:bookmarkStart w:id="335" w:name="_Toc49230026"/>
      <w:bookmarkStart w:id="336" w:name="_Toc241555944"/>
      <w:r>
        <w:rPr>
          <w:rStyle w:val="CharSClsNo"/>
          <w:sz w:val="24"/>
        </w:rPr>
        <w:t>5.10</w:t>
      </w:r>
      <w:r>
        <w:tab/>
      </w:r>
      <w:r>
        <w:rPr>
          <w:sz w:val="24"/>
        </w:rPr>
        <w:t>Residents’ committee</w:t>
      </w:r>
      <w:bookmarkEnd w:id="334"/>
      <w:bookmarkEnd w:id="335"/>
      <w:bookmarkEnd w:id="336"/>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337" w:name="_Toc49158045"/>
      <w:bookmarkStart w:id="338" w:name="_Toc49230027"/>
      <w:bookmarkStart w:id="339" w:name="_Toc241555945"/>
      <w:r>
        <w:rPr>
          <w:rStyle w:val="CharSClsNo"/>
          <w:sz w:val="24"/>
        </w:rPr>
        <w:t>5.11</w:t>
      </w:r>
      <w:r>
        <w:tab/>
      </w:r>
      <w:r>
        <w:rPr>
          <w:sz w:val="24"/>
        </w:rPr>
        <w:t>Residents’ meetings</w:t>
      </w:r>
      <w:bookmarkEnd w:id="337"/>
      <w:bookmarkEnd w:id="338"/>
      <w:bookmarkEnd w:id="339"/>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340" w:name="_Toc49158046"/>
      <w:bookmarkStart w:id="341" w:name="_Toc49230028"/>
      <w:bookmarkStart w:id="342" w:name="_Toc241555946"/>
      <w:r>
        <w:rPr>
          <w:rStyle w:val="CharSClsNo"/>
          <w:sz w:val="24"/>
        </w:rPr>
        <w:t>5.12</w:t>
      </w:r>
      <w:r>
        <w:tab/>
      </w:r>
      <w:r>
        <w:rPr>
          <w:sz w:val="24"/>
        </w:rPr>
        <w:t>Proxy voting</w:t>
      </w:r>
      <w:bookmarkEnd w:id="340"/>
      <w:bookmarkEnd w:id="341"/>
      <w:bookmarkEnd w:id="342"/>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r>
      <w:bookmarkStart w:id="343" w:name="_Hlt48104582"/>
      <w:bookmarkEnd w:id="343"/>
      <w:r>
        <w:rPr>
          <w:sz w:val="24"/>
        </w:rPr>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bookmarkStart w:id="344" w:name="_Toc524429527"/>
      <w:bookmarkStart w:id="345" w:name="_Toc524484969"/>
      <w:bookmarkStart w:id="346" w:name="_Toc524485153"/>
      <w:bookmarkStart w:id="347" w:name="_Toc524843395"/>
      <w:bookmarkStart w:id="348" w:name="_Toc34799028"/>
      <w:bookmarkStart w:id="349" w:name="_Toc49158047"/>
      <w:bookmarkStart w:id="350" w:name="_Toc49230029"/>
    </w:p>
    <w:p>
      <w:pPr>
        <w:pStyle w:val="yHeading3"/>
      </w:pPr>
      <w:bookmarkStart w:id="351" w:name="_Toc241299873"/>
      <w:bookmarkStart w:id="352" w:name="_Toc241301130"/>
      <w:bookmarkStart w:id="353" w:name="_Toc241463683"/>
      <w:bookmarkStart w:id="354" w:name="_Toc241555947"/>
      <w:r>
        <w:rPr>
          <w:rStyle w:val="CharSDivNo"/>
        </w:rPr>
        <w:t>Division 6</w:t>
      </w:r>
      <w:r>
        <w:t> — </w:t>
      </w:r>
      <w:r>
        <w:rPr>
          <w:rStyle w:val="CharSDivText"/>
        </w:rPr>
        <w:t>Dispute resolution</w:t>
      </w:r>
      <w:bookmarkEnd w:id="351"/>
      <w:bookmarkEnd w:id="352"/>
      <w:bookmarkEnd w:id="353"/>
      <w:bookmarkEnd w:id="354"/>
    </w:p>
    <w:p>
      <w:pPr>
        <w:pStyle w:val="yHeading5"/>
        <w:spacing w:before="160"/>
      </w:pPr>
      <w:bookmarkStart w:id="355" w:name="_Toc524425344"/>
      <w:bookmarkStart w:id="356" w:name="_Toc524429528"/>
      <w:bookmarkStart w:id="357" w:name="_Toc524484970"/>
      <w:bookmarkStart w:id="358" w:name="_Toc524485154"/>
      <w:bookmarkStart w:id="359" w:name="_Toc524843396"/>
      <w:bookmarkStart w:id="360" w:name="_Toc34799029"/>
      <w:bookmarkStart w:id="361" w:name="_Toc49158048"/>
      <w:bookmarkStart w:id="362" w:name="_Toc49230030"/>
      <w:bookmarkStart w:id="363" w:name="_Toc241555948"/>
      <w:bookmarkEnd w:id="344"/>
      <w:bookmarkEnd w:id="345"/>
      <w:bookmarkEnd w:id="346"/>
      <w:bookmarkEnd w:id="347"/>
      <w:bookmarkEnd w:id="348"/>
      <w:bookmarkEnd w:id="349"/>
      <w:bookmarkEnd w:id="350"/>
      <w:r>
        <w:rPr>
          <w:rStyle w:val="CharSClsNo"/>
          <w:sz w:val="24"/>
        </w:rPr>
        <w:t>6.1</w:t>
      </w:r>
      <w:r>
        <w:tab/>
      </w:r>
      <w:bookmarkEnd w:id="355"/>
      <w:bookmarkEnd w:id="356"/>
      <w:bookmarkEnd w:id="357"/>
      <w:bookmarkEnd w:id="358"/>
      <w:bookmarkEnd w:id="359"/>
      <w:bookmarkEnd w:id="360"/>
      <w:r>
        <w:rPr>
          <w:sz w:val="24"/>
        </w:rPr>
        <w:t>Interpretation</w:t>
      </w:r>
      <w:bookmarkEnd w:id="361"/>
      <w:bookmarkEnd w:id="362"/>
      <w:bookmarkEnd w:id="363"/>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364" w:name="_Toc49158049"/>
      <w:bookmarkStart w:id="365" w:name="_Toc49230031"/>
      <w:bookmarkStart w:id="366" w:name="_Toc241555949"/>
      <w:r>
        <w:rPr>
          <w:rStyle w:val="CharSClsNo"/>
          <w:sz w:val="24"/>
        </w:rPr>
        <w:t>6.2</w:t>
      </w:r>
      <w:r>
        <w:tab/>
      </w:r>
      <w:r>
        <w:rPr>
          <w:sz w:val="24"/>
        </w:rPr>
        <w:t>Village dispute process</w:t>
      </w:r>
      <w:bookmarkEnd w:id="364"/>
      <w:bookmarkEnd w:id="365"/>
      <w:bookmarkEnd w:id="366"/>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367" w:name="_Toc49158050"/>
      <w:bookmarkStart w:id="368" w:name="_Toc49230032"/>
      <w:bookmarkStart w:id="369" w:name="_Toc241555950"/>
      <w:r>
        <w:rPr>
          <w:rStyle w:val="CharSClsNo"/>
          <w:sz w:val="24"/>
        </w:rPr>
        <w:t>6.3</w:t>
      </w:r>
      <w:r>
        <w:tab/>
      </w:r>
      <w:r>
        <w:rPr>
          <w:sz w:val="24"/>
        </w:rPr>
        <w:t>Mediation of dispute</w:t>
      </w:r>
      <w:bookmarkEnd w:id="367"/>
      <w:bookmarkEnd w:id="368"/>
      <w:bookmarkEnd w:id="369"/>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noBreakHyphen/>
        <w:t>making, is always preferable.</w:t>
      </w:r>
    </w:p>
    <w:p>
      <w:pPr>
        <w:pStyle w:val="zMiscellaneousBody"/>
        <w:keepLines/>
        <w:pBdr>
          <w:top w:val="single" w:sz="4" w:space="1" w:color="auto" w:shadow="1"/>
          <w:left w:val="single" w:sz="4" w:space="4" w:color="auto" w:shadow="1"/>
          <w:bottom w:val="single" w:sz="4" w:space="1" w:color="auto" w:shadow="1"/>
          <w:right w:val="single" w:sz="4" w:space="4" w:color="auto" w:shadow="1"/>
        </w:pBdr>
        <w:shd w:val="pct15" w:color="auto" w:fill="FFFFFF"/>
        <w:ind w:left="851"/>
      </w:pPr>
      <w: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If the dispute remains unresolved, either party may apply to the State Administrative Tribunal for a hearing if the dispute is one in which the State Administrative Tribunal has jurisdiction.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 xml:space="preserve">The details of the State Administrative Tribunal’s powers can be found in the </w:t>
      </w:r>
      <w:r>
        <w:rPr>
          <w:i/>
        </w:rPr>
        <w:t>Retirement Villages Act 1992</w:t>
      </w:r>
      <w:r>
        <w:t>, and any associated Act referred to in that Act.</w:t>
      </w:r>
    </w:p>
    <w:p>
      <w:pPr>
        <w:pStyle w:val="yHeading3"/>
        <w:sectPr>
          <w:headerReference w:type="even" r:id="rId37"/>
          <w:headerReference w:type="default" r:id="rId38"/>
          <w:endnotePr>
            <w:numFmt w:val="decimal"/>
          </w:endnotePr>
          <w:pgSz w:w="11907" w:h="16840" w:code="9"/>
          <w:pgMar w:top="2381" w:right="2410" w:bottom="3544" w:left="2410" w:header="720" w:footer="3380" w:gutter="0"/>
          <w:cols w:space="720"/>
          <w:docGrid w:linePitch="326"/>
        </w:sectPr>
      </w:pPr>
      <w:bookmarkStart w:id="370" w:name="_Toc49158051"/>
      <w:bookmarkStart w:id="371" w:name="_Toc49230033"/>
    </w:p>
    <w:p>
      <w:pPr>
        <w:pStyle w:val="yHeading3"/>
      </w:pPr>
      <w:bookmarkStart w:id="372" w:name="_Toc241299877"/>
      <w:bookmarkStart w:id="373" w:name="_Toc241301134"/>
      <w:bookmarkStart w:id="374" w:name="_Toc241463687"/>
      <w:bookmarkStart w:id="375" w:name="_Toc241555951"/>
      <w:r>
        <w:rPr>
          <w:rStyle w:val="CharSDivNo"/>
        </w:rPr>
        <w:t>Division 7</w:t>
      </w:r>
      <w:r>
        <w:t> — </w:t>
      </w:r>
      <w:r>
        <w:rPr>
          <w:rStyle w:val="CharSDivText"/>
        </w:rPr>
        <w:t>Termination of residence contracts</w:t>
      </w:r>
      <w:bookmarkEnd w:id="372"/>
      <w:bookmarkEnd w:id="373"/>
      <w:bookmarkEnd w:id="374"/>
      <w:bookmarkEnd w:id="375"/>
    </w:p>
    <w:p>
      <w:pPr>
        <w:pStyle w:val="yHeading5"/>
        <w:spacing w:before="160"/>
        <w:rPr>
          <w:sz w:val="24"/>
        </w:rPr>
      </w:pPr>
      <w:bookmarkStart w:id="376" w:name="_Toc49158052"/>
      <w:bookmarkStart w:id="377" w:name="_Toc49230034"/>
      <w:bookmarkStart w:id="378" w:name="_Toc241555952"/>
      <w:bookmarkEnd w:id="370"/>
      <w:bookmarkEnd w:id="371"/>
      <w:r>
        <w:rPr>
          <w:rStyle w:val="CharSClsNo"/>
          <w:sz w:val="24"/>
        </w:rPr>
        <w:t>7.1</w:t>
      </w:r>
      <w:r>
        <w:rPr>
          <w:sz w:val="24"/>
        </w:rPr>
        <w:tab/>
        <w:t>Notice of intention to terminate</w:t>
      </w:r>
      <w:bookmarkEnd w:id="376"/>
      <w:bookmarkEnd w:id="377"/>
      <w:bookmarkEnd w:id="378"/>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rPr>
        <w:t>Retirement Villages Act 1992</w:t>
      </w:r>
      <w:r>
        <w: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a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The manner in which a resident may terminate a residence contract after the expiration of the cooling</w:t>
      </w:r>
      <w:r>
        <w:noBreakHyphen/>
        <w:t xml:space="preserve">off period is as set out in the contract or the </w:t>
      </w:r>
      <w:r>
        <w:rPr>
          <w:i/>
        </w:rPr>
        <w:t>Retirement Villages Act 1992</w:t>
      </w:r>
      <w:r>
        <w: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Termination by the State Administrative Tribunal</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As set out in Part 4 Division 5 of the </w:t>
      </w:r>
      <w:r>
        <w:rPr>
          <w:i/>
        </w:rPr>
        <w:t>Retirement Villages Act 1992</w:t>
      </w:r>
      <w:r>
        <w:t xml:space="preserve">, an administering body may apply to the State Administrative Tribunal to terminate a residence contract on the grounds that — </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resident’s physical or mental health is such as to make the residential premises unsuitable for occupation by the resident (section 58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breached the residence contract or the residence rules and has failed to rectify that breach (section 59 of the Act);</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zMiscellaneousBody"/>
        <w:numPr>
          <w:ilvl w:val="0"/>
          <w:numId w:val="15"/>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120"/>
        <w:ind w:left="1560" w:hanging="426"/>
      </w:pPr>
      <w:r>
        <w:t>the administering body would, in the special circumstances of the case, suffer undue hardship if the residence contract were not terminated (section 63 of the Act).</w:t>
      </w:r>
    </w:p>
    <w:p>
      <w:pPr>
        <w:pStyle w:val="zMiscellaneousBody"/>
        <w:keepNext/>
        <w:keepLines/>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 </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spacing w:val="-4"/>
        </w:rPr>
      </w:pPr>
      <w:r>
        <w:rPr>
          <w:spacing w:val="-4"/>
        </w:rPr>
        <w:t>restrains the administering body from transferring the resident to another kind of accommodation in the village;</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pPr>
      <w:r>
        <w:t>requires the resident to transfer, or the administering body to transfer the resident, to another kind of accommodation in the village; or</w:t>
      </w:r>
    </w:p>
    <w:p>
      <w:pPr>
        <w:pStyle w:val="zMiscellaneousBody"/>
        <w:keepNext/>
        <w:keepLines/>
        <w:numPr>
          <w:ilvl w:val="0"/>
          <w:numId w:val="16"/>
        </w:numPr>
        <w:pBdr>
          <w:top w:val="single" w:sz="4" w:space="1" w:color="auto" w:shadow="1"/>
          <w:left w:val="single" w:sz="4" w:space="4" w:color="auto" w:shadow="1"/>
          <w:bottom w:val="single" w:sz="4" w:space="1" w:color="auto" w:shadow="1"/>
          <w:right w:val="single" w:sz="4" w:space="4" w:color="auto" w:shadow="1"/>
        </w:pBdr>
        <w:shd w:val="pct15" w:color="auto" w:fill="FFFFFF"/>
        <w:tabs>
          <w:tab w:val="clear" w:pos="454"/>
          <w:tab w:val="num" w:pos="1560"/>
        </w:tabs>
        <w:spacing w:before="80"/>
        <w:ind w:left="1560" w:hanging="567"/>
        <w:rPr>
          <w:b/>
        </w:rPr>
      </w:pPr>
      <w:r>
        <w:t>terminates the residence contract of the resident.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Notice of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As required under the </w:t>
      </w:r>
      <w:r>
        <w:rPr>
          <w:i/>
        </w:rPr>
        <w:t>Retirement Villages Act 1992</w:t>
      </w:r>
      <w: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Section 61 of the Act gives the State Administrative Tribunal the power to waive the requirement to give this notice if considered appropriate to do so having regard to any special circumstances of a particular case.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rPr>
          <w:b/>
        </w:rPr>
      </w:pPr>
      <w:r>
        <w:rPr>
          <w:b/>
        </w:rPr>
        <w:t>Payments on termination</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851"/>
      </w:pPr>
      <w:r>
        <w:t xml:space="preserve">Where a residence contract has been terminated under the residence contract or the </w:t>
      </w:r>
      <w:r>
        <w:rPr>
          <w:i/>
        </w:rPr>
        <w:t>Retirement Villages Act 1992</w:t>
      </w:r>
      <w:r>
        <w:t xml:space="preserve"> on the happening of an event or circumstance which requires the repayment of the whole or a part of the premium paid by the resident to enter the village, the administering body must pay the resident any money due under the contract — </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within 7 days of the succeeding resident taking occupation of the residential premises; or</w:t>
      </w:r>
    </w:p>
    <w:p>
      <w:pPr>
        <w:pStyle w:val="zMiscellaneousBody"/>
        <w:numPr>
          <w:ilvl w:val="0"/>
          <w:numId w:val="22"/>
        </w:numPr>
        <w:pBdr>
          <w:top w:val="single" w:sz="4" w:space="1" w:color="auto" w:shadow="1"/>
          <w:left w:val="single" w:sz="4" w:space="4" w:color="auto" w:shadow="1"/>
          <w:bottom w:val="single" w:sz="4" w:space="1" w:color="auto" w:shadow="1"/>
          <w:right w:val="single" w:sz="4" w:space="4" w:color="auto" w:shadow="1"/>
        </w:pBdr>
        <w:shd w:val="pct15" w:color="auto" w:fill="FFFFFF"/>
        <w:spacing w:before="80"/>
        <w:ind w:left="1208" w:hanging="357"/>
      </w:pPr>
      <w:r>
        <w:t>in any other case within 45 days of the day on which the resident ceases occupation of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Where the State Administrative Tribunal has terminated a residence contract, the State Administrative Tribunal is to fix a date by which the resident must vacate the residential premises.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When ordering the termination of a residence contract, the State Administrative Tribunal may make any order for the payment or refund of money by the administering body to the resident or by the resident to the administering body.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spacing w:before="120"/>
        <w:ind w:left="851"/>
      </w:pPr>
      <w:r>
        <w:t xml:space="preserve">Where a facility provides a residential care service to a person under the </w:t>
      </w:r>
      <w:r>
        <w:rPr>
          <w:i/>
        </w:rPr>
        <w:t>Aged Care Act 1997</w:t>
      </w:r>
      <w:r>
        <w:t xml:space="preserve"> (Cwlth), Subdivision 57</w:t>
      </w:r>
      <w:r>
        <w:noBreakHyphen/>
        <w:t>G of that Act will determine the period within which the refund of any entry payment made by the person for the provision of the service is to be paid.</w:t>
      </w:r>
    </w:p>
    <w:p>
      <w:pPr>
        <w:pStyle w:val="yHeading3"/>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bookmarkStart w:id="379" w:name="_Toc49158053"/>
      <w:bookmarkStart w:id="380" w:name="_Toc49230035"/>
      <w:bookmarkStart w:id="381" w:name="_Toc524429531"/>
      <w:bookmarkStart w:id="382" w:name="_Toc524484973"/>
      <w:bookmarkStart w:id="383" w:name="_Toc524485157"/>
      <w:bookmarkStart w:id="384" w:name="_Toc524843399"/>
      <w:bookmarkStart w:id="385" w:name="_Toc34799032"/>
    </w:p>
    <w:p>
      <w:pPr>
        <w:pStyle w:val="yHeading3"/>
      </w:pPr>
      <w:bookmarkStart w:id="386" w:name="_Toc241299879"/>
      <w:bookmarkStart w:id="387" w:name="_Toc241301136"/>
      <w:bookmarkStart w:id="388" w:name="_Toc241463689"/>
      <w:bookmarkStart w:id="389" w:name="_Toc241555953"/>
      <w:r>
        <w:rPr>
          <w:rStyle w:val="CharSDivNo"/>
        </w:rPr>
        <w:t>Division 8</w:t>
      </w:r>
      <w:r>
        <w:t> — </w:t>
      </w:r>
      <w:r>
        <w:rPr>
          <w:rStyle w:val="CharSDivText"/>
        </w:rPr>
        <w:t>Miscellaneous</w:t>
      </w:r>
      <w:bookmarkEnd w:id="386"/>
      <w:bookmarkEnd w:id="387"/>
      <w:bookmarkEnd w:id="388"/>
      <w:bookmarkEnd w:id="389"/>
    </w:p>
    <w:p>
      <w:pPr>
        <w:pStyle w:val="yHeading5"/>
        <w:spacing w:before="160"/>
        <w:rPr>
          <w:sz w:val="24"/>
        </w:rPr>
      </w:pPr>
      <w:bookmarkStart w:id="390" w:name="_Toc49158054"/>
      <w:bookmarkStart w:id="391" w:name="_Toc49230036"/>
      <w:bookmarkStart w:id="392" w:name="_Toc241555954"/>
      <w:bookmarkEnd w:id="379"/>
      <w:bookmarkEnd w:id="380"/>
      <w:r>
        <w:rPr>
          <w:rStyle w:val="CharSClsNo"/>
          <w:sz w:val="24"/>
        </w:rPr>
        <w:t>8.1</w:t>
      </w:r>
      <w:r>
        <w:rPr>
          <w:sz w:val="24"/>
        </w:rPr>
        <w:tab/>
        <w:t>Service of documents</w:t>
      </w:r>
      <w:bookmarkEnd w:id="390"/>
      <w:bookmarkEnd w:id="391"/>
      <w:bookmarkEnd w:id="392"/>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cheduleHeading"/>
        <w:pageBreakBefore w:val="0"/>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bookmarkStart w:id="393" w:name="_Toc524429532"/>
      <w:bookmarkStart w:id="394" w:name="_Toc524484974"/>
      <w:bookmarkStart w:id="395" w:name="_Toc524485158"/>
      <w:bookmarkStart w:id="396" w:name="_Toc524843400"/>
      <w:bookmarkStart w:id="397" w:name="_Toc34799033"/>
      <w:bookmarkStart w:id="398" w:name="_Toc49158055"/>
      <w:bookmarkStart w:id="399" w:name="_Toc49230037"/>
      <w:bookmarkEnd w:id="381"/>
      <w:bookmarkEnd w:id="382"/>
      <w:bookmarkEnd w:id="383"/>
      <w:bookmarkEnd w:id="384"/>
      <w:bookmarkEnd w:id="385"/>
    </w:p>
    <w:p>
      <w:pPr>
        <w:pStyle w:val="yScheduleHeading"/>
        <w:pageBreakBefore w:val="0"/>
      </w:pPr>
      <w:bookmarkStart w:id="400" w:name="_Toc241299881"/>
      <w:bookmarkStart w:id="401" w:name="_Toc241301138"/>
      <w:bookmarkStart w:id="402" w:name="_Toc241463691"/>
      <w:bookmarkStart w:id="403" w:name="_Toc241555955"/>
      <w:r>
        <w:rPr>
          <w:rStyle w:val="CharSchNo"/>
        </w:rPr>
        <w:t xml:space="preserve">Appendix 1 </w:t>
      </w:r>
      <w:r>
        <w:t>—</w:t>
      </w:r>
      <w:r>
        <w:rPr>
          <w:rStyle w:val="CharPartText"/>
        </w:rPr>
        <w:t xml:space="preserve"> </w:t>
      </w:r>
      <w:r>
        <w:rPr>
          <w:rStyle w:val="CharSchText"/>
        </w:rPr>
        <w:t>Checklist for prospective resident</w:t>
      </w:r>
      <w:bookmarkEnd w:id="393"/>
      <w:bookmarkEnd w:id="394"/>
      <w:bookmarkEnd w:id="395"/>
      <w:bookmarkEnd w:id="396"/>
      <w:bookmarkEnd w:id="397"/>
      <w:bookmarkEnd w:id="398"/>
      <w:bookmarkEnd w:id="399"/>
      <w:bookmarkEnd w:id="400"/>
      <w:bookmarkEnd w:id="401"/>
      <w:bookmarkEnd w:id="402"/>
      <w:bookmarkEnd w:id="403"/>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851"/>
      </w:pPr>
      <w: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w:t>
      </w:r>
      <w:r>
        <w:tab/>
        <w:t>Have I fully discussed my decision to enter a retirement village with my family, friends or adviser?</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2.</w:t>
      </w:r>
      <w: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3.</w:t>
      </w:r>
      <w: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4.</w:t>
      </w:r>
      <w:r>
        <w:tab/>
        <w:t>If I am considering moving to a retirement village because I have recently lost my partner, have I given myself enough time to grieve before I make a major lifestyle change?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5.</w:t>
      </w:r>
      <w:r>
        <w:tab/>
        <w:t>Have I received adequate information about the retirement village I have chosen?  Have I shown the documents to a solicitor?  Am I satisfied that I fully understand the contract that I am signing?</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6.</w:t>
      </w:r>
      <w:r>
        <w:tab/>
        <w:t>Am I comfortable that the lifestyle of the village (including social activities and religion) will suit me?  Have I spoken to any residents of the village?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7.</w:t>
      </w:r>
      <w:r>
        <w:tab/>
        <w:t>Will the village and my unit be readily accessible if I become disabled and need a wheelchair or walking aid?  What alternatives do I have if I am no longer able to live alone?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8.</w:t>
      </w:r>
      <w:r>
        <w:tab/>
        <w:t>Does the village provide personal care or nursing care, an emergency call system and other amenities that are likely to meet my present or future needs?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9.</w:t>
      </w:r>
      <w:r>
        <w:tab/>
        <w:t>Have I looked at a number of villages to compare the amenities (eg. recreational, transport, gardens etc.) and financial arrangements?</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10.</w:t>
      </w:r>
      <w:r>
        <w:tab/>
        <w:t>Is the village I have chosen accessible to my friends and family?</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11.</w:t>
      </w:r>
      <w:r>
        <w:tab/>
        <w:t>Can I take my own furniture to the village and, if so, will it be suitable?</w:t>
      </w:r>
    </w:p>
    <w:p>
      <w:pPr>
        <w:pStyle w:val="zMiscellaneousBody"/>
        <w:pBdr>
          <w:top w:val="single" w:sz="4" w:space="1" w:color="auto" w:shadow="1"/>
          <w:left w:val="single" w:sz="4" w:space="4" w:color="auto" w:shadow="1"/>
          <w:bottom w:val="single" w:sz="4" w:space="1" w:color="auto" w:shadow="1"/>
          <w:right w:val="single" w:sz="4" w:space="4" w:color="auto" w:shadow="1"/>
        </w:pBdr>
        <w:shd w:val="pct15" w:color="auto" w:fill="FFFFFF"/>
        <w:ind w:left="1276" w:hanging="425"/>
      </w:pPr>
      <w:r>
        <w:t>12.</w:t>
      </w:r>
      <w:r>
        <w:tab/>
        <w:t xml:space="preserve">Before I sign the contract, have I received and considered all the information required to be given to me under the </w:t>
      </w:r>
      <w:r>
        <w:rPr>
          <w:i/>
        </w:rPr>
        <w:t>Code of Fair Practice for Retirement Villages 2009</w:t>
      </w:r>
      <w:r>
        <w:t xml:space="preserve"> and the </w:t>
      </w:r>
      <w:r>
        <w:rPr>
          <w:i/>
        </w:rPr>
        <w:t>Retirement Villages Act 1992</w:t>
      </w:r>
      <w:r>
        <w:t>?</w:t>
      </w:r>
    </w:p>
    <w:p>
      <w:pPr>
        <w:pStyle w:val="yHeading2"/>
        <w:pageBreakBefore/>
        <w:spacing w:before="0"/>
      </w:pPr>
      <w:bookmarkStart w:id="404" w:name="_Toc49158056"/>
      <w:bookmarkStart w:id="405" w:name="_Toc49230038"/>
      <w:bookmarkStart w:id="406" w:name="_Toc241299882"/>
      <w:bookmarkStart w:id="407" w:name="_Toc241301139"/>
      <w:bookmarkStart w:id="408" w:name="_Toc241463692"/>
      <w:bookmarkStart w:id="409" w:name="_Toc241555956"/>
      <w:r>
        <w:rPr>
          <w:rStyle w:val="CharSchNo"/>
        </w:rPr>
        <w:t>Appendix 2</w:t>
      </w:r>
      <w:r>
        <w:rPr>
          <w:rStyle w:val="CharPartText"/>
        </w:rPr>
        <w:t> — </w:t>
      </w:r>
      <w:r>
        <w:rPr>
          <w:rStyle w:val="CharSchText"/>
        </w:rPr>
        <w:t>Model proposed operating budget form</w:t>
      </w:r>
      <w:bookmarkEnd w:id="404"/>
      <w:bookmarkEnd w:id="405"/>
      <w:bookmarkEnd w:id="406"/>
      <w:bookmarkEnd w:id="407"/>
      <w:bookmarkEnd w:id="408"/>
      <w:bookmarkEnd w:id="409"/>
    </w:p>
    <w:p>
      <w:pPr>
        <w:pStyle w:val="yShoulderClause"/>
      </w:pPr>
      <w:r>
        <w:t>[cl. 5.3(4)]</w:t>
      </w:r>
    </w:p>
    <w:p>
      <w:pPr>
        <w:pStyle w:val="yMiscellaneousHeading"/>
        <w:rPr>
          <w:i/>
        </w:rPr>
      </w:pPr>
      <w:r>
        <w:t xml:space="preserve">.................................................. </w:t>
      </w:r>
      <w:r>
        <w:rPr>
          <w:i/>
        </w:rPr>
        <w:t>(insert name of village)</w:t>
      </w:r>
    </w:p>
    <w:p>
      <w:pPr>
        <w:pStyle w:val="yMiscellaneousHeading"/>
        <w:rPr>
          <w:i/>
        </w:rPr>
      </w:pPr>
      <w:r>
        <w:rPr>
          <w:b/>
        </w:rPr>
        <w:t xml:space="preserve">PROPOSED BUDGET FOR </w:t>
      </w:r>
      <w:r>
        <w:t xml:space="preserve">.............. </w:t>
      </w:r>
      <w:r>
        <w:rPr>
          <w:i/>
        </w:rPr>
        <w:t>(insert next year)</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i/>
                <w:sz w:val="20"/>
              </w:rPr>
              <w:t>(insert current year)</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i/>
                <w:sz w:val="20"/>
              </w:rPr>
              <w:t>(insert current year)</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i/>
                <w:sz w:val="20"/>
              </w:rPr>
              <w:t>(insert next year)</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Pest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pPr>
      <w:r>
        <w:rPr>
          <w:b/>
        </w:rPr>
        <w:br w:type="page"/>
        <w:t>EXPENDITURE THAT IS AN APPORTIONMENT OF TOTAL EXPENDITURE RELATING TO THE VILLAGE AND ANOTHER VILLAGE OR BUSINESS:</w:t>
      </w:r>
      <w:r>
        <w:t xml:space="preserve"> (delete if not applicable)</w:t>
      </w:r>
    </w:p>
    <w:p>
      <w:pPr>
        <w:pStyle w:val="yMiscellaneousBody"/>
      </w:pPr>
      <w:r>
        <w:rPr>
          <w:b/>
        </w:rPr>
        <w:t>The amount of $</w:t>
      </w:r>
      <w:r>
        <w:t xml:space="preserve"> ........... </w:t>
      </w:r>
      <w:r>
        <w:rPr>
          <w:i/>
        </w:rPr>
        <w:t>(specify)</w:t>
      </w:r>
      <w:r>
        <w:t xml:space="preserve"> </w:t>
      </w:r>
      <w:r>
        <w:rPr>
          <w:b/>
        </w:rPr>
        <w:t xml:space="preserve">in respect of </w:t>
      </w:r>
      <w:r>
        <w:t xml:space="preserve">.....................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rPr>
          <w:i/>
        </w:rPr>
        <w:t>(specify the method or calculation used to apportion the expenditure)</w:t>
      </w:r>
    </w:p>
    <w:p>
      <w:pPr>
        <w:pStyle w:val="yHeading2"/>
        <w:pageBreakBefore/>
        <w:spacing w:before="0"/>
      </w:pPr>
      <w:bookmarkStart w:id="410" w:name="_Toc49158057"/>
      <w:bookmarkStart w:id="411" w:name="_Toc49230039"/>
      <w:bookmarkStart w:id="412" w:name="_Toc241299883"/>
      <w:bookmarkStart w:id="413" w:name="_Toc241301140"/>
      <w:bookmarkStart w:id="414" w:name="_Toc241463693"/>
      <w:bookmarkStart w:id="415" w:name="_Toc241555957"/>
      <w:r>
        <w:rPr>
          <w:rStyle w:val="CharSchNo"/>
        </w:rPr>
        <w:t>Appendix 3</w:t>
      </w:r>
      <w:r>
        <w:t> — </w:t>
      </w:r>
      <w:r>
        <w:rPr>
          <w:rStyle w:val="CharSchText"/>
        </w:rPr>
        <w:t>Model quarterly income and expenditure statement</w:t>
      </w:r>
      <w:bookmarkEnd w:id="410"/>
      <w:bookmarkEnd w:id="411"/>
      <w:bookmarkEnd w:id="412"/>
      <w:bookmarkEnd w:id="413"/>
      <w:bookmarkEnd w:id="414"/>
      <w:bookmarkEnd w:id="415"/>
    </w:p>
    <w:p>
      <w:pPr>
        <w:pStyle w:val="yShoulderClause"/>
      </w:pPr>
      <w:r>
        <w:t>[cl. 5.4(2)]</w:t>
      </w:r>
    </w:p>
    <w:p>
      <w:pPr>
        <w:pStyle w:val="yMiscellaneousHeading"/>
        <w:keepNext w:val="0"/>
        <w:rPr>
          <w:b/>
          <w:i/>
        </w:rPr>
      </w:pPr>
      <w:r>
        <w:rPr>
          <w:b/>
        </w:rPr>
        <w:t>..................................................</w:t>
      </w:r>
      <w:r>
        <w:t xml:space="preserve"> </w:t>
      </w:r>
      <w:r>
        <w:rPr>
          <w:i/>
        </w:rPr>
        <w:t>(insert name of village)</w:t>
      </w:r>
    </w:p>
    <w:p>
      <w:pPr>
        <w:pStyle w:val="yMiscellaneousHeading"/>
        <w:keepNext w:val="0"/>
        <w:rPr>
          <w:b/>
          <w:i/>
        </w:rPr>
      </w:pPr>
      <w:r>
        <w:rPr>
          <w:b/>
        </w:rPr>
        <w:t xml:space="preserve">INCOME AND EXPENDITURE STATEMENT FOR QUARTER ENDED ................. </w:t>
      </w:r>
      <w:r>
        <w:rPr>
          <w:i/>
        </w:rPr>
        <w:t>(insert date)</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Pest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Heading2"/>
        <w:keepLines/>
        <w:pageBreakBefore/>
        <w:spacing w:before="0"/>
      </w:pPr>
      <w:bookmarkStart w:id="416" w:name="_Toc49158058"/>
      <w:bookmarkStart w:id="417" w:name="_Toc49230040"/>
      <w:bookmarkStart w:id="418" w:name="_Toc241299884"/>
      <w:bookmarkStart w:id="419" w:name="_Toc241301141"/>
      <w:bookmarkStart w:id="420" w:name="_Toc241463694"/>
      <w:bookmarkStart w:id="421" w:name="_Toc241555958"/>
      <w:r>
        <w:rPr>
          <w:rStyle w:val="CharSchNo"/>
        </w:rPr>
        <w:t>Appendix 4</w:t>
      </w:r>
      <w:r>
        <w:rPr>
          <w:rStyle w:val="CharPartText"/>
        </w:rPr>
        <w:t> — </w:t>
      </w:r>
      <w:r>
        <w:rPr>
          <w:rStyle w:val="CharSchText"/>
        </w:rPr>
        <w:t>Model reserve fund quarterly income and expenditure statement</w:t>
      </w:r>
      <w:bookmarkEnd w:id="416"/>
      <w:bookmarkEnd w:id="417"/>
      <w:bookmarkEnd w:id="418"/>
      <w:bookmarkEnd w:id="419"/>
      <w:bookmarkEnd w:id="420"/>
      <w:bookmarkEnd w:id="421"/>
    </w:p>
    <w:p>
      <w:pPr>
        <w:pStyle w:val="yShoulderClause"/>
        <w:keepNext/>
        <w:keepLines/>
      </w:pPr>
      <w:r>
        <w:t>[cl. 5.4(2)]</w:t>
      </w:r>
    </w:p>
    <w:p>
      <w:pPr>
        <w:pStyle w:val="yMiscellaneousHeading"/>
        <w:rPr>
          <w:b/>
          <w:i/>
        </w:rPr>
      </w:pPr>
      <w:r>
        <w:rPr>
          <w:b/>
        </w:rPr>
        <w:t xml:space="preserve">.................................................. </w:t>
      </w:r>
      <w:r>
        <w:rPr>
          <w:i/>
        </w:rPr>
        <w:t>(insert name of village)</w:t>
      </w:r>
    </w:p>
    <w:p>
      <w:pPr>
        <w:pStyle w:val="yMiscellaneousHeading"/>
        <w:spacing w:after="120"/>
        <w:rPr>
          <w:b/>
          <w:i/>
        </w:rPr>
      </w:pPr>
      <w:r>
        <w:rPr>
          <w:b/>
        </w:rPr>
        <w:t xml:space="preserve">RESERVE FUND INCOME AND EXPENDITURE STATEMENT FOR QUARTER ENDED ................. </w:t>
      </w:r>
      <w:r>
        <w:rPr>
          <w:i/>
        </w:rPr>
        <w:t>(insert date)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 xml:space="preserve">Other </w:t>
            </w:r>
            <w:r>
              <w:rPr>
                <w:i/>
              </w:rPr>
              <w:t>(insert as appropriate)</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(specify)</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rPr>
                <w:i/>
              </w:rPr>
              <w:t>(insert date)</w:t>
            </w:r>
            <w:r>
              <w:rPr>
                <w:b/>
              </w:rPr>
              <w:t>)</w:t>
            </w:r>
          </w:p>
        </w:tc>
        <w:tc>
          <w:tcPr>
            <w:tcW w:w="1559" w:type="dxa"/>
            <w:tcBorders>
              <w:top w:val="single" w:sz="12" w:space="0" w:color="auto"/>
              <w:bottom w:val="single" w:sz="12" w:space="0" w:color="auto"/>
            </w:tcBorders>
          </w:tcPr>
          <w:p>
            <w:pPr>
              <w:pStyle w:val="yTableNAm"/>
              <w:spacing w:before="60"/>
            </w:pPr>
          </w:p>
        </w:tc>
      </w:tr>
    </w:tbl>
    <w:p>
      <w:pPr>
        <w:pStyle w:val="yHeading2"/>
        <w:pageBreakBefore/>
        <w:spacing w:before="0"/>
      </w:pPr>
      <w:bookmarkStart w:id="422" w:name="_Toc49158059"/>
      <w:bookmarkStart w:id="423" w:name="_Toc49230041"/>
      <w:bookmarkStart w:id="424" w:name="_Toc241299885"/>
      <w:bookmarkStart w:id="425" w:name="_Toc241301142"/>
      <w:bookmarkStart w:id="426" w:name="_Toc241463695"/>
      <w:bookmarkStart w:id="427" w:name="_Toc241555959"/>
      <w:r>
        <w:rPr>
          <w:rStyle w:val="CharSchNo"/>
        </w:rPr>
        <w:t>Appendix 5</w:t>
      </w:r>
      <w:r>
        <w:t> — </w:t>
      </w:r>
      <w:r>
        <w:rPr>
          <w:rStyle w:val="CharSchText"/>
        </w:rPr>
        <w:t>Form of appointment of proxy</w:t>
      </w:r>
      <w:bookmarkEnd w:id="422"/>
      <w:bookmarkEnd w:id="423"/>
      <w:bookmarkEnd w:id="424"/>
      <w:bookmarkEnd w:id="425"/>
      <w:bookmarkEnd w:id="426"/>
      <w:bookmarkEnd w:id="427"/>
    </w:p>
    <w:p>
      <w:pPr>
        <w:pStyle w:val="yShoulderClause"/>
      </w:pPr>
      <w:r>
        <w:t>[cl. 5.12(7)]</w:t>
      </w:r>
    </w:p>
    <w:p>
      <w:pPr>
        <w:pStyle w:val="yMiscellaneousBody"/>
        <w:ind w:left="851" w:hanging="851"/>
        <w:rPr>
          <w:i/>
          <w:sz w:val="20"/>
        </w:rPr>
      </w:pPr>
      <w:r>
        <w:t>I, ......................................................</w:t>
      </w:r>
      <w:r>
        <w:br/>
      </w:r>
      <w:r>
        <w:rPr>
          <w:i/>
          <w:sz w:val="20"/>
        </w:rPr>
        <w:t>(insert name)</w:t>
      </w:r>
    </w:p>
    <w:p>
      <w:pPr>
        <w:pStyle w:val="yMiscellaneousBody"/>
        <w:ind w:left="4678" w:hanging="4678"/>
      </w:pPr>
      <w:r>
        <w:t xml:space="preserve">being a resident of / the personal representative of ............................................. , </w:t>
      </w:r>
      <w:r>
        <w:rPr>
          <w:i/>
          <w:sz w:val="20"/>
        </w:rPr>
        <w:t>(insert name of resident)</w:t>
      </w:r>
    </w:p>
    <w:p>
      <w:pPr>
        <w:pStyle w:val="yMiscellaneousBody"/>
      </w:pPr>
      <w:r>
        <w:t xml:space="preserve">a resident of </w:t>
      </w:r>
      <w:r>
        <w:rPr>
          <w:i/>
          <w:sz w:val="20"/>
        </w:rPr>
        <w:t>(delete whichever is not applicable)</w:t>
      </w:r>
    </w:p>
    <w:p>
      <w:pPr>
        <w:pStyle w:val="yMiscellaneousBody"/>
        <w:spacing w:before="120"/>
      </w:pPr>
      <w:r>
        <w:t>........................................................</w:t>
      </w:r>
    </w:p>
    <w:p>
      <w:pPr>
        <w:pStyle w:val="yMiscellaneousBody"/>
      </w:pPr>
      <w:r>
        <w:t>........................................................</w:t>
      </w:r>
    </w:p>
    <w:p>
      <w:pPr>
        <w:pStyle w:val="yMiscellaneousBody"/>
        <w:ind w:left="567" w:hanging="567"/>
        <w:rPr>
          <w:i/>
          <w:sz w:val="20"/>
        </w:rPr>
      </w:pPr>
      <w:r>
        <w:t>........................................................</w:t>
      </w:r>
      <w:r>
        <w:br/>
      </w:r>
      <w:r>
        <w:rPr>
          <w:i/>
          <w:sz w:val="20"/>
        </w:rPr>
        <w:t>(insert address in village)</w:t>
      </w:r>
    </w:p>
    <w:p>
      <w:pPr>
        <w:pStyle w:val="yMiscellaneousBody"/>
      </w:pPr>
      <w:r>
        <w:t>appoint</w:t>
      </w:r>
    </w:p>
    <w:p>
      <w:pPr>
        <w:pStyle w:val="yMiscellaneousBody"/>
        <w:spacing w:before="120"/>
        <w:ind w:left="426" w:hanging="426"/>
        <w:rPr>
          <w:i/>
          <w:sz w:val="20"/>
        </w:rPr>
      </w:pPr>
      <w:r>
        <w:t>........................................................</w:t>
      </w:r>
      <w:r>
        <w:br/>
      </w:r>
      <w:r>
        <w:rPr>
          <w:i/>
          <w:sz w:val="20"/>
        </w:rPr>
        <w:t>(insert name of proxy holder)</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rPr>
      </w:pPr>
      <w:r>
        <w:t>........................................................</w:t>
      </w:r>
      <w:r>
        <w:br/>
      </w:r>
      <w:r>
        <w:rPr>
          <w:i/>
          <w:sz w:val="20"/>
        </w:rPr>
        <w:t>(insert address of proxy holder)</w:t>
      </w:r>
    </w:p>
    <w:p>
      <w:pPr>
        <w:pStyle w:val="yMiscellaneousBody"/>
        <w:spacing w:before="120"/>
        <w:ind w:left="4962" w:hanging="4962"/>
        <w:rPr>
          <w:i/>
          <w:sz w:val="20"/>
        </w:rPr>
      </w:pPr>
      <w:r>
        <w:t>as my proxy to vote on my behalf at the meeting of residents on ....................</w:t>
      </w:r>
      <w:r>
        <w:br/>
      </w:r>
      <w:r>
        <w:rPr>
          <w:i/>
          <w:sz w:val="20"/>
        </w:rPr>
        <w:t>(insert date of meeting)</w:t>
      </w:r>
    </w:p>
    <w:p>
      <w:pPr>
        <w:pStyle w:val="yMiscellaneousBody"/>
        <w:spacing w:before="120"/>
      </w:pPr>
      <w:r>
        <w:t xml:space="preserve">I authorise my proxy to vote on my behalf in respect of </w:t>
      </w:r>
      <w:r>
        <w:rPr>
          <w:i/>
          <w:sz w:val="20"/>
        </w:rPr>
        <w:t>(delete whichever is not applicable)</w:t>
      </w:r>
      <w:r>
        <w:t xml:space="preserve"> — </w:t>
      </w:r>
    </w:p>
    <w:p>
      <w:pPr>
        <w:pStyle w:val="yMiscellaneousBody"/>
        <w:numPr>
          <w:ilvl w:val="0"/>
          <w:numId w:val="17"/>
        </w:numPr>
        <w:spacing w:before="120"/>
      </w:pPr>
      <w:r>
        <w:t>All matters raised at the meeting that require, or provide for, a vote of the residents, at my proxy’s discretion.</w:t>
      </w:r>
    </w:p>
    <w:p>
      <w:pPr>
        <w:pStyle w:val="yMiscellaneousBody"/>
        <w:numPr>
          <w:ilvl w:val="0"/>
          <w:numId w:val="18"/>
        </w:numPr>
        <w:spacing w:before="120"/>
        <w:ind w:left="357" w:hanging="357"/>
      </w:pP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0"/>
        <w:ind w:left="425"/>
        <w:rPr>
          <w:i/>
          <w:sz w:val="20"/>
        </w:rPr>
      </w:pPr>
      <w:r>
        <w:t>...............................................................................................................</w:t>
      </w:r>
      <w:r>
        <w:br/>
      </w:r>
      <w:r>
        <w:rPr>
          <w:i/>
          <w:sz w:val="20"/>
        </w:rPr>
        <w:t xml:space="preserve">(specify the matters and any limitations on the manner in which you want </w:t>
      </w:r>
      <w:r>
        <w:rPr>
          <w:i/>
          <w:sz w:val="20"/>
        </w:rPr>
        <w:br/>
      </w:r>
      <w:r>
        <w:rPr>
          <w:i/>
          <w:sz w:val="20"/>
        </w:rPr>
        <w:tab/>
        <w:t>your</w:t>
      </w:r>
      <w:r>
        <w:t> </w:t>
      </w:r>
      <w:r>
        <w:rPr>
          <w:i/>
          <w:sz w:val="20"/>
        </w:rPr>
        <w:t>proxy to vote)</w:t>
      </w:r>
    </w:p>
    <w:p>
      <w:pPr>
        <w:pStyle w:val="yMiscellaneousBody"/>
        <w:spacing w:before="120"/>
        <w:rPr>
          <w:i/>
          <w:sz w:val="20"/>
        </w:rPr>
      </w:pPr>
      <w:r>
        <w:t>.........................................................................................</w:t>
      </w:r>
      <w:r>
        <w:br/>
        <w:t>Signature of resident / resident’s personal representative</w:t>
      </w:r>
      <w:r>
        <w:br/>
      </w:r>
      <w:r>
        <w:rPr>
          <w:i/>
          <w:sz w:val="20"/>
        </w:rPr>
        <w:tab/>
        <w:t>(delete whichever is not applicable)</w:t>
      </w:r>
    </w:p>
    <w:p>
      <w:pPr>
        <w:pStyle w:val="yMiscellaneousBody"/>
      </w:pPr>
      <w:r>
        <w:t>Signed this ............................. day of ......................................... 20 ..........</w:t>
      </w:r>
    </w:p>
    <w:p>
      <w:pPr>
        <w:pStyle w:val="yMiscellaneousBody"/>
        <w:rPr>
          <w:b/>
        </w:rPr>
      </w:pPr>
      <w:r>
        <w:rPr>
          <w:b/>
        </w:rPr>
        <w:t>Notes:</w:t>
      </w:r>
    </w:p>
    <w:p>
      <w:pPr>
        <w:pStyle w:val="yMiscellaneousBody"/>
        <w:tabs>
          <w:tab w:val="left" w:pos="567"/>
        </w:tabs>
        <w:spacing w:before="120"/>
        <w:ind w:left="567" w:hanging="567"/>
      </w:pPr>
      <w:r>
        <w:t>1.</w:t>
      </w:r>
      <w:r>
        <w:tab/>
        <w:t>A person who may be appointed as a proxy includes a spouse, another resident, a relative, friend or other person, but no person may hold more than 5 proxies at the same time.</w:t>
      </w:r>
    </w:p>
    <w:p>
      <w:pPr>
        <w:pStyle w:val="yMiscellaneousBody"/>
        <w:tabs>
          <w:tab w:val="left" w:pos="567"/>
        </w:tabs>
        <w:spacing w:before="120"/>
        <w:ind w:left="567" w:hanging="56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567"/>
        </w:tabs>
        <w:spacing w:before="120"/>
        <w:ind w:left="567" w:hanging="567"/>
      </w:pPr>
      <w:r>
        <w:t>3.</w:t>
      </w:r>
      <w:r>
        <w:tab/>
        <w:t>This appointment is effective only if this form is completed and given to the chairperson of the meeting at which the proxy is to vote before any vote is taken.</w:t>
      </w:r>
    </w:p>
    <w:p>
      <w:pPr>
        <w:pStyle w:val="yMiscellaneousBody"/>
        <w:tabs>
          <w:tab w:val="left" w:pos="567"/>
        </w:tabs>
        <w:spacing w:before="120"/>
        <w:ind w:left="567" w:hanging="567"/>
      </w:pPr>
      <w:r>
        <w:t>4.</w:t>
      </w:r>
      <w:r>
        <w:tab/>
        <w:t>This form does not authorise voting on a matter if the person appointing the proxy is present at the relevant meeting and personally votes on the matter.</w:t>
      </w:r>
    </w:p>
    <w:p>
      <w:pPr>
        <w:pStyle w:val="yMiscellaneousBody"/>
        <w:tabs>
          <w:tab w:val="left" w:pos="567"/>
        </w:tabs>
        <w:spacing w:before="120"/>
        <w:ind w:left="567" w:hanging="567"/>
      </w:pPr>
      <w:r>
        <w:t>5.</w:t>
      </w:r>
      <w:r>
        <w:tab/>
        <w:t>This appointment terminates after the meeting at which the proxy is authorised to vote.</w:t>
      </w:r>
    </w:p>
    <w:p>
      <w:pPr>
        <w:pStyle w:val="yMiscellaneousBody"/>
        <w:tabs>
          <w:tab w:val="left" w:pos="567"/>
        </w:tabs>
        <w:spacing w:before="120"/>
        <w:ind w:left="567" w:hanging="567"/>
      </w:pPr>
      <w:r>
        <w:t>6.</w:t>
      </w:r>
      <w:r>
        <w:tab/>
        <w:t xml:space="preserve">The person who made this appointment may, at any time prior to the exercise of a proxy vote, revoke the appointment by giving written notice to — </w:t>
      </w:r>
    </w:p>
    <w:p>
      <w:pPr>
        <w:pStyle w:val="yMiscellaneousBody"/>
        <w:numPr>
          <w:ilvl w:val="0"/>
          <w:numId w:val="20"/>
        </w:numPr>
        <w:ind w:left="786"/>
      </w:pPr>
      <w:r>
        <w:t>the person appointed as the resident’s proxy; and</w:t>
      </w:r>
    </w:p>
    <w:p>
      <w:pPr>
        <w:pStyle w:val="yMiscellaneousBody"/>
        <w:numPr>
          <w:ilvl w:val="0"/>
          <w:numId w:val="21"/>
        </w:numPr>
        <w:ind w:left="786"/>
        <w:sectPr>
          <w:headerReference w:type="even" r:id="rId43"/>
          <w:headerReference w:type="default" r:id="rId44"/>
          <w:endnotePr>
            <w:numFmt w:val="decimal"/>
          </w:endnotePr>
          <w:pgSz w:w="11907" w:h="16840" w:code="9"/>
          <w:pgMar w:top="2381" w:right="2410" w:bottom="3544" w:left="2410" w:header="720" w:footer="3380" w:gutter="0"/>
          <w:cols w:space="720"/>
          <w:docGrid w:linePitch="326"/>
        </w:sectPr>
      </w:pPr>
      <w:r>
        <w:t>the chairperson of the meeting at which the proxy was to vote.</w:t>
      </w:r>
    </w:p>
    <w:p>
      <w:pPr>
        <w:pStyle w:val="nHeading2"/>
      </w:pPr>
      <w:bookmarkStart w:id="428" w:name="_Toc241301143"/>
      <w:bookmarkStart w:id="429" w:name="_Toc113695922"/>
      <w:bookmarkStart w:id="430" w:name="_Toc241463696"/>
      <w:bookmarkStart w:id="431" w:name="_Toc241555960"/>
      <w:r>
        <w:t>Notes</w:t>
      </w:r>
      <w:bookmarkEnd w:id="428"/>
      <w:bookmarkEnd w:id="429"/>
      <w:bookmarkEnd w:id="430"/>
      <w:bookmarkEnd w:id="431"/>
    </w:p>
    <w:p>
      <w:pPr>
        <w:pStyle w:val="nSubsection"/>
        <w:rPr>
          <w:snapToGrid w:val="0"/>
        </w:rPr>
      </w:pPr>
      <w:bookmarkStart w:id="432" w:name="_Toc70311430"/>
      <w:bookmarkStart w:id="433" w:name="_Toc113695923"/>
      <w:r>
        <w:rPr>
          <w:snapToGrid w:val="0"/>
          <w:vertAlign w:val="superscript"/>
        </w:rPr>
        <w:t>1</w:t>
      </w:r>
      <w:r>
        <w:rPr>
          <w:snapToGrid w:val="0"/>
        </w:rPr>
        <w:tab/>
        <w:t xml:space="preserve">This is a compilation of the </w:t>
      </w:r>
      <w:r>
        <w:rPr>
          <w:i/>
          <w:noProof/>
          <w:snapToGrid w:val="0"/>
        </w:rPr>
        <w:t>Fair Trading (Retirement Villages Code) Regulations 2009</w:t>
      </w:r>
      <w:r>
        <w:rPr>
          <w:snapToGrid w:val="0"/>
        </w:rPr>
        <w:t xml:space="preserve">.  The following table contains information about those regulations. </w:t>
      </w:r>
    </w:p>
    <w:p>
      <w:pPr>
        <w:pStyle w:val="nHeading3"/>
      </w:pPr>
      <w:bookmarkStart w:id="434" w:name="_Toc241555961"/>
      <w:r>
        <w:t>Compilation table</w:t>
      </w:r>
      <w:bookmarkEnd w:id="432"/>
      <w:bookmarkEnd w:id="433"/>
      <w:bookmarkEnd w:id="4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Fair Trading (Retirement Villages Code) Regulations 2009</w:t>
            </w:r>
          </w:p>
        </w:tc>
        <w:tc>
          <w:tcPr>
            <w:tcW w:w="1276" w:type="dxa"/>
          </w:tcPr>
          <w:p>
            <w:pPr>
              <w:pStyle w:val="nTable"/>
              <w:spacing w:after="40"/>
              <w:rPr>
                <w:sz w:val="19"/>
              </w:rPr>
            </w:pPr>
            <w:r>
              <w:rPr>
                <w:sz w:val="19"/>
              </w:rPr>
              <w:t>21 Sep 2009 p. 3645</w:t>
            </w:r>
            <w:r>
              <w:rPr>
                <w:sz w:val="19"/>
              </w:rPr>
              <w:noBreakHyphen/>
              <w:t>706</w:t>
            </w:r>
          </w:p>
        </w:tc>
        <w:tc>
          <w:tcPr>
            <w:tcW w:w="2693" w:type="dxa"/>
          </w:tcPr>
          <w:p>
            <w:pPr>
              <w:pStyle w:val="nTable"/>
              <w:spacing w:after="40"/>
              <w:rPr>
                <w:sz w:val="19"/>
              </w:rPr>
            </w:pPr>
            <w:r>
              <w:rPr>
                <w:snapToGrid w:val="0"/>
                <w:spacing w:val="-2"/>
                <w:sz w:val="19"/>
                <w:lang w:val="en-US"/>
              </w:rPr>
              <w:t>r. 1 and 2: 21 Sep 2009 (see r. 2(a));</w:t>
            </w:r>
            <w:r>
              <w:rPr>
                <w:snapToGrid w:val="0"/>
                <w:spacing w:val="-2"/>
                <w:sz w:val="19"/>
                <w:lang w:val="en-US"/>
              </w:rPr>
              <w:br/>
              <w:t>Regulations other than r. 1 and 2: 1 Oct 2009 (see r. 2(b))</w:t>
            </w:r>
          </w:p>
        </w:tc>
      </w:tr>
    </w:tbl>
    <w:p/>
    <w:p>
      <w:pPr>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sectPr>
      <w:headerReference w:type="even" r:id="rId48"/>
      <w:endnotePr>
        <w:numFmt w:val="decimal"/>
      </w:endnotePr>
      <w:type w:val="continuous"/>
      <w:pgSz w:w="11906" w:h="16838" w:code="9"/>
      <w:pgMar w:top="851" w:right="1701" w:bottom="851" w:left="1701" w:header="851"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(Retirement Villages Code)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r>
            <w:fldChar w:fldCharType="begin"/>
          </w:r>
          <w:r>
            <w:instrText xml:space="preserve"> styleref CharSDivText </w:instrText>
          </w:r>
          <w:r>
            <w:rPr>
              <w:noProof/>
            </w:rP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0</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Preliminary</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1.5</w:instrText>
            </w:r>
          </w:fldSimple>
          <w:r>
            <w:instrText>" "</w:instrText>
          </w:r>
          <w:fldSimple w:instr=" STYLEREF CharSClsNo \n ">
            <w:r>
              <w:rPr>
                <w:noProof/>
              </w:rPr>
              <w:instrText>0</w:instrText>
            </w:r>
          </w:fldSimple>
          <w:r>
            <w:instrText>"</w:instrText>
          </w:r>
          <w:r>
            <w:fldChar w:fldCharType="separate"/>
          </w:r>
          <w:r>
            <w:rPr>
              <w:noProof/>
            </w:rPr>
            <w:t>1.5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Advertising and promotion of retirement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Advertising and promotion of retirement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2</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2</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2.5</w:instrText>
            </w:r>
          </w:fldSimple>
          <w:r>
            <w:instrText>" "</w:instrText>
          </w:r>
          <w:fldSimple w:instr=" STYLEREF CharSClsNo \n ">
            <w:r>
              <w:rPr>
                <w:noProof/>
              </w:rPr>
              <w:instrText>0</w:instrText>
            </w:r>
          </w:fldSimple>
          <w:r>
            <w:instrText>"</w:instrText>
          </w:r>
          <w:r>
            <w:fldChar w:fldCharType="separate"/>
          </w:r>
          <w:r>
            <w:rPr>
              <w:noProof/>
            </w:rPr>
            <w:t>2.5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3</w:instrText>
            </w:r>
          </w:fldSimple>
          <w:r>
            <w:instrText>" "</w:instrText>
          </w:r>
          <w:fldSimple w:instr=" STYLEREF CharSDivNo ">
            <w:r>
              <w:rPr>
                <w:noProof/>
              </w:rPr>
              <w:instrText>Division 3</w:instrText>
            </w:r>
          </w:fldSimple>
          <w:r>
            <w:instrText xml:space="preserve"> </w:instrText>
          </w:r>
          <w:fldSimple w:instr=" STYLEREF CharSDivNo \n ">
            <w:r>
              <w:rPr>
                <w:noProof/>
              </w:rPr>
              <w:instrText>0</w:instrText>
            </w:r>
          </w:fldSimple>
          <w:r>
            <w:instrText>"</w:instrText>
          </w:r>
          <w:r>
            <w:fldChar w:fldCharType="separate"/>
          </w:r>
          <w:r>
            <w:rPr>
              <w:noProof/>
            </w:rPr>
            <w:t>Division 3</w:t>
          </w:r>
          <w:r>
            <w:fldChar w:fldCharType="end"/>
          </w:r>
        </w:p>
      </w:tc>
      <w:tc>
        <w:tcPr>
          <w:tcW w:w="5715" w:type="dxa"/>
        </w:tcPr>
        <w:p>
          <w:pPr>
            <w:pStyle w:val="HeaderTextLeft"/>
          </w:pPr>
          <w:fldSimple w:instr=" styleref CharSDivText ">
            <w:r>
              <w:rPr>
                <w:noProof/>
              </w:rPr>
              <w:t>Prospective resident’s right to information before entering into a residence contract or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Prospective resident’s right to information before entering into a residence contract or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3</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3.2</w:instrText>
            </w:r>
          </w:fldSimple>
          <w:r>
            <w:instrText>" "</w:instrText>
          </w:r>
          <w:fldSimple w:instr=" STYLEREF CharSClsNo \n ">
            <w:r>
              <w:rPr>
                <w:noProof/>
              </w:rPr>
              <w:instrText>0</w:instrText>
            </w:r>
          </w:fldSimple>
          <w:r>
            <w:instrText>"</w:instrText>
          </w:r>
          <w:r>
            <w:fldChar w:fldCharType="separate"/>
          </w:r>
          <w:r>
            <w:rPr>
              <w:noProof/>
            </w:rPr>
            <w:t>3.2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4</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Residence contract and service contract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Residence contract and service contract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4</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4.11</w:instrText>
            </w:r>
          </w:fldSimple>
          <w:r>
            <w:instrText>" "</w:instrText>
          </w:r>
          <w:fldSimple w:instr=" STYLEREF CharSClsNo \n ">
            <w:r>
              <w:rPr>
                <w:noProof/>
              </w:rPr>
              <w:instrText>0</w:instrText>
            </w:r>
          </w:fldSimple>
          <w:r>
            <w:instrText>"</w:instrText>
          </w:r>
          <w:r>
            <w:fldChar w:fldCharType="separate"/>
          </w:r>
          <w:r>
            <w:rPr>
              <w:noProof/>
            </w:rPr>
            <w:t>4.11</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5</w:instrText>
            </w:r>
          </w:fldSimple>
          <w:r>
            <w:instrText>" "</w:instrText>
          </w:r>
          <w:fldSimple w:instr=" STYLEREF CharSDivNo ">
            <w:r>
              <w:rPr>
                <w:noProof/>
              </w:rPr>
              <w:instrText>Division 5</w:instrText>
            </w:r>
          </w:fldSimple>
          <w:r>
            <w:instrText xml:space="preserve"> </w:instrText>
          </w:r>
          <w:fldSimple w:instr=" STYLEREF CharSDivNo \n ">
            <w:r>
              <w:rPr>
                <w:noProof/>
              </w:rPr>
              <w:instrText>0</w:instrText>
            </w:r>
          </w:fldSimple>
          <w:r>
            <w:instrText>"</w:instrText>
          </w:r>
          <w:r>
            <w:fldChar w:fldCharType="separate"/>
          </w:r>
          <w:r>
            <w:rPr>
              <w:noProof/>
            </w:rPr>
            <w:t>Division 5</w:t>
          </w:r>
          <w:r>
            <w:fldChar w:fldCharType="end"/>
          </w:r>
        </w:p>
      </w:tc>
      <w:tc>
        <w:tcPr>
          <w:tcW w:w="5715" w:type="dxa"/>
        </w:tcPr>
        <w:p>
          <w:pPr>
            <w:pStyle w:val="HeaderTextLeft"/>
          </w:pPr>
          <w:fldSimple w:instr=" styleref CharSDivText ">
            <w:r>
              <w:rPr>
                <w:noProof/>
              </w:rPr>
              <w:t>Village management</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Village management</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5</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5</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5.12</w:instrText>
            </w:r>
          </w:fldSimple>
          <w:r>
            <w:instrText>" "</w:instrText>
          </w:r>
          <w:fldSimple w:instr=" STYLEREF CharSClsNo \n ">
            <w:r>
              <w:rPr>
                <w:noProof/>
              </w:rPr>
              <w:instrText>0</w:instrText>
            </w:r>
          </w:fldSimple>
          <w:r>
            <w:instrText>"</w:instrText>
          </w:r>
          <w:r>
            <w:fldChar w:fldCharType="separate"/>
          </w:r>
          <w:r>
            <w:rPr>
              <w:noProof/>
            </w:rPr>
            <w:t>5.12</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6</w:instrText>
            </w:r>
          </w:fldSimple>
          <w:r>
            <w:instrText>" "</w:instrText>
          </w:r>
          <w:fldSimple w:instr=" STYLEREF CharSDivNo ">
            <w:r>
              <w:rPr>
                <w:noProof/>
              </w:rPr>
              <w:instrText>Division 6</w:instrText>
            </w:r>
          </w:fldSimple>
          <w:r>
            <w:instrText xml:space="preserve"> </w:instrText>
          </w:r>
          <w:fldSimple w:instr=" STYLEREF CharSDivNo \n ">
            <w:r>
              <w:rPr>
                <w:noProof/>
              </w:rPr>
              <w:instrText>0</w:instrText>
            </w:r>
          </w:fldSimple>
          <w:r>
            <w:instrText>"</w:instrText>
          </w:r>
          <w:r>
            <w:fldChar w:fldCharType="separate"/>
          </w:r>
          <w:r>
            <w:rPr>
              <w:noProof/>
            </w:rPr>
            <w:t>Division 6</w:t>
          </w:r>
          <w:r>
            <w:fldChar w:fldCharType="end"/>
          </w:r>
        </w:p>
      </w:tc>
      <w:tc>
        <w:tcPr>
          <w:tcW w:w="5715" w:type="dxa"/>
        </w:tcPr>
        <w:p>
          <w:pPr>
            <w:pStyle w:val="HeaderTextLeft"/>
          </w:pPr>
          <w:fldSimple w:instr=" styleref CharSDivText ">
            <w:r>
              <w:rPr>
                <w:noProof/>
              </w:rPr>
              <w:t>Dispute resolution</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Dispute resolution</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6</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6</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6.3</w:instrText>
            </w:r>
          </w:fldSimple>
          <w:r>
            <w:instrText>" "</w:instrText>
          </w:r>
          <w:fldSimple w:instr=" STYLEREF CharSClsNo \n ">
            <w:r>
              <w:rPr>
                <w:noProof/>
              </w:rPr>
              <w:instrText>0</w:instrText>
            </w:r>
          </w:fldSimple>
          <w:r>
            <w:instrText>"</w:instrText>
          </w:r>
          <w:r>
            <w:fldChar w:fldCharType="separate"/>
          </w:r>
          <w:r>
            <w:rPr>
              <w:noProof/>
            </w:rPr>
            <w:t>6.3</w:t>
          </w:r>
          <w: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7</w:instrText>
            </w:r>
          </w:fldSimple>
          <w:r>
            <w:instrText>" "</w:instrText>
          </w:r>
          <w:fldSimple w:instr=" STYLEREF CharSDivNo ">
            <w:r>
              <w:rPr>
                <w:noProof/>
              </w:rPr>
              <w:instrText>Division 7</w:instrText>
            </w:r>
          </w:fldSimple>
          <w:r>
            <w:instrText xml:space="preserve"> </w:instrText>
          </w:r>
          <w:fldSimple w:instr=" STYLEREF CharSDivNo \n ">
            <w:r>
              <w:rPr>
                <w:noProof/>
              </w:rPr>
              <w:instrText>0</w:instrText>
            </w:r>
          </w:fldSimple>
          <w:r>
            <w:instrText>"</w:instrText>
          </w:r>
          <w:r>
            <w:fldChar w:fldCharType="separate"/>
          </w:r>
          <w:r>
            <w:rPr>
              <w:noProof/>
            </w:rPr>
            <w:t>Division 7</w:t>
          </w:r>
          <w:r>
            <w:fldChar w:fldCharType="end"/>
          </w:r>
        </w:p>
      </w:tc>
      <w:tc>
        <w:tcPr>
          <w:tcW w:w="5715" w:type="dxa"/>
        </w:tcPr>
        <w:p>
          <w:pPr>
            <w:pStyle w:val="HeaderTextLeft"/>
          </w:pPr>
          <w:fldSimple w:instr=" styleref CharSDivText ">
            <w:r>
              <w:rPr>
                <w:noProof/>
              </w:rPr>
              <w:t>Termination of residence contracts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97" w:type="dxa"/>
        </w:tcPr>
        <w:p>
          <w:pPr>
            <w:pStyle w:val="HeaderTextRight"/>
          </w:pPr>
          <w:fldSimple w:instr=" styleref CharSchText ">
            <w:r>
              <w:rPr>
                <w:noProof/>
              </w:rPr>
              <w:t>Code of Fair Practice for Retirement Villages 2009</w:t>
            </w:r>
          </w:fldSimple>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97" w:type="dxa"/>
        </w:tcPr>
        <w:p>
          <w:pPr>
            <w:pStyle w:val="HeaderTextRight"/>
          </w:pPr>
          <w:fldSimple w:instr=" styleref CharSDivText ">
            <w:r>
              <w:rPr>
                <w:noProof/>
              </w:rPr>
              <w:t>Termination of residence contracts</w:t>
            </w:r>
          </w:fldSimple>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7</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7</w:t>
          </w:r>
          <w:r>
            <w:rPr>
              <w:bCs/>
            </w:rP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7.1</w:instrText>
            </w:r>
          </w:fldSimple>
          <w:r>
            <w:instrText>" "</w:instrText>
          </w:r>
          <w:fldSimple w:instr=" STYLEREF CharSClsNo \n ">
            <w:r>
              <w:rPr>
                <w:noProof/>
              </w:rPr>
              <w:instrText>0</w:instrText>
            </w:r>
          </w:fldSimple>
          <w:r>
            <w:instrText>"</w:instrText>
          </w:r>
          <w:r>
            <w:fldChar w:fldCharType="separate"/>
          </w:r>
          <w:r>
            <w:rPr>
              <w:noProof/>
            </w:rPr>
            <w:t>7.1</w:t>
          </w:r>
          <w:r>
            <w:fldChar w:fldCharType="end"/>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Fair Trading (Retirement Villages Code) Regulations 2009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Fair Practice for Retirement Villages 2009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Fair Trading (Retirement Villages Code) Regulations 2009</w:t>
            </w:r>
          </w:fldSimple>
        </w:p>
      </w:tc>
    </w:tr>
    <w:tr>
      <w:tc>
        <w:tcPr>
          <w:tcW w:w="5715" w:type="dxa"/>
        </w:tcPr>
        <w:p>
          <w:pPr>
            <w:pStyle w:val="HeaderTextRight"/>
          </w:pPr>
          <w:fldSimple w:instr=" styleref CharSchText ">
            <w:r>
              <w:rPr>
                <w:noProof/>
              </w:rPr>
              <w:t>Code of Fair Practice for Retirement Villages 2009</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(Retirement Villages Code)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(Retirement Villages Code)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1">
    <w:nsid w:val="3F1D7FC5"/>
    <w:multiLevelType w:val="singleLevel"/>
    <w:tmpl w:val="0C09000F"/>
    <w:lvl w:ilvl="0">
      <w:start w:val="1"/>
      <w:numFmt w:val="decimal"/>
      <w:lvlText w:val="%1."/>
      <w:lvlJc w:val="left"/>
      <w:pPr>
        <w:tabs>
          <w:tab w:val="num" w:pos="360"/>
        </w:tabs>
        <w:ind w:left="360" w:hanging="360"/>
      </w:pPr>
    </w:lvl>
  </w:abstractNum>
  <w:abstractNum w:abstractNumId="32">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DEA5FBF"/>
    <w:multiLevelType w:val="hybridMultilevel"/>
    <w:tmpl w:val="CC8A7C88"/>
    <w:lvl w:ilvl="0" w:tplc="37C041B4">
      <w:start w:val="1"/>
      <w:numFmt w:val="bullet"/>
      <w:lvlText w:val=""/>
      <w:lvlJc w:val="left"/>
      <w:pPr>
        <w:tabs>
          <w:tab w:val="num" w:pos="2280"/>
        </w:tabs>
        <w:ind w:left="2280" w:hanging="360"/>
      </w:pPr>
      <w:rPr>
        <w:rFonts w:ascii="Symbol" w:hAnsi="Symbol" w:hint="default"/>
        <w:sz w:val="24"/>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0"/>
  </w:num>
  <w:num w:numId="13">
    <w:abstractNumId w:val="17"/>
  </w:num>
  <w:num w:numId="14">
    <w:abstractNumId w:val="13"/>
  </w:num>
  <w:num w:numId="15">
    <w:abstractNumId w:val="34"/>
  </w:num>
  <w:num w:numId="16">
    <w:abstractNumId w:val="11"/>
  </w:num>
  <w:num w:numId="17">
    <w:abstractNumId w:val="20"/>
  </w:num>
  <w:num w:numId="18">
    <w:abstractNumId w:val="32"/>
  </w:num>
  <w:num w:numId="19">
    <w:abstractNumId w:val="31"/>
  </w:num>
  <w:num w:numId="20">
    <w:abstractNumId w:val="15"/>
  </w:num>
  <w:num w:numId="21">
    <w:abstractNumId w:val="22"/>
  </w:num>
  <w:num w:numId="22">
    <w:abstractNumId w:val="37"/>
  </w:num>
  <w:num w:numId="23">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2406"/>
    <w:docVar w:name="WAFER_20151204112406" w:val="RemoveTrackChanges"/>
    <w:docVar w:name="WAFER_20151204112406_GUID" w:val="07eac8ca-1cb0-4018-9308-49dd0bf7f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12546</Words>
  <Characters>66370</Characters>
  <Application>Microsoft Office Word</Application>
  <DocSecurity>0</DocSecurity>
  <Lines>2074</Lines>
  <Paragraphs>950</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Schedule 1 — Code of Fair Practice for Retirement Villages 2009</vt:lpstr>
      <vt:lpstr>        </vt:lpstr>
      <vt:lpstr>        Division 1 — Preliminary</vt:lpstr>
      <vt:lpstr>        </vt:lpstr>
      <vt:lpstr>        Division 2 — Advertising and promotion of retirement villages</vt:lpstr>
      <vt:lpstr>        </vt:lpstr>
      <vt:lpstr>        Division 3 — Prospective resident’s right to information before entering into a </vt:lpstr>
      <vt:lpstr>        </vt:lpstr>
      <vt:lpstr>        Division 4 — Residence contract and service contract</vt:lpstr>
      <vt:lpstr>        </vt:lpstr>
      <vt:lpstr>        Division 5 — Village management</vt:lpstr>
      <vt:lpstr>        </vt:lpstr>
      <vt:lpstr>        Division 6 — Dispute resolution</vt:lpstr>
      <vt:lpstr>        </vt:lpstr>
      <vt:lpstr>        Division 7 — Termination of residence contracts</vt:lpstr>
      <vt:lpstr>        </vt:lpstr>
      <vt:lpstr>        Division 8 — Miscellaneous</vt:lpstr>
      <vt:lpstr>    </vt:lpstr>
      <vt:lpstr>    Appendix 1 — Checklist for prospective resident</vt:lpstr>
      <vt:lpstr>    Appendix 2 — Model proposed operating budget form</vt:lpstr>
      <vt:lpstr>    Appendix 3 — Model quarterly income and expenditure statement</vt:lpstr>
      <vt:lpstr>    Appendix 4 — Model reserve fund quarterly income and expenditure statement</vt:lpstr>
      <vt:lpstr>    Appendix 5 — Form of appointment of proxy</vt:lpstr>
      <vt:lpstr>    Notes</vt:lpstr>
    </vt:vector>
  </TitlesOfParts>
  <Manager/>
  <Company/>
  <LinksUpToDate>false</LinksUpToDate>
  <CharactersWithSpaces>77966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Code) Regulations 2009 - 00-a0-03</dc:title>
  <dc:subject/>
  <dc:creator/>
  <cp:keywords/>
  <dc:description/>
  <cp:lastModifiedBy>svcMRProcess</cp:lastModifiedBy>
  <cp:revision>4</cp:revision>
  <cp:lastPrinted>2009-08-18T04:30:00Z</cp:lastPrinted>
  <dcterms:created xsi:type="dcterms:W3CDTF">2018-09-18T03:32:00Z</dcterms:created>
  <dcterms:modified xsi:type="dcterms:W3CDTF">2018-09-18T03:32:00Z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20091001</vt:lpwstr>
  </property>
  <property fmtid="{D5CDD505-2E9C-101B-9397-08002B2CF9AE}" pid="3" name="ID">
    <vt:lpwstr>21 Sep 2009 p 3645-706</vt:lpwstr>
  </property>
  <property fmtid="{D5CDD505-2E9C-101B-9397-08002B2CF9AE}" pid="4" name="DocumentType">
    <vt:lpwstr>Reg</vt:lpwstr>
  </property>
  <property fmtid="{D5CDD505-2E9C-101B-9397-08002B2CF9AE}" pid="5" name="OwlsUID">
    <vt:i4>42007</vt:i4>
  </property>
  <property fmtid="{D5CDD505-2E9C-101B-9397-08002B2CF9AE}" pid="6" name="AsAtDate">
    <vt:lpwstr>01 Oct 2009</vt:lpwstr>
  </property>
  <property fmtid="{D5CDD505-2E9C-101B-9397-08002B2CF9AE}" pid="7" name="Suffix">
    <vt:lpwstr>00-a0-03</vt:lpwstr>
  </property>
</Properties>
</file>