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left="120" w:right="128"/>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3760" w:after="4200"/>
        <w:ind w:left="1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September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_Toc240950043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_Toc240950044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_Toc240950045 \h </w:instrText>
      </w:r>
      <w:r>
        <w:fldChar w:fldCharType="separate"/>
      </w:r>
      <w:r>
        <w:t>1</w:t>
      </w:r>
      <w:r>
        <w:fldChar w:fldCharType="end"/>
      </w:r>
    </w:p>
    <w:p>
      <w:pPr>
        <w:pStyle w:val="TOC8"/>
        <w:rPr>
          <w:sz w:val="24"/>
          <w:szCs w:val="24"/>
        </w:rPr>
      </w:pPr>
      <w:r>
        <w:rPr>
          <w:szCs w:val="24"/>
        </w:rPr>
        <w:t>3A.</w:t>
      </w:r>
      <w:r>
        <w:rPr>
          <w:szCs w:val="24"/>
        </w:rPr>
        <w:tab/>
        <w:t>Construction of references to time</w:t>
      </w:r>
      <w:r>
        <w:tab/>
      </w:r>
      <w:r>
        <w:fldChar w:fldCharType="begin"/>
      </w:r>
      <w:r>
        <w:instrText xml:space="preserve"> PAGEREF _Toc240950046 \h </w:instrText>
      </w:r>
      <w:r>
        <w:fldChar w:fldCharType="separate"/>
      </w:r>
      <w:r>
        <w:t>2</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_Toc240950047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_Toc240950048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_Toc240950049 \h </w:instrText>
      </w:r>
      <w:r>
        <w:fldChar w:fldCharType="separate"/>
      </w:r>
      <w:r>
        <w:t>3</w:t>
      </w:r>
      <w:r>
        <w:fldChar w:fldCharType="end"/>
      </w:r>
    </w:p>
    <w:p>
      <w:pPr>
        <w:pStyle w:val="TOC8"/>
        <w:rPr>
          <w:sz w:val="24"/>
          <w:szCs w:val="24"/>
        </w:rPr>
      </w:pPr>
      <w:r>
        <w:rPr>
          <w:szCs w:val="24"/>
        </w:rPr>
        <w:t>7.</w:t>
      </w:r>
      <w:r>
        <w:rPr>
          <w:szCs w:val="24"/>
        </w:rPr>
        <w:tab/>
        <w:t>Fees</w:t>
      </w:r>
      <w:r>
        <w:tab/>
      </w:r>
      <w:r>
        <w:fldChar w:fldCharType="begin"/>
      </w:r>
      <w:r>
        <w:instrText xml:space="preserve"> PAGEREF _Toc240950050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_Toc240950051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_Toc240950052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_Toc240950053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_Toc240950054 \h </w:instrText>
      </w:r>
      <w:r>
        <w:fldChar w:fldCharType="separate"/>
      </w:r>
      <w:r>
        <w:t>6</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_Toc240950055 \h </w:instrText>
      </w:r>
      <w:r>
        <w:fldChar w:fldCharType="separate"/>
      </w:r>
      <w:r>
        <w:t>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_Toc240950057 \h </w:instrText>
      </w:r>
      <w:r>
        <w:fldChar w:fldCharType="separate"/>
      </w:r>
      <w:r>
        <w:t>7</w:t>
      </w:r>
      <w:r>
        <w:fldChar w:fldCharType="end"/>
      </w:r>
    </w:p>
    <w:p>
      <w:pPr>
        <w:pStyle w:val="TOC8"/>
        <w:rPr>
          <w:sz w:val="24"/>
          <w:szCs w:val="24"/>
        </w:rPr>
      </w:pPr>
      <w:r>
        <w:rPr>
          <w:szCs w:val="22"/>
        </w:rPr>
        <w:t>2.</w:t>
      </w:r>
      <w:r>
        <w:rPr>
          <w:szCs w:val="22"/>
        </w:rPr>
        <w:tab/>
        <w:t>Tariff L3 (general supply — low/medium voltage tariff)</w:t>
      </w:r>
      <w:r>
        <w:tab/>
      </w:r>
      <w:r>
        <w:fldChar w:fldCharType="begin"/>
      </w:r>
      <w:r>
        <w:instrText xml:space="preserve"> PAGEREF _Toc240950058 \h </w:instrText>
      </w:r>
      <w:r>
        <w:fldChar w:fldCharType="separate"/>
      </w:r>
      <w:r>
        <w:t>7</w:t>
      </w:r>
      <w:r>
        <w:fldChar w:fldCharType="end"/>
      </w:r>
    </w:p>
    <w:p>
      <w:pPr>
        <w:pStyle w:val="TOC8"/>
        <w:rPr>
          <w:sz w:val="24"/>
          <w:szCs w:val="24"/>
        </w:rPr>
      </w:pPr>
      <w:r>
        <w:rPr>
          <w:szCs w:val="22"/>
        </w:rPr>
        <w:t>3.</w:t>
      </w:r>
      <w:r>
        <w:rPr>
          <w:szCs w:val="22"/>
        </w:rPr>
        <w:tab/>
        <w:t>Tariff M1 (general supply — high voltage tariff)</w:t>
      </w:r>
      <w:r>
        <w:tab/>
      </w:r>
      <w:r>
        <w:fldChar w:fldCharType="begin"/>
      </w:r>
      <w:r>
        <w:instrText xml:space="preserve"> PAGEREF _Toc240950059 \h </w:instrText>
      </w:r>
      <w:r>
        <w:fldChar w:fldCharType="separate"/>
      </w:r>
      <w:r>
        <w:t>8</w:t>
      </w:r>
      <w:r>
        <w:fldChar w:fldCharType="end"/>
      </w:r>
    </w:p>
    <w:p>
      <w:pPr>
        <w:pStyle w:val="TOC8"/>
        <w:rPr>
          <w:sz w:val="24"/>
          <w:szCs w:val="24"/>
        </w:rPr>
      </w:pPr>
      <w:r>
        <w:rPr>
          <w:szCs w:val="22"/>
        </w:rPr>
        <w:t>4.</w:t>
      </w:r>
      <w:r>
        <w:rPr>
          <w:szCs w:val="22"/>
        </w:rPr>
        <w:tab/>
        <w:t>Tariff R1 (time of use tariff)</w:t>
      </w:r>
      <w:r>
        <w:tab/>
      </w:r>
      <w:r>
        <w:fldChar w:fldCharType="begin"/>
      </w:r>
      <w:r>
        <w:instrText xml:space="preserve"> PAGEREF _Toc240950060 \h </w:instrText>
      </w:r>
      <w:r>
        <w:fldChar w:fldCharType="separate"/>
      </w:r>
      <w:r>
        <w:t>8</w:t>
      </w:r>
      <w:r>
        <w:fldChar w:fldCharType="end"/>
      </w:r>
    </w:p>
    <w:p>
      <w:pPr>
        <w:pStyle w:val="TOC8"/>
        <w:rPr>
          <w:sz w:val="24"/>
          <w:szCs w:val="24"/>
        </w:rPr>
      </w:pPr>
      <w:r>
        <w:rPr>
          <w:szCs w:val="22"/>
        </w:rPr>
        <w:t>5.</w:t>
      </w:r>
      <w:r>
        <w:rPr>
          <w:szCs w:val="22"/>
        </w:rPr>
        <w:tab/>
        <w:t>Tariff R3 (time of use tariff)</w:t>
      </w:r>
      <w:r>
        <w:tab/>
      </w:r>
      <w:r>
        <w:fldChar w:fldCharType="begin"/>
      </w:r>
      <w:r>
        <w:instrText xml:space="preserve"> PAGEREF _Toc240950061 \h </w:instrText>
      </w:r>
      <w:r>
        <w:fldChar w:fldCharType="separate"/>
      </w:r>
      <w:r>
        <w:t>8</w:t>
      </w:r>
      <w:r>
        <w:fldChar w:fldCharType="end"/>
      </w:r>
    </w:p>
    <w:p>
      <w:pPr>
        <w:pStyle w:val="TOC8"/>
        <w:rPr>
          <w:sz w:val="24"/>
          <w:szCs w:val="24"/>
        </w:rPr>
      </w:pPr>
      <w:r>
        <w:rPr>
          <w:szCs w:val="22"/>
        </w:rPr>
        <w:lastRenderedPageBreak/>
        <w:t>6.</w:t>
      </w:r>
      <w:r>
        <w:rPr>
          <w:szCs w:val="22"/>
        </w:rPr>
        <w:tab/>
      </w:r>
      <w:r>
        <w:rPr>
          <w:snapToGrid w:val="0"/>
          <w:szCs w:val="22"/>
        </w:rPr>
        <w:t>Tariff S1 (low/medium voltage time based demand and energy tariff)</w:t>
      </w:r>
      <w:r>
        <w:tab/>
      </w:r>
      <w:r>
        <w:fldChar w:fldCharType="begin"/>
      </w:r>
      <w:r>
        <w:instrText xml:space="preserve"> PAGEREF _Toc240950062 \h </w:instrText>
      </w:r>
      <w:r>
        <w:fldChar w:fldCharType="separate"/>
      </w:r>
      <w:r>
        <w:t>9</w:t>
      </w:r>
      <w:r>
        <w:fldChar w:fldCharType="end"/>
      </w:r>
    </w:p>
    <w:p>
      <w:pPr>
        <w:pStyle w:val="TOC8"/>
        <w:rPr>
          <w:sz w:val="24"/>
          <w:szCs w:val="24"/>
        </w:rPr>
      </w:pPr>
      <w:r>
        <w:rPr>
          <w:szCs w:val="22"/>
        </w:rPr>
        <w:t>7.</w:t>
      </w:r>
      <w:r>
        <w:rPr>
          <w:szCs w:val="22"/>
        </w:rPr>
        <w:tab/>
        <w:t xml:space="preserve">Tariff T1 </w:t>
      </w:r>
      <w:r>
        <w:rPr>
          <w:snapToGrid w:val="0"/>
          <w:szCs w:val="22"/>
        </w:rPr>
        <w:t>(high voltage time based demand and energy tariff)</w:t>
      </w:r>
      <w:r>
        <w:tab/>
      </w:r>
      <w:r>
        <w:fldChar w:fldCharType="begin"/>
      </w:r>
      <w:r>
        <w:instrText xml:space="preserve"> PAGEREF _Toc240950063 \h </w:instrText>
      </w:r>
      <w:r>
        <w:fldChar w:fldCharType="separate"/>
      </w:r>
      <w:r>
        <w:t>10</w:t>
      </w:r>
      <w:r>
        <w:fldChar w:fldCharType="end"/>
      </w:r>
    </w:p>
    <w:p>
      <w:pPr>
        <w:pStyle w:val="TOC8"/>
        <w:rPr>
          <w:sz w:val="24"/>
          <w:szCs w:val="24"/>
        </w:rPr>
      </w:pPr>
      <w:r>
        <w:rPr>
          <w:szCs w:val="22"/>
        </w:rPr>
        <w:t>8.</w:t>
      </w:r>
      <w:r>
        <w:rPr>
          <w:szCs w:val="22"/>
        </w:rPr>
        <w:tab/>
        <w:t>Standby charges</w:t>
      </w:r>
      <w:r>
        <w:tab/>
      </w:r>
      <w:r>
        <w:fldChar w:fldCharType="begin"/>
      </w:r>
      <w:r>
        <w:instrText xml:space="preserve"> PAGEREF _Toc240950064 \h </w:instrText>
      </w:r>
      <w:r>
        <w:fldChar w:fldCharType="separate"/>
      </w:r>
      <w:r>
        <w:t>11</w:t>
      </w:r>
      <w:r>
        <w:fldChar w:fldCharType="end"/>
      </w:r>
    </w:p>
    <w:p>
      <w:pPr>
        <w:pStyle w:val="TOC8"/>
        <w:rPr>
          <w:sz w:val="24"/>
          <w:szCs w:val="24"/>
        </w:rPr>
      </w:pPr>
      <w:r>
        <w:rPr>
          <w:szCs w:val="22"/>
        </w:rPr>
        <w:t>9.</w:t>
      </w:r>
      <w:r>
        <w:rPr>
          <w:szCs w:val="22"/>
        </w:rPr>
        <w:tab/>
        <w:t>Tariff A1 (residential tariff)</w:t>
      </w:r>
      <w:r>
        <w:tab/>
      </w:r>
      <w:r>
        <w:fldChar w:fldCharType="begin"/>
      </w:r>
      <w:r>
        <w:instrText xml:space="preserve"> PAGEREF _Toc240950065 \h </w:instrText>
      </w:r>
      <w:r>
        <w:fldChar w:fldCharType="separate"/>
      </w:r>
      <w:r>
        <w:t>12</w:t>
      </w:r>
      <w:r>
        <w:fldChar w:fldCharType="end"/>
      </w:r>
    </w:p>
    <w:p>
      <w:pPr>
        <w:pStyle w:val="TOC8"/>
        <w:rPr>
          <w:sz w:val="24"/>
          <w:szCs w:val="24"/>
        </w:rPr>
      </w:pPr>
      <w:r>
        <w:rPr>
          <w:szCs w:val="22"/>
        </w:rPr>
        <w:t>10.</w:t>
      </w:r>
      <w:r>
        <w:rPr>
          <w:szCs w:val="22"/>
        </w:rPr>
        <w:tab/>
        <w:t>Tariff B1 (residential water heating tariff)</w:t>
      </w:r>
      <w:r>
        <w:tab/>
      </w:r>
      <w:r>
        <w:fldChar w:fldCharType="begin"/>
      </w:r>
      <w:r>
        <w:instrText xml:space="preserve"> PAGEREF _Toc240950066 \h </w:instrText>
      </w:r>
      <w:r>
        <w:fldChar w:fldCharType="separate"/>
      </w:r>
      <w:r>
        <w:t>13</w:t>
      </w:r>
      <w:r>
        <w:fldChar w:fldCharType="end"/>
      </w:r>
    </w:p>
    <w:p>
      <w:pPr>
        <w:pStyle w:val="TOC8"/>
        <w:rPr>
          <w:sz w:val="24"/>
          <w:szCs w:val="24"/>
        </w:rPr>
      </w:pPr>
      <w:r>
        <w:rPr>
          <w:szCs w:val="22"/>
        </w:rPr>
        <w:t>11.</w:t>
      </w:r>
      <w:r>
        <w:rPr>
          <w:szCs w:val="22"/>
        </w:rPr>
        <w:tab/>
        <w:t>Tariff C1 (special community service tariff)</w:t>
      </w:r>
      <w:r>
        <w:tab/>
      </w:r>
      <w:r>
        <w:fldChar w:fldCharType="begin"/>
      </w:r>
      <w:r>
        <w:instrText xml:space="preserve"> PAGEREF _Toc240950067 \h </w:instrText>
      </w:r>
      <w:r>
        <w:fldChar w:fldCharType="separate"/>
      </w:r>
      <w:r>
        <w:t>13</w:t>
      </w:r>
      <w:r>
        <w:fldChar w:fldCharType="end"/>
      </w:r>
    </w:p>
    <w:p>
      <w:pPr>
        <w:pStyle w:val="TOC8"/>
        <w:rPr>
          <w:sz w:val="24"/>
          <w:szCs w:val="24"/>
        </w:rPr>
      </w:pPr>
      <w:r>
        <w:rPr>
          <w:szCs w:val="22"/>
        </w:rPr>
        <w:t>12.</w:t>
      </w:r>
      <w:r>
        <w:rPr>
          <w:szCs w:val="22"/>
        </w:rPr>
        <w:tab/>
        <w:t>Tariff D1 (special tariff for certain premises)</w:t>
      </w:r>
      <w:r>
        <w:tab/>
      </w:r>
      <w:r>
        <w:fldChar w:fldCharType="begin"/>
      </w:r>
      <w:r>
        <w:instrText xml:space="preserve"> PAGEREF _Toc240950068 \h </w:instrText>
      </w:r>
      <w:r>
        <w:fldChar w:fldCharType="separate"/>
      </w:r>
      <w:r>
        <w:t>14</w:t>
      </w:r>
      <w:r>
        <w:fldChar w:fldCharType="end"/>
      </w:r>
    </w:p>
    <w:p>
      <w:pPr>
        <w:pStyle w:val="TOC8"/>
        <w:rPr>
          <w:sz w:val="24"/>
          <w:szCs w:val="24"/>
        </w:rPr>
      </w:pPr>
      <w:r>
        <w:rPr>
          <w:szCs w:val="22"/>
        </w:rPr>
        <w:t>13.</w:t>
      </w:r>
      <w:r>
        <w:rPr>
          <w:szCs w:val="22"/>
        </w:rPr>
        <w:tab/>
        <w:t>Tariff K1 (general supply with residential tariff)</w:t>
      </w:r>
      <w:r>
        <w:tab/>
      </w:r>
      <w:r>
        <w:fldChar w:fldCharType="begin"/>
      </w:r>
      <w:r>
        <w:instrText xml:space="preserve"> PAGEREF _Toc240950069 \h </w:instrText>
      </w:r>
      <w:r>
        <w:fldChar w:fldCharType="separate"/>
      </w:r>
      <w:r>
        <w:t>15</w:t>
      </w:r>
      <w:r>
        <w:fldChar w:fldCharType="end"/>
      </w:r>
    </w:p>
    <w:p>
      <w:pPr>
        <w:pStyle w:val="TOC8"/>
        <w:rPr>
          <w:sz w:val="24"/>
          <w:szCs w:val="24"/>
        </w:rPr>
      </w:pPr>
      <w:r>
        <w:rPr>
          <w:szCs w:val="22"/>
        </w:rPr>
        <w:t>14.</w:t>
      </w:r>
      <w:r>
        <w:rPr>
          <w:szCs w:val="22"/>
        </w:rPr>
        <w:tab/>
        <w:t>Tariff W1 (traffic light installations)</w:t>
      </w:r>
      <w:r>
        <w:tab/>
      </w:r>
      <w:r>
        <w:fldChar w:fldCharType="begin"/>
      </w:r>
      <w:r>
        <w:instrText xml:space="preserve"> PAGEREF _Toc240950070 \h </w:instrText>
      </w:r>
      <w:r>
        <w:fldChar w:fldCharType="separate"/>
      </w:r>
      <w:r>
        <w:t>15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_Toc240950075 \h </w:instrText>
      </w:r>
      <w:r>
        <w:fldChar w:fldCharType="separate"/>
      </w:r>
      <w:r>
        <w:t>21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September 2009</w:t>
            </w:r>
          </w:p>
        </w:tc>
      </w:tr>
    </w:tbl>
    <w:p>
      <w:pPr>
        <w:pStyle w:val="WA"/>
        <w:spacing w:before="120"/>
      </w:pPr>
      <w:r>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28282853"/>
      <w:bookmarkStart w:id="10" w:name="_Toc240950043"/>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24095004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0" w:name="_Toc486232663"/>
      <w:bookmarkStart w:id="21" w:name="_Toc509735408"/>
      <w:bookmarkStart w:id="22" w:name="_Toc511625640"/>
      <w:bookmarkStart w:id="23" w:name="_Toc512237522"/>
      <w:bookmarkStart w:id="24" w:name="_Toc512935994"/>
      <w:bookmarkStart w:id="25" w:name="_Toc44470743"/>
      <w:bookmarkStart w:id="26" w:name="_Toc63831847"/>
      <w:bookmarkStart w:id="27" w:name="_Toc128282855"/>
      <w:bookmarkStart w:id="28" w:name="_Toc240950045"/>
      <w:r>
        <w:rPr>
          <w:rStyle w:val="CharSectno"/>
        </w:rPr>
        <w:t>3</w:t>
      </w:r>
      <w:r>
        <w:t>.</w:t>
      </w:r>
      <w:r>
        <w:tab/>
      </w:r>
      <w:bookmarkEnd w:id="20"/>
      <w:bookmarkEnd w:id="21"/>
      <w:bookmarkEnd w:id="22"/>
      <w:bookmarkEnd w:id="23"/>
      <w:bookmarkEnd w:id="24"/>
      <w:bookmarkEnd w:id="25"/>
      <w:bookmarkEnd w:id="26"/>
      <w:r>
        <w:rPr>
          <w:snapToGrid w:val="0"/>
        </w:rPr>
        <w:t>Terms used</w:t>
      </w:r>
      <w:bookmarkEnd w:id="27"/>
      <w:bookmarkEnd w:id="2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Heading5"/>
      </w:pPr>
      <w:bookmarkStart w:id="29" w:name="_Toc240950046"/>
      <w:bookmarkStart w:id="30" w:name="_Toc486232664"/>
      <w:bookmarkStart w:id="31" w:name="_Toc509735409"/>
      <w:bookmarkStart w:id="32" w:name="_Toc511625641"/>
      <w:bookmarkStart w:id="33" w:name="_Toc512237523"/>
      <w:bookmarkStart w:id="34" w:name="_Toc512935995"/>
      <w:bookmarkStart w:id="35" w:name="_Toc44470744"/>
      <w:bookmarkStart w:id="36" w:name="_Toc63831848"/>
      <w:bookmarkStart w:id="37" w:name="_Toc128282856"/>
      <w:r>
        <w:rPr>
          <w:rStyle w:val="CharSectno"/>
        </w:rPr>
        <w:t>3A</w:t>
      </w:r>
      <w:r>
        <w:t>.</w:t>
      </w:r>
      <w:r>
        <w:tab/>
        <w:t>Construction of references to time</w:t>
      </w:r>
      <w:bookmarkEnd w:id="29"/>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w:t>
      </w:r>
      <w:r>
        <w:noBreakHyphen/>
        <w:t>law 3A inserted in Gazette 1 Dec 2006 p. 5349</w:t>
      </w:r>
      <w:r>
        <w:noBreakHyphen/>
        <w:t>50.]</w:t>
      </w:r>
    </w:p>
    <w:p>
      <w:pPr>
        <w:pStyle w:val="Heading5"/>
        <w:rPr>
          <w:snapToGrid w:val="0"/>
        </w:rPr>
      </w:pPr>
      <w:bookmarkStart w:id="38" w:name="_Toc240950047"/>
      <w:r>
        <w:rPr>
          <w:rStyle w:val="CharSectno"/>
        </w:rPr>
        <w:t>4</w:t>
      </w:r>
      <w:r>
        <w:t>.</w:t>
      </w:r>
      <w:r>
        <w:tab/>
      </w:r>
      <w:r>
        <w:rPr>
          <w:snapToGrid w:val="0"/>
        </w:rPr>
        <w:t>Electricity charges</w:t>
      </w:r>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9" w:name="_Toc128282857"/>
      <w:bookmarkStart w:id="40" w:name="_Toc240950048"/>
      <w:r>
        <w:rPr>
          <w:rStyle w:val="CharSectno"/>
        </w:rPr>
        <w:t>5</w:t>
      </w:r>
      <w:r>
        <w:t>.</w:t>
      </w:r>
      <w:r>
        <w:tab/>
        <w:t>Application of residential tariffs</w:t>
      </w:r>
      <w:bookmarkEnd w:id="39"/>
      <w:bookmarkEnd w:id="40"/>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1" w:name="_Toc128282858"/>
      <w:bookmarkStart w:id="42" w:name="_Toc240950049"/>
      <w:r>
        <w:rPr>
          <w:rStyle w:val="CharSectno"/>
        </w:rPr>
        <w:t>6</w:t>
      </w:r>
      <w:r>
        <w:t>.</w:t>
      </w:r>
      <w:r>
        <w:tab/>
        <w:t>Meter rental</w:t>
      </w:r>
      <w:bookmarkEnd w:id="41"/>
      <w:bookmarkEnd w:id="4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43" w:name="_Toc128282859"/>
      <w:bookmarkStart w:id="44" w:name="_Toc240950050"/>
      <w:r>
        <w:rPr>
          <w:rStyle w:val="CharSectno"/>
        </w:rPr>
        <w:t>7</w:t>
      </w:r>
      <w:r>
        <w:t>.</w:t>
      </w:r>
      <w:r>
        <w:tab/>
        <w:t>Fees</w:t>
      </w:r>
      <w:bookmarkEnd w:id="43"/>
      <w:bookmarkEnd w:id="44"/>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5" w:name="_Toc128282860"/>
      <w:bookmarkStart w:id="46" w:name="_Toc240950051"/>
      <w:r>
        <w:rPr>
          <w:rStyle w:val="CharSectno"/>
        </w:rPr>
        <w:t>8</w:t>
      </w:r>
      <w:r>
        <w:t>.</w:t>
      </w:r>
      <w:r>
        <w:tab/>
        <w:t>Payment</w:t>
      </w:r>
      <w:bookmarkEnd w:id="45"/>
      <w:bookmarkEnd w:id="46"/>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47" w:name="_Toc128282861"/>
      <w:bookmarkStart w:id="48" w:name="_Toc240950052"/>
      <w:r>
        <w:rPr>
          <w:rStyle w:val="CharSectno"/>
        </w:rPr>
        <w:t>9</w:t>
      </w:r>
      <w:r>
        <w:t>.</w:t>
      </w:r>
      <w:r>
        <w:tab/>
        <w:t>Rebates and reduced fees</w:t>
      </w:r>
      <w:bookmarkEnd w:id="47"/>
      <w:bookmarkEnd w:id="48"/>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9" w:name="_Toc128282862"/>
      <w:bookmarkStart w:id="50" w:name="_Toc240950053"/>
      <w:r>
        <w:rPr>
          <w:rStyle w:val="CharSectno"/>
        </w:rPr>
        <w:t>10</w:t>
      </w:r>
      <w:r>
        <w:t>.</w:t>
      </w:r>
      <w:r>
        <w:tab/>
        <w:t>Calculation of charges</w:t>
      </w:r>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8282863"/>
      <w:bookmarkStart w:id="52" w:name="_Toc240950054"/>
      <w:r>
        <w:rPr>
          <w:rStyle w:val="CharSectno"/>
        </w:rPr>
        <w:t>11</w:t>
      </w:r>
      <w:r>
        <w:t>.</w:t>
      </w:r>
      <w:r>
        <w:tab/>
        <w:t>Changes in rates</w:t>
      </w:r>
      <w:bookmarkEnd w:id="51"/>
      <w:bookmarkEnd w:id="5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3" w:name="_Toc240950055"/>
      <w:r>
        <w:rPr>
          <w:rStyle w:val="CharSectno"/>
        </w:rPr>
        <w:t>12</w:t>
      </w:r>
      <w:r>
        <w:t>.</w:t>
      </w:r>
      <w:r>
        <w:tab/>
        <w:t>Prescribed rate of interest for s. 62(16) of the Act</w:t>
      </w:r>
      <w:bookmarkEnd w:id="5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4" w:name="_Toc233185409"/>
      <w:bookmarkStart w:id="55" w:name="_Toc238445937"/>
      <w:bookmarkStart w:id="56" w:name="_Toc238889041"/>
      <w:bookmarkStart w:id="57" w:name="_Toc238890127"/>
      <w:bookmarkStart w:id="58" w:name="_Toc240950056"/>
      <w:bookmarkStart w:id="59" w:name="_Toc123621759"/>
      <w:bookmarkStart w:id="60" w:name="_Toc123621906"/>
      <w:bookmarkStart w:id="61" w:name="_Toc123624866"/>
      <w:bookmarkStart w:id="62" w:name="_Toc123624933"/>
      <w:bookmarkStart w:id="63" w:name="_Toc123626279"/>
      <w:bookmarkStart w:id="64" w:name="_Toc123629883"/>
      <w:bookmarkStart w:id="65" w:name="_Toc124135800"/>
      <w:bookmarkStart w:id="66" w:name="_Toc124137267"/>
      <w:bookmarkStart w:id="67" w:name="_Toc124147435"/>
      <w:bookmarkStart w:id="68" w:name="_Toc124147472"/>
      <w:bookmarkStart w:id="69" w:name="_Toc124158783"/>
      <w:bookmarkStart w:id="70" w:name="_Toc124158890"/>
      <w:bookmarkStart w:id="71" w:name="_Toc124158924"/>
      <w:bookmarkStart w:id="72" w:name="_Toc124216305"/>
      <w:bookmarkStart w:id="73" w:name="_Toc124227064"/>
      <w:bookmarkStart w:id="74" w:name="_Toc124227157"/>
      <w:bookmarkStart w:id="75" w:name="_Toc124234423"/>
      <w:bookmarkStart w:id="76" w:name="_Toc124234775"/>
      <w:bookmarkStart w:id="77" w:name="_Toc124234815"/>
      <w:r>
        <w:rPr>
          <w:rStyle w:val="CharSchNo"/>
        </w:rPr>
        <w:t>Schedule 1</w:t>
      </w:r>
      <w:r>
        <w:rPr>
          <w:rStyle w:val="CharSDivNo"/>
        </w:rPr>
        <w:t> </w:t>
      </w:r>
      <w:r>
        <w:t>—</w:t>
      </w:r>
      <w:r>
        <w:rPr>
          <w:rStyle w:val="CharSDivText"/>
        </w:rPr>
        <w:t> </w:t>
      </w:r>
      <w:r>
        <w:rPr>
          <w:rStyle w:val="CharSchText"/>
        </w:rPr>
        <w:t>Supply charges</w:t>
      </w:r>
      <w:bookmarkEnd w:id="54"/>
      <w:bookmarkEnd w:id="55"/>
      <w:bookmarkEnd w:id="56"/>
      <w:bookmarkEnd w:id="57"/>
      <w:bookmarkEnd w:id="58"/>
    </w:p>
    <w:p>
      <w:pPr>
        <w:pStyle w:val="yShoulderClause"/>
      </w:pPr>
      <w:r>
        <w:t>[bl. 3, 4(1) and 10(1)]</w:t>
      </w:r>
    </w:p>
    <w:p>
      <w:pPr>
        <w:pStyle w:val="yFootnoteheading"/>
      </w:pPr>
      <w:r>
        <w:tab/>
        <w:t>[Heading inserted in Gazette 30 Mar 2009 p. 983.]</w:t>
      </w:r>
    </w:p>
    <w:p>
      <w:pPr>
        <w:pStyle w:val="yHeading5"/>
      </w:pPr>
      <w:bookmarkStart w:id="78" w:name="_Toc240950057"/>
      <w:r>
        <w:rPr>
          <w:rStyle w:val="CharSClsNo"/>
        </w:rPr>
        <w:t>1</w:t>
      </w:r>
      <w:r>
        <w:t>.</w:t>
      </w:r>
      <w:r>
        <w:tab/>
        <w:t>Tariff L1 (general supply — low/medium voltage tariff)</w:t>
      </w:r>
      <w:bookmarkEnd w:id="7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30.679 cents per day; and</w:t>
      </w:r>
    </w:p>
    <w:p>
      <w:pPr>
        <w:pStyle w:val="yIndenta"/>
      </w:pPr>
      <w:r>
        <w:tab/>
        <w:t>(b)</w:t>
      </w:r>
      <w:r>
        <w:tab/>
        <w:t xml:space="preserve">a charge for metered consumption at the rate of — </w:t>
      </w:r>
    </w:p>
    <w:p>
      <w:pPr>
        <w:pStyle w:val="yIndenti0"/>
      </w:pPr>
      <w:r>
        <w:tab/>
        <w:t>(i)</w:t>
      </w:r>
      <w:r>
        <w:tab/>
        <w:t>20.163 cents per unit for the first 1 650 units per day; and</w:t>
      </w:r>
    </w:p>
    <w:p>
      <w:pPr>
        <w:pStyle w:val="yIndenti0"/>
      </w:pPr>
      <w:r>
        <w:tab/>
        <w:t>(ii)</w:t>
      </w:r>
      <w:r>
        <w:tab/>
        <w:t>18.194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w:t>
      </w:r>
    </w:p>
    <w:p>
      <w:pPr>
        <w:pStyle w:val="yHeading5"/>
      </w:pPr>
      <w:bookmarkStart w:id="79" w:name="_Toc240950058"/>
      <w:r>
        <w:rPr>
          <w:rStyle w:val="CharSClsNo"/>
        </w:rPr>
        <w:t>2</w:t>
      </w:r>
      <w:r>
        <w:t>.</w:t>
      </w:r>
      <w:r>
        <w:tab/>
        <w:t>Tariff L3 (general supply — low/medium voltage tariff)</w:t>
      </w:r>
      <w:bookmarkEnd w:id="7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32.142 cents per day; and</w:t>
      </w:r>
    </w:p>
    <w:p>
      <w:pPr>
        <w:pStyle w:val="yIndenta"/>
      </w:pPr>
      <w:r>
        <w:tab/>
        <w:t>(b)</w:t>
      </w:r>
      <w:r>
        <w:tab/>
        <w:t xml:space="preserve">a charge for metered consumption at the rate of — </w:t>
      </w:r>
    </w:p>
    <w:p>
      <w:pPr>
        <w:pStyle w:val="yIndenti0"/>
      </w:pPr>
      <w:r>
        <w:tab/>
        <w:t>(i)</w:t>
      </w:r>
      <w:r>
        <w:tab/>
        <w:t>21.12 cents per unit for the first 1 650 units per day; and</w:t>
      </w:r>
    </w:p>
    <w:p>
      <w:pPr>
        <w:pStyle w:val="yIndenti0"/>
      </w:pPr>
      <w:r>
        <w:tab/>
        <w:t>(ii)</w:t>
      </w:r>
      <w:r>
        <w:tab/>
        <w:t>19.063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w:t>
      </w:r>
      <w:r>
        <w:noBreakHyphen/>
        <w:t>4.]</w:t>
      </w:r>
    </w:p>
    <w:p>
      <w:pPr>
        <w:pStyle w:val="yHeading5"/>
      </w:pPr>
      <w:bookmarkStart w:id="80" w:name="_Toc240950059"/>
      <w:r>
        <w:rPr>
          <w:rStyle w:val="CharSClsNo"/>
        </w:rPr>
        <w:t>3</w:t>
      </w:r>
      <w:r>
        <w:t>.</w:t>
      </w:r>
      <w:r>
        <w:rPr>
          <w:b w:val="0"/>
        </w:rPr>
        <w:tab/>
      </w:r>
      <w:r>
        <w:t>Tariff M1 (general supply — high voltage tariff)</w:t>
      </w:r>
      <w:bookmarkEnd w:id="8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32.142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20.405 cents per unit for the first 1 650 units per day; and</w:t>
      </w:r>
    </w:p>
    <w:p>
      <w:pPr>
        <w:pStyle w:val="yIndenti0"/>
        <w:rPr>
          <w:snapToGrid w:val="0"/>
        </w:rPr>
      </w:pPr>
      <w:r>
        <w:rPr>
          <w:snapToGrid w:val="0"/>
        </w:rPr>
        <w:tab/>
        <w:t>(ii)</w:t>
      </w:r>
      <w:r>
        <w:rPr>
          <w:snapToGrid w:val="0"/>
        </w:rPr>
        <w:tab/>
        <w:t>18.326 cents per unit per day for all units exceeding 1 650 units.</w:t>
      </w:r>
    </w:p>
    <w:p>
      <w:pPr>
        <w:pStyle w:val="yFootnotesection"/>
      </w:pPr>
      <w:r>
        <w:tab/>
        <w:t>[Clause 3 inserted in Gazette 30 Mar 2009 p. 984.]</w:t>
      </w:r>
    </w:p>
    <w:p>
      <w:pPr>
        <w:pStyle w:val="yHeading5"/>
      </w:pPr>
      <w:bookmarkStart w:id="81" w:name="_Toc240950060"/>
      <w:r>
        <w:rPr>
          <w:rStyle w:val="CharSClsNo"/>
        </w:rPr>
        <w:t>4</w:t>
      </w:r>
      <w:r>
        <w:t>.</w:t>
      </w:r>
      <w:r>
        <w:tab/>
        <w:t>Tariff R1 (time of use tariff)</w:t>
      </w:r>
      <w:bookmarkEnd w:id="81"/>
    </w:p>
    <w:p>
      <w:pPr>
        <w:pStyle w:val="ySubsection"/>
      </w:pPr>
      <w:r>
        <w:tab/>
        <w:t>(1)</w:t>
      </w:r>
      <w:r>
        <w:tab/>
        <w:t>Tariff R1 comprises —</w:t>
      </w:r>
    </w:p>
    <w:p>
      <w:pPr>
        <w:pStyle w:val="yIndenta"/>
        <w:rPr>
          <w:snapToGrid w:val="0"/>
        </w:rPr>
      </w:pPr>
      <w:r>
        <w:tab/>
        <w:t>(a)</w:t>
      </w:r>
      <w:r>
        <w:tab/>
        <w:t>a fi</w:t>
      </w:r>
      <w:r>
        <w:rPr>
          <w:snapToGrid w:val="0"/>
        </w:rPr>
        <w:t>xed charge at the rate of $1.2577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22.077 cents per unit; and</w:t>
      </w:r>
    </w:p>
    <w:p>
      <w:pPr>
        <w:pStyle w:val="yIndenti0"/>
        <w:rPr>
          <w:snapToGrid w:val="0"/>
        </w:rPr>
      </w:pPr>
      <w:r>
        <w:tab/>
        <w:t>(ii)</w:t>
      </w:r>
      <w:r>
        <w:tab/>
        <w:t>an off</w:t>
      </w:r>
      <w:r>
        <w:rPr>
          <w:snapToGrid w:val="0"/>
        </w:rPr>
        <w:t xml:space="preserve"> peak energy charge at the rate of 6.809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w:t>
      </w:r>
      <w:r>
        <w:noBreakHyphen/>
        <w:t>5.]</w:t>
      </w:r>
    </w:p>
    <w:p>
      <w:pPr>
        <w:pStyle w:val="yHeading5"/>
      </w:pPr>
      <w:bookmarkStart w:id="82" w:name="_Toc240950061"/>
      <w:r>
        <w:rPr>
          <w:rStyle w:val="CharSClsNo"/>
        </w:rPr>
        <w:t>5</w:t>
      </w:r>
      <w:r>
        <w:t>.</w:t>
      </w:r>
      <w:r>
        <w:tab/>
        <w:t>Tariff R3 (time of use tariff)</w:t>
      </w:r>
      <w:bookmarkEnd w:id="82"/>
    </w:p>
    <w:p>
      <w:pPr>
        <w:pStyle w:val="ySubsection"/>
      </w:pPr>
      <w:r>
        <w:tab/>
        <w:t>(1)</w:t>
      </w:r>
      <w:r>
        <w:tab/>
        <w:t>Tariff R3 comprises —</w:t>
      </w:r>
    </w:p>
    <w:p>
      <w:pPr>
        <w:pStyle w:val="yIndenta"/>
        <w:rPr>
          <w:snapToGrid w:val="0"/>
        </w:rPr>
      </w:pPr>
      <w:r>
        <w:tab/>
        <w:t>(a)</w:t>
      </w:r>
      <w:r>
        <w:tab/>
        <w:t>a fi</w:t>
      </w:r>
      <w:r>
        <w:rPr>
          <w:snapToGrid w:val="0"/>
        </w:rPr>
        <w:t>xed charge at the rate of $1.5123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26.477 cents per unit; and</w:t>
      </w:r>
    </w:p>
    <w:p>
      <w:pPr>
        <w:pStyle w:val="yIndenti0"/>
        <w:rPr>
          <w:snapToGrid w:val="0"/>
        </w:rPr>
      </w:pPr>
      <w:r>
        <w:tab/>
        <w:t>(ii)</w:t>
      </w:r>
      <w:r>
        <w:tab/>
        <w:t>an off</w:t>
      </w:r>
      <w:r>
        <w:rPr>
          <w:snapToGrid w:val="0"/>
        </w:rPr>
        <w:t xml:space="preserve"> peak energy charge at the rate of 8.151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w:t>
      </w:r>
    </w:p>
    <w:p>
      <w:pPr>
        <w:pStyle w:val="yHeading5"/>
        <w:rPr>
          <w:snapToGrid w:val="0"/>
        </w:rPr>
      </w:pPr>
      <w:bookmarkStart w:id="83" w:name="_Toc240950062"/>
      <w:r>
        <w:rPr>
          <w:rStyle w:val="CharSClsNo"/>
        </w:rPr>
        <w:t>6</w:t>
      </w:r>
      <w:r>
        <w:t>.</w:t>
      </w:r>
      <w:r>
        <w:rPr>
          <w:b w:val="0"/>
        </w:rPr>
        <w:tab/>
      </w:r>
      <w:r>
        <w:rPr>
          <w:snapToGrid w:val="0"/>
        </w:rPr>
        <w:t>Tariff S1 (low/medium voltage time based demand and energy tariff)</w:t>
      </w:r>
      <w:bookmarkEnd w:id="83"/>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$335.3634 per day; and</w:t>
      </w:r>
    </w:p>
    <w:p>
      <w:pPr>
        <w:pStyle w:val="yIndenta"/>
      </w:pPr>
      <w:r>
        <w:tab/>
        <w:t>(b)</w:t>
      </w:r>
      <w:r>
        <w:tab/>
        <w:t xml:space="preserve">a demand charge at the rate of 85.184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12.188 cents per unit; and</w:t>
      </w:r>
    </w:p>
    <w:p>
      <w:pPr>
        <w:pStyle w:val="yIndenti0"/>
      </w:pPr>
      <w:r>
        <w:tab/>
        <w:t>(ii)</w:t>
      </w:r>
      <w:r>
        <w:tab/>
        <w:t>an off peak energy charge at the rate of 7.711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w:t>
      </w:r>
    </w:p>
    <w:p>
      <w:pPr>
        <w:pStyle w:val="yHeading5"/>
        <w:rPr>
          <w:snapToGrid w:val="0"/>
        </w:rPr>
      </w:pPr>
      <w:bookmarkStart w:id="84" w:name="_Toc240950063"/>
      <w:r>
        <w:rPr>
          <w:rStyle w:val="CharSClsNo"/>
        </w:rPr>
        <w:t>7</w:t>
      </w:r>
      <w:r>
        <w:t>.</w:t>
      </w:r>
      <w:r>
        <w:rPr>
          <w:b w:val="0"/>
        </w:rPr>
        <w:tab/>
      </w:r>
      <w:r>
        <w:t xml:space="preserve">Tariff T1 </w:t>
      </w:r>
      <w:r>
        <w:rPr>
          <w:snapToGrid w:val="0"/>
        </w:rPr>
        <w:t>(high voltage time based demand and energy tariff)</w:t>
      </w:r>
      <w:bookmarkEnd w:id="84"/>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$442.4244 per day; and</w:t>
      </w:r>
    </w:p>
    <w:p>
      <w:pPr>
        <w:pStyle w:val="yIndenta"/>
      </w:pPr>
      <w:r>
        <w:tab/>
        <w:t>(b)</w:t>
      </w:r>
      <w:r>
        <w:tab/>
        <w:t xml:space="preserve">a demand charge at the rate of 77.946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11.396 cents per unit; and</w:t>
      </w:r>
    </w:p>
    <w:p>
      <w:pPr>
        <w:pStyle w:val="yIndenti0"/>
      </w:pPr>
      <w:r>
        <w:tab/>
        <w:t>(ii)</w:t>
      </w:r>
      <w:r>
        <w:tab/>
        <w:t>an off peak energy charge at the rate of 7.579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w:t>
      </w:r>
    </w:p>
    <w:p>
      <w:pPr>
        <w:pStyle w:val="yHeading5"/>
      </w:pPr>
      <w:bookmarkStart w:id="85" w:name="_Toc240950064"/>
      <w:r>
        <w:rPr>
          <w:rStyle w:val="CharSClsNo"/>
        </w:rPr>
        <w:t>8</w:t>
      </w:r>
      <w:r>
        <w:t>.</w:t>
      </w:r>
      <w:r>
        <w:rPr>
          <w:b w:val="0"/>
        </w:rPr>
        <w:tab/>
      </w:r>
      <w:r>
        <w:t>Standby charges</w:t>
      </w:r>
      <w:bookmarkEnd w:id="85"/>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86" w:name="_Toc240950065"/>
      <w:r>
        <w:rPr>
          <w:rStyle w:val="CharSClsNo"/>
        </w:rPr>
        <w:t>9</w:t>
      </w:r>
      <w:r>
        <w:t>.</w:t>
      </w:r>
      <w:r>
        <w:rPr>
          <w:b w:val="0"/>
        </w:rPr>
        <w:tab/>
      </w:r>
      <w:r>
        <w:t>Tariff A1 (residential tariff)</w:t>
      </w:r>
      <w:bookmarkEnd w:id="86"/>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yIndenti0"/>
        <w:rPr>
          <w:snapToGrid w:val="0"/>
        </w:rPr>
      </w:pPr>
      <w:r>
        <w:rPr>
          <w:snapToGrid w:val="0"/>
        </w:rPr>
        <w:tab/>
        <w:t>(i)</w:t>
      </w:r>
      <w:r>
        <w:rPr>
          <w:snapToGrid w:val="0"/>
        </w:rPr>
        <w:tab/>
        <w:t>32.329 cents per day for the first dwelling; and</w:t>
      </w:r>
    </w:p>
    <w:p>
      <w:pPr>
        <w:pStyle w:val="yIndenti0"/>
        <w:rPr>
          <w:snapToGrid w:val="0"/>
        </w:rPr>
      </w:pPr>
      <w:r>
        <w:rPr>
          <w:snapToGrid w:val="0"/>
        </w:rPr>
        <w:tab/>
        <w:t>(ii)</w:t>
      </w:r>
      <w:r>
        <w:rPr>
          <w:snapToGrid w:val="0"/>
        </w:rPr>
        <w:tab/>
        <w:t>25.102 cents per day for each additional dwelling;</w:t>
      </w:r>
    </w:p>
    <w:p>
      <w:pPr>
        <w:pStyle w:val="yIndenta"/>
      </w:pPr>
      <w:r>
        <w:tab/>
      </w:r>
      <w:r>
        <w:tab/>
        <w:t>and</w:t>
      </w:r>
    </w:p>
    <w:p>
      <w:pPr>
        <w:pStyle w:val="yIndenta"/>
      </w:pPr>
      <w:r>
        <w:tab/>
        <w:t>(b)</w:t>
      </w:r>
      <w:r>
        <w:tab/>
        <w:t>a charge for metered consumption at the rate of 17.611 cents per unit.</w:t>
      </w:r>
    </w:p>
    <w:p>
      <w:pPr>
        <w:pStyle w:val="yFootnotesection"/>
      </w:pPr>
      <w:r>
        <w:tab/>
        <w:t>[Clause 9 inserted in Gazette 30 Mar 2009 p. 989.]</w:t>
      </w:r>
    </w:p>
    <w:p>
      <w:pPr>
        <w:pStyle w:val="yHeading5"/>
      </w:pPr>
      <w:bookmarkStart w:id="87" w:name="_Toc240950066"/>
      <w:r>
        <w:rPr>
          <w:rStyle w:val="CharSClsNo"/>
        </w:rPr>
        <w:t>10</w:t>
      </w:r>
      <w:r>
        <w:t>.</w:t>
      </w:r>
      <w:r>
        <w:rPr>
          <w:b w:val="0"/>
        </w:rPr>
        <w:tab/>
      </w:r>
      <w:r>
        <w:t>Tariff B1 (residential water heating tariff)</w:t>
      </w:r>
      <w:bookmarkEnd w:id="87"/>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yFootnotesection"/>
      </w:pPr>
      <w:r>
        <w:tab/>
        <w:t>[Clause 10 inserted in Gazette 30 Mar 2009 p. 990.]</w:t>
      </w:r>
    </w:p>
    <w:p>
      <w:pPr>
        <w:pStyle w:val="yHeading5"/>
      </w:pPr>
      <w:bookmarkStart w:id="88" w:name="_Toc240950067"/>
      <w:r>
        <w:rPr>
          <w:rStyle w:val="CharSClsNo"/>
        </w:rPr>
        <w:t>11</w:t>
      </w:r>
      <w:r>
        <w:t>.</w:t>
      </w:r>
      <w:r>
        <w:rPr>
          <w:b w:val="0"/>
        </w:rPr>
        <w:tab/>
      </w:r>
      <w:r>
        <w:t>Tariff C1 (special community service tariff)</w:t>
      </w:r>
      <w:bookmarkEnd w:id="88"/>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29.524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16.093 cents per unit for the first 20 units per day; and</w:t>
      </w:r>
    </w:p>
    <w:p>
      <w:pPr>
        <w:pStyle w:val="yIndenti0"/>
        <w:rPr>
          <w:snapToGrid w:val="0"/>
        </w:rPr>
      </w:pPr>
      <w:r>
        <w:rPr>
          <w:snapToGrid w:val="0"/>
        </w:rPr>
        <w:tab/>
        <w:t>(ii)</w:t>
      </w:r>
      <w:r>
        <w:rPr>
          <w:snapToGrid w:val="0"/>
        </w:rPr>
        <w:tab/>
        <w:t>20.163 cents for the next 1 630 units per day; and</w:t>
      </w:r>
    </w:p>
    <w:p>
      <w:pPr>
        <w:pStyle w:val="yIndenti0"/>
        <w:rPr>
          <w:snapToGrid w:val="0"/>
        </w:rPr>
      </w:pPr>
      <w:r>
        <w:rPr>
          <w:snapToGrid w:val="0"/>
        </w:rPr>
        <w:tab/>
        <w:t>(iii)</w:t>
      </w:r>
      <w:r>
        <w:rPr>
          <w:snapToGrid w:val="0"/>
        </w:rPr>
        <w:tab/>
        <w:t>18.194 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w:t>
      </w:r>
    </w:p>
    <w:p>
      <w:pPr>
        <w:pStyle w:val="yHeading5"/>
      </w:pPr>
      <w:bookmarkStart w:id="89" w:name="_Toc240950068"/>
      <w:r>
        <w:rPr>
          <w:rStyle w:val="CharSClsNo"/>
        </w:rPr>
        <w:t>12</w:t>
      </w:r>
      <w:r>
        <w:t>.</w:t>
      </w:r>
      <w:r>
        <w:rPr>
          <w:b w:val="0"/>
        </w:rPr>
        <w:tab/>
      </w:r>
      <w:r>
        <w:t>Tariff D1 (special tariff for certain premises)</w:t>
      </w:r>
      <w:bookmarkEnd w:id="89"/>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29.524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16.093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w:t>
      </w:r>
    </w:p>
    <w:p>
      <w:pPr>
        <w:pStyle w:val="yHeading5"/>
      </w:pPr>
      <w:bookmarkStart w:id="90" w:name="_Toc240950069"/>
      <w:r>
        <w:rPr>
          <w:rStyle w:val="CharSClsNo"/>
        </w:rPr>
        <w:t>13</w:t>
      </w:r>
      <w:r>
        <w:t>.</w:t>
      </w:r>
      <w:r>
        <w:rPr>
          <w:b w:val="0"/>
        </w:rPr>
        <w:tab/>
      </w:r>
      <w:r>
        <w:t>Tariff K1 (general supply with residential tariff)</w:t>
      </w:r>
      <w:bookmarkEnd w:id="90"/>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32.329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17.611 cents per unit for the first 20 units per day; and</w:t>
      </w:r>
    </w:p>
    <w:p>
      <w:pPr>
        <w:pStyle w:val="yIndenti0"/>
        <w:rPr>
          <w:snapToGrid w:val="0"/>
        </w:rPr>
      </w:pPr>
      <w:r>
        <w:rPr>
          <w:snapToGrid w:val="0"/>
        </w:rPr>
        <w:tab/>
        <w:t>(ii)</w:t>
      </w:r>
      <w:r>
        <w:rPr>
          <w:snapToGrid w:val="0"/>
        </w:rPr>
        <w:tab/>
        <w:t>22.077 cents per unit for the next 1 630 units per day; and</w:t>
      </w:r>
    </w:p>
    <w:p>
      <w:pPr>
        <w:pStyle w:val="yIndenti0"/>
        <w:rPr>
          <w:snapToGrid w:val="0"/>
        </w:rPr>
      </w:pPr>
      <w:r>
        <w:rPr>
          <w:snapToGrid w:val="0"/>
        </w:rPr>
        <w:tab/>
        <w:t>(iii)</w:t>
      </w:r>
      <w:r>
        <w:rPr>
          <w:snapToGrid w:val="0"/>
        </w:rPr>
        <w:tab/>
        <w:t>19.932 cents per unit per day for all units exceeding 1 650 units.</w:t>
      </w:r>
    </w:p>
    <w:p>
      <w:pPr>
        <w:pStyle w:val="yFootnotesection"/>
      </w:pPr>
      <w:r>
        <w:tab/>
        <w:t>[Clause 13 inserted in Gazette 30 Mar 2009 p. 992.]</w:t>
      </w:r>
    </w:p>
    <w:p>
      <w:pPr>
        <w:pStyle w:val="yHeading5"/>
      </w:pPr>
      <w:bookmarkStart w:id="91" w:name="_Toc240950070"/>
      <w:r>
        <w:rPr>
          <w:rStyle w:val="CharSClsNo"/>
        </w:rPr>
        <w:t>14</w:t>
      </w:r>
      <w:r>
        <w:t>.</w:t>
      </w:r>
      <w:r>
        <w:rPr>
          <w:b w:val="0"/>
        </w:rPr>
        <w:tab/>
      </w:r>
      <w:r>
        <w:t>Tariff W1 (traffic light installations)</w:t>
      </w:r>
      <w:bookmarkEnd w:id="91"/>
    </w:p>
    <w:p>
      <w:pPr>
        <w:pStyle w:val="ySubsection"/>
      </w:pPr>
      <w:r>
        <w:tab/>
      </w:r>
      <w:r>
        <w:tab/>
        <w:t>Tariff W1 comprises a charge of $3.8833 per day per kW of installed wattage.</w:t>
      </w:r>
    </w:p>
    <w:p>
      <w:pPr>
        <w:pStyle w:val="yFootnotesection"/>
      </w:pPr>
      <w:r>
        <w:tab/>
        <w:t>[Clause 14 inserted in Gazette 30 Mar 2009 p. 992.]</w:t>
      </w:r>
    </w:p>
    <w:p>
      <w:pPr>
        <w:rPr>
          <w:u w:val="words"/>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233185424"/>
      <w:bookmarkStart w:id="93" w:name="_Toc238445952"/>
      <w:bookmarkStart w:id="94" w:name="_Toc238889056"/>
      <w:bookmarkStart w:id="95" w:name="_Toc238890142"/>
      <w:bookmarkStart w:id="96" w:name="_Toc240950071"/>
      <w:bookmarkStart w:id="97" w:name="_Toc124158784"/>
      <w:bookmarkStart w:id="98" w:name="_Toc124158891"/>
      <w:bookmarkStart w:id="99" w:name="_Toc124158925"/>
      <w:bookmarkStart w:id="100" w:name="_Toc124216306"/>
      <w:bookmarkStart w:id="101" w:name="_Toc124227065"/>
      <w:bookmarkStart w:id="102" w:name="_Toc124227158"/>
      <w:bookmarkStart w:id="103" w:name="_Toc124234424"/>
      <w:bookmarkStart w:id="104" w:name="_Toc124234776"/>
      <w:bookmarkStart w:id="105" w:name="_Toc124234816"/>
      <w:bookmarkStart w:id="106" w:name="_Toc124934232"/>
      <w:bookmarkStart w:id="107" w:name="_Toc125279682"/>
      <w:bookmarkStart w:id="108" w:name="_Toc127067109"/>
      <w:bookmarkStart w:id="109" w:name="_Toc127076312"/>
      <w:bookmarkStart w:id="110" w:name="_Toc127085645"/>
      <w:bookmarkStart w:id="111" w:name="_Toc127086737"/>
      <w:bookmarkStart w:id="112" w:name="_Toc127671680"/>
      <w:bookmarkStart w:id="113" w:name="_Toc127690057"/>
      <w:bookmarkStart w:id="114" w:name="_Toc127699338"/>
      <w:bookmarkStart w:id="115" w:name="_Toc127760430"/>
      <w:bookmarkStart w:id="116" w:name="_Toc127760458"/>
      <w:bookmarkStart w:id="117" w:name="_Toc127946780"/>
      <w:bookmarkStart w:id="118" w:name="_Toc127960813"/>
      <w:bookmarkStart w:id="119" w:name="_Toc127960841"/>
      <w:bookmarkStart w:id="120" w:name="_Toc128190515"/>
      <w:bookmarkStart w:id="121" w:name="_Toc128196187"/>
      <w:bookmarkStart w:id="122" w:name="_Toc128197606"/>
      <w:bookmarkStart w:id="123" w:name="_Toc128282879"/>
      <w:bookmarkStart w:id="124" w:name="_Toc131490127"/>
      <w:bookmarkStart w:id="125" w:name="_Toc131491087"/>
      <w:bookmarkStart w:id="126" w:name="_Toc152664696"/>
      <w:bookmarkStart w:id="127" w:name="_Toc152669127"/>
      <w:bookmarkStart w:id="128" w:name="_Toc171051502"/>
      <w:bookmarkStart w:id="129" w:name="_Toc226275324"/>
      <w:bookmarkStart w:id="130" w:name="_Toc226275364"/>
      <w:bookmarkStart w:id="131" w:name="_Toc123621760"/>
      <w:bookmarkStart w:id="132" w:name="_Toc123621907"/>
      <w:bookmarkStart w:id="133" w:name="_Toc123624867"/>
      <w:bookmarkStart w:id="134" w:name="_Toc123624934"/>
      <w:bookmarkStart w:id="135" w:name="_Toc123626280"/>
      <w:bookmarkStart w:id="136" w:name="_Toc123629884"/>
      <w:bookmarkStart w:id="137" w:name="_Toc124135801"/>
      <w:bookmarkStart w:id="138" w:name="_Toc124137268"/>
      <w:bookmarkStart w:id="139" w:name="_Toc124147436"/>
      <w:bookmarkStart w:id="140" w:name="_Toc124147473"/>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SchNo"/>
        </w:rPr>
        <w:t>Schedule 2</w:t>
      </w:r>
      <w:r>
        <w:rPr>
          <w:rStyle w:val="CharSDivNo"/>
        </w:rPr>
        <w:t> </w:t>
      </w:r>
      <w:r>
        <w:t>—</w:t>
      </w:r>
      <w:r>
        <w:rPr>
          <w:rStyle w:val="CharSDivText"/>
        </w:rPr>
        <w:t> </w:t>
      </w:r>
      <w:r>
        <w:rPr>
          <w:rStyle w:val="CharSchText"/>
        </w:rPr>
        <w:t>Street lighting</w:t>
      </w:r>
      <w:bookmarkEnd w:id="92"/>
      <w:bookmarkEnd w:id="93"/>
      <w:bookmarkEnd w:id="94"/>
      <w:bookmarkEnd w:id="95"/>
      <w:bookmarkEnd w:id="96"/>
    </w:p>
    <w:p>
      <w:pPr>
        <w:pStyle w:val="yShoulderClause"/>
      </w:pPr>
      <w:r>
        <w:t>[bl. 4(2)]</w:t>
      </w:r>
    </w:p>
    <w:p>
      <w:pPr>
        <w:pStyle w:val="yFootnoteheading"/>
        <w:spacing w:after="120"/>
      </w:pPr>
      <w:bookmarkStart w:id="141" w:name="OLE_LINK1"/>
      <w:r>
        <w:tab/>
        <w:t>[Heading inserted in Gazette 30 Mar 2009 p. 993.]</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bookmarkEnd w:id="141"/>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yTableNAm"/>
              <w:rPr>
                <w:i/>
                <w:iCs/>
                <w:sz w:val="18"/>
              </w:rPr>
            </w:pPr>
            <w:r>
              <w:rPr>
                <w:i/>
                <w:iCs/>
                <w:sz w:val="18"/>
              </w:rPr>
              <w:t>Street lighting on current offer and for existing services</w:t>
            </w:r>
          </w:p>
        </w:tc>
      </w:tr>
      <w:t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tabs>
                <w:tab w:val="clear" w:pos="567"/>
                <w:tab w:val="decimal" w:pos="355"/>
              </w:tabs>
              <w:rPr>
                <w:sz w:val="18"/>
              </w:rPr>
            </w:pPr>
            <w:r>
              <w:rPr>
                <w:sz w:val="18"/>
              </w:rPr>
              <w:br/>
              <w:t>33.693</w:t>
            </w:r>
          </w:p>
        </w:tc>
        <w:tc>
          <w:tcPr>
            <w:tcW w:w="1276" w:type="dxa"/>
          </w:tcPr>
          <w:p>
            <w:pPr>
              <w:pStyle w:val="yTableNAm"/>
              <w:tabs>
                <w:tab w:val="clear" w:pos="567"/>
                <w:tab w:val="decimal" w:pos="355"/>
              </w:tabs>
              <w:rPr>
                <w:sz w:val="18"/>
              </w:rPr>
            </w:pPr>
            <w:r>
              <w:rPr>
                <w:sz w:val="18"/>
              </w:rPr>
              <w:br/>
              <w:t>34.793</w:t>
            </w:r>
          </w:p>
        </w:tc>
        <w:tc>
          <w:tcPr>
            <w:tcW w:w="1276" w:type="dxa"/>
            <w:gridSpan w:val="2"/>
          </w:tcPr>
          <w:p>
            <w:pPr>
              <w:pStyle w:val="yTableNAm"/>
              <w:tabs>
                <w:tab w:val="clear" w:pos="567"/>
                <w:tab w:val="decimal" w:pos="355"/>
              </w:tabs>
              <w:rPr>
                <w:sz w:val="18"/>
              </w:rPr>
            </w:pPr>
            <w:r>
              <w:rPr>
                <w:sz w:val="18"/>
              </w:rPr>
              <w:br/>
              <w:t>39.215</w:t>
            </w:r>
          </w:p>
        </w:tc>
      </w:tr>
      <w:t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40.854</w:t>
            </w:r>
          </w:p>
        </w:tc>
        <w:tc>
          <w:tcPr>
            <w:tcW w:w="1276" w:type="dxa"/>
          </w:tcPr>
          <w:p>
            <w:pPr>
              <w:pStyle w:val="yTableNAm"/>
              <w:tabs>
                <w:tab w:val="clear" w:pos="567"/>
                <w:tab w:val="decimal" w:pos="355"/>
              </w:tabs>
              <w:rPr>
                <w:sz w:val="18"/>
              </w:rPr>
            </w:pPr>
            <w:r>
              <w:rPr>
                <w:sz w:val="18"/>
              </w:rPr>
              <w:t>42.933</w:t>
            </w:r>
          </w:p>
        </w:tc>
        <w:tc>
          <w:tcPr>
            <w:tcW w:w="1276" w:type="dxa"/>
            <w:gridSpan w:val="2"/>
          </w:tcPr>
          <w:p>
            <w:pPr>
              <w:pStyle w:val="yTableNAm"/>
              <w:tabs>
                <w:tab w:val="clear" w:pos="567"/>
                <w:tab w:val="decimal" w:pos="355"/>
              </w:tabs>
              <w:rPr>
                <w:sz w:val="18"/>
              </w:rPr>
            </w:pPr>
            <w:r>
              <w:rPr>
                <w:sz w:val="18"/>
              </w:rPr>
              <w:t>50.688</w:t>
            </w:r>
          </w:p>
        </w:tc>
      </w:tr>
      <w:t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60.522</w:t>
            </w:r>
          </w:p>
        </w:tc>
        <w:tc>
          <w:tcPr>
            <w:tcW w:w="1276" w:type="dxa"/>
          </w:tcPr>
          <w:p>
            <w:pPr>
              <w:pStyle w:val="yTableNAm"/>
              <w:tabs>
                <w:tab w:val="clear" w:pos="567"/>
                <w:tab w:val="decimal" w:pos="355"/>
              </w:tabs>
              <w:rPr>
                <w:sz w:val="18"/>
              </w:rPr>
            </w:pPr>
            <w:r>
              <w:rPr>
                <w:sz w:val="18"/>
              </w:rPr>
              <w:t>63.690</w:t>
            </w:r>
          </w:p>
        </w:tc>
        <w:tc>
          <w:tcPr>
            <w:tcW w:w="1276" w:type="dxa"/>
            <w:gridSpan w:val="2"/>
          </w:tcPr>
          <w:p>
            <w:pPr>
              <w:pStyle w:val="yTableNAm"/>
              <w:tabs>
                <w:tab w:val="clear" w:pos="567"/>
                <w:tab w:val="decimal" w:pos="355"/>
              </w:tabs>
              <w:rPr>
                <w:sz w:val="18"/>
              </w:rPr>
            </w:pPr>
            <w:r>
              <w:rPr>
                <w:sz w:val="18"/>
              </w:rPr>
              <w:t>75.790</w:t>
            </w:r>
          </w:p>
        </w:tc>
      </w:tr>
      <w:t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31.185</w:t>
            </w:r>
          </w:p>
        </w:tc>
        <w:tc>
          <w:tcPr>
            <w:tcW w:w="1276" w:type="dxa"/>
          </w:tcPr>
          <w:p>
            <w:pPr>
              <w:pStyle w:val="yTableNAm"/>
              <w:tabs>
                <w:tab w:val="clear" w:pos="567"/>
                <w:tab w:val="decimal" w:pos="355"/>
              </w:tabs>
              <w:rPr>
                <w:sz w:val="18"/>
              </w:rPr>
            </w:pPr>
            <w:r>
              <w:rPr>
                <w:sz w:val="18"/>
              </w:rPr>
              <w:br/>
              <w:t>32.329</w:t>
            </w:r>
          </w:p>
        </w:tc>
        <w:tc>
          <w:tcPr>
            <w:tcW w:w="1276" w:type="dxa"/>
            <w:gridSpan w:val="2"/>
          </w:tcPr>
          <w:p>
            <w:pPr>
              <w:pStyle w:val="yTableNAm"/>
              <w:tabs>
                <w:tab w:val="clear" w:pos="567"/>
                <w:tab w:val="decimal" w:pos="355"/>
              </w:tabs>
              <w:rPr>
                <w:sz w:val="18"/>
              </w:rPr>
            </w:pPr>
            <w:r>
              <w:rPr>
                <w:sz w:val="18"/>
              </w:rPr>
              <w:br/>
              <w:t>38.731</w:t>
            </w:r>
          </w:p>
        </w:tc>
      </w:tr>
      <w:t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tabs>
                <w:tab w:val="clear" w:pos="567"/>
                <w:tab w:val="decimal" w:pos="355"/>
              </w:tabs>
              <w:rPr>
                <w:sz w:val="18"/>
              </w:rPr>
            </w:pPr>
            <w:r>
              <w:rPr>
                <w:sz w:val="18"/>
              </w:rPr>
              <w:br/>
              <w:t>46.233</w:t>
            </w:r>
          </w:p>
        </w:tc>
        <w:tc>
          <w:tcPr>
            <w:tcW w:w="1276" w:type="dxa"/>
          </w:tcPr>
          <w:p>
            <w:pPr>
              <w:pStyle w:val="yTableNAm"/>
              <w:tabs>
                <w:tab w:val="clear" w:pos="567"/>
                <w:tab w:val="decimal" w:pos="355"/>
              </w:tabs>
              <w:rPr>
                <w:sz w:val="18"/>
              </w:rPr>
            </w:pPr>
            <w:r>
              <w:rPr>
                <w:sz w:val="18"/>
              </w:rPr>
              <w:br/>
              <w:t>48.697</w:t>
            </w:r>
          </w:p>
        </w:tc>
        <w:tc>
          <w:tcPr>
            <w:tcW w:w="1276" w:type="dxa"/>
            <w:gridSpan w:val="2"/>
          </w:tcPr>
          <w:p>
            <w:pPr>
              <w:pStyle w:val="yTableNAm"/>
              <w:tabs>
                <w:tab w:val="clear" w:pos="567"/>
                <w:tab w:val="decimal" w:pos="355"/>
              </w:tabs>
              <w:rPr>
                <w:sz w:val="18"/>
              </w:rPr>
            </w:pPr>
            <w:r>
              <w:rPr>
                <w:sz w:val="18"/>
              </w:rPr>
              <w:br/>
              <w:t>58.201</w:t>
            </w:r>
          </w:p>
        </w:tc>
      </w:tr>
      <w:t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tabs>
                <w:tab w:val="clear" w:pos="567"/>
                <w:tab w:val="decimal" w:pos="355"/>
              </w:tabs>
              <w:rPr>
                <w:sz w:val="18"/>
              </w:rPr>
            </w:pPr>
            <w:r>
              <w:rPr>
                <w:sz w:val="18"/>
              </w:rPr>
              <w:br/>
              <w:t>132.451</w:t>
            </w:r>
          </w:p>
        </w:tc>
        <w:tc>
          <w:tcPr>
            <w:tcW w:w="1276" w:type="dxa"/>
          </w:tcPr>
          <w:p>
            <w:pPr>
              <w:pStyle w:val="yTableNAm"/>
              <w:tabs>
                <w:tab w:val="clear" w:pos="567"/>
                <w:tab w:val="decimal" w:pos="355"/>
              </w:tabs>
              <w:rPr>
                <w:sz w:val="18"/>
              </w:rPr>
            </w:pPr>
            <w:r>
              <w:rPr>
                <w:sz w:val="18"/>
              </w:rPr>
              <w:br/>
              <w:t>139.810</w:t>
            </w:r>
          </w:p>
        </w:tc>
        <w:tc>
          <w:tcPr>
            <w:tcW w:w="1276" w:type="dxa"/>
            <w:gridSpan w:val="2"/>
          </w:tcPr>
          <w:p>
            <w:pPr>
              <w:pStyle w:val="yTableNAm"/>
              <w:tabs>
                <w:tab w:val="clear" w:pos="567"/>
                <w:tab w:val="decimal" w:pos="355"/>
              </w:tabs>
              <w:rPr>
                <w:sz w:val="18"/>
              </w:rPr>
            </w:pPr>
            <w:r>
              <w:rPr>
                <w:sz w:val="18"/>
              </w:rPr>
              <w:br/>
              <w:t>168.773</w:t>
            </w:r>
          </w:p>
        </w:tc>
      </w:tr>
      <w:tr>
        <w:trPr>
          <w:cantSplit/>
        </w:trPr>
        <w:tc>
          <w:tcPr>
            <w:tcW w:w="6946" w:type="dxa"/>
            <w:gridSpan w:val="7"/>
          </w:tcPr>
          <w:p>
            <w:pPr>
              <w:pStyle w:val="yTableNAm"/>
              <w:rPr>
                <w:i/>
                <w:iCs/>
                <w:sz w:val="18"/>
              </w:rPr>
            </w:pPr>
            <w:r>
              <w:rPr>
                <w:i/>
                <w:iCs/>
                <w:sz w:val="18"/>
              </w:rPr>
              <w:t>Street lighting for existing services only</w:t>
            </w:r>
          </w:p>
        </w:tc>
      </w:tr>
      <w:t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tabs>
                <w:tab w:val="clear" w:pos="567"/>
                <w:tab w:val="decimal" w:pos="355"/>
              </w:tabs>
              <w:rPr>
                <w:sz w:val="18"/>
              </w:rPr>
            </w:pPr>
            <w:r>
              <w:rPr>
                <w:sz w:val="18"/>
              </w:rPr>
              <w:t>72.622</w:t>
            </w:r>
          </w:p>
        </w:tc>
        <w:tc>
          <w:tcPr>
            <w:tcW w:w="1276" w:type="dxa"/>
          </w:tcPr>
          <w:p>
            <w:pPr>
              <w:pStyle w:val="yTableNAm"/>
              <w:tabs>
                <w:tab w:val="clear" w:pos="567"/>
                <w:tab w:val="decimal" w:pos="355"/>
              </w:tabs>
              <w:rPr>
                <w:sz w:val="18"/>
              </w:rPr>
            </w:pPr>
            <w:r>
              <w:rPr>
                <w:sz w:val="18"/>
              </w:rPr>
              <w:t>75.790</w:t>
            </w:r>
          </w:p>
        </w:tc>
        <w:tc>
          <w:tcPr>
            <w:tcW w:w="1276" w:type="dxa"/>
            <w:gridSpan w:val="2"/>
          </w:tcPr>
          <w:p>
            <w:pPr>
              <w:pStyle w:val="yTableNAm"/>
              <w:tabs>
                <w:tab w:val="clear" w:pos="567"/>
                <w:tab w:val="decimal" w:pos="355"/>
              </w:tabs>
              <w:rPr>
                <w:sz w:val="18"/>
              </w:rPr>
            </w:pPr>
            <w:r>
              <w:rPr>
                <w:sz w:val="18"/>
              </w:rPr>
              <w:t>87.835</w:t>
            </w:r>
          </w:p>
        </w:tc>
      </w:tr>
      <w:t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t>46.893</w:t>
            </w:r>
          </w:p>
        </w:tc>
        <w:tc>
          <w:tcPr>
            <w:tcW w:w="1276" w:type="dxa"/>
          </w:tcPr>
          <w:p>
            <w:pPr>
              <w:pStyle w:val="yTableNAm"/>
              <w:tabs>
                <w:tab w:val="clear" w:pos="567"/>
                <w:tab w:val="decimal" w:pos="355"/>
              </w:tabs>
              <w:rPr>
                <w:sz w:val="18"/>
              </w:rPr>
            </w:pPr>
            <w:r>
              <w:rPr>
                <w:sz w:val="18"/>
              </w:rPr>
              <w:t>48.939</w:t>
            </w:r>
          </w:p>
        </w:tc>
        <w:tc>
          <w:tcPr>
            <w:tcW w:w="1276" w:type="dxa"/>
            <w:gridSpan w:val="2"/>
          </w:tcPr>
          <w:p>
            <w:pPr>
              <w:pStyle w:val="yTableNAm"/>
              <w:tabs>
                <w:tab w:val="clear" w:pos="567"/>
                <w:tab w:val="decimal" w:pos="355"/>
              </w:tabs>
              <w:rPr>
                <w:sz w:val="18"/>
              </w:rPr>
            </w:pPr>
            <w:r>
              <w:rPr>
                <w:sz w:val="18"/>
              </w:rPr>
              <w:t>56.727</w:t>
            </w:r>
          </w:p>
        </w:tc>
      </w:tr>
      <w:t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52.943</w:t>
            </w:r>
          </w:p>
        </w:tc>
        <w:tc>
          <w:tcPr>
            <w:tcW w:w="1276" w:type="dxa"/>
          </w:tcPr>
          <w:p>
            <w:pPr>
              <w:pStyle w:val="yTableNAm"/>
              <w:tabs>
                <w:tab w:val="clear" w:pos="567"/>
                <w:tab w:val="decimal" w:pos="355"/>
              </w:tabs>
              <w:rPr>
                <w:sz w:val="18"/>
              </w:rPr>
            </w:pPr>
            <w:r>
              <w:rPr>
                <w:sz w:val="18"/>
              </w:rPr>
              <w:br/>
              <w:t>55.011</w:t>
            </w:r>
          </w:p>
        </w:tc>
        <w:tc>
          <w:tcPr>
            <w:tcW w:w="1276" w:type="dxa"/>
            <w:gridSpan w:val="2"/>
          </w:tcPr>
          <w:p>
            <w:pPr>
              <w:pStyle w:val="yTableNAm"/>
              <w:tabs>
                <w:tab w:val="clear" w:pos="567"/>
                <w:tab w:val="decimal" w:pos="355"/>
              </w:tabs>
              <w:rPr>
                <w:sz w:val="18"/>
              </w:rPr>
            </w:pPr>
            <w:r>
              <w:rPr>
                <w:sz w:val="18"/>
              </w:rPr>
              <w:br/>
              <w:t>62.777</w:t>
            </w:r>
          </w:p>
        </w:tc>
      </w:tr>
      <w:t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tabs>
                <w:tab w:val="clear" w:pos="567"/>
                <w:tab w:val="decimal" w:pos="355"/>
              </w:tabs>
              <w:rPr>
                <w:sz w:val="18"/>
              </w:rPr>
            </w:pPr>
            <w:r>
              <w:rPr>
                <w:sz w:val="18"/>
              </w:rPr>
              <w:br/>
              <w:t>66.572</w:t>
            </w:r>
          </w:p>
        </w:tc>
        <w:tc>
          <w:tcPr>
            <w:tcW w:w="1276" w:type="dxa"/>
          </w:tcPr>
          <w:p>
            <w:pPr>
              <w:pStyle w:val="yTableNAm"/>
              <w:tabs>
                <w:tab w:val="clear" w:pos="567"/>
                <w:tab w:val="decimal" w:pos="355"/>
              </w:tabs>
              <w:rPr>
                <w:sz w:val="18"/>
              </w:rPr>
            </w:pPr>
            <w:r>
              <w:rPr>
                <w:sz w:val="18"/>
              </w:rPr>
              <w:br/>
              <w:t>69.751</w:t>
            </w:r>
          </w:p>
        </w:tc>
        <w:tc>
          <w:tcPr>
            <w:tcW w:w="1276" w:type="dxa"/>
            <w:gridSpan w:val="2"/>
          </w:tcPr>
          <w:p>
            <w:pPr>
              <w:pStyle w:val="yTableNAm"/>
              <w:tabs>
                <w:tab w:val="clear" w:pos="567"/>
                <w:tab w:val="decimal" w:pos="355"/>
              </w:tabs>
              <w:rPr>
                <w:sz w:val="18"/>
              </w:rPr>
            </w:pPr>
            <w:r>
              <w:rPr>
                <w:sz w:val="18"/>
              </w:rPr>
              <w:br/>
              <w:t>81.807</w:t>
            </w:r>
          </w:p>
        </w:tc>
      </w:tr>
      <w:t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tabs>
                <w:tab w:val="clear" w:pos="567"/>
                <w:tab w:val="decimal" w:pos="355"/>
              </w:tabs>
              <w:rPr>
                <w:sz w:val="18"/>
              </w:rPr>
            </w:pPr>
            <w:r>
              <w:rPr>
                <w:sz w:val="18"/>
              </w:rPr>
              <w:br/>
              <w:t>72.622</w:t>
            </w:r>
          </w:p>
        </w:tc>
        <w:tc>
          <w:tcPr>
            <w:tcW w:w="1276" w:type="dxa"/>
          </w:tcPr>
          <w:p>
            <w:pPr>
              <w:pStyle w:val="yTableNAm"/>
              <w:tabs>
                <w:tab w:val="clear" w:pos="567"/>
                <w:tab w:val="decimal" w:pos="355"/>
              </w:tabs>
              <w:rPr>
                <w:sz w:val="18"/>
              </w:rPr>
            </w:pPr>
            <w:r>
              <w:rPr>
                <w:sz w:val="18"/>
              </w:rPr>
              <w:br/>
              <w:t>75.790</w:t>
            </w:r>
          </w:p>
        </w:tc>
        <w:tc>
          <w:tcPr>
            <w:tcW w:w="1276" w:type="dxa"/>
            <w:gridSpan w:val="2"/>
          </w:tcPr>
          <w:p>
            <w:pPr>
              <w:pStyle w:val="yTableNAm"/>
              <w:tabs>
                <w:tab w:val="clear" w:pos="567"/>
                <w:tab w:val="decimal" w:pos="355"/>
              </w:tabs>
              <w:rPr>
                <w:sz w:val="18"/>
              </w:rPr>
            </w:pPr>
            <w:r>
              <w:rPr>
                <w:sz w:val="18"/>
              </w:rPr>
              <w:br/>
              <w:t>87.835</w:t>
            </w:r>
          </w:p>
        </w:tc>
      </w:tr>
      <w:t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tabs>
                <w:tab w:val="clear" w:pos="567"/>
                <w:tab w:val="decimal" w:pos="355"/>
              </w:tabs>
              <w:rPr>
                <w:sz w:val="18"/>
              </w:rPr>
            </w:pPr>
            <w:r>
              <w:rPr>
                <w:sz w:val="18"/>
              </w:rPr>
              <w:t>48.114</w:t>
            </w:r>
          </w:p>
        </w:tc>
        <w:tc>
          <w:tcPr>
            <w:tcW w:w="1276" w:type="dxa"/>
          </w:tcPr>
          <w:p>
            <w:pPr>
              <w:pStyle w:val="yTableNAm"/>
              <w:tabs>
                <w:tab w:val="clear" w:pos="567"/>
                <w:tab w:val="decimal" w:pos="355"/>
              </w:tabs>
              <w:rPr>
                <w:sz w:val="18"/>
              </w:rPr>
            </w:pPr>
            <w:r>
              <w:rPr>
                <w:sz w:val="18"/>
              </w:rPr>
              <w:t>49.236</w:t>
            </w:r>
          </w:p>
        </w:tc>
        <w:tc>
          <w:tcPr>
            <w:tcW w:w="1276" w:type="dxa"/>
            <w:gridSpan w:val="2"/>
          </w:tcPr>
          <w:p>
            <w:pPr>
              <w:pStyle w:val="yTableNAm"/>
              <w:tabs>
                <w:tab w:val="clear" w:pos="567"/>
                <w:tab w:val="decimal" w:pos="355"/>
              </w:tabs>
              <w:rPr>
                <w:sz w:val="18"/>
              </w:rPr>
            </w:pPr>
            <w:r>
              <w:rPr>
                <w:sz w:val="18"/>
              </w:rPr>
              <w:t>55.616</w:t>
            </w:r>
          </w:p>
        </w:tc>
      </w:tr>
      <w:t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tabs>
                <w:tab w:val="clear" w:pos="567"/>
                <w:tab w:val="decimal" w:pos="355"/>
              </w:tabs>
              <w:rPr>
                <w:sz w:val="18"/>
              </w:rPr>
            </w:pPr>
            <w:r>
              <w:rPr>
                <w:sz w:val="18"/>
              </w:rPr>
              <w:br/>
              <w:t>55.286</w:t>
            </w:r>
          </w:p>
        </w:tc>
        <w:tc>
          <w:tcPr>
            <w:tcW w:w="1276" w:type="dxa"/>
          </w:tcPr>
          <w:p>
            <w:pPr>
              <w:pStyle w:val="yTableNAm"/>
              <w:tabs>
                <w:tab w:val="clear" w:pos="567"/>
                <w:tab w:val="decimal" w:pos="355"/>
              </w:tabs>
              <w:rPr>
                <w:sz w:val="18"/>
              </w:rPr>
            </w:pPr>
            <w:r>
              <w:rPr>
                <w:sz w:val="18"/>
              </w:rPr>
              <w:br/>
              <w:t>57.772</w:t>
            </w:r>
          </w:p>
        </w:tc>
        <w:tc>
          <w:tcPr>
            <w:tcW w:w="1276" w:type="dxa"/>
            <w:gridSpan w:val="2"/>
          </w:tcPr>
          <w:p>
            <w:pPr>
              <w:pStyle w:val="yTableNAm"/>
              <w:tabs>
                <w:tab w:val="clear" w:pos="567"/>
                <w:tab w:val="decimal" w:pos="355"/>
              </w:tabs>
              <w:rPr>
                <w:sz w:val="18"/>
              </w:rPr>
            </w:pPr>
            <w:r>
              <w:rPr>
                <w:sz w:val="18"/>
              </w:rPr>
              <w:br/>
              <w:t>67.254</w:t>
            </w:r>
          </w:p>
        </w:tc>
      </w:tr>
      <w:t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tabs>
                <w:tab w:val="clear" w:pos="567"/>
                <w:tab w:val="decimal" w:pos="355"/>
              </w:tabs>
              <w:rPr>
                <w:sz w:val="18"/>
              </w:rPr>
            </w:pPr>
            <w:r>
              <w:rPr>
                <w:sz w:val="18"/>
              </w:rPr>
              <w:br/>
              <w:t>64.317</w:t>
            </w:r>
          </w:p>
        </w:tc>
        <w:tc>
          <w:tcPr>
            <w:tcW w:w="1276" w:type="dxa"/>
          </w:tcPr>
          <w:p>
            <w:pPr>
              <w:pStyle w:val="yTableNAm"/>
              <w:tabs>
                <w:tab w:val="clear" w:pos="567"/>
                <w:tab w:val="decimal" w:pos="355"/>
              </w:tabs>
              <w:rPr>
                <w:sz w:val="18"/>
              </w:rPr>
            </w:pPr>
            <w:r>
              <w:rPr>
                <w:sz w:val="18"/>
              </w:rPr>
              <w:br/>
              <w:t>66.836</w:t>
            </w:r>
          </w:p>
        </w:tc>
        <w:tc>
          <w:tcPr>
            <w:tcW w:w="1276" w:type="dxa"/>
            <w:gridSpan w:val="2"/>
          </w:tcPr>
          <w:p>
            <w:pPr>
              <w:pStyle w:val="yTableNAm"/>
              <w:tabs>
                <w:tab w:val="clear" w:pos="567"/>
                <w:tab w:val="decimal" w:pos="355"/>
              </w:tabs>
              <w:rPr>
                <w:sz w:val="18"/>
              </w:rPr>
            </w:pPr>
            <w:r>
              <w:rPr>
                <w:sz w:val="18"/>
              </w:rPr>
              <w:br/>
              <w:t>76.329</w:t>
            </w:r>
          </w:p>
        </w:tc>
      </w:tr>
      <w:t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32.923</w:t>
            </w:r>
          </w:p>
        </w:tc>
        <w:tc>
          <w:tcPr>
            <w:tcW w:w="1276" w:type="dxa"/>
          </w:tcPr>
          <w:p>
            <w:pPr>
              <w:pStyle w:val="yTableNAm"/>
              <w:tabs>
                <w:tab w:val="clear" w:pos="567"/>
                <w:tab w:val="decimal" w:pos="355"/>
              </w:tabs>
              <w:rPr>
                <w:sz w:val="18"/>
              </w:rPr>
            </w:pPr>
            <w:r>
              <w:rPr>
                <w:sz w:val="18"/>
              </w:rPr>
              <w:t>33.990</w:t>
            </w:r>
          </w:p>
        </w:tc>
        <w:tc>
          <w:tcPr>
            <w:tcW w:w="1276" w:type="dxa"/>
            <w:gridSpan w:val="2"/>
          </w:tcPr>
          <w:p>
            <w:pPr>
              <w:pStyle w:val="yTableNAm"/>
              <w:tabs>
                <w:tab w:val="clear" w:pos="567"/>
                <w:tab w:val="decimal" w:pos="355"/>
              </w:tabs>
              <w:rPr>
                <w:sz w:val="18"/>
              </w:rPr>
            </w:pPr>
            <w:r>
              <w:rPr>
                <w:sz w:val="18"/>
              </w:rPr>
              <w:t>37.840</w:t>
            </w:r>
          </w:p>
        </w:tc>
      </w:tr>
      <w:t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tabs>
                <w:tab w:val="clear" w:pos="567"/>
                <w:tab w:val="decimal" w:pos="355"/>
              </w:tabs>
              <w:rPr>
                <w:sz w:val="18"/>
              </w:rPr>
            </w:pPr>
            <w:r>
              <w:rPr>
                <w:sz w:val="18"/>
              </w:rPr>
              <w:t>52.943</w:t>
            </w:r>
          </w:p>
        </w:tc>
        <w:tc>
          <w:tcPr>
            <w:tcW w:w="1276" w:type="dxa"/>
          </w:tcPr>
          <w:p>
            <w:pPr>
              <w:pStyle w:val="yTableNAm"/>
              <w:tabs>
                <w:tab w:val="clear" w:pos="567"/>
                <w:tab w:val="decimal" w:pos="355"/>
              </w:tabs>
              <w:rPr>
                <w:sz w:val="18"/>
              </w:rPr>
            </w:pPr>
            <w:r>
              <w:rPr>
                <w:sz w:val="18"/>
              </w:rPr>
              <w:t>55.011</w:t>
            </w:r>
          </w:p>
        </w:tc>
        <w:tc>
          <w:tcPr>
            <w:tcW w:w="1276" w:type="dxa"/>
            <w:gridSpan w:val="2"/>
          </w:tcPr>
          <w:p>
            <w:pPr>
              <w:pStyle w:val="yTableNAm"/>
              <w:tabs>
                <w:tab w:val="clear" w:pos="567"/>
                <w:tab w:val="decimal" w:pos="355"/>
              </w:tabs>
              <w:rPr>
                <w:sz w:val="18"/>
              </w:rPr>
            </w:pPr>
            <w:r>
              <w:rPr>
                <w:sz w:val="18"/>
              </w:rPr>
              <w:t>62.777</w:t>
            </w:r>
          </w:p>
        </w:tc>
      </w:tr>
      <w:t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22.605</w:t>
            </w:r>
          </w:p>
        </w:tc>
        <w:tc>
          <w:tcPr>
            <w:tcW w:w="1276" w:type="dxa"/>
          </w:tcPr>
          <w:p>
            <w:pPr>
              <w:pStyle w:val="yTableNAm"/>
              <w:tabs>
                <w:tab w:val="clear" w:pos="567"/>
                <w:tab w:val="decimal" w:pos="355"/>
              </w:tabs>
              <w:rPr>
                <w:sz w:val="18"/>
              </w:rPr>
            </w:pPr>
            <w:r>
              <w:rPr>
                <w:sz w:val="18"/>
              </w:rPr>
              <w:t>23.089</w:t>
            </w:r>
          </w:p>
        </w:tc>
        <w:tc>
          <w:tcPr>
            <w:tcW w:w="1276" w:type="dxa"/>
            <w:gridSpan w:val="2"/>
          </w:tcPr>
          <w:p>
            <w:pPr>
              <w:pStyle w:val="yTableNAm"/>
              <w:tabs>
                <w:tab w:val="clear" w:pos="567"/>
                <w:tab w:val="decimal" w:pos="355"/>
              </w:tabs>
              <w:rPr>
                <w:sz w:val="18"/>
              </w:rPr>
            </w:pPr>
            <w:r>
              <w:rPr>
                <w:sz w:val="18"/>
              </w:rPr>
              <w:t>24.838</w:t>
            </w:r>
          </w:p>
        </w:tc>
      </w:tr>
      <w:t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tabs>
                <w:tab w:val="clear" w:pos="567"/>
                <w:tab w:val="decimal" w:pos="355"/>
              </w:tabs>
              <w:rPr>
                <w:sz w:val="18"/>
              </w:rPr>
            </w:pPr>
            <w:r>
              <w:rPr>
                <w:sz w:val="18"/>
              </w:rPr>
              <w:t>26.620</w:t>
            </w:r>
          </w:p>
        </w:tc>
        <w:tc>
          <w:tcPr>
            <w:tcW w:w="1276" w:type="dxa"/>
          </w:tcPr>
          <w:p>
            <w:pPr>
              <w:pStyle w:val="yTableNAm"/>
              <w:tabs>
                <w:tab w:val="clear" w:pos="567"/>
                <w:tab w:val="decimal" w:pos="355"/>
              </w:tabs>
              <w:rPr>
                <w:sz w:val="18"/>
              </w:rPr>
            </w:pPr>
            <w:r>
              <w:rPr>
                <w:sz w:val="18"/>
              </w:rPr>
              <w:t>27.214</w:t>
            </w:r>
          </w:p>
        </w:tc>
        <w:tc>
          <w:tcPr>
            <w:tcW w:w="1276" w:type="dxa"/>
            <w:gridSpan w:val="2"/>
          </w:tcPr>
          <w:p>
            <w:pPr>
              <w:pStyle w:val="yTableNAm"/>
              <w:tabs>
                <w:tab w:val="clear" w:pos="567"/>
                <w:tab w:val="decimal" w:pos="355"/>
              </w:tabs>
              <w:rPr>
                <w:sz w:val="18"/>
              </w:rPr>
            </w:pPr>
            <w:r>
              <w:rPr>
                <w:sz w:val="18"/>
              </w:rPr>
              <w:t>29.942</w:t>
            </w:r>
          </w:p>
        </w:tc>
      </w:tr>
      <w:t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tabs>
                <w:tab w:val="clear" w:pos="567"/>
                <w:tab w:val="decimal" w:pos="355"/>
              </w:tabs>
              <w:rPr>
                <w:sz w:val="18"/>
              </w:rPr>
            </w:pPr>
            <w:r>
              <w:rPr>
                <w:sz w:val="18"/>
              </w:rPr>
              <w:t>37.235</w:t>
            </w:r>
          </w:p>
        </w:tc>
        <w:tc>
          <w:tcPr>
            <w:tcW w:w="1276" w:type="dxa"/>
            <w:tcBorders>
              <w:bottom w:val="single" w:sz="4" w:space="0" w:color="auto"/>
            </w:tcBorders>
          </w:tcPr>
          <w:p>
            <w:pPr>
              <w:pStyle w:val="yTableNAm"/>
              <w:tabs>
                <w:tab w:val="clear" w:pos="567"/>
                <w:tab w:val="decimal" w:pos="355"/>
              </w:tabs>
              <w:rPr>
                <w:sz w:val="18"/>
              </w:rPr>
            </w:pPr>
            <w:r>
              <w:rPr>
                <w:sz w:val="18"/>
              </w:rPr>
              <w:t>37.752</w:t>
            </w:r>
          </w:p>
        </w:tc>
        <w:tc>
          <w:tcPr>
            <w:tcW w:w="1276" w:type="dxa"/>
            <w:gridSpan w:val="2"/>
            <w:tcBorders>
              <w:bottom w:val="single" w:sz="4" w:space="0" w:color="auto"/>
            </w:tcBorders>
          </w:tcPr>
          <w:p>
            <w:pPr>
              <w:pStyle w:val="yTableNAm"/>
              <w:tabs>
                <w:tab w:val="clear" w:pos="567"/>
                <w:tab w:val="decimal" w:pos="355"/>
              </w:tabs>
              <w:rPr>
                <w:sz w:val="18"/>
              </w:rPr>
            </w:pPr>
            <w:r>
              <w:rPr>
                <w:sz w:val="18"/>
              </w:rPr>
              <w:t>43.802</w:t>
            </w:r>
          </w:p>
        </w:tc>
      </w:tr>
    </w:tbl>
    <w:p>
      <w:pPr>
        <w:pStyle w:val="yFootnotesection"/>
      </w:pPr>
      <w:r>
        <w:tab/>
        <w:t>[Schedule 2 inserted in Gazette 30 Mar 2009 p. 992</w:t>
      </w:r>
      <w:r>
        <w:noBreakHyphen/>
        <w:t>4.]</w:t>
      </w:r>
    </w:p>
    <w:p>
      <w:pPr>
        <w:pStyle w:val="yScheduleHeading"/>
      </w:pPr>
      <w:bookmarkStart w:id="142" w:name="_Toc233185425"/>
      <w:bookmarkStart w:id="143" w:name="_Toc238445953"/>
      <w:bookmarkStart w:id="144" w:name="_Toc238889057"/>
      <w:bookmarkStart w:id="145" w:name="_Toc238890143"/>
      <w:bookmarkStart w:id="146" w:name="_Toc240950072"/>
      <w:r>
        <w:rPr>
          <w:rStyle w:val="CharSchNo"/>
        </w:rPr>
        <w:t>Schedule 3</w:t>
      </w:r>
      <w:r>
        <w:rPr>
          <w:rStyle w:val="CharSDivNo"/>
        </w:rPr>
        <w:t> </w:t>
      </w:r>
      <w:r>
        <w:t>—</w:t>
      </w:r>
      <w:r>
        <w:rPr>
          <w:rStyle w:val="CharSDivText"/>
        </w:rPr>
        <w:t> </w:t>
      </w:r>
      <w:r>
        <w:rPr>
          <w:rStyle w:val="CharSchText"/>
        </w:rPr>
        <w:t>Meter rental</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42"/>
      <w:bookmarkEnd w:id="143"/>
      <w:bookmarkEnd w:id="144"/>
      <w:bookmarkEnd w:id="145"/>
      <w:bookmarkEnd w:id="146"/>
    </w:p>
    <w:bookmarkEnd w:id="131"/>
    <w:bookmarkEnd w:id="132"/>
    <w:bookmarkEnd w:id="133"/>
    <w:bookmarkEnd w:id="134"/>
    <w:bookmarkEnd w:id="135"/>
    <w:bookmarkEnd w:id="136"/>
    <w:bookmarkEnd w:id="137"/>
    <w:bookmarkEnd w:id="138"/>
    <w:bookmarkEnd w:id="139"/>
    <w:bookmarkEnd w:id="140"/>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47" w:name="_Toc123621761"/>
      <w:bookmarkStart w:id="148" w:name="_Toc123621908"/>
      <w:bookmarkStart w:id="149" w:name="_Toc123624868"/>
      <w:bookmarkStart w:id="150" w:name="_Toc123624935"/>
      <w:bookmarkStart w:id="151" w:name="_Toc123626281"/>
      <w:bookmarkStart w:id="152" w:name="_Toc123629885"/>
      <w:bookmarkStart w:id="153" w:name="_Toc124135802"/>
      <w:bookmarkStart w:id="154" w:name="_Toc124137269"/>
      <w:bookmarkStart w:id="155" w:name="_Toc124147437"/>
      <w:bookmarkStart w:id="156" w:name="_Toc124147474"/>
      <w:bookmarkStart w:id="157" w:name="_Toc124158785"/>
      <w:bookmarkStart w:id="158" w:name="_Toc124158892"/>
      <w:bookmarkStart w:id="159" w:name="_Toc124158926"/>
      <w:bookmarkStart w:id="160" w:name="_Toc124216307"/>
      <w:bookmarkStart w:id="161" w:name="_Toc124227066"/>
      <w:bookmarkStart w:id="162" w:name="_Toc124227159"/>
      <w:bookmarkStart w:id="163" w:name="_Toc124234425"/>
      <w:bookmarkStart w:id="164" w:name="_Toc124234777"/>
      <w:bookmarkStart w:id="165" w:name="_Toc124234817"/>
      <w:bookmarkStart w:id="166" w:name="_Toc124934233"/>
      <w:bookmarkStart w:id="167" w:name="_Toc125279683"/>
      <w:bookmarkStart w:id="168" w:name="_Toc127067110"/>
      <w:bookmarkStart w:id="169" w:name="_Toc127076313"/>
      <w:bookmarkStart w:id="170" w:name="_Toc127085646"/>
      <w:bookmarkStart w:id="171" w:name="_Toc127086738"/>
      <w:bookmarkStart w:id="172" w:name="_Toc127671681"/>
      <w:bookmarkStart w:id="173" w:name="_Toc127690058"/>
      <w:bookmarkStart w:id="174" w:name="_Toc127699339"/>
      <w:bookmarkStart w:id="175" w:name="_Toc127760431"/>
      <w:bookmarkStart w:id="176" w:name="_Toc127760459"/>
      <w:bookmarkStart w:id="177" w:name="_Toc127946781"/>
      <w:bookmarkStart w:id="178" w:name="_Toc127960814"/>
      <w:bookmarkStart w:id="179" w:name="_Toc127960842"/>
      <w:bookmarkStart w:id="180" w:name="_Toc128190516"/>
      <w:bookmarkStart w:id="181" w:name="_Toc128196188"/>
      <w:bookmarkStart w:id="182" w:name="_Toc128197607"/>
      <w:bookmarkStart w:id="183" w:name="_Toc128282880"/>
      <w:bookmarkStart w:id="184" w:name="_Toc131490128"/>
      <w:bookmarkStart w:id="185" w:name="_Toc131491088"/>
      <w:bookmarkStart w:id="186" w:name="_Toc152664697"/>
      <w:bookmarkStart w:id="187" w:name="_Toc152669128"/>
      <w:bookmarkStart w:id="188" w:name="_Toc171051503"/>
      <w:bookmarkStart w:id="189" w:name="_Toc226275325"/>
      <w:bookmarkStart w:id="190" w:name="_Toc226275365"/>
      <w:bookmarkStart w:id="191" w:name="_Toc233185426"/>
      <w:bookmarkStart w:id="192" w:name="_Toc238445954"/>
      <w:bookmarkStart w:id="193" w:name="_Toc238889058"/>
      <w:bookmarkStart w:id="194" w:name="_Toc238890144"/>
      <w:bookmarkStart w:id="195" w:name="_Toc240950073"/>
      <w:r>
        <w:rPr>
          <w:rStyle w:val="CharSchNo"/>
        </w:rPr>
        <w:t>Schedule 4</w:t>
      </w:r>
      <w:r>
        <w:rPr>
          <w:rStyle w:val="CharSDivNo"/>
        </w:rPr>
        <w:t> </w:t>
      </w:r>
      <w:r>
        <w:t>—</w:t>
      </w:r>
      <w:r>
        <w:rPr>
          <w:rStyle w:val="CharSDivText"/>
        </w:rPr>
        <w:t> </w:t>
      </w:r>
      <w:r>
        <w:rPr>
          <w:rStyle w:val="CharSchText"/>
        </w:rPr>
        <w:t>Fees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$32.10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$240.40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$29.60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pPr>
            <w:r>
              <w:br/>
              <w:t>40.568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$152.00</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$139.80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$190.00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$19.20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pPr>
            <w:r>
              <w:br/>
              <w:t>51.843 cents</w:t>
            </w:r>
          </w:p>
        </w:tc>
      </w:tr>
      <w:tr>
        <w:tc>
          <w:tcPr>
            <w:tcW w:w="5387" w:type="dxa"/>
          </w:tcPr>
          <w:p>
            <w:pPr>
              <w:pStyle w:val="yTableNAm"/>
              <w:ind w:left="556" w:hanging="556"/>
            </w:pPr>
            <w:r>
              <w:t>10.</w:t>
            </w:r>
            <w:r>
              <w:tab/>
              <w:t>Overdue account notices ..........................................</w:t>
            </w:r>
          </w:p>
        </w:tc>
        <w:tc>
          <w:tcPr>
            <w:tcW w:w="1418" w:type="dxa"/>
          </w:tcPr>
          <w:p>
            <w:pPr>
              <w:pStyle w:val="yTableNAm"/>
            </w:pPr>
            <w:r>
              <w:t>$4.40</w:t>
            </w:r>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$709.00</w:t>
            </w:r>
          </w:p>
        </w:tc>
      </w:tr>
    </w:tbl>
    <w:p>
      <w:pPr>
        <w:pStyle w:val="yFootnotesection"/>
      </w:pPr>
      <w:r>
        <w:tab/>
        <w:t>[Schedule 4 amended in Gazette 26 Jun 2007 p. 3017; 30 Mar 2009 p. 982 and 994.]</w:t>
      </w: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196" w:name="_Toc113695922"/>
      <w:bookmarkStart w:id="197" w:name="_Toc131491089"/>
      <w:bookmarkStart w:id="198" w:name="_Toc152664698"/>
      <w:bookmarkStart w:id="199" w:name="_Toc152669129"/>
      <w:bookmarkStart w:id="200" w:name="_Toc171051504"/>
      <w:bookmarkStart w:id="201" w:name="_Toc226275326"/>
      <w:bookmarkStart w:id="202" w:name="_Toc226275366"/>
      <w:bookmarkStart w:id="203" w:name="_Toc233185427"/>
      <w:bookmarkStart w:id="204" w:name="_Toc238445955"/>
      <w:bookmarkStart w:id="205" w:name="_Toc238889059"/>
      <w:bookmarkStart w:id="206" w:name="_Toc238890145"/>
      <w:bookmarkStart w:id="207" w:name="_Toc240950074"/>
      <w:r>
        <w:t>Notes</w:t>
      </w:r>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reprint is a compilation as at 18 September 2009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08" w:name="_Toc70311430"/>
      <w:bookmarkStart w:id="209" w:name="_Toc113695923"/>
      <w:bookmarkStart w:id="210" w:name="_Toc240950075"/>
      <w:r>
        <w:t>Compilation table</w:t>
      </w:r>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Borders>
              <w:bottom w:val="single" w:sz="4" w:space="0" w:color="auto"/>
            </w:tcBorders>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11" w:name="_Toc238890147"/>
      <w:bookmarkStart w:id="212" w:name="_Toc240950076"/>
      <w:r>
        <w:rPr>
          <w:sz w:val="28"/>
        </w:rPr>
        <w:t>Defined Terms</w:t>
      </w:r>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3" w:name="DefinedTerms"/>
      <w:bookmarkEnd w:id="213"/>
      <w:r>
        <w:t>corporation</w:t>
      </w:r>
      <w:r>
        <w:tab/>
        <w:t>3</w:t>
      </w:r>
    </w:p>
    <w:p>
      <w:pPr>
        <w:pStyle w:val="DefinedTerms"/>
      </w:pPr>
      <w:r>
        <w:t>dwelling</w:t>
      </w:r>
      <w:r>
        <w:tab/>
        <w:t>3</w:t>
      </w:r>
    </w:p>
    <w:p>
      <w:pPr>
        <w:pStyle w:val="DefinedTerms"/>
      </w:pPr>
      <w:r>
        <w:t>eligible person</w:t>
      </w:r>
      <w:r>
        <w:tab/>
        <w:t>9(1)</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standard time</w:t>
      </w:r>
      <w:r>
        <w:tab/>
        <w:t>3A(1)</w:t>
      </w:r>
    </w:p>
    <w:p>
      <w:pPr>
        <w:pStyle w:val="DefinedTerms"/>
      </w:pPr>
      <w:r>
        <w:t>summer time</w:t>
      </w:r>
      <w:r>
        <w:tab/>
        <w:t>3A(1)</w:t>
      </w:r>
    </w:p>
    <w:p>
      <w:pPr>
        <w:pStyle w:val="DefinedTerms"/>
      </w:pPr>
      <w:r>
        <w:t>Tariff</w:t>
      </w:r>
      <w:r>
        <w:tab/>
        <w:t>3</w:t>
      </w:r>
    </w:p>
    <w:p>
      <w:pPr>
        <w:pStyle w:val="DefinedTerms"/>
      </w:pPr>
      <w:r>
        <w:t>unit</w:t>
      </w:r>
      <w:r>
        <w:tab/>
        <w:t>3</w:t>
      </w:r>
    </w:p>
    <w:p>
      <w:pPr>
        <w:pStyle w:val="DefinedTerms"/>
        <w:sectPr>
          <w:headerReference w:type="even" r:id="rId37"/>
          <w:headerReference w:type="default" r:id="rId38"/>
          <w:footerReference w:type="even" r:id="rId39"/>
          <w:headerReference w:type="first" r:id="rId40"/>
          <w:endnotePr>
            <w:numFmt w:val="decimal"/>
          </w:endnotePr>
          <w:pgSz w:w="11906" w:h="16838" w:code="9"/>
          <w:pgMar w:top="2376" w:right="2404" w:bottom="3544" w:left="2404" w:header="720" w:footer="3380" w:gutter="0"/>
          <w:cols w:space="720"/>
          <w:noEndnote/>
          <w:docGrid w:linePitch="326"/>
        </w:sectPr>
      </w:pPr>
    </w:p>
    <w:p/>
    <w:p/>
    <w:p/>
    <w:p/>
    <w:p/>
    <w:p/>
    <w:p/>
    <w:p/>
    <w:p/>
    <w:p/>
    <w:p/>
    <w:p/>
    <w:p/>
    <w:p/>
    <w:p/>
    <w:p/>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4828</Words>
  <Characters>23758</Characters>
  <Application>Microsoft Office Word</Application>
  <DocSecurity>0</DocSecurity>
  <Lines>913</Lines>
  <Paragraphs>664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27922</CharactersWithSpaces>
  <SharedDoc>false</SharedDoc>
  <HLinks>
    <vt:vector size="18" baseType="variant">
      <vt:variant>
        <vt:i4>3014716</vt:i4>
      </vt:variant>
      <vt:variant>
        <vt:i4>3762</vt:i4>
      </vt:variant>
      <vt:variant>
        <vt:i4>1025</vt:i4>
      </vt:variant>
      <vt:variant>
        <vt:i4>1</vt:i4>
      </vt:variant>
      <vt:variant>
        <vt:lpwstr>C:\Program Files\PCO DLL\Support\Crest.wpg</vt:lpwstr>
      </vt:variant>
      <vt:variant>
        <vt:lpwstr/>
      </vt:variant>
      <vt:variant>
        <vt:i4>5439608</vt:i4>
      </vt:variant>
      <vt:variant>
        <vt:i4>28051</vt:i4>
      </vt:variant>
      <vt:variant>
        <vt:i4>1027</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2006 - 01-a0-01</dc:title>
  <dc:subject/>
  <dc:creator/>
  <cp:keywords/>
  <dc:description/>
  <cp:lastModifiedBy>svcMRProcess</cp:lastModifiedBy>
  <cp:revision>4</cp:revision>
  <cp:lastPrinted>2009-09-18T04:03:00Z</cp:lastPrinted>
  <dcterms:created xsi:type="dcterms:W3CDTF">2020-02-24T14:20:00Z</dcterms:created>
  <dcterms:modified xsi:type="dcterms:W3CDTF">2020-02-24T14:20:00Z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20090918</vt:lpwstr>
  </property>
  <property fmtid="{D5CDD505-2E9C-101B-9397-08002B2CF9AE}" pid="4" name="DocumentType">
    <vt:lpwstr>Reg</vt:lpwstr>
  </property>
  <property fmtid="{D5CDD505-2E9C-101B-9397-08002B2CF9AE}" pid="5" name="OwlsUID">
    <vt:i4>38407</vt:i4>
  </property>
  <property fmtid="{D5CDD505-2E9C-101B-9397-08002B2CF9AE}" pid="6" name="AsAtDate">
    <vt:lpwstr>18 Sep 2009</vt:lpwstr>
  </property>
  <property fmtid="{D5CDD505-2E9C-101B-9397-08002B2CF9AE}" pid="7" name="Suffix">
    <vt:lpwstr>01-a0-01</vt:lpwstr>
  </property>
  <property fmtid="{D5CDD505-2E9C-101B-9397-08002B2CF9AE}" pid="8" name="ReprintNo">
    <vt:lpwstr>1</vt:lpwstr>
  </property>
</Properties>
</file>