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5" name="Picture 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Health Act 1911</w:t>
      </w:r>
      <w:r>
        <w:rPr>
          <w:snapToGrid w:val="0"/>
        </w:rPr>
        <w:br/>
        <w:t>Rottnest Island Authority Act 1987</w:t>
      </w:r>
    </w:p>
    <w:p>
      <w:pPr>
        <w:pStyle w:val="NameofActRegPage1"/>
        <w:spacing w:before="1980" w:after="4200"/>
        <w:ind w:left="840" w:right="85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(Rottnest Island) By-laws 1989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Health (Rottnest Island) By-laws 1989</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_Toc244054053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_Toc244054054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Application of certain by</w:t>
      </w:r>
      <w:r>
        <w:rPr>
          <w:noProof/>
          <w:snapToGrid w:val="0"/>
          <w:szCs w:val="24"/>
        </w:rPr>
        <w:noBreakHyphen/>
        <w:t>laws to certain public authorities</w:t>
      </w:r>
      <w:r>
        <w:rPr>
          <w:noProof/>
        </w:rPr>
        <w:tab/>
      </w:r>
      <w:r>
        <w:rPr>
          <w:noProof/>
        </w:rPr>
        <w:fldChar w:fldCharType="begin"/>
      </w:r>
      <w:r>
        <w:rPr>
          <w:noProof/>
        </w:rPr>
        <w:instrText xml:space="preserve"> PAGEREF _Toc244054055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30"/>
        </w:rPr>
        <w:t>Part 2 — General sanitary provisions</w:t>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Temporary sanitary conveniences</w:t>
      </w:r>
      <w:r>
        <w:rPr>
          <w:noProof/>
        </w:rPr>
        <w:tab/>
      </w:r>
      <w:r>
        <w:rPr>
          <w:noProof/>
        </w:rPr>
        <w:fldChar w:fldCharType="begin"/>
      </w:r>
      <w:r>
        <w:rPr>
          <w:noProof/>
        </w:rPr>
        <w:instrText xml:space="preserve"> PAGEREF _Toc244054057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Water closets in permanent accommodation</w:t>
      </w:r>
      <w:r>
        <w:rPr>
          <w:noProof/>
        </w:rPr>
        <w:tab/>
      </w:r>
      <w:r>
        <w:rPr>
          <w:noProof/>
        </w:rPr>
        <w:fldChar w:fldCharType="begin"/>
      </w:r>
      <w:r>
        <w:rPr>
          <w:noProof/>
        </w:rPr>
        <w:instrText xml:space="preserve"> PAGEREF _Toc244054058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Kitchen and kitchen fittings</w:t>
      </w:r>
      <w:r>
        <w:rPr>
          <w:noProof/>
        </w:rPr>
        <w:tab/>
      </w:r>
      <w:r>
        <w:rPr>
          <w:noProof/>
        </w:rPr>
        <w:fldChar w:fldCharType="begin"/>
      </w:r>
      <w:r>
        <w:rPr>
          <w:noProof/>
        </w:rPr>
        <w:instrText xml:space="preserve"> PAGEREF _Toc244054059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Water supply</w:t>
      </w:r>
      <w:r>
        <w:rPr>
          <w:noProof/>
        </w:rPr>
        <w:tab/>
      </w:r>
      <w:r>
        <w:rPr>
          <w:noProof/>
        </w:rPr>
        <w:fldChar w:fldCharType="begin"/>
      </w:r>
      <w:r>
        <w:rPr>
          <w:noProof/>
        </w:rPr>
        <w:instrText xml:space="preserve"> PAGEREF _Toc244054060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Public sanitary conveniences</w:t>
      </w:r>
      <w:r>
        <w:rPr>
          <w:noProof/>
        </w:rPr>
        <w:tab/>
      </w:r>
      <w:r>
        <w:rPr>
          <w:noProof/>
        </w:rPr>
        <w:fldChar w:fldCharType="begin"/>
      </w:r>
      <w:r>
        <w:rPr>
          <w:noProof/>
        </w:rPr>
        <w:instrText xml:space="preserve"> PAGEREF _Toc244054061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Maintenance of sanitary conveniences</w:t>
      </w:r>
      <w:r>
        <w:rPr>
          <w:noProof/>
        </w:rPr>
        <w:tab/>
      </w:r>
      <w:r>
        <w:rPr>
          <w:noProof/>
        </w:rPr>
        <w:fldChar w:fldCharType="begin"/>
      </w:r>
      <w:r>
        <w:rPr>
          <w:noProof/>
        </w:rPr>
        <w:instrText xml:space="preserve"> PAGEREF _Toc244054062 \h </w:instrText>
      </w:r>
      <w:r>
        <w:rPr>
          <w:noProof/>
        </w:rPr>
      </w:r>
      <w:r>
        <w:rPr>
          <w:noProof/>
        </w:rPr>
        <w:fldChar w:fldCharType="separate"/>
      </w:r>
      <w:r>
        <w:rPr>
          <w:noProof/>
        </w:rPr>
        <w:t>8</w:t>
      </w:r>
      <w:r>
        <w:rPr>
          <w:noProof/>
        </w:rPr>
        <w:fldChar w:fldCharType="end"/>
      </w:r>
    </w:p>
    <w:p>
      <w:pPr>
        <w:pStyle w:val="TOC2"/>
        <w:tabs>
          <w:tab w:val="right" w:leader="dot" w:pos="7086"/>
        </w:tabs>
        <w:rPr>
          <w:b w:val="0"/>
          <w:noProof/>
          <w:sz w:val="24"/>
          <w:szCs w:val="24"/>
        </w:rPr>
      </w:pPr>
      <w:r>
        <w:rPr>
          <w:noProof/>
          <w:szCs w:val="30"/>
        </w:rPr>
        <w:t>Part 3 — Refuse removal</w:t>
      </w:r>
    </w:p>
    <w:p>
      <w:pPr>
        <w:pStyle w:val="TOC3"/>
        <w:rPr>
          <w:b w:val="0"/>
          <w:noProof/>
          <w:sz w:val="24"/>
          <w:szCs w:val="24"/>
        </w:rPr>
      </w:pPr>
      <w:r>
        <w:rPr>
          <w:noProof/>
          <w:szCs w:val="26"/>
        </w:rPr>
        <w:t>Division 1</w:t>
      </w:r>
      <w:r>
        <w:rPr>
          <w:noProof/>
          <w:snapToGrid w:val="0"/>
          <w:szCs w:val="26"/>
        </w:rPr>
        <w:t> — </w:t>
      </w:r>
      <w:r>
        <w:rPr>
          <w:noProof/>
          <w:szCs w:val="26"/>
        </w:rPr>
        <w:t>Premises other than building sites</w:t>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_Toc244054065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Keeping of receptacles</w:t>
      </w:r>
      <w:r>
        <w:rPr>
          <w:noProof/>
        </w:rPr>
        <w:tab/>
      </w:r>
      <w:r>
        <w:rPr>
          <w:noProof/>
        </w:rPr>
        <w:fldChar w:fldCharType="begin"/>
      </w:r>
      <w:r>
        <w:rPr>
          <w:noProof/>
        </w:rPr>
        <w:instrText xml:space="preserve"> PAGEREF _Toc244054066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Refuse to be deposited in receptacles</w:t>
      </w:r>
      <w:r>
        <w:rPr>
          <w:noProof/>
        </w:rPr>
        <w:tab/>
      </w:r>
      <w:r>
        <w:rPr>
          <w:noProof/>
        </w:rPr>
        <w:fldChar w:fldCharType="begin"/>
      </w:r>
      <w:r>
        <w:rPr>
          <w:noProof/>
        </w:rPr>
        <w:instrText xml:space="preserve"> PAGEREF _Toc244054067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Maintenance of receptacles</w:t>
      </w:r>
      <w:r>
        <w:rPr>
          <w:noProof/>
        </w:rPr>
        <w:tab/>
      </w:r>
      <w:r>
        <w:rPr>
          <w:noProof/>
        </w:rPr>
        <w:fldChar w:fldCharType="begin"/>
      </w:r>
      <w:r>
        <w:rPr>
          <w:noProof/>
        </w:rPr>
        <w:instrText xml:space="preserve"> PAGEREF _Toc244054068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Collection of refuse</w:t>
      </w:r>
      <w:r>
        <w:rPr>
          <w:noProof/>
        </w:rPr>
        <w:tab/>
      </w:r>
      <w:r>
        <w:rPr>
          <w:noProof/>
        </w:rPr>
        <w:fldChar w:fldCharType="begin"/>
      </w:r>
      <w:r>
        <w:rPr>
          <w:noProof/>
        </w:rPr>
        <w:instrText xml:space="preserve"> PAGEREF _Toc244054069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Method of disposal of refuse</w:t>
      </w:r>
      <w:r>
        <w:rPr>
          <w:noProof/>
        </w:rPr>
        <w:tab/>
      </w:r>
      <w:r>
        <w:rPr>
          <w:noProof/>
        </w:rPr>
        <w:fldChar w:fldCharType="begin"/>
      </w:r>
      <w:r>
        <w:rPr>
          <w:noProof/>
        </w:rPr>
        <w:instrText xml:space="preserve"> PAGEREF _Toc244054070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Disposal of refuse from vessels</w:t>
      </w:r>
      <w:r>
        <w:rPr>
          <w:noProof/>
        </w:rPr>
        <w:tab/>
      </w:r>
      <w:r>
        <w:rPr>
          <w:noProof/>
        </w:rPr>
        <w:fldChar w:fldCharType="begin"/>
      </w:r>
      <w:r>
        <w:rPr>
          <w:noProof/>
        </w:rPr>
        <w:instrText xml:space="preserve"> PAGEREF _Toc244054071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Refuse disposal sites to be fenced</w:t>
      </w:r>
      <w:r>
        <w:rPr>
          <w:noProof/>
        </w:rPr>
        <w:tab/>
      </w:r>
      <w:r>
        <w:rPr>
          <w:noProof/>
        </w:rPr>
        <w:fldChar w:fldCharType="begin"/>
      </w:r>
      <w:r>
        <w:rPr>
          <w:noProof/>
        </w:rPr>
        <w:instrText xml:space="preserve"> PAGEREF _Toc244054072 \h </w:instrText>
      </w:r>
      <w:r>
        <w:rPr>
          <w:noProof/>
        </w:rPr>
      </w:r>
      <w:r>
        <w:rPr>
          <w:noProof/>
        </w:rPr>
        <w:fldChar w:fldCharType="separate"/>
      </w:r>
      <w:r>
        <w:rPr>
          <w:noProof/>
        </w:rPr>
        <w:t>13</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Building sites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_Toc244054074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Responsibilities of builder</w:t>
      </w:r>
      <w:r>
        <w:rPr>
          <w:noProof/>
        </w:rPr>
        <w:tab/>
      </w:r>
      <w:r>
        <w:rPr>
          <w:noProof/>
        </w:rPr>
        <w:fldChar w:fldCharType="begin"/>
      </w:r>
      <w:r>
        <w:rPr>
          <w:noProof/>
        </w:rPr>
        <w:instrText xml:space="preserve"> PAGEREF _Toc244054075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4 — Waste water</w:t>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Definitions</w:t>
      </w:r>
      <w:r>
        <w:rPr>
          <w:noProof/>
        </w:rPr>
        <w:tab/>
      </w:r>
      <w:r>
        <w:rPr>
          <w:noProof/>
        </w:rPr>
        <w:fldChar w:fldCharType="begin"/>
      </w:r>
      <w:r>
        <w:rPr>
          <w:noProof/>
        </w:rPr>
        <w:instrText xml:space="preserve"> PAGEREF _Toc244054077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Disposal of waste water</w:t>
      </w:r>
      <w:r>
        <w:rPr>
          <w:noProof/>
        </w:rPr>
        <w:tab/>
      </w:r>
      <w:r>
        <w:rPr>
          <w:noProof/>
        </w:rPr>
        <w:fldChar w:fldCharType="begin"/>
      </w:r>
      <w:r>
        <w:rPr>
          <w:noProof/>
        </w:rPr>
        <w:instrText xml:space="preserve"> PAGEREF _Toc244054078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Removal of waste water</w:t>
      </w:r>
      <w:r>
        <w:rPr>
          <w:noProof/>
        </w:rPr>
        <w:tab/>
      </w:r>
      <w:r>
        <w:rPr>
          <w:noProof/>
        </w:rPr>
        <w:fldChar w:fldCharType="begin"/>
      </w:r>
      <w:r>
        <w:rPr>
          <w:noProof/>
        </w:rPr>
        <w:instrText xml:space="preserve"> PAGEREF _Toc244054079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Removal of liquid waste</w:t>
      </w:r>
      <w:r>
        <w:rPr>
          <w:noProof/>
        </w:rPr>
        <w:tab/>
      </w:r>
      <w:r>
        <w:rPr>
          <w:noProof/>
        </w:rPr>
        <w:fldChar w:fldCharType="begin"/>
      </w:r>
      <w:r>
        <w:rPr>
          <w:noProof/>
        </w:rPr>
        <w:instrText xml:space="preserve"> PAGEREF _Toc244054080 \h </w:instrText>
      </w:r>
      <w:r>
        <w:rPr>
          <w:noProof/>
        </w:rPr>
      </w:r>
      <w:r>
        <w:rPr>
          <w:noProof/>
        </w:rPr>
        <w:fldChar w:fldCharType="separate"/>
      </w:r>
      <w:r>
        <w:rPr>
          <w:noProof/>
        </w:rPr>
        <w:t>16</w:t>
      </w:r>
      <w:r>
        <w:rPr>
          <w:noProof/>
        </w:rPr>
        <w:fldChar w:fldCharType="end"/>
      </w:r>
    </w:p>
    <w:p>
      <w:pPr>
        <w:pStyle w:val="TOC2"/>
        <w:tabs>
          <w:tab w:val="right" w:leader="dot" w:pos="7086"/>
        </w:tabs>
        <w:rPr>
          <w:b w:val="0"/>
          <w:noProof/>
          <w:sz w:val="24"/>
          <w:szCs w:val="24"/>
        </w:rPr>
      </w:pPr>
      <w:r>
        <w:rPr>
          <w:noProof/>
          <w:szCs w:val="30"/>
        </w:rPr>
        <w:t>Part 5 — General health provisions</w:t>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Air space in sleeping rooms</w:t>
      </w:r>
      <w:r>
        <w:rPr>
          <w:noProof/>
        </w:rPr>
        <w:tab/>
      </w:r>
      <w:r>
        <w:rPr>
          <w:noProof/>
        </w:rPr>
        <w:fldChar w:fldCharType="begin"/>
      </w:r>
      <w:r>
        <w:rPr>
          <w:noProof/>
        </w:rPr>
        <w:instrText xml:space="preserve"> PAGEREF _Toc244054082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Premises to be kept in good repair</w:t>
      </w:r>
      <w:r>
        <w:rPr>
          <w:noProof/>
        </w:rPr>
        <w:tab/>
      </w:r>
      <w:r>
        <w:rPr>
          <w:noProof/>
        </w:rPr>
        <w:fldChar w:fldCharType="begin"/>
      </w:r>
      <w:r>
        <w:rPr>
          <w:noProof/>
        </w:rPr>
        <w:instrText xml:space="preserve"> PAGEREF _Toc244054083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Keeping of poultry</w:t>
      </w:r>
      <w:r>
        <w:rPr>
          <w:noProof/>
        </w:rPr>
        <w:tab/>
      </w:r>
      <w:r>
        <w:rPr>
          <w:noProof/>
        </w:rPr>
        <w:fldChar w:fldCharType="begin"/>
      </w:r>
      <w:r>
        <w:rPr>
          <w:noProof/>
        </w:rPr>
        <w:instrText xml:space="preserve"> PAGEREF _Toc244054084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Mosquito eradication and reduction</w:t>
      </w:r>
      <w:r>
        <w:rPr>
          <w:noProof/>
        </w:rPr>
        <w:tab/>
      </w:r>
      <w:r>
        <w:rPr>
          <w:noProof/>
        </w:rPr>
        <w:fldChar w:fldCharType="begin"/>
      </w:r>
      <w:r>
        <w:rPr>
          <w:noProof/>
        </w:rPr>
        <w:instrText xml:space="preserve"> PAGEREF _Toc244054085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Rodents</w:t>
      </w:r>
      <w:r>
        <w:rPr>
          <w:noProof/>
        </w:rPr>
        <w:tab/>
      </w:r>
      <w:r>
        <w:rPr>
          <w:noProof/>
        </w:rPr>
        <w:fldChar w:fldCharType="begin"/>
      </w:r>
      <w:r>
        <w:rPr>
          <w:noProof/>
        </w:rPr>
        <w:instrText xml:space="preserve"> PAGEREF _Toc244054086 \h </w:instrText>
      </w:r>
      <w:r>
        <w:rPr>
          <w:noProof/>
        </w:rPr>
      </w:r>
      <w:r>
        <w:rPr>
          <w:noProof/>
        </w:rPr>
        <w:fldChar w:fldCharType="separate"/>
      </w:r>
      <w:r>
        <w:rPr>
          <w:noProof/>
        </w:rPr>
        <w:t>22</w:t>
      </w:r>
      <w:r>
        <w:rPr>
          <w:noProof/>
        </w:rPr>
        <w:fldChar w:fldCharType="end"/>
      </w:r>
    </w:p>
    <w:p>
      <w:pPr>
        <w:pStyle w:val="TOC2"/>
        <w:tabs>
          <w:tab w:val="right" w:leader="dot" w:pos="7086"/>
        </w:tabs>
        <w:rPr>
          <w:b w:val="0"/>
          <w:noProof/>
          <w:sz w:val="24"/>
          <w:szCs w:val="24"/>
        </w:rPr>
      </w:pPr>
      <w:r>
        <w:rPr>
          <w:noProof/>
          <w:szCs w:val="30"/>
        </w:rPr>
        <w:t>Part 8 — Laundries and laundry depots</w:t>
      </w:r>
    </w:p>
    <w:p>
      <w:pPr>
        <w:pStyle w:val="TOC4"/>
        <w:tabs>
          <w:tab w:val="left" w:pos="1701"/>
        </w:tabs>
        <w:rPr>
          <w:noProof/>
          <w:sz w:val="24"/>
          <w:szCs w:val="24"/>
        </w:rPr>
      </w:pPr>
      <w:r>
        <w:rPr>
          <w:noProof/>
          <w:szCs w:val="24"/>
        </w:rPr>
        <w:t>54</w:t>
      </w:r>
      <w:r>
        <w:rPr>
          <w:noProof/>
          <w:snapToGrid w:val="0"/>
          <w:szCs w:val="24"/>
        </w:rPr>
        <w:t>.</w:t>
      </w:r>
      <w:r>
        <w:rPr>
          <w:noProof/>
          <w:sz w:val="24"/>
          <w:szCs w:val="24"/>
        </w:rPr>
        <w:tab/>
      </w:r>
      <w:r>
        <w:rPr>
          <w:noProof/>
          <w:snapToGrid w:val="0"/>
          <w:szCs w:val="24"/>
        </w:rPr>
        <w:t>Laundries</w:t>
      </w:r>
      <w:r>
        <w:rPr>
          <w:noProof/>
        </w:rPr>
        <w:tab/>
      </w:r>
      <w:r>
        <w:rPr>
          <w:noProof/>
        </w:rPr>
        <w:fldChar w:fldCharType="begin"/>
      </w:r>
      <w:r>
        <w:rPr>
          <w:noProof/>
        </w:rPr>
        <w:instrText xml:space="preserve"> PAGEREF _Toc244054088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55</w:t>
      </w:r>
      <w:r>
        <w:rPr>
          <w:noProof/>
          <w:snapToGrid w:val="0"/>
          <w:szCs w:val="24"/>
        </w:rPr>
        <w:t>.</w:t>
      </w:r>
      <w:r>
        <w:rPr>
          <w:noProof/>
          <w:sz w:val="24"/>
          <w:szCs w:val="24"/>
        </w:rPr>
        <w:tab/>
      </w:r>
      <w:r>
        <w:rPr>
          <w:noProof/>
          <w:snapToGrid w:val="0"/>
          <w:szCs w:val="24"/>
        </w:rPr>
        <w:t>Laundry depots</w:t>
      </w:r>
      <w:r>
        <w:rPr>
          <w:noProof/>
        </w:rPr>
        <w:tab/>
      </w:r>
      <w:r>
        <w:rPr>
          <w:noProof/>
        </w:rPr>
        <w:fldChar w:fldCharType="begin"/>
      </w:r>
      <w:r>
        <w:rPr>
          <w:noProof/>
        </w:rPr>
        <w:instrText xml:space="preserve"> PAGEREF _Toc244054089 \h </w:instrText>
      </w:r>
      <w:r>
        <w:rPr>
          <w:noProof/>
        </w:rPr>
      </w:r>
      <w:r>
        <w:rPr>
          <w:noProof/>
        </w:rPr>
        <w:fldChar w:fldCharType="separate"/>
      </w:r>
      <w:r>
        <w:rPr>
          <w:noProof/>
        </w:rPr>
        <w:t>26</w:t>
      </w:r>
      <w:r>
        <w:rPr>
          <w:noProof/>
        </w:rPr>
        <w:fldChar w:fldCharType="end"/>
      </w:r>
    </w:p>
    <w:p>
      <w:pPr>
        <w:pStyle w:val="TOC2"/>
        <w:tabs>
          <w:tab w:val="right" w:leader="dot" w:pos="7086"/>
        </w:tabs>
        <w:rPr>
          <w:b w:val="0"/>
          <w:noProof/>
          <w:sz w:val="24"/>
          <w:szCs w:val="24"/>
        </w:rPr>
      </w:pPr>
      <w:r>
        <w:rPr>
          <w:noProof/>
          <w:szCs w:val="30"/>
        </w:rPr>
        <w:t>Part 9 — Offences</w:t>
      </w:r>
    </w:p>
    <w:p>
      <w:pPr>
        <w:pStyle w:val="TOC4"/>
        <w:tabs>
          <w:tab w:val="left" w:pos="1701"/>
        </w:tabs>
        <w:rPr>
          <w:noProof/>
          <w:sz w:val="24"/>
          <w:szCs w:val="24"/>
        </w:rPr>
      </w:pPr>
      <w:r>
        <w:rPr>
          <w:noProof/>
          <w:szCs w:val="24"/>
        </w:rPr>
        <w:t>56</w:t>
      </w:r>
      <w:r>
        <w:rPr>
          <w:noProof/>
          <w:snapToGrid w:val="0"/>
          <w:szCs w:val="24"/>
        </w:rPr>
        <w:t>.</w:t>
      </w:r>
      <w:r>
        <w:rPr>
          <w:noProof/>
          <w:sz w:val="24"/>
          <w:szCs w:val="24"/>
        </w:rPr>
        <w:tab/>
      </w:r>
      <w:r>
        <w:rPr>
          <w:noProof/>
          <w:snapToGrid w:val="0"/>
          <w:szCs w:val="24"/>
        </w:rPr>
        <w:t>Offences and penalties</w:t>
      </w:r>
      <w:r>
        <w:rPr>
          <w:noProof/>
        </w:rPr>
        <w:tab/>
      </w:r>
      <w:r>
        <w:rPr>
          <w:noProof/>
        </w:rPr>
        <w:fldChar w:fldCharType="begin"/>
      </w:r>
      <w:r>
        <w:rPr>
          <w:noProof/>
        </w:rPr>
        <w:instrText xml:space="preserve"> PAGEREF _Toc244054091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_Toc244054093 \h </w:instrText>
      </w:r>
      <w:r>
        <w:rPr>
          <w:noProof/>
        </w:rPr>
      </w:r>
      <w:r>
        <w:rPr>
          <w:noProof/>
        </w:rPr>
        <w:fldChar w:fldCharType="separate"/>
      </w:r>
      <w:r>
        <w:rPr>
          <w:noProof/>
        </w:rPr>
        <w:t>29</w:t>
      </w:r>
      <w:r>
        <w:rPr>
          <w:noProof/>
        </w:rPr>
        <w:fldChar w:fldCharType="end"/>
      </w:r>
    </w:p>
    <w:p>
      <w:pPr>
        <w:pStyle w:val="FootnoteText"/>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0"/>
        <w:rPr>
          <w:snapToGrid w:val="0"/>
        </w:rPr>
      </w:pPr>
      <w:r>
        <w:rPr>
          <w:snapToGrid w:val="0"/>
        </w:rPr>
        <w:t>Health Act 1911</w:t>
      </w:r>
    </w:p>
    <w:p>
      <w:pPr>
        <w:pStyle w:val="PrincipalActReg"/>
        <w:rPr>
          <w:snapToGrid w:val="0"/>
        </w:rPr>
      </w:pPr>
      <w:r>
        <w:rPr>
          <w:snapToGrid w:val="0"/>
        </w:rPr>
        <w:t>Rottnest Island Authority Act 1987</w:t>
      </w:r>
    </w:p>
    <w:p>
      <w:pPr>
        <w:pStyle w:val="NameofActReg"/>
        <w:spacing w:after="840"/>
      </w:pPr>
      <w:r>
        <w:t>Health (Rottnest Island) By</w:t>
      </w:r>
      <w:r>
        <w:noBreakHyphen/>
        <w:t>laws 1989</w:t>
      </w:r>
    </w:p>
    <w:p>
      <w:pPr>
        <w:pStyle w:val="Heading2"/>
        <w:pageBreakBefore w:val="0"/>
      </w:pPr>
      <w:bookmarkStart w:id="1" w:name="_Toc244054052"/>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18384968"/>
      <w:bookmarkStart w:id="3" w:name="_Toc18385025"/>
      <w:bookmarkStart w:id="4" w:name="_Toc18385210"/>
      <w:bookmarkStart w:id="5" w:name="_Toc19586587"/>
      <w:bookmarkStart w:id="6" w:name="_Toc244054053"/>
      <w:r>
        <w:rPr>
          <w:rStyle w:val="CharSectno"/>
        </w:rPr>
        <w:t>1</w:t>
      </w:r>
      <w:r>
        <w:rPr>
          <w:snapToGrid w:val="0"/>
        </w:rPr>
        <w:t>.</w:t>
      </w:r>
      <w:r>
        <w:rPr>
          <w:snapToGrid w:val="0"/>
        </w:rPr>
        <w:tab/>
        <w:t>Citation</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vertAlign w:val="superscript"/>
        </w:rPr>
        <w:t> 1</w:t>
      </w:r>
      <w:r>
        <w:rPr>
          <w:snapToGrid w:val="0"/>
        </w:rPr>
        <w:t>.</w:t>
      </w:r>
    </w:p>
    <w:p>
      <w:pPr>
        <w:pStyle w:val="Heading5"/>
        <w:rPr>
          <w:snapToGrid w:val="0"/>
        </w:rPr>
      </w:pPr>
      <w:bookmarkStart w:id="7" w:name="_Toc18384969"/>
      <w:bookmarkStart w:id="8" w:name="_Toc18385026"/>
      <w:bookmarkStart w:id="9" w:name="_Toc18385211"/>
      <w:bookmarkStart w:id="10" w:name="_Toc19586588"/>
      <w:bookmarkStart w:id="11" w:name="_Toc244054054"/>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bookmarkStart w:id="12" w:name="RuleErr_81"/>
      <w:bookmarkStart w:id="13" w:name="RuleErr_97"/>
      <w:r>
        <w:rPr>
          <w:rStyle w:val="CharDefText"/>
        </w:rPr>
        <w:t>Act</w:t>
      </w:r>
      <w:bookmarkEnd w:id="12"/>
      <w:bookmarkEnd w:id="13"/>
      <w:r>
        <w:t xml:space="preserve"> means the </w:t>
      </w:r>
      <w:r>
        <w:rPr>
          <w:i/>
        </w:rPr>
        <w:t>Health Act 1911</w:t>
      </w:r>
      <w:r>
        <w:t>;</w:t>
      </w:r>
    </w:p>
    <w:p>
      <w:pPr>
        <w:pStyle w:val="Defstart"/>
      </w:pPr>
      <w:r>
        <w:rPr>
          <w:b/>
        </w:rPr>
        <w:tab/>
      </w:r>
      <w:bookmarkStart w:id="14" w:name="RuleErr_82"/>
      <w:bookmarkStart w:id="15" w:name="RuleErr_98"/>
      <w:r>
        <w:rPr>
          <w:rStyle w:val="CharDefText"/>
        </w:rPr>
        <w:t>approved</w:t>
      </w:r>
      <w:bookmarkEnd w:id="14"/>
      <w:bookmarkEnd w:id="15"/>
      <w:r>
        <w:t xml:space="preserve"> means approved by the Executive Director, Public Health;</w:t>
      </w:r>
    </w:p>
    <w:p>
      <w:pPr>
        <w:pStyle w:val="Defstart"/>
      </w:pPr>
      <w:r>
        <w:rPr>
          <w:b/>
        </w:rPr>
        <w:tab/>
      </w:r>
      <w:bookmarkStart w:id="16" w:name="RuleErr_83"/>
      <w:bookmarkStart w:id="17" w:name="RuleErr_99"/>
      <w:r>
        <w:rPr>
          <w:rStyle w:val="CharDefText"/>
        </w:rPr>
        <w:t>Authority</w:t>
      </w:r>
      <w:bookmarkEnd w:id="16"/>
      <w:bookmarkEnd w:id="17"/>
      <w:r>
        <w:t xml:space="preserve"> means the Rottnest Island Authority;</w:t>
      </w:r>
    </w:p>
    <w:p>
      <w:pPr>
        <w:pStyle w:val="Defstart"/>
      </w:pPr>
      <w:r>
        <w:rPr>
          <w:b/>
        </w:rPr>
        <w:tab/>
      </w:r>
      <w:bookmarkStart w:id="18" w:name="RuleErr_84"/>
      <w:bookmarkStart w:id="19" w:name="RuleErr_100"/>
      <w:r>
        <w:rPr>
          <w:rStyle w:val="CharDefText"/>
        </w:rPr>
        <w:t>casual resident</w:t>
      </w:r>
      <w:bookmarkEnd w:id="18"/>
      <w:bookmarkEnd w:id="19"/>
      <w:r>
        <w:t xml:space="preserve"> means a person who has taken up casual residence on the Island as described in regulation </w:t>
      </w:r>
      <w:bookmarkStart w:id="20" w:name="RuleErr_19"/>
      <w:r>
        <w:t>9(</w:t>
      </w:r>
      <w:bookmarkEnd w:id="20"/>
      <w:r>
        <w:t>1</w:t>
      </w:r>
      <w:bookmarkStart w:id="21" w:name="RuleErr_33"/>
      <w:r>
        <w:t>)(</w:t>
      </w:r>
      <w:bookmarkEnd w:id="21"/>
      <w:r>
        <w:t xml:space="preserve">b) or (c) of the </w:t>
      </w:r>
      <w:r>
        <w:rPr>
          <w:i/>
        </w:rPr>
        <w:t>Rottnest Island Regulations 1988</w:t>
      </w:r>
      <w:r>
        <w:t>;</w:t>
      </w:r>
    </w:p>
    <w:p>
      <w:pPr>
        <w:pStyle w:val="Defstart"/>
      </w:pPr>
      <w:r>
        <w:rPr>
          <w:b/>
        </w:rPr>
        <w:tab/>
      </w:r>
      <w:bookmarkStart w:id="22" w:name="RuleErr_85"/>
      <w:bookmarkStart w:id="23" w:name="RuleErr_101"/>
      <w:r>
        <w:rPr>
          <w:rStyle w:val="CharDefText"/>
        </w:rPr>
        <w:t>health surveyor</w:t>
      </w:r>
      <w:bookmarkEnd w:id="22"/>
      <w:bookmarkEnd w:id="23"/>
      <w:r>
        <w:t xml:space="preserve"> means a health surveyor appointed under the Act and includes any acting or assistant health surveyor;</w:t>
      </w:r>
    </w:p>
    <w:p>
      <w:pPr>
        <w:pStyle w:val="Defstart"/>
      </w:pPr>
      <w:r>
        <w:rPr>
          <w:b/>
        </w:rPr>
        <w:tab/>
      </w:r>
      <w:bookmarkStart w:id="24" w:name="RuleErr_86"/>
      <w:bookmarkStart w:id="25" w:name="RuleErr_102"/>
      <w:r>
        <w:rPr>
          <w:rStyle w:val="CharDefText"/>
        </w:rPr>
        <w:t>Island</w:t>
      </w:r>
      <w:bookmarkEnd w:id="24"/>
      <w:bookmarkEnd w:id="25"/>
      <w:r>
        <w:t xml:space="preserve"> means the Rottnest Island Reserve described in section 4 of the </w:t>
      </w:r>
      <w:r>
        <w:rPr>
          <w:i/>
        </w:rPr>
        <w:t>Rottnest Island Authority Act 1987</w:t>
      </w:r>
      <w:r>
        <w:t>;</w:t>
      </w:r>
    </w:p>
    <w:p>
      <w:pPr>
        <w:pStyle w:val="Defstart"/>
      </w:pPr>
      <w:r>
        <w:rPr>
          <w:b/>
        </w:rPr>
        <w:tab/>
      </w:r>
      <w:bookmarkStart w:id="26" w:name="RuleErr_87"/>
      <w:bookmarkStart w:id="27" w:name="RuleErr_103"/>
      <w:r>
        <w:rPr>
          <w:rStyle w:val="CharDefText"/>
        </w:rPr>
        <w:t>occupier</w:t>
      </w:r>
      <w:bookmarkEnd w:id="26"/>
      <w:bookmarkEnd w:id="27"/>
      <w:r>
        <w:t xml:space="preserve"> means, subject to by</w:t>
      </w:r>
      <w:r>
        <w:noBreakHyphen/>
        <w:t>law </w:t>
      </w:r>
      <w:bookmarkStart w:id="28" w:name="RuleErr_20"/>
      <w:r>
        <w:t>3(</w:t>
      </w:r>
      <w:bookmarkEnd w:id="28"/>
      <w:r>
        <w:t>2), any person, other than a casual resident, in occupation of premises and, in respect of premises occupied by a casual resident, means the Authority or in the case of the Rottnest Lodge Resort or the Rottnest Island Hotel, the lessee thereof;</w:t>
      </w:r>
    </w:p>
    <w:p>
      <w:pPr>
        <w:pStyle w:val="Defstart"/>
      </w:pPr>
      <w:r>
        <w:rPr>
          <w:b/>
        </w:rPr>
        <w:tab/>
      </w:r>
      <w:bookmarkStart w:id="29" w:name="RuleErr_88"/>
      <w:bookmarkStart w:id="30" w:name="RuleErr_104"/>
      <w:r>
        <w:rPr>
          <w:rStyle w:val="CharDefText"/>
        </w:rPr>
        <w:t>premises</w:t>
      </w:r>
      <w:bookmarkEnd w:id="29"/>
      <w:bookmarkEnd w:id="30"/>
      <w:r>
        <w:t xml:space="preserve"> means premises on the Island.</w:t>
      </w:r>
    </w:p>
    <w:p>
      <w:pPr>
        <w:pStyle w:val="Heading5"/>
        <w:rPr>
          <w:snapToGrid w:val="0"/>
        </w:rPr>
      </w:pPr>
      <w:bookmarkStart w:id="31" w:name="_Toc18384970"/>
      <w:bookmarkStart w:id="32" w:name="_Toc18385027"/>
      <w:bookmarkStart w:id="33" w:name="_Toc18385212"/>
      <w:bookmarkStart w:id="34" w:name="_Toc19586589"/>
      <w:bookmarkStart w:id="35" w:name="_Toc244054055"/>
      <w:r>
        <w:rPr>
          <w:rStyle w:val="CharSectno"/>
        </w:rPr>
        <w:t>3</w:t>
      </w:r>
      <w:r>
        <w:rPr>
          <w:snapToGrid w:val="0"/>
        </w:rPr>
        <w:t>.</w:t>
      </w:r>
      <w:r>
        <w:rPr>
          <w:snapToGrid w:val="0"/>
        </w:rPr>
        <w:tab/>
        <w:t>Application of certain by</w:t>
      </w:r>
      <w:r>
        <w:rPr>
          <w:snapToGrid w:val="0"/>
        </w:rPr>
        <w:noBreakHyphen/>
        <w:t>laws to certain public authorities</w:t>
      </w:r>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w:t>
      </w:r>
      <w:bookmarkStart w:id="36" w:name="RuleErr_21"/>
      <w:r>
        <w:rPr>
          <w:snapToGrid w:val="0"/>
        </w:rPr>
        <w:t>4(</w:t>
      </w:r>
      <w:bookmarkEnd w:id="36"/>
      <w:r>
        <w:rPr>
          <w:snapToGrid w:val="0"/>
        </w:rPr>
        <w:t>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w:t>
      </w:r>
      <w:bookmarkStart w:id="37" w:name="RuleErr_22"/>
      <w:r>
        <w:rPr>
          <w:snapToGrid w:val="0"/>
        </w:rPr>
        <w:t>8(</w:t>
      </w:r>
      <w:bookmarkEnd w:id="37"/>
      <w:r>
        <w:rPr>
          <w:snapToGrid w:val="0"/>
        </w:rPr>
        <w:t>5), (6), (7) and (8) a public authority is deemed to be the occupier of premises that are under its management, but in the case of by</w:t>
      </w:r>
      <w:r>
        <w:rPr>
          <w:snapToGrid w:val="0"/>
        </w:rPr>
        <w:noBreakHyphen/>
        <w:t>law </w:t>
      </w:r>
      <w:bookmarkStart w:id="38" w:name="RuleErr_23"/>
      <w:r>
        <w:rPr>
          <w:snapToGrid w:val="0"/>
        </w:rPr>
        <w:t>9(</w:t>
      </w:r>
      <w:bookmarkEnd w:id="38"/>
      <w:r>
        <w:rPr>
          <w:snapToGrid w:val="0"/>
        </w:rPr>
        <w:t>2</w:t>
      </w:r>
      <w:bookmarkStart w:id="39" w:name="RuleErr_34"/>
      <w:r>
        <w:rPr>
          <w:snapToGrid w:val="0"/>
        </w:rPr>
        <w:t>)(</w:t>
      </w:r>
      <w:bookmarkEnd w:id="39"/>
      <w:r>
        <w:rPr>
          <w:snapToGrid w:val="0"/>
        </w:rPr>
        <w:t>b) and by</w:t>
      </w:r>
      <w:r>
        <w:rPr>
          <w:snapToGrid w:val="0"/>
        </w:rPr>
        <w:noBreakHyphen/>
        <w:t>law 2</w:t>
      </w:r>
      <w:bookmarkStart w:id="40" w:name="RuleErr_24"/>
      <w:r>
        <w:rPr>
          <w:snapToGrid w:val="0"/>
        </w:rPr>
        <w:t>7(</w:t>
      </w:r>
      <w:bookmarkEnd w:id="40"/>
      <w:r>
        <w:rPr>
          <w:snapToGrid w:val="0"/>
        </w:rPr>
        <w:t>1), (4), (6</w:t>
      </w:r>
      <w:bookmarkStart w:id="41" w:name="RuleErr_35"/>
      <w:r>
        <w:rPr>
          <w:snapToGrid w:val="0"/>
        </w:rPr>
        <w:t>)(</w:t>
      </w:r>
      <w:bookmarkEnd w:id="41"/>
      <w:r>
        <w:rPr>
          <w:snapToGrid w:val="0"/>
        </w:rPr>
        <w:t>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42" w:name="_Toc244054056"/>
      <w:r>
        <w:rPr>
          <w:rStyle w:val="CharPartNo"/>
        </w:rPr>
        <w:t>Part 2</w:t>
      </w:r>
      <w:r>
        <w:rPr>
          <w:rStyle w:val="CharDivNo"/>
        </w:rPr>
        <w:t> </w:t>
      </w:r>
      <w:r>
        <w:t>—</w:t>
      </w:r>
      <w:r>
        <w:rPr>
          <w:rStyle w:val="CharDivText"/>
        </w:rPr>
        <w:t> </w:t>
      </w:r>
      <w:r>
        <w:rPr>
          <w:rStyle w:val="CharPartText"/>
        </w:rPr>
        <w:t>General sanitary provisions</w:t>
      </w:r>
      <w:bookmarkEnd w:id="42"/>
      <w:r>
        <w:rPr>
          <w:rStyle w:val="CharPartText"/>
        </w:rPr>
        <w:t xml:space="preserve"> </w:t>
      </w:r>
    </w:p>
    <w:p>
      <w:pPr>
        <w:pStyle w:val="Heading5"/>
        <w:rPr>
          <w:snapToGrid w:val="0"/>
        </w:rPr>
      </w:pPr>
      <w:bookmarkStart w:id="43" w:name="_Toc18384971"/>
      <w:bookmarkStart w:id="44" w:name="_Toc18385028"/>
      <w:bookmarkStart w:id="45" w:name="_Toc18385213"/>
      <w:bookmarkStart w:id="46" w:name="_Toc19586590"/>
      <w:bookmarkStart w:id="47" w:name="_Toc244054057"/>
      <w:r>
        <w:rPr>
          <w:rStyle w:val="CharSectno"/>
        </w:rPr>
        <w:t>4</w:t>
      </w:r>
      <w:r>
        <w:rPr>
          <w:snapToGrid w:val="0"/>
        </w:rPr>
        <w:t>.</w:t>
      </w:r>
      <w:r>
        <w:rPr>
          <w:snapToGrid w:val="0"/>
        </w:rPr>
        <w:tab/>
        <w:t>Temporary sanitary conveniences</w:t>
      </w:r>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lang w:val="en-US"/>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in Gazette 12 Nov 1993 p. 6144.] </w:t>
      </w:r>
    </w:p>
    <w:p>
      <w:pPr>
        <w:pStyle w:val="Heading5"/>
        <w:rPr>
          <w:snapToGrid w:val="0"/>
        </w:rPr>
      </w:pPr>
      <w:bookmarkStart w:id="48" w:name="_Toc18384972"/>
      <w:bookmarkStart w:id="49" w:name="_Toc18385029"/>
      <w:bookmarkStart w:id="50" w:name="_Toc18385214"/>
      <w:bookmarkStart w:id="51" w:name="_Toc19586591"/>
      <w:bookmarkStart w:id="52" w:name="_Toc244054058"/>
      <w:r>
        <w:rPr>
          <w:rStyle w:val="CharSectno"/>
        </w:rPr>
        <w:t>5</w:t>
      </w:r>
      <w:r>
        <w:rPr>
          <w:snapToGrid w:val="0"/>
        </w:rPr>
        <w:t>.</w:t>
      </w:r>
      <w:r>
        <w:rPr>
          <w:snapToGrid w:val="0"/>
        </w:rPr>
        <w:tab/>
        <w:t>Water closets in permanent accommodation</w:t>
      </w:r>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53" w:name="_Toc18384973"/>
      <w:bookmarkStart w:id="54" w:name="_Toc18385030"/>
      <w:bookmarkStart w:id="55" w:name="_Toc18385215"/>
      <w:bookmarkStart w:id="56" w:name="_Toc19586592"/>
      <w:bookmarkStart w:id="57" w:name="_Toc244054059"/>
      <w:r>
        <w:rPr>
          <w:rStyle w:val="CharSectno"/>
        </w:rPr>
        <w:t>6</w:t>
      </w:r>
      <w:r>
        <w:rPr>
          <w:snapToGrid w:val="0"/>
        </w:rPr>
        <w:t>.</w:t>
      </w:r>
      <w:r>
        <w:rPr>
          <w:snapToGrid w:val="0"/>
        </w:rPr>
        <w:tab/>
        <w:t>Kitchen and kitchen fittings</w:t>
      </w:r>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A sink without a drainer may be fixed adjacent to a sink with a drainer, provided the distance between the 2 sinks is not more than 50 mm, and both sinks are inserted in a bench top, in accordance with by</w:t>
      </w:r>
      <w:r>
        <w:rPr>
          <w:snapToGrid w:val="0"/>
        </w:rPr>
        <w:noBreakHyphen/>
        <w:t xml:space="preserve">law 18.17.3.2 of the </w:t>
      </w:r>
      <w:r>
        <w:rPr>
          <w:i/>
          <w:snapToGrid w:val="0"/>
        </w:rPr>
        <w:t>Metropolitan Water Supply, Sewerage and Drainage By</w:t>
      </w:r>
      <w:r>
        <w:rPr>
          <w:i/>
          <w:snapToGrid w:val="0"/>
        </w:rPr>
        <w:noBreakHyphen/>
        <w:t>laws 1981</w:t>
      </w:r>
      <w:r>
        <w:rPr>
          <w:snapToGrid w:val="0"/>
        </w:rPr>
        <w:t>.</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law 6 amended in Gazette 12 Nov 1993 p. 614</w:t>
      </w:r>
      <w:bookmarkStart w:id="58" w:name="RuleErr_25"/>
      <w:r>
        <w:t>4 (</w:t>
      </w:r>
      <w:bookmarkEnd w:id="58"/>
      <w:r>
        <w:t xml:space="preserve">correction 23 Nov 1993 p. 6308).] </w:t>
      </w:r>
    </w:p>
    <w:p>
      <w:pPr>
        <w:pStyle w:val="Heading5"/>
        <w:rPr>
          <w:snapToGrid w:val="0"/>
        </w:rPr>
      </w:pPr>
      <w:bookmarkStart w:id="59" w:name="_Toc18384974"/>
      <w:bookmarkStart w:id="60" w:name="_Toc18385031"/>
      <w:bookmarkStart w:id="61" w:name="_Toc18385216"/>
      <w:bookmarkStart w:id="62" w:name="_Toc19586593"/>
      <w:bookmarkStart w:id="63" w:name="_Toc244054060"/>
      <w:r>
        <w:rPr>
          <w:rStyle w:val="CharSectno"/>
        </w:rPr>
        <w:t>7</w:t>
      </w:r>
      <w:r>
        <w:rPr>
          <w:snapToGrid w:val="0"/>
        </w:rPr>
        <w:t>.</w:t>
      </w:r>
      <w:r>
        <w:rPr>
          <w:snapToGrid w:val="0"/>
        </w:rPr>
        <w:tab/>
        <w:t>Water supply</w:t>
      </w:r>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64" w:name="_Toc18384975"/>
      <w:bookmarkStart w:id="65" w:name="_Toc18385032"/>
      <w:bookmarkStart w:id="66" w:name="_Toc18385217"/>
      <w:bookmarkStart w:id="67" w:name="_Toc19586594"/>
      <w:bookmarkStart w:id="68" w:name="_Toc244054061"/>
      <w:r>
        <w:rPr>
          <w:rStyle w:val="CharSectno"/>
        </w:rPr>
        <w:t>8</w:t>
      </w:r>
      <w:r>
        <w:rPr>
          <w:snapToGrid w:val="0"/>
        </w:rPr>
        <w:t>.</w:t>
      </w:r>
      <w:r>
        <w:rPr>
          <w:snapToGrid w:val="0"/>
        </w:rPr>
        <w:tab/>
        <w:t>Public sanitary conveniences</w:t>
      </w:r>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69" w:name="_Toc18384976"/>
      <w:bookmarkStart w:id="70" w:name="_Toc18385033"/>
      <w:bookmarkStart w:id="71" w:name="_Toc18385218"/>
      <w:bookmarkStart w:id="72" w:name="_Toc19586595"/>
      <w:bookmarkStart w:id="73" w:name="_Toc244054062"/>
      <w:r>
        <w:rPr>
          <w:rStyle w:val="CharSectno"/>
        </w:rPr>
        <w:t>9</w:t>
      </w:r>
      <w:r>
        <w:rPr>
          <w:snapToGrid w:val="0"/>
        </w:rPr>
        <w:t>.</w:t>
      </w:r>
      <w:r>
        <w:rPr>
          <w:snapToGrid w:val="0"/>
        </w:rPr>
        <w:tab/>
        <w:t>Maintenance of sanitary conveniences</w:t>
      </w:r>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74" w:name="_Toc244054063"/>
      <w:r>
        <w:rPr>
          <w:rStyle w:val="CharPartNo"/>
        </w:rPr>
        <w:t>Part 3</w:t>
      </w:r>
      <w:r>
        <w:t> — </w:t>
      </w:r>
      <w:r>
        <w:rPr>
          <w:rStyle w:val="CharPartText"/>
        </w:rPr>
        <w:t>Refuse removal</w:t>
      </w:r>
      <w:bookmarkEnd w:id="74"/>
      <w:r>
        <w:rPr>
          <w:rStyle w:val="CharPartText"/>
        </w:rPr>
        <w:t xml:space="preserve"> </w:t>
      </w:r>
    </w:p>
    <w:p>
      <w:pPr>
        <w:pStyle w:val="Heading3"/>
        <w:rPr>
          <w:snapToGrid w:val="0"/>
        </w:rPr>
      </w:pPr>
      <w:bookmarkStart w:id="75" w:name="_Toc244054064"/>
      <w:r>
        <w:rPr>
          <w:rStyle w:val="CharDivNo"/>
        </w:rPr>
        <w:t>Division 1</w:t>
      </w:r>
      <w:r>
        <w:rPr>
          <w:snapToGrid w:val="0"/>
        </w:rPr>
        <w:t> — </w:t>
      </w:r>
      <w:r>
        <w:rPr>
          <w:rStyle w:val="CharDivText"/>
        </w:rPr>
        <w:t>Premises other than building sites</w:t>
      </w:r>
      <w:bookmarkEnd w:id="75"/>
      <w:r>
        <w:rPr>
          <w:snapToGrid w:val="0"/>
        </w:rPr>
        <w:t xml:space="preserve"> </w:t>
      </w:r>
    </w:p>
    <w:p>
      <w:pPr>
        <w:pStyle w:val="Heading5"/>
        <w:rPr>
          <w:snapToGrid w:val="0"/>
        </w:rPr>
      </w:pPr>
      <w:bookmarkStart w:id="76" w:name="_Toc18384977"/>
      <w:bookmarkStart w:id="77" w:name="_Toc18385034"/>
      <w:bookmarkStart w:id="78" w:name="_Toc18385219"/>
      <w:bookmarkStart w:id="79" w:name="_Toc19586596"/>
      <w:bookmarkStart w:id="80" w:name="_Toc244054065"/>
      <w:r>
        <w:rPr>
          <w:rStyle w:val="CharSectno"/>
        </w:rPr>
        <w:t>10</w:t>
      </w:r>
      <w:r>
        <w:rPr>
          <w:snapToGrid w:val="0"/>
        </w:rPr>
        <w:t>.</w:t>
      </w:r>
      <w:r>
        <w:rPr>
          <w:snapToGrid w:val="0"/>
        </w:rPr>
        <w:tab/>
        <w:t>Definitions</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bookmarkStart w:id="81" w:name="RuleErr_89"/>
      <w:bookmarkStart w:id="82" w:name="RuleErr_105"/>
      <w:r>
        <w:rPr>
          <w:rStyle w:val="CharDefText"/>
        </w:rPr>
        <w:t>occupier</w:t>
      </w:r>
      <w:bookmarkEnd w:id="81"/>
      <w:bookmarkEnd w:id="82"/>
      <w:r>
        <w:t xml:space="preserve"> for the purposes of </w:t>
      </w:r>
      <w:bookmarkStart w:id="83" w:name="RuleErr_67"/>
      <w:r>
        <w:t>by</w:t>
      </w:r>
      <w:r>
        <w:noBreakHyphen/>
        <w:t>laws 1</w:t>
      </w:r>
      <w:bookmarkEnd w:id="83"/>
      <w:r>
        <w:t>2 and 13 means a person in occupation of premises, and includes — </w:t>
      </w:r>
    </w:p>
    <w:p>
      <w:pPr>
        <w:pStyle w:val="Defpara"/>
      </w:pPr>
      <w:r>
        <w:tab/>
        <w:t>(a)</w:t>
      </w:r>
      <w:r>
        <w:tab/>
        <w:t>a casual resident as described in regulation </w:t>
      </w:r>
      <w:bookmarkStart w:id="84" w:name="RuleErr_26"/>
      <w:r>
        <w:t>9(</w:t>
      </w:r>
      <w:bookmarkEnd w:id="84"/>
      <w:r>
        <w:t>1</w:t>
      </w:r>
      <w:bookmarkStart w:id="85" w:name="RuleErr_36"/>
      <w:r>
        <w:t>)(</w:t>
      </w:r>
      <w:bookmarkEnd w:id="85"/>
      <w:r>
        <w:t xml:space="preserve">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bookmarkStart w:id="86" w:name="RuleErr_90"/>
      <w:bookmarkStart w:id="87" w:name="RuleErr_106"/>
      <w:r>
        <w:rPr>
          <w:rStyle w:val="CharDefText"/>
        </w:rPr>
        <w:t>receptacle</w:t>
      </w:r>
      <w:bookmarkEnd w:id="86"/>
      <w:bookmarkEnd w:id="87"/>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88" w:name="_Toc18384978"/>
      <w:bookmarkStart w:id="89" w:name="_Toc18385035"/>
      <w:bookmarkStart w:id="90" w:name="_Toc18385220"/>
      <w:bookmarkStart w:id="91" w:name="_Toc19586597"/>
      <w:bookmarkStart w:id="92" w:name="_Toc244054066"/>
      <w:r>
        <w:rPr>
          <w:rStyle w:val="CharSectno"/>
        </w:rPr>
        <w:t>11</w:t>
      </w:r>
      <w:r>
        <w:rPr>
          <w:snapToGrid w:val="0"/>
        </w:rPr>
        <w:t>.</w:t>
      </w:r>
      <w:r>
        <w:rPr>
          <w:snapToGrid w:val="0"/>
        </w:rPr>
        <w:tab/>
        <w:t>Keeping of receptacles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93" w:name="_Toc18384979"/>
      <w:bookmarkStart w:id="94" w:name="_Toc18385036"/>
      <w:bookmarkStart w:id="95" w:name="_Toc18385221"/>
      <w:bookmarkStart w:id="96" w:name="_Toc19586598"/>
      <w:bookmarkStart w:id="97" w:name="_Toc244054067"/>
      <w:r>
        <w:rPr>
          <w:rStyle w:val="CharSectno"/>
        </w:rPr>
        <w:t>12</w:t>
      </w:r>
      <w:r>
        <w:rPr>
          <w:snapToGrid w:val="0"/>
        </w:rPr>
        <w:t>.</w:t>
      </w:r>
      <w:r>
        <w:rPr>
          <w:snapToGrid w:val="0"/>
        </w:rPr>
        <w:tab/>
        <w:t>Refuse to be deposited in receptacles</w:t>
      </w:r>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98" w:name="_Toc18384980"/>
      <w:bookmarkStart w:id="99" w:name="_Toc18385037"/>
      <w:bookmarkStart w:id="100" w:name="_Toc18385222"/>
      <w:bookmarkStart w:id="101" w:name="_Toc19586599"/>
      <w:bookmarkStart w:id="102" w:name="_Toc244054068"/>
      <w:r>
        <w:rPr>
          <w:rStyle w:val="CharSectno"/>
        </w:rPr>
        <w:t>13</w:t>
      </w:r>
      <w:r>
        <w:rPr>
          <w:snapToGrid w:val="0"/>
        </w:rPr>
        <w:t>.</w:t>
      </w:r>
      <w:r>
        <w:rPr>
          <w:snapToGrid w:val="0"/>
        </w:rPr>
        <w:tab/>
        <w:t>Maintenance of receptacles</w:t>
      </w:r>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w:t>
      </w:r>
      <w:bookmarkStart w:id="103" w:name="RuleErr_27"/>
      <w:r>
        <w:rPr>
          <w:snapToGrid w:val="0"/>
        </w:rPr>
        <w:t>1(</w:t>
      </w:r>
      <w:bookmarkEnd w:id="103"/>
      <w:r>
        <w:rPr>
          <w:snapToGrid w:val="0"/>
        </w:rPr>
        <w:t>2) shall whenever directed by a health surveyor to do so, thoroughly cleanse, disinfect and de</w:t>
      </w:r>
      <w:bookmarkStart w:id="104" w:name="RuleErr_74"/>
      <w:r>
        <w:rPr>
          <w:snapToGrid w:val="0"/>
        </w:rPr>
        <w:t>odor</w:t>
      </w:r>
      <w:bookmarkEnd w:id="104"/>
      <w:r>
        <w:rPr>
          <w:snapToGrid w:val="0"/>
        </w:rPr>
        <w:t>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105" w:name="_Toc18384981"/>
      <w:bookmarkStart w:id="106" w:name="_Toc18385038"/>
      <w:bookmarkStart w:id="107" w:name="_Toc18385223"/>
      <w:bookmarkStart w:id="108" w:name="_Toc19586600"/>
      <w:bookmarkStart w:id="109" w:name="_Toc244054069"/>
      <w:r>
        <w:rPr>
          <w:rStyle w:val="CharSectno"/>
        </w:rPr>
        <w:t>14</w:t>
      </w:r>
      <w:r>
        <w:rPr>
          <w:snapToGrid w:val="0"/>
        </w:rPr>
        <w:t>.</w:t>
      </w:r>
      <w:r>
        <w:rPr>
          <w:snapToGrid w:val="0"/>
        </w:rPr>
        <w:tab/>
        <w:t>Collection of refuse</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 xml:space="preserve">A person, other than the Authority or its contractor, shall not unless </w:t>
      </w:r>
      <w:bookmarkStart w:id="110" w:name="RuleErr_38"/>
      <w:r>
        <w:rPr>
          <w:snapToGrid w:val="0"/>
        </w:rPr>
        <w:t>he</w:t>
      </w:r>
      <w:bookmarkEnd w:id="110"/>
      <w:r>
        <w:rPr>
          <w:snapToGrid w:val="0"/>
        </w:rPr>
        <w:t xml:space="preserv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111" w:name="_Toc18384982"/>
      <w:bookmarkStart w:id="112" w:name="_Toc18385039"/>
      <w:bookmarkStart w:id="113" w:name="_Toc18385224"/>
      <w:bookmarkStart w:id="114" w:name="_Toc19586601"/>
      <w:bookmarkStart w:id="115" w:name="_Toc244054070"/>
      <w:r>
        <w:rPr>
          <w:rStyle w:val="CharSectno"/>
        </w:rPr>
        <w:t>15</w:t>
      </w:r>
      <w:r>
        <w:rPr>
          <w:snapToGrid w:val="0"/>
        </w:rPr>
        <w:t>.</w:t>
      </w:r>
      <w:r>
        <w:rPr>
          <w:snapToGrid w:val="0"/>
        </w:rPr>
        <w:tab/>
        <w:t>Method of disposal of refuse</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 xml:space="preserve">light a fire or cause to be burnt any refuse without the approval of the Executive Director, Public Health and in compliance with any condition imposed by </w:t>
      </w:r>
      <w:bookmarkStart w:id="116" w:name="RuleErr_41"/>
      <w:r>
        <w:rPr>
          <w:snapToGrid w:val="0"/>
        </w:rPr>
        <w:t>him</w:t>
      </w:r>
      <w:bookmarkEnd w:id="116"/>
      <w:r>
        <w:rPr>
          <w:snapToGrid w:val="0"/>
        </w:rPr>
        <w:t>;</w:t>
      </w:r>
    </w:p>
    <w:p>
      <w:pPr>
        <w:pStyle w:val="Indenta"/>
        <w:rPr>
          <w:snapToGrid w:val="0"/>
        </w:rPr>
      </w:pPr>
      <w:r>
        <w:rPr>
          <w:snapToGrid w:val="0"/>
        </w:rPr>
        <w:tab/>
        <w:t>(d)</w:t>
      </w:r>
      <w:r>
        <w:rPr>
          <w:snapToGrid w:val="0"/>
        </w:rPr>
        <w:tab/>
        <w:t xml:space="preserve">deposit any refuse or material which, or of a kind which, has been notified to </w:t>
      </w:r>
      <w:bookmarkStart w:id="117" w:name="RuleErr_42"/>
      <w:r>
        <w:rPr>
          <w:snapToGrid w:val="0"/>
        </w:rPr>
        <w:t>him</w:t>
      </w:r>
      <w:bookmarkEnd w:id="117"/>
      <w:r>
        <w:rPr>
          <w:snapToGrid w:val="0"/>
        </w:rPr>
        <w:t xml:space="preserve">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118" w:name="_Toc18384983"/>
      <w:bookmarkStart w:id="119" w:name="_Toc18385040"/>
      <w:bookmarkStart w:id="120" w:name="_Toc18385225"/>
      <w:bookmarkStart w:id="121" w:name="_Toc19586602"/>
      <w:bookmarkStart w:id="122" w:name="_Toc244054071"/>
      <w:r>
        <w:rPr>
          <w:rStyle w:val="CharSectno"/>
        </w:rPr>
        <w:t>16</w:t>
      </w:r>
      <w:r>
        <w:rPr>
          <w:snapToGrid w:val="0"/>
        </w:rPr>
        <w:t>.</w:t>
      </w:r>
      <w:r>
        <w:rPr>
          <w:snapToGrid w:val="0"/>
        </w:rPr>
        <w:tab/>
        <w:t>Disposal of refuse from vessels</w:t>
      </w:r>
      <w:bookmarkEnd w:id="118"/>
      <w:bookmarkEnd w:id="119"/>
      <w:bookmarkEnd w:id="120"/>
      <w:bookmarkEnd w:id="121"/>
      <w:bookmarkEnd w:id="122"/>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123" w:name="_Toc18384984"/>
      <w:bookmarkStart w:id="124" w:name="_Toc18385041"/>
      <w:bookmarkStart w:id="125" w:name="_Toc18385226"/>
      <w:bookmarkStart w:id="126" w:name="_Toc19586603"/>
      <w:bookmarkStart w:id="127" w:name="_Toc244054072"/>
      <w:r>
        <w:rPr>
          <w:rStyle w:val="CharSectno"/>
        </w:rPr>
        <w:t>17</w:t>
      </w:r>
      <w:r>
        <w:rPr>
          <w:snapToGrid w:val="0"/>
        </w:rPr>
        <w:t>.</w:t>
      </w:r>
      <w:r>
        <w:rPr>
          <w:snapToGrid w:val="0"/>
        </w:rPr>
        <w:tab/>
        <w:t>Refuse disposal sites to be fenced</w:t>
      </w:r>
      <w:bookmarkEnd w:id="123"/>
      <w:bookmarkEnd w:id="124"/>
      <w:bookmarkEnd w:id="125"/>
      <w:bookmarkEnd w:id="126"/>
      <w:bookmarkEnd w:id="127"/>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128" w:name="_Toc244054073"/>
      <w:r>
        <w:rPr>
          <w:rStyle w:val="CharDivNo"/>
        </w:rPr>
        <w:t>Division 2</w:t>
      </w:r>
      <w:r>
        <w:rPr>
          <w:snapToGrid w:val="0"/>
        </w:rPr>
        <w:t> — </w:t>
      </w:r>
      <w:r>
        <w:rPr>
          <w:rStyle w:val="CharDivText"/>
        </w:rPr>
        <w:t>Building sites</w:t>
      </w:r>
      <w:bookmarkEnd w:id="128"/>
      <w:r>
        <w:rPr>
          <w:rStyle w:val="CharDivText"/>
        </w:rPr>
        <w:t xml:space="preserve"> </w:t>
      </w:r>
    </w:p>
    <w:p>
      <w:pPr>
        <w:pStyle w:val="Heading5"/>
        <w:rPr>
          <w:snapToGrid w:val="0"/>
        </w:rPr>
      </w:pPr>
      <w:bookmarkStart w:id="129" w:name="_Toc18384985"/>
      <w:bookmarkStart w:id="130" w:name="_Toc18385042"/>
      <w:bookmarkStart w:id="131" w:name="_Toc18385227"/>
      <w:bookmarkStart w:id="132" w:name="_Toc19586604"/>
      <w:bookmarkStart w:id="133" w:name="_Toc244054074"/>
      <w:r>
        <w:rPr>
          <w:rStyle w:val="CharSectno"/>
        </w:rPr>
        <w:t>18</w:t>
      </w:r>
      <w:r>
        <w:rPr>
          <w:snapToGrid w:val="0"/>
        </w:rPr>
        <w:t>.</w:t>
      </w:r>
      <w:r>
        <w:rPr>
          <w:snapToGrid w:val="0"/>
        </w:rPr>
        <w:tab/>
        <w:t>Definitions</w:t>
      </w:r>
      <w:bookmarkEnd w:id="129"/>
      <w:bookmarkEnd w:id="130"/>
      <w:bookmarkEnd w:id="131"/>
      <w:bookmarkEnd w:id="132"/>
      <w:bookmarkEnd w:id="133"/>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bookmarkStart w:id="134" w:name="RuleErr_91"/>
      <w:bookmarkStart w:id="135" w:name="RuleErr_107"/>
      <w:r>
        <w:rPr>
          <w:rStyle w:val="CharDefText"/>
        </w:rPr>
        <w:t>builder</w:t>
      </w:r>
      <w:bookmarkEnd w:id="134"/>
      <w:bookmarkEnd w:id="135"/>
      <w:r>
        <w:t xml:space="preserve"> means any person employed to erect or demolish any building or alter any building;</w:t>
      </w:r>
    </w:p>
    <w:p>
      <w:pPr>
        <w:pStyle w:val="Defstart"/>
      </w:pPr>
      <w:r>
        <w:rPr>
          <w:b/>
        </w:rPr>
        <w:tab/>
      </w:r>
      <w:bookmarkStart w:id="136" w:name="RuleErr_92"/>
      <w:bookmarkStart w:id="137" w:name="RuleErr_108"/>
      <w:r>
        <w:rPr>
          <w:rStyle w:val="CharDefText"/>
        </w:rPr>
        <w:t>building site</w:t>
      </w:r>
      <w:bookmarkEnd w:id="136"/>
      <w:bookmarkEnd w:id="137"/>
      <w:r>
        <w:t xml:space="preserve"> includes the place of erection or demolition of a building on the Island or of any alteration to any building on the Island; and</w:t>
      </w:r>
    </w:p>
    <w:p>
      <w:pPr>
        <w:pStyle w:val="Defstart"/>
        <w:rPr>
          <w:spacing w:val="-4"/>
        </w:rPr>
      </w:pPr>
      <w:r>
        <w:rPr>
          <w:b/>
          <w:spacing w:val="-4"/>
        </w:rPr>
        <w:tab/>
      </w:r>
      <w:bookmarkStart w:id="138" w:name="RuleErr_93"/>
      <w:bookmarkStart w:id="139" w:name="RuleErr_109"/>
      <w:r>
        <w:rPr>
          <w:rStyle w:val="CharDefText"/>
          <w:spacing w:val="-4"/>
        </w:rPr>
        <w:t>refuse</w:t>
      </w:r>
      <w:bookmarkEnd w:id="138"/>
      <w:bookmarkEnd w:id="139"/>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140" w:name="_Toc18384986"/>
      <w:bookmarkStart w:id="141" w:name="_Toc18385043"/>
      <w:bookmarkStart w:id="142" w:name="_Toc18385228"/>
      <w:bookmarkStart w:id="143" w:name="_Toc19586605"/>
      <w:bookmarkStart w:id="144" w:name="_Toc244054075"/>
      <w:r>
        <w:rPr>
          <w:rStyle w:val="CharSectno"/>
        </w:rPr>
        <w:t>19</w:t>
      </w:r>
      <w:r>
        <w:rPr>
          <w:snapToGrid w:val="0"/>
        </w:rPr>
        <w:t>.</w:t>
      </w:r>
      <w:r>
        <w:rPr>
          <w:snapToGrid w:val="0"/>
        </w:rPr>
        <w:tab/>
        <w:t>Responsibilities of builder</w:t>
      </w:r>
      <w:bookmarkEnd w:id="140"/>
      <w:bookmarkEnd w:id="141"/>
      <w:bookmarkEnd w:id="142"/>
      <w:bookmarkEnd w:id="143"/>
      <w:bookmarkEnd w:id="144"/>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145" w:name="_Toc244054076"/>
      <w:r>
        <w:rPr>
          <w:rStyle w:val="CharPartNo"/>
        </w:rPr>
        <w:t>Part 4</w:t>
      </w:r>
      <w:r>
        <w:rPr>
          <w:rStyle w:val="CharDivNo"/>
        </w:rPr>
        <w:t> </w:t>
      </w:r>
      <w:r>
        <w:t>—</w:t>
      </w:r>
      <w:r>
        <w:rPr>
          <w:rStyle w:val="CharDivText"/>
        </w:rPr>
        <w:t> </w:t>
      </w:r>
      <w:r>
        <w:rPr>
          <w:rStyle w:val="CharPartText"/>
        </w:rPr>
        <w:t>Waste water</w:t>
      </w:r>
      <w:bookmarkEnd w:id="145"/>
      <w:r>
        <w:rPr>
          <w:rStyle w:val="CharPartText"/>
        </w:rPr>
        <w:t xml:space="preserve"> </w:t>
      </w:r>
    </w:p>
    <w:p>
      <w:pPr>
        <w:pStyle w:val="Heading5"/>
        <w:rPr>
          <w:snapToGrid w:val="0"/>
        </w:rPr>
      </w:pPr>
      <w:bookmarkStart w:id="146" w:name="_Toc18384987"/>
      <w:bookmarkStart w:id="147" w:name="_Toc18385044"/>
      <w:bookmarkStart w:id="148" w:name="_Toc18385229"/>
      <w:bookmarkStart w:id="149" w:name="_Toc19586606"/>
      <w:bookmarkStart w:id="150" w:name="_Toc244054077"/>
      <w:r>
        <w:rPr>
          <w:rStyle w:val="CharSectno"/>
        </w:rPr>
        <w:t>20</w:t>
      </w:r>
      <w:r>
        <w:rPr>
          <w:snapToGrid w:val="0"/>
        </w:rPr>
        <w:t>.</w:t>
      </w:r>
      <w:r>
        <w:rPr>
          <w:snapToGrid w:val="0"/>
        </w:rPr>
        <w:tab/>
        <w:t>Definitions</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bookmarkStart w:id="151" w:name="RuleErr_94"/>
      <w:bookmarkStart w:id="152" w:name="RuleErr_110"/>
      <w:r>
        <w:rPr>
          <w:rStyle w:val="CharDefText"/>
        </w:rPr>
        <w:t>liquid waste</w:t>
      </w:r>
      <w:bookmarkEnd w:id="151"/>
      <w:bookmarkEnd w:id="152"/>
      <w:r>
        <w:t xml:space="preserve"> means faecal matter or urine and any waste composed wholly or in part of liquid;</w:t>
      </w:r>
    </w:p>
    <w:p>
      <w:pPr>
        <w:pStyle w:val="Defstart"/>
      </w:pPr>
      <w:r>
        <w:rPr>
          <w:b/>
        </w:rPr>
        <w:tab/>
      </w:r>
      <w:bookmarkStart w:id="153" w:name="RuleErr_95"/>
      <w:bookmarkStart w:id="154" w:name="RuleErr_111"/>
      <w:r>
        <w:rPr>
          <w:rStyle w:val="CharDefText"/>
        </w:rPr>
        <w:t>sullage</w:t>
      </w:r>
      <w:bookmarkEnd w:id="153"/>
      <w:bookmarkEnd w:id="154"/>
      <w:r>
        <w:t xml:space="preserve"> means liquid waste from bathrooms, laundries and kitchens, including floor wastes from those sources;</w:t>
      </w:r>
    </w:p>
    <w:p>
      <w:pPr>
        <w:pStyle w:val="Defstart"/>
      </w:pPr>
      <w:r>
        <w:rPr>
          <w:b/>
        </w:rPr>
        <w:tab/>
      </w:r>
      <w:bookmarkStart w:id="155" w:name="RuleErr_96"/>
      <w:bookmarkStart w:id="156" w:name="RuleErr_112"/>
      <w:r>
        <w:rPr>
          <w:rStyle w:val="CharDefText"/>
        </w:rPr>
        <w:t>waste water</w:t>
      </w:r>
      <w:bookmarkEnd w:id="155"/>
      <w:bookmarkEnd w:id="156"/>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157" w:name="_Toc18384988"/>
      <w:bookmarkStart w:id="158" w:name="_Toc18385045"/>
      <w:bookmarkStart w:id="159" w:name="_Toc18385230"/>
      <w:bookmarkStart w:id="160" w:name="_Toc19586607"/>
      <w:bookmarkStart w:id="161" w:name="_Toc244054078"/>
      <w:r>
        <w:rPr>
          <w:rStyle w:val="CharSectno"/>
        </w:rPr>
        <w:t>21</w:t>
      </w:r>
      <w:r>
        <w:rPr>
          <w:snapToGrid w:val="0"/>
        </w:rPr>
        <w:t>.</w:t>
      </w:r>
      <w:r>
        <w:rPr>
          <w:snapToGrid w:val="0"/>
        </w:rPr>
        <w:tab/>
        <w:t>Disposal of waste water</w:t>
      </w:r>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162" w:name="_Toc18384989"/>
      <w:bookmarkStart w:id="163" w:name="_Toc18385046"/>
      <w:bookmarkStart w:id="164" w:name="_Toc18385231"/>
      <w:bookmarkStart w:id="165" w:name="_Toc19586608"/>
      <w:bookmarkStart w:id="166" w:name="_Toc244054079"/>
      <w:r>
        <w:rPr>
          <w:rStyle w:val="CharSectno"/>
        </w:rPr>
        <w:t>22</w:t>
      </w:r>
      <w:r>
        <w:rPr>
          <w:snapToGrid w:val="0"/>
        </w:rPr>
        <w:t>.</w:t>
      </w:r>
      <w:r>
        <w:rPr>
          <w:snapToGrid w:val="0"/>
        </w:rPr>
        <w:tab/>
        <w:t>Removal of waste water</w:t>
      </w:r>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 xml:space="preserve">Any person to whom approval has been given by the Executive Director, Public Health shall at least 24 hours before collecting, removing or disposing of waste water notify the Authority of </w:t>
      </w:r>
      <w:bookmarkStart w:id="167" w:name="RuleErr_49"/>
      <w:r>
        <w:rPr>
          <w:snapToGrid w:val="0"/>
        </w:rPr>
        <w:t>his</w:t>
      </w:r>
      <w:bookmarkEnd w:id="167"/>
      <w:r>
        <w:rPr>
          <w:snapToGrid w:val="0"/>
        </w:rPr>
        <w:t xml:space="preserve"> intention to do so.</w:t>
      </w:r>
    </w:p>
    <w:p>
      <w:pPr>
        <w:pStyle w:val="Heading5"/>
        <w:rPr>
          <w:snapToGrid w:val="0"/>
        </w:rPr>
      </w:pPr>
      <w:bookmarkStart w:id="168" w:name="_Toc18384990"/>
      <w:bookmarkStart w:id="169" w:name="_Toc18385047"/>
      <w:bookmarkStart w:id="170" w:name="_Toc18385232"/>
      <w:bookmarkStart w:id="171" w:name="_Toc19586609"/>
      <w:bookmarkStart w:id="172" w:name="_Toc244054080"/>
      <w:r>
        <w:rPr>
          <w:rStyle w:val="CharSectno"/>
        </w:rPr>
        <w:t>23</w:t>
      </w:r>
      <w:r>
        <w:rPr>
          <w:snapToGrid w:val="0"/>
        </w:rPr>
        <w:t>.</w:t>
      </w:r>
      <w:r>
        <w:rPr>
          <w:snapToGrid w:val="0"/>
        </w:rPr>
        <w:tab/>
        <w:t>Removal of liquid waste</w:t>
      </w:r>
      <w:bookmarkEnd w:id="168"/>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w:t>
      </w:r>
      <w:bookmarkStart w:id="173" w:name="RuleErr_28"/>
      <w:r>
        <w:rPr>
          <w:snapToGrid w:val="0"/>
        </w:rPr>
        <w:t>6 (</w:t>
      </w:r>
      <w:bookmarkEnd w:id="173"/>
      <w:r>
        <w:rPr>
          <w:snapToGrid w:val="0"/>
        </w:rPr>
        <w:t>cement:sand);</w:t>
      </w:r>
    </w:p>
    <w:p>
      <w:pPr>
        <w:pStyle w:val="Indenta"/>
        <w:rPr>
          <w:snapToGrid w:val="0"/>
        </w:rPr>
      </w:pPr>
      <w:r>
        <w:rPr>
          <w:snapToGrid w:val="0"/>
        </w:rPr>
        <w:tab/>
        <w:t>(g)</w:t>
      </w:r>
      <w:r>
        <w:rPr>
          <w:snapToGrid w:val="0"/>
        </w:rPr>
        <w:tab/>
      </w:r>
      <w:bookmarkStart w:id="174" w:name="RuleErr_71"/>
      <w:r>
        <w:rPr>
          <w:snapToGrid w:val="0"/>
        </w:rPr>
        <w:t>minimiz</w:t>
      </w:r>
      <w:bookmarkEnd w:id="174"/>
      <w:r>
        <w:rPr>
          <w:snapToGrid w:val="0"/>
        </w:rPr>
        <w:t>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175" w:name="_Toc244054081"/>
      <w:r>
        <w:rPr>
          <w:rStyle w:val="CharPartNo"/>
        </w:rPr>
        <w:t>Part 5</w:t>
      </w:r>
      <w:r>
        <w:rPr>
          <w:rStyle w:val="CharDivNo"/>
        </w:rPr>
        <w:t> </w:t>
      </w:r>
      <w:r>
        <w:t>—</w:t>
      </w:r>
      <w:r>
        <w:rPr>
          <w:rStyle w:val="CharDivText"/>
        </w:rPr>
        <w:t> </w:t>
      </w:r>
      <w:r>
        <w:rPr>
          <w:rStyle w:val="CharPartText"/>
        </w:rPr>
        <w:t>General health provisions</w:t>
      </w:r>
      <w:bookmarkEnd w:id="175"/>
      <w:r>
        <w:rPr>
          <w:rStyle w:val="CharPartText"/>
        </w:rPr>
        <w:t xml:space="preserve"> </w:t>
      </w:r>
    </w:p>
    <w:p>
      <w:pPr>
        <w:pStyle w:val="Heading5"/>
        <w:rPr>
          <w:snapToGrid w:val="0"/>
        </w:rPr>
      </w:pPr>
      <w:bookmarkStart w:id="176" w:name="_Toc18384991"/>
      <w:bookmarkStart w:id="177" w:name="_Toc18385048"/>
      <w:bookmarkStart w:id="178" w:name="_Toc18385233"/>
      <w:bookmarkStart w:id="179" w:name="_Toc19586610"/>
      <w:bookmarkStart w:id="180" w:name="_Toc244054082"/>
      <w:r>
        <w:rPr>
          <w:rStyle w:val="CharSectno"/>
        </w:rPr>
        <w:t>24</w:t>
      </w:r>
      <w:r>
        <w:rPr>
          <w:snapToGrid w:val="0"/>
        </w:rPr>
        <w:t>.</w:t>
      </w:r>
      <w:r>
        <w:rPr>
          <w:snapToGrid w:val="0"/>
        </w:rPr>
        <w:tab/>
        <w:t>Air space in sleeping rooms</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181" w:name="_Toc18384992"/>
      <w:bookmarkStart w:id="182" w:name="_Toc18385049"/>
      <w:bookmarkStart w:id="183" w:name="_Toc18385234"/>
      <w:bookmarkStart w:id="184" w:name="_Toc19586611"/>
      <w:bookmarkStart w:id="185" w:name="_Toc244054083"/>
      <w:r>
        <w:rPr>
          <w:rStyle w:val="CharSectno"/>
        </w:rPr>
        <w:t>25</w:t>
      </w:r>
      <w:r>
        <w:rPr>
          <w:snapToGrid w:val="0"/>
        </w:rPr>
        <w:t>.</w:t>
      </w:r>
      <w:r>
        <w:rPr>
          <w:snapToGrid w:val="0"/>
        </w:rPr>
        <w:tab/>
        <w:t>Premises to be kept in good repair</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186" w:name="_Toc18384993"/>
      <w:bookmarkStart w:id="187" w:name="_Toc18385050"/>
      <w:bookmarkStart w:id="188" w:name="_Toc18385235"/>
      <w:bookmarkStart w:id="189" w:name="_Toc19586612"/>
      <w:bookmarkStart w:id="190" w:name="_Toc244054084"/>
      <w:r>
        <w:rPr>
          <w:rStyle w:val="CharSectno"/>
        </w:rPr>
        <w:t>26</w:t>
      </w:r>
      <w:r>
        <w:rPr>
          <w:snapToGrid w:val="0"/>
        </w:rPr>
        <w:t>.</w:t>
      </w:r>
      <w:r>
        <w:rPr>
          <w:snapToGrid w:val="0"/>
        </w:rPr>
        <w:tab/>
        <w:t>Keeping of poultry</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191" w:name="_Toc18384994"/>
      <w:bookmarkStart w:id="192" w:name="_Toc18385051"/>
      <w:bookmarkStart w:id="193" w:name="_Toc18385236"/>
      <w:bookmarkStart w:id="194" w:name="_Toc19586613"/>
      <w:bookmarkStart w:id="195" w:name="_Toc244054085"/>
      <w:r>
        <w:rPr>
          <w:rStyle w:val="CharSectno"/>
        </w:rPr>
        <w:t>27</w:t>
      </w:r>
      <w:r>
        <w:rPr>
          <w:snapToGrid w:val="0"/>
        </w:rPr>
        <w:t>.</w:t>
      </w:r>
      <w:r>
        <w:rPr>
          <w:snapToGrid w:val="0"/>
        </w:rPr>
        <w:tab/>
        <w:t>Mosquito eradication and reduction</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196" w:name="_Toc18384995"/>
      <w:bookmarkStart w:id="197" w:name="_Toc18385052"/>
      <w:bookmarkStart w:id="198" w:name="_Toc18385237"/>
      <w:bookmarkStart w:id="199" w:name="_Toc19586614"/>
      <w:bookmarkStart w:id="200" w:name="_Toc244054086"/>
      <w:r>
        <w:rPr>
          <w:rStyle w:val="CharSectno"/>
        </w:rPr>
        <w:t>28</w:t>
      </w:r>
      <w:r>
        <w:rPr>
          <w:snapToGrid w:val="0"/>
        </w:rPr>
        <w:t>.</w:t>
      </w:r>
      <w:r>
        <w:rPr>
          <w:snapToGrid w:val="0"/>
        </w:rPr>
        <w:tab/>
        <w:t>Rodents</w:t>
      </w:r>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 xml:space="preserve">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w:t>
      </w:r>
      <w:bookmarkStart w:id="201" w:name="RuleErr_43"/>
      <w:r>
        <w:rPr>
          <w:snapToGrid w:val="0"/>
        </w:rPr>
        <w:t>him</w:t>
      </w:r>
      <w:bookmarkEnd w:id="201"/>
      <w:r>
        <w:rPr>
          <w:snapToGrid w:val="0"/>
        </w:rPr>
        <w:t>,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 xml:space="preserve">The occupier of premises where food is manufactured, prepared, stored, packed or kept for sale, or of a merchandise store, shall, upon notice to do so being given by a health surveyor or to </w:t>
      </w:r>
      <w:bookmarkStart w:id="202" w:name="RuleErr_44"/>
      <w:r>
        <w:rPr>
          <w:snapToGrid w:val="0"/>
        </w:rPr>
        <w:t>him</w:t>
      </w:r>
      <w:bookmarkEnd w:id="202"/>
      <w:r>
        <w:rPr>
          <w:snapToGrid w:val="0"/>
        </w:rPr>
        <w:t>,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w:t>
      </w:r>
      <w:bookmarkStart w:id="203" w:name="RuleErr_78"/>
      <w:r>
        <w:rPr>
          <w:snapToGrid w:val="0"/>
        </w:rPr>
        <w:t>ss.</w:t>
      </w:r>
      <w:bookmarkEnd w:id="203"/>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 in Gazette 23 Oct 2009 p. 4161.]</w:t>
      </w:r>
    </w:p>
    <w:p>
      <w:pPr>
        <w:pStyle w:val="Ednotepart"/>
      </w:pPr>
      <w:r>
        <w:t>[Part 7 (r. 52 and 53) deleted in Gazette 23 Oct 2009 p. 4161.]</w:t>
      </w:r>
    </w:p>
    <w:p>
      <w:pPr>
        <w:pStyle w:val="Heading2"/>
      </w:pPr>
      <w:bookmarkStart w:id="204" w:name="_Toc244054087"/>
      <w:r>
        <w:rPr>
          <w:rStyle w:val="CharPartNo"/>
        </w:rPr>
        <w:t>Part 8</w:t>
      </w:r>
      <w:r>
        <w:rPr>
          <w:rStyle w:val="CharDivNo"/>
        </w:rPr>
        <w:t> </w:t>
      </w:r>
      <w:r>
        <w:t>—</w:t>
      </w:r>
      <w:r>
        <w:rPr>
          <w:rStyle w:val="CharDivText"/>
        </w:rPr>
        <w:t> </w:t>
      </w:r>
      <w:r>
        <w:rPr>
          <w:rStyle w:val="CharPartText"/>
        </w:rPr>
        <w:t>Laundries and laundry depots</w:t>
      </w:r>
      <w:bookmarkEnd w:id="204"/>
      <w:r>
        <w:rPr>
          <w:rStyle w:val="CharPartText"/>
        </w:rPr>
        <w:t xml:space="preserve"> </w:t>
      </w:r>
    </w:p>
    <w:p>
      <w:pPr>
        <w:pStyle w:val="Heading5"/>
        <w:rPr>
          <w:snapToGrid w:val="0"/>
        </w:rPr>
      </w:pPr>
      <w:bookmarkStart w:id="205" w:name="_Toc18385020"/>
      <w:bookmarkStart w:id="206" w:name="_Toc18385077"/>
      <w:bookmarkStart w:id="207" w:name="_Toc18385262"/>
      <w:bookmarkStart w:id="208" w:name="_Toc19586639"/>
      <w:bookmarkStart w:id="209" w:name="_Toc244054088"/>
      <w:r>
        <w:rPr>
          <w:rStyle w:val="CharSectno"/>
        </w:rPr>
        <w:t>54</w:t>
      </w:r>
      <w:r>
        <w:rPr>
          <w:snapToGrid w:val="0"/>
        </w:rPr>
        <w:t>.</w:t>
      </w:r>
      <w:r>
        <w:rPr>
          <w:snapToGrid w:val="0"/>
        </w:rPr>
        <w:tab/>
        <w:t>Laundries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210" w:name="_Toc18385021"/>
      <w:bookmarkStart w:id="211" w:name="_Toc18385078"/>
      <w:bookmarkStart w:id="212" w:name="_Toc18385263"/>
      <w:bookmarkStart w:id="213" w:name="_Toc19586640"/>
      <w:bookmarkStart w:id="214" w:name="_Toc244054089"/>
      <w:r>
        <w:rPr>
          <w:rStyle w:val="CharSectno"/>
        </w:rPr>
        <w:t>55</w:t>
      </w:r>
      <w:r>
        <w:rPr>
          <w:snapToGrid w:val="0"/>
        </w:rPr>
        <w:t>.</w:t>
      </w:r>
      <w:r>
        <w:rPr>
          <w:snapToGrid w:val="0"/>
        </w:rPr>
        <w:tab/>
        <w:t>Laundry depots</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 xml:space="preserve">bylaw (1) if any condition of the approval is not observed or if in </w:t>
      </w:r>
      <w:bookmarkStart w:id="215" w:name="RuleErr_61"/>
      <w:r>
        <w:rPr>
          <w:snapToGrid w:val="0"/>
        </w:rPr>
        <w:t>his</w:t>
      </w:r>
      <w:bookmarkEnd w:id="215"/>
      <w:r>
        <w:rPr>
          <w:snapToGrid w:val="0"/>
        </w:rPr>
        <w:t xml:space="preserve"> opinion the use, or the manner of use, of the premises as a receiving depot constitutes a risk to health.</w:t>
      </w:r>
    </w:p>
    <w:p>
      <w:pPr>
        <w:pStyle w:val="Heading2"/>
      </w:pPr>
      <w:bookmarkStart w:id="216" w:name="_Toc244054090"/>
      <w:r>
        <w:rPr>
          <w:rStyle w:val="CharPartNo"/>
        </w:rPr>
        <w:t>Part 9</w:t>
      </w:r>
      <w:r>
        <w:rPr>
          <w:rStyle w:val="CharDivNo"/>
        </w:rPr>
        <w:t> </w:t>
      </w:r>
      <w:r>
        <w:t>—</w:t>
      </w:r>
      <w:r>
        <w:rPr>
          <w:rStyle w:val="CharDivText"/>
        </w:rPr>
        <w:t> </w:t>
      </w:r>
      <w:r>
        <w:rPr>
          <w:rStyle w:val="CharPartText"/>
        </w:rPr>
        <w:t>Offences</w:t>
      </w:r>
      <w:bookmarkEnd w:id="216"/>
      <w:r>
        <w:rPr>
          <w:rStyle w:val="CharPartText"/>
        </w:rPr>
        <w:t xml:space="preserve"> </w:t>
      </w:r>
    </w:p>
    <w:p>
      <w:pPr>
        <w:pStyle w:val="Heading5"/>
        <w:rPr>
          <w:snapToGrid w:val="0"/>
        </w:rPr>
      </w:pPr>
      <w:bookmarkStart w:id="217" w:name="_Toc18385022"/>
      <w:bookmarkStart w:id="218" w:name="_Toc18385079"/>
      <w:bookmarkStart w:id="219" w:name="_Toc18385264"/>
      <w:bookmarkStart w:id="220" w:name="_Toc19586641"/>
      <w:bookmarkStart w:id="221" w:name="_Toc244054091"/>
      <w:r>
        <w:rPr>
          <w:rStyle w:val="CharSectno"/>
        </w:rPr>
        <w:t>56</w:t>
      </w:r>
      <w:r>
        <w:rPr>
          <w:snapToGrid w:val="0"/>
        </w:rPr>
        <w:t>.</w:t>
      </w:r>
      <w:r>
        <w:rPr>
          <w:snapToGrid w:val="0"/>
        </w:rPr>
        <w:tab/>
        <w:t>Offences and penalties</w:t>
      </w:r>
      <w:bookmarkEnd w:id="217"/>
      <w:bookmarkEnd w:id="218"/>
      <w:bookmarkEnd w:id="219"/>
      <w:bookmarkEnd w:id="220"/>
      <w:bookmarkEnd w:id="22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 in Gazette 23 Oct 2009 p. 4161.]</w:t>
      </w:r>
    </w:p>
    <w:p>
      <w:pPr>
        <w:pStyle w:val="yEdnoteschedule"/>
      </w:pPr>
      <w:r>
        <w:t>[Schedule 1 and 2 deleted in Gazette 23 Oct 2009 p. 4162.]</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222" w:name="_Toc244054092"/>
      <w:r>
        <w:t>Notes</w:t>
      </w:r>
      <w:bookmarkEnd w:id="2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(Rottnest Island) By-laws 1989</w:t>
      </w:r>
      <w:r>
        <w:rPr>
          <w:snapToGrid w:val="0"/>
        </w:rPr>
        <w:t xml:space="preserve"> and includes the amendments made by the other written laws referred to in the following table. </w:t>
      </w:r>
    </w:p>
    <w:p>
      <w:pPr>
        <w:pStyle w:val="nHeading3"/>
        <w:rPr>
          <w:snapToGrid w:val="0"/>
        </w:rPr>
      </w:pPr>
      <w:bookmarkStart w:id="223" w:name="_Toc19586645"/>
      <w:bookmarkStart w:id="224" w:name="_Toc244054093"/>
      <w:r>
        <w:rPr>
          <w:snapToGrid w:val="0"/>
        </w:rPr>
        <w:t xml:space="preserve">Compilation </w:t>
      </w:r>
      <w:bookmarkStart w:id="225" w:name="RuleErr_17"/>
      <w:r>
        <w:rPr>
          <w:snapToGrid w:val="0"/>
        </w:rPr>
        <w:t>table</w:t>
      </w:r>
      <w:bookmarkEnd w:id="223"/>
      <w:bookmarkEnd w:id="224"/>
      <w:bookmarkEnd w:id="2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before="80"/>
              <w:rPr>
                <w:sz w:val="19"/>
              </w:rPr>
            </w:pPr>
            <w:r>
              <w:rPr>
                <w:i/>
                <w:sz w:val="19"/>
              </w:rPr>
              <w:t>Health (Rottnest Island) By</w:t>
            </w:r>
            <w:r>
              <w:rPr>
                <w:i/>
                <w:sz w:val="19"/>
              </w:rPr>
              <w:noBreakHyphen/>
              <w:t>laws 1989</w:t>
            </w:r>
          </w:p>
        </w:tc>
        <w:tc>
          <w:tcPr>
            <w:tcW w:w="1276" w:type="dxa"/>
          </w:tcPr>
          <w:p>
            <w:pPr>
              <w:pStyle w:val="nTable"/>
              <w:spacing w:before="80"/>
              <w:rPr>
                <w:sz w:val="19"/>
              </w:rPr>
            </w:pPr>
            <w:r>
              <w:rPr>
                <w:sz w:val="19"/>
              </w:rPr>
              <w:t>11 Aug 1989 p. 2587</w:t>
            </w:r>
            <w:r>
              <w:rPr>
                <w:sz w:val="19"/>
              </w:rPr>
              <w:noBreakHyphen/>
              <w:t>619</w:t>
            </w:r>
          </w:p>
        </w:tc>
        <w:tc>
          <w:tcPr>
            <w:tcW w:w="2693" w:type="dxa"/>
          </w:tcPr>
          <w:p>
            <w:pPr>
              <w:pStyle w:val="nTable"/>
              <w:spacing w:before="80"/>
              <w:rPr>
                <w:sz w:val="19"/>
              </w:rPr>
            </w:pPr>
            <w:r>
              <w:rPr>
                <w:sz w:val="19"/>
              </w:rPr>
              <w:t>11 Aug 1989</w:t>
            </w:r>
          </w:p>
        </w:tc>
      </w:tr>
      <w:tr>
        <w:tc>
          <w:tcPr>
            <w:tcW w:w="3118" w:type="dxa"/>
          </w:tcPr>
          <w:p>
            <w:pPr>
              <w:pStyle w:val="nTable"/>
              <w:spacing w:before="80"/>
              <w:rPr>
                <w:sz w:val="19"/>
              </w:rPr>
            </w:pPr>
          </w:p>
        </w:tc>
        <w:tc>
          <w:tcPr>
            <w:tcW w:w="1276" w:type="dxa"/>
          </w:tcPr>
          <w:p>
            <w:pPr>
              <w:pStyle w:val="nTable"/>
              <w:spacing w:before="80"/>
              <w:rPr>
                <w:sz w:val="19"/>
              </w:rPr>
            </w:pPr>
            <w:r>
              <w:rPr>
                <w:sz w:val="19"/>
              </w:rPr>
              <w:t>25 Jan 1991 p. 279</w:t>
            </w:r>
            <w:r>
              <w:rPr>
                <w:sz w:val="19"/>
              </w:rPr>
              <w:noBreakHyphen/>
              <w:t>80</w:t>
            </w:r>
          </w:p>
        </w:tc>
        <w:tc>
          <w:tcPr>
            <w:tcW w:w="2693" w:type="dxa"/>
          </w:tcPr>
          <w:p>
            <w:pPr>
              <w:pStyle w:val="nTable"/>
              <w:spacing w:before="80"/>
              <w:rPr>
                <w:sz w:val="19"/>
              </w:rPr>
            </w:pPr>
            <w:r>
              <w:rPr>
                <w:sz w:val="19"/>
              </w:rPr>
              <w:t>25 Jan 1991</w:t>
            </w:r>
          </w:p>
        </w:tc>
      </w:tr>
      <w:tr>
        <w:tc>
          <w:tcPr>
            <w:tcW w:w="3118" w:type="dxa"/>
          </w:tcPr>
          <w:p>
            <w:pPr>
              <w:pStyle w:val="nTable"/>
              <w:spacing w:before="80"/>
              <w:rPr>
                <w:sz w:val="19"/>
              </w:rPr>
            </w:pPr>
            <w:r>
              <w:rPr>
                <w:i/>
                <w:sz w:val="19"/>
              </w:rPr>
              <w:t>Health (Rottnest Island) Amendment By</w:t>
            </w:r>
            <w:r>
              <w:rPr>
                <w:i/>
                <w:sz w:val="19"/>
              </w:rPr>
              <w:noBreakHyphen/>
              <w:t>laws 1993</w:t>
            </w:r>
          </w:p>
        </w:tc>
        <w:tc>
          <w:tcPr>
            <w:tcW w:w="1276" w:type="dxa"/>
          </w:tcPr>
          <w:p>
            <w:pPr>
              <w:pStyle w:val="nTable"/>
              <w:spacing w:before="80"/>
              <w:rPr>
                <w:sz w:val="19"/>
              </w:rPr>
            </w:pPr>
            <w:r>
              <w:rPr>
                <w:sz w:val="19"/>
              </w:rPr>
              <w:t>12 Nov 1993 p. 6143</w:t>
            </w:r>
            <w:r>
              <w:rPr>
                <w:sz w:val="19"/>
              </w:rPr>
              <w:noBreakHyphen/>
              <w:t>5</w:t>
            </w:r>
            <w:r>
              <w:rPr>
                <w:sz w:val="19"/>
              </w:rPr>
              <w:br/>
              <w:t>(correction 23 Nov 1993 p. 6308)</w:t>
            </w:r>
          </w:p>
        </w:tc>
        <w:tc>
          <w:tcPr>
            <w:tcW w:w="2693" w:type="dxa"/>
          </w:tcPr>
          <w:p>
            <w:pPr>
              <w:pStyle w:val="nTable"/>
              <w:spacing w:before="80"/>
              <w:rPr>
                <w:sz w:val="19"/>
              </w:rPr>
            </w:pPr>
            <w:r>
              <w:rPr>
                <w:sz w:val="19"/>
              </w:rPr>
              <w:t>12 Nov 1993</w:t>
            </w:r>
          </w:p>
        </w:tc>
      </w:tr>
      <w:tr>
        <w:tc>
          <w:tcPr>
            <w:tcW w:w="3118" w:type="dxa"/>
          </w:tcPr>
          <w:p>
            <w:pPr>
              <w:pStyle w:val="nTable"/>
              <w:spacing w:before="80"/>
              <w:rPr>
                <w:sz w:val="19"/>
              </w:rPr>
            </w:pPr>
            <w:r>
              <w:rPr>
                <w:i/>
                <w:sz w:val="19"/>
              </w:rPr>
              <w:t>Health (Rottnest Island) Amendment By</w:t>
            </w:r>
            <w:r>
              <w:rPr>
                <w:i/>
                <w:sz w:val="19"/>
              </w:rPr>
              <w:noBreakHyphen/>
              <w:t>laws 1995</w:t>
            </w:r>
          </w:p>
        </w:tc>
        <w:tc>
          <w:tcPr>
            <w:tcW w:w="1276" w:type="dxa"/>
          </w:tcPr>
          <w:p>
            <w:pPr>
              <w:pStyle w:val="nTable"/>
              <w:spacing w:before="80"/>
              <w:rPr>
                <w:sz w:val="19"/>
              </w:rPr>
            </w:pPr>
            <w:r>
              <w:rPr>
                <w:sz w:val="19"/>
              </w:rPr>
              <w:t>27 Jun 1995 p. 2555</w:t>
            </w:r>
            <w:r>
              <w:rPr>
                <w:sz w:val="19"/>
              </w:rPr>
              <w:noBreakHyphen/>
              <w:t>6</w:t>
            </w:r>
          </w:p>
        </w:tc>
        <w:tc>
          <w:tcPr>
            <w:tcW w:w="2693" w:type="dxa"/>
          </w:tcPr>
          <w:p>
            <w:pPr>
              <w:pStyle w:val="nTable"/>
              <w:spacing w:before="80"/>
              <w:rPr>
                <w:sz w:val="19"/>
              </w:rPr>
            </w:pPr>
            <w:r>
              <w:rPr>
                <w:sz w:val="19"/>
              </w:rPr>
              <w:t>1 Jul 199</w:t>
            </w:r>
            <w:bookmarkStart w:id="226" w:name="RuleErr_31"/>
            <w:r>
              <w:rPr>
                <w:sz w:val="19"/>
              </w:rPr>
              <w:t>5 (</w:t>
            </w:r>
            <w:bookmarkEnd w:id="226"/>
            <w:r>
              <w:rPr>
                <w:sz w:val="19"/>
              </w:rPr>
              <w:t>see bl. 2)</w:t>
            </w:r>
          </w:p>
        </w:tc>
      </w:tr>
      <w:tr>
        <w:trPr>
          <w:cantSplit/>
        </w:trPr>
        <w:tc>
          <w:tcPr>
            <w:tcW w:w="7087" w:type="dxa"/>
            <w:gridSpan w:val="3"/>
          </w:tcPr>
          <w:p>
            <w:pPr>
              <w:pStyle w:val="nTable"/>
              <w:spacing w:before="80"/>
              <w:rPr>
                <w:sz w:val="19"/>
              </w:rPr>
            </w:pPr>
            <w:r>
              <w:rPr>
                <w:b/>
                <w:sz w:val="19"/>
              </w:rPr>
              <w:t xml:space="preserve">Reprint of the </w:t>
            </w:r>
            <w:r>
              <w:rPr>
                <w:b/>
                <w:i/>
                <w:sz w:val="19"/>
              </w:rPr>
              <w:t>Health (Rottnest Island) By-laws 1989</w:t>
            </w:r>
            <w:r>
              <w:rPr>
                <w:b/>
                <w:sz w:val="19"/>
              </w:rPr>
              <w:t xml:space="preserve"> as at 13 Sep 2002</w:t>
            </w:r>
            <w:r>
              <w:rPr>
                <w:sz w:val="19"/>
              </w:rPr>
              <w:br/>
              <w:t>(includes amendments listed above)</w:t>
            </w:r>
          </w:p>
        </w:tc>
      </w:tr>
      <w:tr>
        <w:tc>
          <w:tcPr>
            <w:tcW w:w="3118" w:type="dxa"/>
            <w:tcBorders>
              <w:bottom w:val="single" w:sz="4" w:space="0" w:color="auto"/>
            </w:tcBorders>
          </w:tcPr>
          <w:p>
            <w:pPr>
              <w:pStyle w:val="nTable"/>
              <w:spacing w:before="80"/>
              <w:rPr>
                <w:sz w:val="19"/>
              </w:rPr>
            </w:pPr>
            <w:r>
              <w:rPr>
                <w:i/>
                <w:sz w:val="19"/>
              </w:rPr>
              <w:t>Health (Rottnest Island) Amendment Local Laws 2009</w:t>
            </w:r>
          </w:p>
        </w:tc>
        <w:tc>
          <w:tcPr>
            <w:tcW w:w="1276" w:type="dxa"/>
            <w:tcBorders>
              <w:bottom w:val="single" w:sz="4" w:space="0" w:color="auto"/>
            </w:tcBorders>
          </w:tcPr>
          <w:p>
            <w:pPr>
              <w:pStyle w:val="nTable"/>
              <w:spacing w:before="80"/>
              <w:rPr>
                <w:sz w:val="19"/>
              </w:rPr>
            </w:pPr>
            <w:r>
              <w:rPr>
                <w:sz w:val="19"/>
              </w:rPr>
              <w:t>23 Oct 2009 p. 4161</w:t>
            </w:r>
            <w:r>
              <w:rPr>
                <w:sz w:val="19"/>
              </w:rPr>
              <w:noBreakHyphen/>
              <w:t>2</w:t>
            </w:r>
          </w:p>
        </w:tc>
        <w:tc>
          <w:tcPr>
            <w:tcW w:w="2693" w:type="dxa"/>
            <w:tcBorders>
              <w:bottom w:val="single" w:sz="4" w:space="0" w:color="auto"/>
            </w:tcBorders>
          </w:tcPr>
          <w:p>
            <w:pPr>
              <w:pStyle w:val="nTable"/>
              <w:spacing w:before="80"/>
              <w:rPr>
                <w:sz w:val="19"/>
              </w:rPr>
            </w:pPr>
            <w:r>
              <w:rPr>
                <w:sz w:val="19"/>
              </w:rPr>
              <w:t>r. 1 and 2: 23 Oct 2009 (see r. 2(a));</w:t>
            </w:r>
            <w:r>
              <w:rPr>
                <w:sz w:val="19"/>
              </w:rPr>
              <w:br/>
              <w:t xml:space="preserve">Regulations other than r. 1 and 2: 24 Oct 2009 (see r. 2(b) and </w:t>
            </w:r>
            <w:r>
              <w:rPr>
                <w:i/>
                <w:iCs/>
                <w:sz w:val="19"/>
              </w:rPr>
              <w:t>Gazette</w:t>
            </w:r>
            <w:r>
              <w:rPr>
                <w:sz w:val="19"/>
              </w:rPr>
              <w:t xml:space="preserve"> 23 Oct 2009 p. 4157)</w:t>
            </w:r>
          </w:p>
        </w:tc>
      </w:tr>
    </w:tbl>
    <w:p>
      <w:pPr>
        <w:pStyle w:val="nSubsection"/>
        <w:rPr>
          <w:vertAlign w:val="superscript"/>
        </w:rPr>
      </w:pPr>
    </w:p>
    <w:p>
      <w:pPr>
        <w:pStyle w:val="nSubsection"/>
      </w:pPr>
      <w:r>
        <w:rPr>
          <w:vertAlign w:val="superscript"/>
        </w:rPr>
        <w:t>2</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bookmarkStart w:id="227" w:name="UpToHere"/>
      <w:bookmarkEnd w:id="227"/>
    </w:p>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33C60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8F6F96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3DCC7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78A8A3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8F5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E6CF8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144C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F6A6D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3462874"/>
    <w:lvl w:ilvl="0">
      <w:start w:val="1"/>
      <w:numFmt w:val="decimal"/>
      <w:pStyle w:val="ListNumber"/>
      <w:lvlText w:val="%1."/>
      <w:lvlJc w:val="left"/>
      <w:pPr>
        <w:tabs>
          <w:tab w:val="num" w:pos="360"/>
        </w:tabs>
        <w:ind w:left="360" w:hanging="360"/>
      </w:pPr>
    </w:lvl>
  </w:abstractNum>
  <w:abstractNum w:abstractNumId="9">
    <w:nsid w:val="FFFFFF89"/>
    <w:multiLevelType w:val="singleLevel"/>
    <w:tmpl w:val="0004E1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96A748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9A42E7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651"/>
    <w:docVar w:name="WAFER_20151211134651" w:val="RemoveTrackChanges"/>
    <w:docVar w:name="WAFER_20151211134651_GUID" w:val="903c2675-1e73-4171-be8e-de7babe9e9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6961</Words>
  <Characters>33765</Characters>
  <Application>Microsoft Office Word</Application>
  <DocSecurity>0</DocSecurity>
  <Lines>912</Lines>
  <Paragraphs>484</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40242</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1989 - 01-b0-03</dc:title>
  <dc:subject/>
  <dc:creator/>
  <cp:keywords/>
  <dc:description/>
  <cp:lastModifiedBy>svcMRProcess</cp:lastModifiedBy>
  <cp:revision>4</cp:revision>
  <cp:lastPrinted>2002-09-24T02:51:00Z</cp:lastPrinted>
  <dcterms:created xsi:type="dcterms:W3CDTF">2018-09-12T06:41:00Z</dcterms:created>
  <dcterms:modified xsi:type="dcterms:W3CDTF">2018-09-12T06:41:00Z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CommencementDate">
    <vt:lpwstr>20091024</vt:lpwstr>
  </property>
  <property fmtid="{D5CDD505-2E9C-101B-9397-08002B2CF9AE}" pid="4" name="DocumentType">
    <vt:lpwstr>Reg</vt:lpwstr>
  </property>
  <property fmtid="{D5CDD505-2E9C-101B-9397-08002B2CF9AE}" pid="5" name="AsAtDate">
    <vt:lpwstr>24 Oct 2009</vt:lpwstr>
  </property>
  <property fmtid="{D5CDD505-2E9C-101B-9397-08002B2CF9AE}" pid="6" name="Suffix">
    <vt:lpwstr>01-b0-03</vt:lpwstr>
  </property>
  <property fmtid="{D5CDD505-2E9C-101B-9397-08002B2CF9AE}" pid="7" name="OwlsUID">
    <vt:i4>4492</vt:i4>
  </property>
</Properties>
</file>