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_Toc246394424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_Toc246394425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_Toc246394426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_Toc246394427 \h </w:instrText>
      </w:r>
      <w:r>
        <w:fldChar w:fldCharType="separate"/>
      </w:r>
      <w:r>
        <w:t>5</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_Toc246394428 \h </w:instrText>
      </w:r>
      <w:r>
        <w:fldChar w:fldCharType="separate"/>
      </w:r>
      <w:r>
        <w:t>5</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_Toc246394429 \h </w:instrText>
      </w:r>
      <w:r>
        <w:fldChar w:fldCharType="separate"/>
      </w:r>
      <w:r>
        <w:t>5</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_Toc246394430 \h </w:instrText>
      </w:r>
      <w:r>
        <w:fldChar w:fldCharType="separate"/>
      </w:r>
      <w:r>
        <w:t>7</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_Toc246394431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_Toc246394432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_Toc246394435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_Toc246394437 \h </w:instrText>
      </w:r>
      <w:r>
        <w:fldChar w:fldCharType="separate"/>
      </w:r>
      <w:r>
        <w:t>9</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_Toc246394438 \h </w:instrText>
      </w:r>
      <w:r>
        <w:fldChar w:fldCharType="separate"/>
      </w:r>
      <w:r>
        <w:t>9</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_Toc246394439 \h </w:instrText>
      </w:r>
      <w:r>
        <w:fldChar w:fldCharType="separate"/>
      </w:r>
      <w:r>
        <w:t>10</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_Toc246394440 \h </w:instrText>
      </w:r>
      <w:r>
        <w:fldChar w:fldCharType="separate"/>
      </w:r>
      <w:r>
        <w:t>10</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_Toc246394441 \h </w:instrText>
      </w:r>
      <w:r>
        <w:fldChar w:fldCharType="separate"/>
      </w:r>
      <w:r>
        <w:t>11</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_Toc246394442 \h </w:instrText>
      </w:r>
      <w:r>
        <w:fldChar w:fldCharType="separate"/>
      </w:r>
      <w:r>
        <w:t>12</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_Toc246394443 \h </w:instrText>
      </w:r>
      <w:r>
        <w:fldChar w:fldCharType="separate"/>
      </w:r>
      <w:r>
        <w:t>13</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_Toc246394446 \h </w:instrText>
      </w:r>
      <w:r>
        <w:fldChar w:fldCharType="separate"/>
      </w:r>
      <w:r>
        <w:t>14</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Terms used</w:t>
      </w:r>
      <w:r>
        <w:tab/>
      </w:r>
      <w:r>
        <w:fldChar w:fldCharType="begin"/>
      </w:r>
      <w:r>
        <w:instrText xml:space="preserve"> PAGEREF _Toc246394448 \h </w:instrText>
      </w:r>
      <w:r>
        <w:fldChar w:fldCharType="separate"/>
      </w:r>
      <w:r>
        <w:t>16</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_Toc246394449 \h </w:instrText>
      </w:r>
      <w:r>
        <w:fldChar w:fldCharType="separate"/>
      </w:r>
      <w:r>
        <w:t>17</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_Toc246394451 \h </w:instrText>
      </w:r>
      <w:r>
        <w:fldChar w:fldCharType="separate"/>
      </w:r>
      <w:r>
        <w:t>22</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_Toc246394452 \h </w:instrText>
      </w:r>
      <w:r>
        <w:fldChar w:fldCharType="separate"/>
      </w:r>
      <w:r>
        <w:t>23</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_Toc246394453 \h </w:instrText>
      </w:r>
      <w:r>
        <w:fldChar w:fldCharType="separate"/>
      </w:r>
      <w:r>
        <w:t>23</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_Toc246394455 \h </w:instrText>
      </w:r>
      <w:r>
        <w:fldChar w:fldCharType="separate"/>
      </w:r>
      <w:r>
        <w:t>23</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_Toc246394456 \h </w:instrText>
      </w:r>
      <w:r>
        <w:fldChar w:fldCharType="separate"/>
      </w:r>
      <w:r>
        <w:t>24</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_Toc246394457 \h </w:instrText>
      </w:r>
      <w:r>
        <w:fldChar w:fldCharType="separate"/>
      </w:r>
      <w:r>
        <w:t>25</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_Toc246394458 \h </w:instrText>
      </w:r>
      <w:r>
        <w:fldChar w:fldCharType="separate"/>
      </w:r>
      <w:r>
        <w:t>25</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_Toc246394459 \h </w:instrText>
      </w:r>
      <w:r>
        <w:fldChar w:fldCharType="separate"/>
      </w:r>
      <w:r>
        <w:t>27</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_Toc246394460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_Toc246394461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_Toc246394462 \h </w:instrText>
      </w:r>
      <w:r>
        <w:fldChar w:fldCharType="separate"/>
      </w:r>
      <w:r>
        <w:t>29</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_Toc246394465 \h </w:instrText>
      </w:r>
      <w:r>
        <w:fldChar w:fldCharType="separate"/>
      </w:r>
      <w:r>
        <w:t>29</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_Toc246394467 \h </w:instrText>
      </w:r>
      <w:r>
        <w:fldChar w:fldCharType="separate"/>
      </w:r>
      <w:r>
        <w:t>30</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_Toc246394468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_Toc246394469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_Toc246394470 \h </w:instrText>
      </w:r>
      <w:r>
        <w:fldChar w:fldCharType="separate"/>
      </w:r>
      <w:r>
        <w:t>31</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_Toc246394472 \h </w:instrText>
      </w:r>
      <w:r>
        <w:fldChar w:fldCharType="separate"/>
      </w:r>
      <w:r>
        <w:t>33</w:t>
      </w:r>
      <w:r>
        <w:fldChar w:fldCharType="end"/>
      </w:r>
    </w:p>
    <w:p>
      <w:pPr>
        <w:pStyle w:val="TOC8"/>
        <w:rPr>
          <w:sz w:val="24"/>
          <w:szCs w:val="24"/>
        </w:rPr>
      </w:pPr>
      <w:r>
        <w:rPr>
          <w:szCs w:val="24"/>
        </w:rPr>
        <w:t>32.</w:t>
      </w:r>
      <w:r>
        <w:rPr>
          <w:szCs w:val="24"/>
        </w:rPr>
        <w:tab/>
        <w:t>Payment following determination of review</w:t>
      </w:r>
      <w:r>
        <w:tab/>
      </w:r>
      <w:r>
        <w:fldChar w:fldCharType="begin"/>
      </w:r>
      <w:r>
        <w:instrText xml:space="preserve"> PAGEREF _Toc246394473 \h </w:instrText>
      </w:r>
      <w:r>
        <w:fldChar w:fldCharType="separate"/>
      </w:r>
      <w:r>
        <w:t>33</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_Toc246394476 \h </w:instrText>
      </w:r>
      <w:r>
        <w:fldChar w:fldCharType="separate"/>
      </w:r>
      <w:r>
        <w:t>35</w:t>
      </w:r>
      <w:r>
        <w:fldChar w:fldCharType="end"/>
      </w:r>
    </w:p>
    <w:p>
      <w:pPr>
        <w:pStyle w:val="TOC8"/>
        <w:rPr>
          <w:sz w:val="24"/>
          <w:szCs w:val="24"/>
        </w:rPr>
      </w:pPr>
      <w:r>
        <w:rPr>
          <w:szCs w:val="24"/>
        </w:rPr>
        <w:t>35.</w:t>
      </w:r>
      <w:r>
        <w:rPr>
          <w:szCs w:val="24"/>
        </w:rPr>
        <w:tab/>
        <w:t>Delegation</w:t>
      </w:r>
      <w:r>
        <w:tab/>
      </w:r>
      <w:r>
        <w:fldChar w:fldCharType="begin"/>
      </w:r>
      <w:r>
        <w:instrText xml:space="preserve"> PAGEREF _Toc246394477 \h </w:instrText>
      </w:r>
      <w:r>
        <w:fldChar w:fldCharType="separate"/>
      </w:r>
      <w:r>
        <w:t>35</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_Toc246394478 \h </w:instrText>
      </w:r>
      <w:r>
        <w:fldChar w:fldCharType="separate"/>
      </w:r>
      <w:r>
        <w:t>36</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_Toc246394479 \h </w:instrText>
      </w:r>
      <w:r>
        <w:fldChar w:fldCharType="separate"/>
      </w:r>
      <w:r>
        <w:t>36</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_Toc246394481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_Toc246394482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_Toc246394483 \h </w:instrText>
      </w:r>
      <w:r>
        <w:fldChar w:fldCharType="separate"/>
      </w:r>
      <w:r>
        <w:t>38</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_Toc246394484 \h </w:instrText>
      </w:r>
      <w:r>
        <w:fldChar w:fldCharType="separate"/>
      </w:r>
      <w:r>
        <w:t>38</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_Toc246394485 \h </w:instrText>
      </w:r>
      <w:r>
        <w:fldChar w:fldCharType="separate"/>
      </w:r>
      <w:r>
        <w:t>40</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_Toc246394486 \h </w:instrText>
      </w:r>
      <w:r>
        <w:fldChar w:fldCharType="separate"/>
      </w:r>
      <w:r>
        <w:t>40</w:t>
      </w:r>
      <w:r>
        <w:fldChar w:fldCharType="end"/>
      </w:r>
    </w:p>
    <w:p>
      <w:pPr>
        <w:pStyle w:val="TOC8"/>
        <w:rPr>
          <w:sz w:val="24"/>
          <w:szCs w:val="24"/>
        </w:rPr>
      </w:pPr>
      <w:r>
        <w:rPr>
          <w:szCs w:val="24"/>
        </w:rPr>
        <w:t>44.</w:t>
      </w:r>
      <w:r>
        <w:rPr>
          <w:szCs w:val="24"/>
        </w:rPr>
        <w:tab/>
        <w:t>Warrants</w:t>
      </w:r>
      <w:r>
        <w:tab/>
      </w:r>
      <w:r>
        <w:fldChar w:fldCharType="begin"/>
      </w:r>
      <w:r>
        <w:instrText xml:space="preserve"> PAGEREF _Toc246394487 \h </w:instrText>
      </w:r>
      <w:r>
        <w:fldChar w:fldCharType="separate"/>
      </w:r>
      <w:r>
        <w:t>43</w:t>
      </w:r>
      <w:r>
        <w:fldChar w:fldCharType="end"/>
      </w:r>
    </w:p>
    <w:p>
      <w:pPr>
        <w:pStyle w:val="TOC8"/>
        <w:rPr>
          <w:sz w:val="24"/>
          <w:szCs w:val="24"/>
        </w:rPr>
      </w:pPr>
      <w:r>
        <w:rPr>
          <w:szCs w:val="24"/>
        </w:rPr>
        <w:t>45.</w:t>
      </w:r>
      <w:r>
        <w:rPr>
          <w:szCs w:val="24"/>
        </w:rPr>
        <w:tab/>
        <w:t>Use of force</w:t>
      </w:r>
      <w:r>
        <w:tab/>
      </w:r>
      <w:r>
        <w:fldChar w:fldCharType="begin"/>
      </w:r>
      <w:r>
        <w:instrText xml:space="preserve"> PAGEREF _Toc246394488 \h </w:instrText>
      </w:r>
      <w:r>
        <w:fldChar w:fldCharType="separate"/>
      </w:r>
      <w:r>
        <w:t>43</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_Toc246394489 \h </w:instrText>
      </w:r>
      <w:r>
        <w:fldChar w:fldCharType="separate"/>
      </w:r>
      <w:r>
        <w:t>44</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_Toc246394492 \h </w:instrText>
      </w:r>
      <w:r>
        <w:fldChar w:fldCharType="separate"/>
      </w:r>
      <w:r>
        <w:t>45</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_Toc246394493 \h </w:instrText>
      </w:r>
      <w:r>
        <w:fldChar w:fldCharType="separate"/>
      </w:r>
      <w:r>
        <w:t>46</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_Toc246394495 \h </w:instrText>
      </w:r>
      <w:r>
        <w:fldChar w:fldCharType="separate"/>
      </w:r>
      <w:r>
        <w:t>46</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_Toc246394496 \h </w:instrText>
      </w:r>
      <w:r>
        <w:fldChar w:fldCharType="separate"/>
      </w:r>
      <w:r>
        <w:t>47</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_Toc246394498 \h </w:instrText>
      </w:r>
      <w:r>
        <w:fldChar w:fldCharType="separate"/>
      </w:r>
      <w:r>
        <w:t>47</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_Toc246394499 \h </w:instrText>
      </w:r>
      <w:r>
        <w:fldChar w:fldCharType="separate"/>
      </w:r>
      <w:r>
        <w:t>48</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_Toc246394500 \h </w:instrText>
      </w:r>
      <w:r>
        <w:fldChar w:fldCharType="separate"/>
      </w:r>
      <w:r>
        <w:t>49</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_Toc246394501 \h </w:instrText>
      </w:r>
      <w:r>
        <w:fldChar w:fldCharType="separate"/>
      </w:r>
      <w:r>
        <w:t>50</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_Toc246394503 \h </w:instrText>
      </w:r>
      <w:r>
        <w:fldChar w:fldCharType="separate"/>
      </w:r>
      <w:r>
        <w:t>50</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_Toc246394504 \h </w:instrText>
      </w:r>
      <w:r>
        <w:fldChar w:fldCharType="separate"/>
      </w:r>
      <w:r>
        <w:t>52</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_Toc246394505 \h </w:instrText>
      </w:r>
      <w:r>
        <w:fldChar w:fldCharType="separate"/>
      </w:r>
      <w:r>
        <w:t>52</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_Toc246394506 \h </w:instrText>
      </w:r>
      <w:r>
        <w:fldChar w:fldCharType="separate"/>
      </w:r>
      <w:r>
        <w:t>52</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_Toc246394507 \h </w:instrText>
      </w:r>
      <w:r>
        <w:fldChar w:fldCharType="separate"/>
      </w:r>
      <w:r>
        <w:t>54</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_Toc246394508 \h </w:instrText>
      </w:r>
      <w:r>
        <w:fldChar w:fldCharType="separate"/>
      </w:r>
      <w:r>
        <w:t>54</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_Toc246394510 \h </w:instrText>
      </w:r>
      <w:r>
        <w:fldChar w:fldCharType="separate"/>
      </w:r>
      <w:r>
        <w:t>55</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_Toc246394511 \h </w:instrText>
      </w:r>
      <w:r>
        <w:fldChar w:fldCharType="separate"/>
      </w:r>
      <w:r>
        <w:t>55</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_Toc246394512 \h </w:instrText>
      </w:r>
      <w:r>
        <w:fldChar w:fldCharType="separate"/>
      </w:r>
      <w:r>
        <w:t>56</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_Toc246394513 \h </w:instrText>
      </w:r>
      <w:r>
        <w:fldChar w:fldCharType="separate"/>
      </w:r>
      <w:r>
        <w:t>57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_Toc246394515 \h </w:instrText>
      </w:r>
      <w:r>
        <w:fldChar w:fldCharType="separate"/>
      </w:r>
      <w:r>
        <w:t>57</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_Toc246394516 \h </w:instrText>
      </w:r>
      <w:r>
        <w:fldChar w:fldCharType="separate"/>
      </w:r>
      <w:r>
        <w:t>59</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_Toc246394517 \h </w:instrText>
      </w:r>
      <w:r>
        <w:fldChar w:fldCharType="separate"/>
      </w:r>
      <w:r>
        <w:t>59</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_Toc246394518 \h </w:instrText>
      </w:r>
      <w:r>
        <w:fldChar w:fldCharType="separate"/>
      </w:r>
      <w:r>
        <w:t>59</w:t>
      </w:r>
      <w:r>
        <w:fldChar w:fldCharType="end"/>
      </w:r>
    </w:p>
    <w:p>
      <w:pPr>
        <w:pStyle w:val="TOC8"/>
        <w:rPr>
          <w:sz w:val="24"/>
          <w:szCs w:val="24"/>
        </w:rPr>
      </w:pPr>
      <w:r>
        <w:rPr>
          <w:szCs w:val="24"/>
        </w:rPr>
        <w:t>69.</w:t>
      </w:r>
      <w:r>
        <w:rPr>
          <w:szCs w:val="24"/>
        </w:rPr>
        <w:tab/>
        <w:t>Regulations</w:t>
      </w:r>
      <w:r>
        <w:tab/>
      </w:r>
      <w:r>
        <w:fldChar w:fldCharType="begin"/>
      </w:r>
      <w:r>
        <w:instrText xml:space="preserve"> PAGEREF _Toc246394519 \h </w:instrText>
      </w:r>
      <w:r>
        <w:fldChar w:fldCharType="separate"/>
      </w:r>
      <w:r>
        <w:t>60</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_Toc246394520 \h </w:instrText>
      </w:r>
      <w:r>
        <w:fldChar w:fldCharType="separate"/>
      </w:r>
      <w:r>
        <w:t>60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_Toc246394522 \h </w:instrText>
      </w:r>
      <w:r>
        <w:fldChar w:fldCharType="separate"/>
      </w:r>
      <w:r>
        <w:t>61</w:t>
      </w:r>
      <w:r>
        <w:fldChar w:fldCharType="end"/>
      </w:r>
    </w:p>
    <w:p>
      <w:pPr>
        <w:pStyle w:val="TOC8"/>
        <w:rPr>
          <w:sz w:val="24"/>
        </w:rPr>
      </w:pPr>
      <w:r>
        <w:tab/>
        <w:t>Provisions that have not come into operation</w:t>
      </w:r>
      <w:r>
        <w:tab/>
      </w:r>
      <w:r>
        <w:fldChar w:fldCharType="begin"/>
      </w:r>
      <w:r>
        <w:instrText xml:space="preserve"> PAGEREF _Toc246394523 \h </w:instrText>
      </w:r>
      <w:r>
        <w:fldChar w:fldCharType="separate"/>
      </w:r>
      <w:r>
        <w:t>62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76650044"/>
      <w:bookmarkStart w:id="17" w:name="_Toc476727820"/>
      <w:bookmarkStart w:id="18" w:name="_Toc477076755"/>
      <w:bookmarkStart w:id="19" w:name="_Toc479399626"/>
      <w:bookmarkStart w:id="20" w:name="_Toc35401810"/>
      <w:bookmarkStart w:id="21" w:name="_Toc103655054"/>
      <w:bookmarkStart w:id="22" w:name="_Toc246394424"/>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3" w:name="_Toc476650045"/>
      <w:bookmarkStart w:id="24" w:name="_Toc476727821"/>
      <w:bookmarkStart w:id="25" w:name="_Toc477076756"/>
      <w:bookmarkStart w:id="26" w:name="_Toc479399627"/>
      <w:bookmarkStart w:id="27" w:name="_Toc35401811"/>
      <w:bookmarkStart w:id="28" w:name="_Toc103655055"/>
      <w:bookmarkStart w:id="29" w:name="_Toc246394425"/>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pPr>
      <w:r>
        <w:tab/>
      </w:r>
      <w:r>
        <w:tab/>
        <w:t>This Act comes into operation on 1 July 2000.</w:t>
      </w:r>
    </w:p>
    <w:p>
      <w:pPr>
        <w:pStyle w:val="Heading5"/>
      </w:pPr>
      <w:bookmarkStart w:id="30" w:name="_Toc476650046"/>
      <w:bookmarkStart w:id="31" w:name="_Toc476727822"/>
      <w:bookmarkStart w:id="32" w:name="_Toc477076757"/>
      <w:bookmarkStart w:id="33" w:name="_Toc479399628"/>
      <w:bookmarkStart w:id="34" w:name="_Toc35401812"/>
      <w:bookmarkStart w:id="35" w:name="_Toc103655056"/>
      <w:bookmarkStart w:id="36" w:name="_Toc246394426"/>
      <w:r>
        <w:rPr>
          <w:rStyle w:val="CharSectno"/>
        </w:rPr>
        <w:t>3</w:t>
      </w:r>
      <w:r>
        <w:t>.</w:t>
      </w:r>
      <w:r>
        <w:tab/>
        <w:t>Interpretation</w:t>
      </w:r>
      <w:bookmarkEnd w:id="30"/>
      <w:bookmarkEnd w:id="31"/>
      <w:bookmarkEnd w:id="32"/>
      <w:bookmarkEnd w:id="33"/>
      <w:bookmarkEnd w:id="34"/>
      <w:bookmarkEnd w:id="35"/>
      <w:bookmarkEnd w:id="36"/>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37" w:name="_Hlt477341150"/>
      <w:r>
        <w:t>36</w:t>
      </w:r>
      <w:bookmarkEnd w:id="37"/>
      <w:r>
        <w:t>;</w:t>
      </w:r>
    </w:p>
    <w:p>
      <w:pPr>
        <w:pStyle w:val="Defstart"/>
      </w:pPr>
      <w:r>
        <w:tab/>
      </w:r>
      <w:r>
        <w:rPr>
          <w:rStyle w:val="CharDefText"/>
        </w:rPr>
        <w:t>building</w:t>
      </w:r>
      <w:r>
        <w:t xml:space="preserve"> includes part of a building;</w:t>
      </w:r>
    </w:p>
    <w:p>
      <w:pPr>
        <w:pStyle w:val="Defstart"/>
      </w:pPr>
      <w:r>
        <w:tab/>
      </w:r>
      <w:r>
        <w:rPr>
          <w:rStyle w:val="CharDefText"/>
        </w:rPr>
        <w:t>commencement date</w:t>
      </w:r>
      <w:r>
        <w:t>, in relation to an eligible transaction, has the meaning given by section 14(5);</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an eligible transaction, has the meaning given by section 14(6);</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an eligible transaction, has the meaning given by section 14(8);</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38" w:name="_Hlt478286875"/>
      <w:r>
        <w:t>2</w:t>
      </w:r>
      <w:bookmarkEnd w:id="38"/>
      <w:r>
        <w:t xml:space="preserve"> Division </w:t>
      </w:r>
      <w:bookmarkStart w:id="39" w:name="_Hlt478286927"/>
      <w:r>
        <w:t>2</w:t>
      </w:r>
      <w:bookmarkEnd w:id="39"/>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40" w:name="_Hlt477344219"/>
      <w:r>
        <w:t>18</w:t>
      </w:r>
      <w:bookmarkEnd w:id="40"/>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41" w:name="_Toc476650047"/>
      <w:bookmarkStart w:id="42" w:name="_Toc476727823"/>
      <w:bookmarkStart w:id="43" w:name="_Toc477076758"/>
      <w:bookmarkStart w:id="44" w:name="_Toc479399629"/>
      <w:bookmarkStart w:id="45" w:name="_Toc35401813"/>
      <w:bookmarkStart w:id="46" w:name="_Toc103655057"/>
      <w:bookmarkStart w:id="47" w:name="_Toc246394427"/>
      <w:r>
        <w:rPr>
          <w:rStyle w:val="CharSectno"/>
        </w:rPr>
        <w:t>4</w:t>
      </w:r>
      <w:r>
        <w:t>.</w:t>
      </w:r>
      <w:r>
        <w:tab/>
        <w:t>Meaning of “home”</w:t>
      </w:r>
      <w:bookmarkEnd w:id="41"/>
      <w:bookmarkEnd w:id="42"/>
      <w:bookmarkEnd w:id="43"/>
      <w:bookmarkEnd w:id="44"/>
      <w:bookmarkEnd w:id="45"/>
      <w:bookmarkEnd w:id="46"/>
      <w:bookmarkEnd w:id="47"/>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8" w:name="_Toc476650048"/>
      <w:bookmarkStart w:id="49" w:name="_Toc476727824"/>
      <w:bookmarkStart w:id="50" w:name="_Toc477076759"/>
      <w:bookmarkStart w:id="51" w:name="_Toc479399630"/>
      <w:bookmarkStart w:id="52" w:name="_Toc35401814"/>
      <w:bookmarkStart w:id="53" w:name="_Toc103655058"/>
      <w:bookmarkStart w:id="54" w:name="_Toc246394428"/>
      <w:r>
        <w:rPr>
          <w:rStyle w:val="CharSectno"/>
        </w:rPr>
        <w:t>5</w:t>
      </w:r>
      <w:r>
        <w:t>.</w:t>
      </w:r>
      <w:r>
        <w:tab/>
        <w:t>Meaning of “owner” of a home or “home owner”</w:t>
      </w:r>
      <w:bookmarkEnd w:id="48"/>
      <w:bookmarkEnd w:id="49"/>
      <w:bookmarkEnd w:id="50"/>
      <w:bookmarkEnd w:id="51"/>
      <w:bookmarkEnd w:id="52"/>
      <w:bookmarkEnd w:id="53"/>
      <w:bookmarkEnd w:id="54"/>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55" w:name="_Toc476650049"/>
      <w:bookmarkStart w:id="56" w:name="_Toc476727825"/>
      <w:bookmarkStart w:id="57" w:name="_Toc477076760"/>
      <w:bookmarkStart w:id="58" w:name="_Toc479399631"/>
      <w:bookmarkStart w:id="59" w:name="_Toc35401815"/>
      <w:bookmarkStart w:id="60" w:name="_Toc103655059"/>
      <w:bookmarkStart w:id="61" w:name="_Toc246394429"/>
      <w:r>
        <w:rPr>
          <w:rStyle w:val="CharSectno"/>
        </w:rPr>
        <w:t>6</w:t>
      </w:r>
      <w:r>
        <w:t>.</w:t>
      </w:r>
      <w:r>
        <w:tab/>
        <w:t>Meaning of “relevant interest”</w:t>
      </w:r>
      <w:bookmarkEnd w:id="55"/>
      <w:bookmarkEnd w:id="56"/>
      <w:bookmarkEnd w:id="57"/>
      <w:bookmarkEnd w:id="58"/>
      <w:bookmarkEnd w:id="59"/>
      <w:bookmarkEnd w:id="60"/>
      <w:bookmarkEnd w:id="61"/>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62" w:name="_Toc476650050"/>
      <w:bookmarkStart w:id="63" w:name="_Toc476727826"/>
      <w:bookmarkStart w:id="64" w:name="_Toc477076761"/>
      <w:bookmarkStart w:id="65" w:name="_Toc479399632"/>
      <w:bookmarkStart w:id="66" w:name="_Toc35401816"/>
      <w:bookmarkStart w:id="67" w:name="_Toc103655060"/>
      <w:bookmarkStart w:id="68" w:name="_Toc246394430"/>
      <w:r>
        <w:rPr>
          <w:rStyle w:val="CharSectno"/>
        </w:rPr>
        <w:t>7</w:t>
      </w:r>
      <w:r>
        <w:t>.</w:t>
      </w:r>
      <w:r>
        <w:tab/>
        <w:t>Meaning of an applicant’s “spouse”</w:t>
      </w:r>
      <w:bookmarkEnd w:id="62"/>
      <w:bookmarkEnd w:id="63"/>
      <w:bookmarkEnd w:id="64"/>
      <w:bookmarkEnd w:id="65"/>
      <w:bookmarkEnd w:id="66"/>
      <w:bookmarkEnd w:id="67"/>
      <w:bookmarkEnd w:id="68"/>
    </w:p>
    <w:p>
      <w:pPr>
        <w:pStyle w:val="Subsection"/>
        <w:spacing w:before="120"/>
      </w:pPr>
      <w:r>
        <w:tab/>
        <w:t>(1)</w:t>
      </w:r>
      <w:r>
        <w:tab/>
        <w:t xml:space="preserve">A person is the </w:t>
      </w:r>
      <w:r>
        <w:rPr>
          <w:rStyle w:val="CharDefText"/>
        </w:rPr>
        <w:t>spouse</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69" w:name="_Toc35401817"/>
      <w:r>
        <w:tab/>
        <w:t>[Section 7 amended by No. 61 of 2000 s. 4; No. 28 of 2003 s. 62.]</w:t>
      </w:r>
    </w:p>
    <w:p>
      <w:pPr>
        <w:pStyle w:val="Heading5"/>
      </w:pPr>
      <w:bookmarkStart w:id="70" w:name="_Toc103655061"/>
      <w:bookmarkStart w:id="71" w:name="_Toc246394431"/>
      <w:r>
        <w:rPr>
          <w:rStyle w:val="CharSectno"/>
        </w:rPr>
        <w:t>7A</w:t>
      </w:r>
      <w:r>
        <w:t>.</w:t>
      </w:r>
      <w:r>
        <w:tab/>
        <w:t>Meaning of “Australian citizen”</w:t>
      </w:r>
      <w:bookmarkEnd w:id="69"/>
      <w:bookmarkEnd w:id="70"/>
      <w:bookmarkEnd w:id="71"/>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72" w:name="_Toc35401818"/>
      <w:bookmarkStart w:id="73" w:name="_Toc103655062"/>
      <w:bookmarkStart w:id="74" w:name="_Toc246394432"/>
      <w:r>
        <w:rPr>
          <w:rStyle w:val="CharSectno"/>
        </w:rPr>
        <w:t>7B</w:t>
      </w:r>
      <w:r>
        <w:t>.</w:t>
      </w:r>
      <w:r>
        <w:tab/>
        <w:t>Meaning of “permanent resident”</w:t>
      </w:r>
      <w:bookmarkEnd w:id="72"/>
      <w:bookmarkEnd w:id="73"/>
      <w:bookmarkEnd w:id="74"/>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75" w:name="_Toc88880130"/>
      <w:bookmarkStart w:id="76" w:name="_Toc89519579"/>
      <w:bookmarkStart w:id="77" w:name="_Toc90883428"/>
      <w:bookmarkStart w:id="78" w:name="_Toc92523225"/>
      <w:bookmarkStart w:id="79" w:name="_Toc101164314"/>
      <w:bookmarkStart w:id="80" w:name="_Toc101235850"/>
      <w:bookmarkStart w:id="81" w:name="_Toc103655063"/>
      <w:bookmarkStart w:id="82" w:name="_Toc122255573"/>
      <w:bookmarkStart w:id="83" w:name="_Toc122255674"/>
      <w:bookmarkStart w:id="84" w:name="_Toc157854296"/>
      <w:bookmarkStart w:id="85" w:name="_Toc196800961"/>
      <w:bookmarkStart w:id="86" w:name="_Toc202511406"/>
      <w:bookmarkStart w:id="87" w:name="_Toc246329264"/>
      <w:bookmarkStart w:id="88" w:name="_Toc246394332"/>
      <w:bookmarkStart w:id="89" w:name="_Toc246394433"/>
      <w:r>
        <w:rPr>
          <w:rStyle w:val="CharPartNo"/>
        </w:rPr>
        <w:t>Part 2</w:t>
      </w:r>
      <w:r>
        <w:t xml:space="preserve"> — </w:t>
      </w:r>
      <w:r>
        <w:rPr>
          <w:rStyle w:val="CharPartText"/>
        </w:rPr>
        <w:t>First home owner grant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88880131"/>
      <w:bookmarkStart w:id="91" w:name="_Toc89519580"/>
      <w:bookmarkStart w:id="92" w:name="_Toc90883429"/>
      <w:bookmarkStart w:id="93" w:name="_Toc92523226"/>
      <w:bookmarkStart w:id="94" w:name="_Toc101164315"/>
      <w:bookmarkStart w:id="95" w:name="_Toc101235851"/>
      <w:bookmarkStart w:id="96" w:name="_Toc103655064"/>
      <w:bookmarkStart w:id="97" w:name="_Toc122255574"/>
      <w:bookmarkStart w:id="98" w:name="_Toc122255675"/>
      <w:bookmarkStart w:id="99" w:name="_Toc157854297"/>
      <w:bookmarkStart w:id="100" w:name="_Toc196800962"/>
      <w:bookmarkStart w:id="101" w:name="_Toc202511407"/>
      <w:bookmarkStart w:id="102" w:name="_Toc246329265"/>
      <w:bookmarkStart w:id="103" w:name="_Toc246394333"/>
      <w:bookmarkStart w:id="104" w:name="_Toc246394434"/>
      <w:r>
        <w:rPr>
          <w:rStyle w:val="CharDivNo"/>
        </w:rPr>
        <w:t>Division 1</w:t>
      </w:r>
      <w:r>
        <w:t xml:space="preserve"> — </w:t>
      </w:r>
      <w:r>
        <w:rPr>
          <w:rStyle w:val="CharDivText"/>
        </w:rPr>
        <w:t>Entitlement to grant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spacing w:before="180"/>
      </w:pPr>
      <w:bookmarkStart w:id="105" w:name="_Toc479399633"/>
      <w:bookmarkStart w:id="106" w:name="_Toc35401819"/>
      <w:bookmarkStart w:id="107" w:name="_Toc103655065"/>
      <w:bookmarkStart w:id="108" w:name="_Toc246394435"/>
      <w:r>
        <w:rPr>
          <w:rStyle w:val="CharSectno"/>
        </w:rPr>
        <w:t>8</w:t>
      </w:r>
      <w:r>
        <w:t>.</w:t>
      </w:r>
      <w:r>
        <w:tab/>
        <w:t>Entitlement to grant</w:t>
      </w:r>
      <w:bookmarkEnd w:id="105"/>
      <w:bookmarkEnd w:id="106"/>
      <w:bookmarkEnd w:id="107"/>
      <w:bookmarkEnd w:id="108"/>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109" w:name="_Toc88880133"/>
      <w:bookmarkStart w:id="110" w:name="_Toc89519582"/>
      <w:bookmarkStart w:id="111" w:name="_Toc90883431"/>
      <w:bookmarkStart w:id="112" w:name="_Toc92523228"/>
      <w:bookmarkStart w:id="113" w:name="_Toc101164317"/>
      <w:bookmarkStart w:id="114" w:name="_Toc101235853"/>
      <w:bookmarkStart w:id="115" w:name="_Toc103655066"/>
      <w:bookmarkStart w:id="116" w:name="_Toc122255576"/>
      <w:bookmarkStart w:id="117" w:name="_Toc122255677"/>
      <w:bookmarkStart w:id="118" w:name="_Toc157854299"/>
      <w:bookmarkStart w:id="119" w:name="_Toc196800964"/>
      <w:bookmarkStart w:id="120" w:name="_Toc202511409"/>
      <w:bookmarkStart w:id="121" w:name="_Toc246329267"/>
      <w:bookmarkStart w:id="122" w:name="_Toc246394335"/>
      <w:bookmarkStart w:id="123" w:name="_Toc246394436"/>
      <w:r>
        <w:rPr>
          <w:rStyle w:val="CharDivNo"/>
        </w:rPr>
        <w:t>Division 2</w:t>
      </w:r>
      <w:r>
        <w:rPr>
          <w:snapToGrid w:val="0"/>
        </w:rPr>
        <w:t xml:space="preserve"> — </w:t>
      </w:r>
      <w:r>
        <w:rPr>
          <w:rStyle w:val="CharDivText"/>
        </w:rPr>
        <w:t>Eligibility criteria (applicants)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spacing w:before="180"/>
      </w:pPr>
      <w:bookmarkStart w:id="124" w:name="_Toc476650052"/>
      <w:bookmarkStart w:id="125" w:name="_Toc476727828"/>
      <w:bookmarkStart w:id="126" w:name="_Toc477076763"/>
      <w:bookmarkStart w:id="127" w:name="_Toc479399634"/>
      <w:bookmarkStart w:id="128" w:name="_Toc35401820"/>
      <w:bookmarkStart w:id="129" w:name="_Toc103655067"/>
      <w:bookmarkStart w:id="130" w:name="_Toc246394437"/>
      <w:r>
        <w:rPr>
          <w:rStyle w:val="CharSectno"/>
        </w:rPr>
        <w:t>9</w:t>
      </w:r>
      <w:r>
        <w:rPr>
          <w:snapToGrid w:val="0"/>
        </w:rPr>
        <w:t>.</w:t>
      </w:r>
      <w:r>
        <w:rPr>
          <w:snapToGrid w:val="0"/>
        </w:rPr>
        <w:tab/>
        <w:t>Criterion 1 — applicant to be a natural person</w:t>
      </w:r>
      <w:bookmarkEnd w:id="124"/>
      <w:bookmarkEnd w:id="125"/>
      <w:bookmarkEnd w:id="126"/>
      <w:bookmarkEnd w:id="127"/>
      <w:bookmarkEnd w:id="128"/>
      <w:bookmarkEnd w:id="129"/>
      <w:bookmarkEnd w:id="130"/>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31" w:name="_Toc103655068"/>
      <w:bookmarkStart w:id="132" w:name="_Toc246394438"/>
      <w:bookmarkStart w:id="133" w:name="_Toc476650053"/>
      <w:bookmarkStart w:id="134" w:name="_Toc476727829"/>
      <w:bookmarkStart w:id="135" w:name="_Toc477076764"/>
      <w:bookmarkStart w:id="136" w:name="_Toc479399635"/>
      <w:bookmarkStart w:id="137" w:name="_Toc35401821"/>
      <w:r>
        <w:rPr>
          <w:rStyle w:val="CharSectno"/>
        </w:rPr>
        <w:t>9A</w:t>
      </w:r>
      <w:r>
        <w:t>.</w:t>
      </w:r>
      <w:r>
        <w:tab/>
        <w:t>Criterion 1A — applicant to be at least 18 years of age</w:t>
      </w:r>
      <w:bookmarkEnd w:id="131"/>
      <w:bookmarkEnd w:id="13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38" w:name="_Toc103655069"/>
      <w:bookmarkStart w:id="139" w:name="_Toc246394439"/>
      <w:r>
        <w:rPr>
          <w:rStyle w:val="CharSectno"/>
        </w:rPr>
        <w:t>10</w:t>
      </w:r>
      <w:r>
        <w:t>.</w:t>
      </w:r>
      <w:r>
        <w:tab/>
        <w:t>Criterion 2 — applicant to be Australian citizen or permanent resident</w:t>
      </w:r>
      <w:bookmarkEnd w:id="133"/>
      <w:bookmarkEnd w:id="134"/>
      <w:bookmarkEnd w:id="135"/>
      <w:bookmarkEnd w:id="136"/>
      <w:bookmarkEnd w:id="137"/>
      <w:bookmarkEnd w:id="138"/>
      <w:bookmarkEnd w:id="13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40" w:name="_Toc103655070"/>
      <w:bookmarkStart w:id="141" w:name="_Toc246394440"/>
      <w:bookmarkStart w:id="142" w:name="_Toc476727831"/>
      <w:bookmarkStart w:id="143" w:name="_Toc477076766"/>
      <w:bookmarkStart w:id="144" w:name="_Toc479399637"/>
      <w:bookmarkStart w:id="145" w:name="_Toc35401823"/>
      <w:r>
        <w:rPr>
          <w:rStyle w:val="CharSectno"/>
        </w:rPr>
        <w:t>11</w:t>
      </w:r>
      <w:r>
        <w:t>.</w:t>
      </w:r>
      <w:r>
        <w:tab/>
        <w:t>Criterion 3 — except in certain circumstances, applicant or applicant’s spouse or de facto partner must not have received another grant</w:t>
      </w:r>
      <w:bookmarkEnd w:id="140"/>
      <w:bookmarkEnd w:id="141"/>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46" w:name="_Toc103655071"/>
      <w:bookmarkStart w:id="147" w:name="_Toc246394441"/>
      <w:r>
        <w:rPr>
          <w:rStyle w:val="CharSectno"/>
        </w:rPr>
        <w:t>12</w:t>
      </w:r>
      <w:r>
        <w:t>.</w:t>
      </w:r>
      <w:r>
        <w:tab/>
        <w:t>Criterion 4 — applicant or applicant’s spouse or de facto partner must not have had relevant interest in residential property</w:t>
      </w:r>
      <w:bookmarkEnd w:id="142"/>
      <w:bookmarkEnd w:id="143"/>
      <w:bookmarkEnd w:id="144"/>
      <w:bookmarkEnd w:id="145"/>
      <w:bookmarkEnd w:id="146"/>
      <w:bookmarkEnd w:id="147"/>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48" w:name="_Toc103655072"/>
      <w:bookmarkStart w:id="149" w:name="_Toc246394442"/>
      <w:r>
        <w:rPr>
          <w:rStyle w:val="CharSectno"/>
        </w:rPr>
        <w:t>13</w:t>
      </w:r>
      <w:r>
        <w:t>.</w:t>
      </w:r>
      <w:r>
        <w:tab/>
        <w:t>Criterion 5 — residence requirements</w:t>
      </w:r>
      <w:bookmarkEnd w:id="148"/>
      <w:bookmarkEnd w:id="14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50" w:name="_Toc103655073"/>
      <w:bookmarkStart w:id="151" w:name="_Toc246394443"/>
      <w:r>
        <w:rPr>
          <w:rStyle w:val="CharSectno"/>
        </w:rPr>
        <w:t>13A</w:t>
      </w:r>
      <w:r>
        <w:t>.</w:t>
      </w:r>
      <w:r>
        <w:tab/>
        <w:t>Criterion 6 — applicant must not have been convicted of an offence under this Act</w:t>
      </w:r>
      <w:bookmarkEnd w:id="150"/>
      <w:bookmarkEnd w:id="151"/>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52" w:name="_Toc88880143"/>
      <w:bookmarkStart w:id="153" w:name="_Toc89519590"/>
      <w:bookmarkStart w:id="154" w:name="_Toc90883439"/>
      <w:bookmarkStart w:id="155" w:name="_Toc92523236"/>
      <w:bookmarkStart w:id="156" w:name="_Toc101164325"/>
      <w:bookmarkStart w:id="157" w:name="_Toc101235861"/>
      <w:bookmarkStart w:id="158" w:name="_Toc103655074"/>
      <w:bookmarkStart w:id="159" w:name="_Toc122255584"/>
      <w:bookmarkStart w:id="160" w:name="_Toc122255685"/>
      <w:bookmarkStart w:id="161" w:name="_Toc157854307"/>
      <w:bookmarkStart w:id="162" w:name="_Toc196800972"/>
      <w:bookmarkStart w:id="163" w:name="_Toc202511417"/>
      <w:bookmarkStart w:id="164" w:name="_Toc246329275"/>
      <w:bookmarkStart w:id="165" w:name="_Toc246394343"/>
      <w:bookmarkStart w:id="166" w:name="_Toc246394444"/>
      <w:r>
        <w:rPr>
          <w:rStyle w:val="CharDivNo"/>
        </w:rPr>
        <w:t>Division 3</w:t>
      </w:r>
      <w:r>
        <w:t xml:space="preserve"> — </w:t>
      </w:r>
      <w:r>
        <w:rPr>
          <w:rStyle w:val="CharDivText"/>
        </w:rPr>
        <w:t>Eligible transactions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4"/>
      </w:pPr>
      <w:bookmarkStart w:id="167" w:name="_Toc88880144"/>
      <w:bookmarkStart w:id="168" w:name="_Toc89519591"/>
      <w:bookmarkStart w:id="169" w:name="_Toc90883440"/>
      <w:bookmarkStart w:id="170" w:name="_Toc92523237"/>
      <w:bookmarkStart w:id="171" w:name="_Toc101164326"/>
      <w:bookmarkStart w:id="172" w:name="_Toc101235862"/>
      <w:bookmarkStart w:id="173" w:name="_Toc103655075"/>
      <w:bookmarkStart w:id="174" w:name="_Toc122255585"/>
      <w:bookmarkStart w:id="175" w:name="_Toc122255686"/>
      <w:bookmarkStart w:id="176" w:name="_Toc157854308"/>
      <w:bookmarkStart w:id="177" w:name="_Toc196800973"/>
      <w:bookmarkStart w:id="178" w:name="_Toc202511418"/>
      <w:bookmarkStart w:id="179" w:name="_Toc246329276"/>
      <w:bookmarkStart w:id="180" w:name="_Toc246394344"/>
      <w:bookmarkStart w:id="181" w:name="_Toc246394445"/>
      <w:r>
        <w:t>Subdivision 1 — Eligible transactions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14 of 2001 s. 4.]</w:t>
      </w:r>
    </w:p>
    <w:p>
      <w:pPr>
        <w:pStyle w:val="Heading5"/>
      </w:pPr>
      <w:bookmarkStart w:id="182" w:name="_Toc476727833"/>
      <w:bookmarkStart w:id="183" w:name="_Toc477076768"/>
      <w:bookmarkStart w:id="184" w:name="_Toc479399639"/>
      <w:bookmarkStart w:id="185" w:name="_Toc35401825"/>
      <w:bookmarkStart w:id="186" w:name="_Toc103655076"/>
      <w:bookmarkStart w:id="187" w:name="_Toc246394446"/>
      <w:r>
        <w:rPr>
          <w:rStyle w:val="CharSectno"/>
        </w:rPr>
        <w:t>14</w:t>
      </w:r>
      <w:r>
        <w:t>.</w:t>
      </w:r>
      <w:r>
        <w:tab/>
        <w:t>Eligible transaction</w:t>
      </w:r>
      <w:bookmarkEnd w:id="182"/>
      <w:bookmarkEnd w:id="183"/>
      <w:bookmarkEnd w:id="184"/>
      <w:bookmarkEnd w:id="185"/>
      <w:bookmarkEnd w:id="186"/>
      <w:bookmarkEnd w:id="187"/>
    </w:p>
    <w:p>
      <w:pPr>
        <w:pStyle w:val="Subsection"/>
      </w:pPr>
      <w:r>
        <w:tab/>
        <w:t>(1)</w:t>
      </w:r>
      <w:r>
        <w:tab/>
        <w:t xml:space="preserve">An </w:t>
      </w:r>
      <w:r>
        <w:rPr>
          <w:rStyle w:val="CharDefText"/>
        </w:rPr>
        <w:t>eligible transaction</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rStyle w:val="CharDefText"/>
        </w:rPr>
        <w:t>commencement date</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88" w:name="_Toc88880146"/>
      <w:bookmarkStart w:id="189" w:name="_Toc89519593"/>
      <w:bookmarkStart w:id="190" w:name="_Toc90883442"/>
      <w:bookmarkStart w:id="191" w:name="_Toc92523239"/>
      <w:bookmarkStart w:id="192" w:name="_Toc101164328"/>
      <w:bookmarkStart w:id="193" w:name="_Toc101235864"/>
      <w:bookmarkStart w:id="194" w:name="_Toc103655077"/>
      <w:bookmarkStart w:id="195" w:name="_Toc122255587"/>
      <w:bookmarkStart w:id="196" w:name="_Toc122255688"/>
      <w:bookmarkStart w:id="197" w:name="_Toc157854310"/>
      <w:bookmarkStart w:id="198" w:name="_Toc196800975"/>
      <w:bookmarkStart w:id="199" w:name="_Toc202511420"/>
      <w:bookmarkStart w:id="200" w:name="_Toc246329278"/>
      <w:bookmarkStart w:id="201" w:name="_Toc246394346"/>
      <w:bookmarkStart w:id="202" w:name="_Toc246394447"/>
      <w:r>
        <w:t>Subdivision 2 — Special eligible transactions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by No. 14 of 2001 s. 5.]</w:t>
      </w:r>
    </w:p>
    <w:p>
      <w:pPr>
        <w:pStyle w:val="Heading5"/>
      </w:pPr>
      <w:bookmarkStart w:id="203" w:name="_Toc245793440"/>
      <w:bookmarkStart w:id="204" w:name="_Toc246319948"/>
      <w:bookmarkStart w:id="205" w:name="_Toc246394448"/>
      <w:bookmarkStart w:id="206" w:name="_Toc35401827"/>
      <w:bookmarkStart w:id="207" w:name="_Toc103655079"/>
      <w:r>
        <w:rPr>
          <w:rStyle w:val="CharSectno"/>
        </w:rPr>
        <w:t>14A</w:t>
      </w:r>
      <w:r>
        <w:t>.</w:t>
      </w:r>
      <w:r>
        <w:tab/>
        <w:t>Terms used</w:t>
      </w:r>
      <w:bookmarkEnd w:id="203"/>
      <w:bookmarkEnd w:id="204"/>
      <w:bookmarkEnd w:id="205"/>
      <w:r>
        <w:t xml:space="preserve"> </w:t>
      </w:r>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pPr>
      <w:bookmarkStart w:id="208" w:name="_Toc246394449"/>
      <w:r>
        <w:rPr>
          <w:rStyle w:val="CharSectno"/>
        </w:rPr>
        <w:t>14B</w:t>
      </w:r>
      <w:r>
        <w:t>.</w:t>
      </w:r>
      <w:r>
        <w:tab/>
        <w:t>Special eligible transactions</w:t>
      </w:r>
      <w:bookmarkEnd w:id="206"/>
      <w:bookmarkEnd w:id="207"/>
      <w:bookmarkEnd w:id="208"/>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rPr>
          <w:rStyle w:val="CharDefText"/>
          <w:b w:val="0"/>
          <w:bCs/>
          <w:i w:val="0"/>
          <w:iCs/>
        </w:rPr>
      </w:pPr>
      <w:r>
        <w:tab/>
        <w:t>(3)</w:t>
      </w:r>
      <w:r>
        <w:tab/>
        <w:t xml:space="preserve">A </w:t>
      </w:r>
      <w:r>
        <w:rPr>
          <w:rStyle w:val="CharDefText"/>
          <w:bCs/>
          <w:iCs/>
        </w:rPr>
        <w:t>class 5</w:t>
      </w:r>
      <w:r>
        <w:rPr>
          <w:rStyle w:val="CharDefText"/>
        </w:rPr>
        <w:t xml:space="preserve"> eligible transaction </w:t>
      </w:r>
      <w:r>
        <w:rPr>
          <w:rStyle w:val="CharDefText"/>
          <w:b w:val="0"/>
          <w:bCs/>
          <w:i w:val="0"/>
          <w:iCs/>
        </w:rPr>
        <w:t xml:space="preserve">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(4A)</w:t>
      </w:r>
      <w:r>
        <w:tab/>
        <w:t>A</w:t>
      </w:r>
      <w:r>
        <w:rPr>
          <w:rStyle w:val="CharDefText"/>
        </w:rPr>
        <w:t xml:space="preserve"> class 6 eligible transaction i</w:t>
      </w:r>
      <w:r>
        <w:t>s an eligible transaction the commencement date of which is not before 1 October 2009 and not after the cut-off date that is a contract for the purchase of an established home.</w:t>
      </w:r>
    </w:p>
    <w:p>
      <w:pPr>
        <w:pStyle w:val="Subsection"/>
      </w:pPr>
      <w:r>
        <w:tab/>
        <w:t>(4B)</w:t>
      </w:r>
      <w:r>
        <w:tab/>
        <w:t>A</w:t>
      </w:r>
      <w:r>
        <w:rPr>
          <w:rStyle w:val="CharDefText"/>
        </w:rPr>
        <w:t xml:space="preserve"> class 7 eligible transaction i</w:t>
      </w:r>
      <w:r>
        <w:t>s an eligible transaction the commencement date of which is not before 1 October 2009 and not after the cut-off date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209" w:name="_Toc88880149"/>
      <w:bookmarkStart w:id="210" w:name="_Toc89519596"/>
      <w:bookmarkStart w:id="211" w:name="_Toc90883445"/>
      <w:bookmarkStart w:id="212" w:name="_Toc92523242"/>
      <w:bookmarkStart w:id="213" w:name="_Toc101164331"/>
      <w:bookmarkStart w:id="214" w:name="_Toc101235867"/>
      <w:bookmarkStart w:id="215" w:name="_Toc103655080"/>
      <w:bookmarkStart w:id="216" w:name="_Toc122255590"/>
      <w:bookmarkStart w:id="217" w:name="_Toc122255691"/>
      <w:bookmarkStart w:id="218" w:name="_Toc157854313"/>
      <w:bookmarkStart w:id="219" w:name="_Toc196800978"/>
      <w:bookmarkStart w:id="220" w:name="_Toc202511423"/>
      <w:bookmarkStart w:id="221" w:name="_Toc246329282"/>
      <w:bookmarkStart w:id="222" w:name="_Toc246394349"/>
      <w:bookmarkStart w:id="223" w:name="_Toc246394450"/>
      <w:r>
        <w:rPr>
          <w:rStyle w:val="CharDivNo"/>
        </w:rPr>
        <w:t>Division 4</w:t>
      </w:r>
      <w:r>
        <w:t xml:space="preserve"> — </w:t>
      </w:r>
      <w:r>
        <w:rPr>
          <w:rStyle w:val="CharDivText"/>
        </w:rPr>
        <w:t>Application for the grant</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76727834"/>
      <w:bookmarkStart w:id="225" w:name="_Toc477076769"/>
      <w:bookmarkStart w:id="226" w:name="_Toc479399640"/>
      <w:bookmarkStart w:id="227" w:name="_Toc35401828"/>
      <w:bookmarkStart w:id="228" w:name="_Toc103655081"/>
      <w:bookmarkStart w:id="229" w:name="_Toc246394451"/>
      <w:r>
        <w:rPr>
          <w:rStyle w:val="CharSectno"/>
        </w:rPr>
        <w:t>15</w:t>
      </w:r>
      <w:r>
        <w:t>.</w:t>
      </w:r>
      <w:r>
        <w:tab/>
        <w:t>Application for grant</w:t>
      </w:r>
      <w:bookmarkEnd w:id="224"/>
      <w:bookmarkEnd w:id="225"/>
      <w:bookmarkEnd w:id="226"/>
      <w:bookmarkEnd w:id="227"/>
      <w:bookmarkEnd w:id="228"/>
      <w:bookmarkEnd w:id="229"/>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230" w:name="_Toc476727835"/>
      <w:bookmarkStart w:id="231" w:name="_Toc477076770"/>
      <w:bookmarkStart w:id="232" w:name="_Toc479399641"/>
      <w:bookmarkStart w:id="233" w:name="_Toc35401829"/>
      <w:bookmarkStart w:id="234" w:name="_Toc103655082"/>
      <w:bookmarkStart w:id="235" w:name="_Toc246394452"/>
      <w:r>
        <w:rPr>
          <w:rStyle w:val="CharSectno"/>
        </w:rPr>
        <w:t>16</w:t>
      </w:r>
      <w:r>
        <w:t>.</w:t>
      </w:r>
      <w:r>
        <w:tab/>
        <w:t>Interested persons</w:t>
      </w:r>
      <w:bookmarkEnd w:id="230"/>
      <w:bookmarkEnd w:id="231"/>
      <w:bookmarkEnd w:id="232"/>
      <w:bookmarkEnd w:id="233"/>
      <w:bookmarkEnd w:id="234"/>
      <w:bookmarkEnd w:id="235"/>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eligible transaction to which the application relates, an owner of the relevant home.</w:t>
      </w:r>
    </w:p>
    <w:p>
      <w:pPr>
        <w:pStyle w:val="Heading5"/>
      </w:pPr>
      <w:bookmarkStart w:id="236" w:name="_Toc476727836"/>
      <w:bookmarkStart w:id="237" w:name="_Toc477076771"/>
      <w:bookmarkStart w:id="238" w:name="_Toc479399642"/>
      <w:bookmarkStart w:id="239" w:name="_Toc35401830"/>
      <w:bookmarkStart w:id="240" w:name="_Toc103655083"/>
      <w:bookmarkStart w:id="241" w:name="_Toc246394453"/>
      <w:r>
        <w:rPr>
          <w:rStyle w:val="CharSectno"/>
        </w:rPr>
        <w:t>17</w:t>
      </w:r>
      <w:r>
        <w:t>.</w:t>
      </w:r>
      <w:r>
        <w:tab/>
        <w:t>Application on behalf of person under legal disability</w:t>
      </w:r>
      <w:bookmarkEnd w:id="236"/>
      <w:bookmarkEnd w:id="237"/>
      <w:bookmarkEnd w:id="238"/>
      <w:bookmarkEnd w:id="239"/>
      <w:bookmarkEnd w:id="240"/>
      <w:bookmarkEnd w:id="241"/>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42" w:name="_Toc88880153"/>
      <w:bookmarkStart w:id="243" w:name="_Toc89519600"/>
      <w:bookmarkStart w:id="244" w:name="_Toc90883449"/>
      <w:bookmarkStart w:id="245" w:name="_Toc92523246"/>
      <w:bookmarkStart w:id="246" w:name="_Toc101164335"/>
      <w:bookmarkStart w:id="247" w:name="_Toc101235871"/>
      <w:bookmarkStart w:id="248" w:name="_Toc103655084"/>
      <w:bookmarkStart w:id="249" w:name="_Toc122255594"/>
      <w:bookmarkStart w:id="250" w:name="_Toc122255695"/>
      <w:bookmarkStart w:id="251" w:name="_Toc157854317"/>
      <w:bookmarkStart w:id="252" w:name="_Toc196800982"/>
      <w:bookmarkStart w:id="253" w:name="_Toc202511427"/>
      <w:bookmarkStart w:id="254" w:name="_Toc246329286"/>
      <w:bookmarkStart w:id="255" w:name="_Toc246394353"/>
      <w:bookmarkStart w:id="256" w:name="_Toc246394454"/>
      <w:r>
        <w:rPr>
          <w:rStyle w:val="CharDivNo"/>
        </w:rPr>
        <w:t>Division 5</w:t>
      </w:r>
      <w:r>
        <w:t xml:space="preserve"> — </w:t>
      </w:r>
      <w:r>
        <w:rPr>
          <w:rStyle w:val="CharDivText"/>
        </w:rPr>
        <w:t>Decision on application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76727837"/>
      <w:bookmarkStart w:id="258" w:name="_Toc477076772"/>
      <w:bookmarkStart w:id="259" w:name="_Toc479399643"/>
      <w:bookmarkStart w:id="260" w:name="_Toc35401831"/>
      <w:bookmarkStart w:id="261" w:name="_Toc103655085"/>
      <w:bookmarkStart w:id="262" w:name="_Toc246394455"/>
      <w:r>
        <w:rPr>
          <w:rStyle w:val="CharSectno"/>
        </w:rPr>
        <w:t>18</w:t>
      </w:r>
      <w:r>
        <w:t>.</w:t>
      </w:r>
      <w:r>
        <w:tab/>
        <w:t>Commissioner to authorise payment of grant</w:t>
      </w:r>
      <w:bookmarkEnd w:id="257"/>
      <w:bookmarkEnd w:id="258"/>
      <w:bookmarkEnd w:id="259"/>
      <w:bookmarkEnd w:id="260"/>
      <w:bookmarkEnd w:id="261"/>
      <w:bookmarkEnd w:id="262"/>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63" w:name="_Toc476727838"/>
      <w:bookmarkStart w:id="264" w:name="_Toc477076773"/>
      <w:bookmarkStart w:id="265" w:name="_Toc479399644"/>
      <w:bookmarkStart w:id="266" w:name="_Toc35401832"/>
      <w:bookmarkStart w:id="267" w:name="_Toc103655086"/>
      <w:bookmarkStart w:id="268" w:name="_Toc246394456"/>
      <w:r>
        <w:rPr>
          <w:rStyle w:val="CharSectno"/>
        </w:rPr>
        <w:t>19</w:t>
      </w:r>
      <w:r>
        <w:t>.</w:t>
      </w:r>
      <w:r>
        <w:tab/>
        <w:t>Amount of grant</w:t>
      </w:r>
      <w:bookmarkEnd w:id="263"/>
      <w:bookmarkEnd w:id="264"/>
      <w:bookmarkEnd w:id="265"/>
      <w:bookmarkEnd w:id="266"/>
      <w:bookmarkEnd w:id="267"/>
      <w:bookmarkEnd w:id="268"/>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w:t>
      </w:r>
    </w:p>
    <w:p>
      <w:pPr>
        <w:pStyle w:val="Heading5"/>
      </w:pPr>
      <w:bookmarkStart w:id="269" w:name="_Toc476727839"/>
      <w:bookmarkStart w:id="270" w:name="_Toc477076774"/>
      <w:bookmarkStart w:id="271" w:name="_Toc479399645"/>
      <w:bookmarkStart w:id="272" w:name="_Toc35401833"/>
      <w:bookmarkStart w:id="273" w:name="_Toc103655087"/>
      <w:bookmarkStart w:id="274" w:name="_Toc246394457"/>
      <w:r>
        <w:rPr>
          <w:rStyle w:val="CharSectno"/>
        </w:rPr>
        <w:t>20</w:t>
      </w:r>
      <w:r>
        <w:t>.</w:t>
      </w:r>
      <w:r>
        <w:tab/>
        <w:t>Payment of grant</w:t>
      </w:r>
      <w:bookmarkEnd w:id="269"/>
      <w:bookmarkEnd w:id="270"/>
      <w:bookmarkEnd w:id="271"/>
      <w:bookmarkEnd w:id="272"/>
      <w:bookmarkEnd w:id="273"/>
      <w:bookmarkEnd w:id="274"/>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75" w:name="_Toc476727840"/>
      <w:bookmarkStart w:id="276" w:name="_Toc477076775"/>
      <w:bookmarkStart w:id="277" w:name="_Toc479399646"/>
      <w:bookmarkStart w:id="278" w:name="_Toc35401834"/>
      <w:bookmarkStart w:id="279" w:name="_Toc103655088"/>
      <w:bookmarkStart w:id="280" w:name="_Toc246394458"/>
      <w:r>
        <w:rPr>
          <w:rStyle w:val="CharSectno"/>
        </w:rPr>
        <w:t>21</w:t>
      </w:r>
      <w:r>
        <w:t>.</w:t>
      </w:r>
      <w:r>
        <w:tab/>
        <w:t>Payment in anticipation of compliance with residence requirement</w:t>
      </w:r>
      <w:bookmarkEnd w:id="275"/>
      <w:bookmarkEnd w:id="276"/>
      <w:bookmarkEnd w:id="277"/>
      <w:bookmarkEnd w:id="278"/>
      <w:bookmarkEnd w:id="279"/>
      <w:bookmarkEnd w:id="280"/>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81" w:name="_Toc479399647"/>
      <w:bookmarkStart w:id="282"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83" w:name="_Toc103655089"/>
      <w:bookmarkStart w:id="284" w:name="_Toc246394459"/>
      <w:r>
        <w:rPr>
          <w:rStyle w:val="CharSectno"/>
        </w:rPr>
        <w:t>22</w:t>
      </w:r>
      <w:r>
        <w:t>.</w:t>
      </w:r>
      <w:r>
        <w:tab/>
        <w:t>Commissioner may impose conditions</w:t>
      </w:r>
      <w:bookmarkEnd w:id="281"/>
      <w:bookmarkEnd w:id="282"/>
      <w:bookmarkEnd w:id="283"/>
      <w:bookmarkEnd w:id="28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85" w:name="_Hlt476728030"/>
      <w:r>
        <w:t>2)</w:t>
      </w:r>
      <w:bookmarkEnd w:id="285"/>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86" w:name="_Toc477076777"/>
      <w:bookmarkStart w:id="287" w:name="_Toc479399648"/>
      <w:bookmarkStart w:id="288" w:name="_Toc35401836"/>
      <w:bookmarkStart w:id="289" w:name="_Toc103655090"/>
      <w:bookmarkStart w:id="290" w:name="_Toc246394460"/>
      <w:r>
        <w:rPr>
          <w:rStyle w:val="CharSectno"/>
        </w:rPr>
        <w:t>23</w:t>
      </w:r>
      <w:r>
        <w:t>.</w:t>
      </w:r>
      <w:r>
        <w:tab/>
        <w:t>Death of applicant</w:t>
      </w:r>
      <w:bookmarkEnd w:id="286"/>
      <w:bookmarkEnd w:id="287"/>
      <w:bookmarkEnd w:id="288"/>
      <w:bookmarkEnd w:id="289"/>
      <w:bookmarkEnd w:id="290"/>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91" w:name="_Toc477076778"/>
      <w:bookmarkStart w:id="292" w:name="_Toc479399649"/>
      <w:bookmarkStart w:id="293"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94" w:name="_Toc103655091"/>
      <w:bookmarkStart w:id="295" w:name="_Toc246394461"/>
      <w:r>
        <w:rPr>
          <w:rStyle w:val="CharSectno"/>
        </w:rPr>
        <w:t>24</w:t>
      </w:r>
      <w:r>
        <w:rPr>
          <w:snapToGrid w:val="0"/>
        </w:rPr>
        <w:t>.</w:t>
      </w:r>
      <w:r>
        <w:rPr>
          <w:snapToGrid w:val="0"/>
        </w:rPr>
        <w:tab/>
        <w:t>Power to correct decision</w:t>
      </w:r>
      <w:bookmarkEnd w:id="291"/>
      <w:bookmarkEnd w:id="292"/>
      <w:bookmarkEnd w:id="293"/>
      <w:bookmarkEnd w:id="294"/>
      <w:bookmarkEnd w:id="29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96" w:name="_Toc477076779"/>
      <w:bookmarkStart w:id="297" w:name="_Toc479399650"/>
      <w:bookmarkStart w:id="298" w:name="_Toc35401838"/>
      <w:bookmarkStart w:id="299" w:name="_Toc103655092"/>
      <w:bookmarkStart w:id="300" w:name="_Toc246394462"/>
      <w:r>
        <w:rPr>
          <w:rStyle w:val="CharSectno"/>
        </w:rPr>
        <w:t>25</w:t>
      </w:r>
      <w:r>
        <w:rPr>
          <w:snapToGrid w:val="0"/>
        </w:rPr>
        <w:t>.</w:t>
      </w:r>
      <w:r>
        <w:rPr>
          <w:snapToGrid w:val="0"/>
        </w:rPr>
        <w:tab/>
        <w:t>Notice of decision</w:t>
      </w:r>
      <w:bookmarkEnd w:id="296"/>
      <w:bookmarkEnd w:id="297"/>
      <w:bookmarkEnd w:id="298"/>
      <w:bookmarkEnd w:id="299"/>
      <w:bookmarkEnd w:id="300"/>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301" w:name="_Toc88880162"/>
      <w:bookmarkStart w:id="302" w:name="_Toc89519609"/>
      <w:bookmarkStart w:id="303" w:name="_Toc90883458"/>
      <w:bookmarkStart w:id="304" w:name="_Toc92523255"/>
      <w:bookmarkStart w:id="305" w:name="_Toc101164344"/>
      <w:bookmarkStart w:id="306" w:name="_Toc101235880"/>
      <w:bookmarkStart w:id="307" w:name="_Toc103655093"/>
      <w:bookmarkStart w:id="308" w:name="_Toc122255603"/>
      <w:bookmarkStart w:id="309" w:name="_Toc122255704"/>
      <w:bookmarkStart w:id="310" w:name="_Toc157854326"/>
      <w:bookmarkStart w:id="311" w:name="_Toc196800991"/>
      <w:bookmarkStart w:id="312" w:name="_Toc202511436"/>
      <w:bookmarkStart w:id="313" w:name="_Toc246329295"/>
      <w:bookmarkStart w:id="314" w:name="_Toc246394362"/>
      <w:bookmarkStart w:id="315" w:name="_Toc246394463"/>
      <w:r>
        <w:rPr>
          <w:rStyle w:val="CharDivNo"/>
        </w:rPr>
        <w:t>Division 6</w:t>
      </w:r>
      <w:r>
        <w:t xml:space="preserve"> — </w:t>
      </w:r>
      <w:r>
        <w:rPr>
          <w:rStyle w:val="CharDivText"/>
        </w:rPr>
        <w:t xml:space="preserve">Objections and </w:t>
      </w:r>
      <w:bookmarkEnd w:id="301"/>
      <w:bookmarkEnd w:id="302"/>
      <w:r>
        <w:rPr>
          <w:rStyle w:val="CharDivText"/>
        </w:rPr>
        <w:t>review</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[Heading amended by No. 55 of 2004 s. 374.]</w:t>
      </w:r>
    </w:p>
    <w:p>
      <w:pPr>
        <w:pStyle w:val="Heading4"/>
      </w:pPr>
      <w:bookmarkStart w:id="316" w:name="_Toc88880163"/>
      <w:bookmarkStart w:id="317" w:name="_Toc89519610"/>
      <w:bookmarkStart w:id="318" w:name="_Toc90883459"/>
      <w:bookmarkStart w:id="319" w:name="_Toc92523256"/>
      <w:bookmarkStart w:id="320" w:name="_Toc101164345"/>
      <w:bookmarkStart w:id="321" w:name="_Toc101235881"/>
      <w:bookmarkStart w:id="322" w:name="_Toc103655094"/>
      <w:bookmarkStart w:id="323" w:name="_Toc122255604"/>
      <w:bookmarkStart w:id="324" w:name="_Toc122255705"/>
      <w:bookmarkStart w:id="325" w:name="_Toc157854327"/>
      <w:bookmarkStart w:id="326" w:name="_Toc196800992"/>
      <w:bookmarkStart w:id="327" w:name="_Toc202511437"/>
      <w:bookmarkStart w:id="328" w:name="_Toc246329296"/>
      <w:bookmarkStart w:id="329" w:name="_Toc246394363"/>
      <w:bookmarkStart w:id="330" w:name="_Toc246394464"/>
      <w:r>
        <w:t>Subdivision 1 — Definitions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477076780"/>
      <w:bookmarkStart w:id="332" w:name="_Toc479399651"/>
      <w:bookmarkStart w:id="333" w:name="_Toc35401839"/>
      <w:bookmarkStart w:id="334" w:name="_Toc103655095"/>
      <w:bookmarkStart w:id="335" w:name="_Toc246394465"/>
      <w:r>
        <w:rPr>
          <w:rStyle w:val="CharSectno"/>
        </w:rPr>
        <w:t>26</w:t>
      </w:r>
      <w:r>
        <w:t>.</w:t>
      </w:r>
      <w:r>
        <w:tab/>
        <w:t>Definition</w:t>
      </w:r>
      <w:bookmarkEnd w:id="331"/>
      <w:r>
        <w:t>s</w:t>
      </w:r>
      <w:bookmarkEnd w:id="332"/>
      <w:bookmarkEnd w:id="333"/>
      <w:bookmarkEnd w:id="334"/>
      <w:bookmarkEnd w:id="335"/>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21(2); and</w:t>
      </w:r>
    </w:p>
    <w:p>
      <w:pPr>
        <w:pStyle w:val="Indenta"/>
      </w:pPr>
      <w:r>
        <w:tab/>
        <w:t>(d)</w:t>
      </w:r>
      <w:r>
        <w:tab/>
        <w:t>an imposition of a penalty under section 21(5) or 51(2) or (3);</w:t>
      </w:r>
    </w:p>
    <w:p>
      <w:pPr>
        <w:pStyle w:val="Defstart"/>
      </w:pPr>
      <w:r>
        <w:tab/>
      </w:r>
      <w:r>
        <w:rPr>
          <w:rStyle w:val="CharDefText"/>
        </w:rPr>
        <w:t>objector</w:t>
      </w:r>
      <w:r>
        <w:t xml:space="preserve"> means a person who makes an objection under section </w:t>
      </w:r>
      <w:bookmarkStart w:id="336" w:name="_Hlt478898308"/>
      <w:r>
        <w:t>27</w:t>
      </w:r>
      <w:bookmarkEnd w:id="336"/>
      <w:r>
        <w:t>.</w:t>
      </w:r>
    </w:p>
    <w:p>
      <w:pPr>
        <w:pStyle w:val="Footnotesection"/>
      </w:pPr>
      <w:r>
        <w:tab/>
        <w:t>[Section 26 amended by No. 13 of 2003 s. 8; No. 27 of 2009 s. 16.]</w:t>
      </w:r>
    </w:p>
    <w:p>
      <w:pPr>
        <w:pStyle w:val="Heading4"/>
      </w:pPr>
      <w:bookmarkStart w:id="337" w:name="_Toc88880165"/>
      <w:bookmarkStart w:id="338" w:name="_Toc89519612"/>
      <w:bookmarkStart w:id="339" w:name="_Toc90883461"/>
      <w:bookmarkStart w:id="340" w:name="_Toc92523258"/>
      <w:bookmarkStart w:id="341" w:name="_Toc101164347"/>
      <w:bookmarkStart w:id="342" w:name="_Toc101235883"/>
      <w:bookmarkStart w:id="343" w:name="_Toc103655096"/>
      <w:bookmarkStart w:id="344" w:name="_Toc122255606"/>
      <w:bookmarkStart w:id="345" w:name="_Toc122255707"/>
      <w:bookmarkStart w:id="346" w:name="_Toc157854329"/>
      <w:bookmarkStart w:id="347" w:name="_Toc196800994"/>
      <w:bookmarkStart w:id="348" w:name="_Toc202511439"/>
      <w:bookmarkStart w:id="349" w:name="_Toc246329298"/>
      <w:bookmarkStart w:id="350" w:name="_Toc246394365"/>
      <w:bookmarkStart w:id="351" w:name="_Toc246394466"/>
      <w:r>
        <w:t>Subdivision 2 — Objections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77076781"/>
      <w:bookmarkStart w:id="353" w:name="_Toc479399652"/>
      <w:bookmarkStart w:id="354" w:name="_Toc35401840"/>
      <w:bookmarkStart w:id="355" w:name="_Toc103655097"/>
      <w:bookmarkStart w:id="356" w:name="_Toc246394467"/>
      <w:r>
        <w:rPr>
          <w:rStyle w:val="CharSectno"/>
        </w:rPr>
        <w:t>27</w:t>
      </w:r>
      <w:r>
        <w:t>.</w:t>
      </w:r>
      <w:r>
        <w:tab/>
        <w:t>Right to object and procedure for making objections</w:t>
      </w:r>
      <w:bookmarkEnd w:id="352"/>
      <w:bookmarkEnd w:id="353"/>
      <w:bookmarkEnd w:id="354"/>
      <w:bookmarkEnd w:id="355"/>
      <w:bookmarkEnd w:id="356"/>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357" w:name="_Toc477076782"/>
      <w:bookmarkStart w:id="358" w:name="_Toc479399653"/>
      <w:bookmarkStart w:id="359" w:name="_Toc35401841"/>
      <w:bookmarkStart w:id="360" w:name="_Toc103655098"/>
      <w:bookmarkStart w:id="361" w:name="_Toc246394468"/>
      <w:r>
        <w:rPr>
          <w:rStyle w:val="CharSectno"/>
        </w:rPr>
        <w:t>28</w:t>
      </w:r>
      <w:r>
        <w:t>.</w:t>
      </w:r>
      <w:r>
        <w:tab/>
        <w:t>Time for lodging objection</w:t>
      </w:r>
      <w:bookmarkEnd w:id="357"/>
      <w:bookmarkEnd w:id="358"/>
      <w:bookmarkEnd w:id="359"/>
      <w:bookmarkEnd w:id="360"/>
      <w:bookmarkEnd w:id="361"/>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spacing w:before="180"/>
      </w:pPr>
      <w:bookmarkStart w:id="362" w:name="_Toc477076783"/>
      <w:bookmarkStart w:id="363" w:name="_Toc479399654"/>
      <w:bookmarkStart w:id="364" w:name="_Toc35401842"/>
      <w:bookmarkStart w:id="365" w:name="_Toc103655099"/>
      <w:bookmarkStart w:id="366" w:name="_Toc246394469"/>
      <w:r>
        <w:rPr>
          <w:rStyle w:val="CharSectno"/>
        </w:rPr>
        <w:t>29</w:t>
      </w:r>
      <w:r>
        <w:rPr>
          <w:snapToGrid w:val="0"/>
        </w:rPr>
        <w:t>.</w:t>
      </w:r>
      <w:r>
        <w:rPr>
          <w:snapToGrid w:val="0"/>
        </w:rPr>
        <w:tab/>
        <w:t>Consideration of objection</w:t>
      </w:r>
      <w:bookmarkEnd w:id="362"/>
      <w:bookmarkEnd w:id="363"/>
      <w:bookmarkEnd w:id="364"/>
      <w:bookmarkEnd w:id="365"/>
      <w:bookmarkEnd w:id="366"/>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67" w:name="_Toc477076784"/>
      <w:bookmarkStart w:id="368" w:name="_Toc479399655"/>
      <w:bookmarkStart w:id="369" w:name="_Toc35401843"/>
      <w:bookmarkStart w:id="370" w:name="_Toc103655100"/>
      <w:bookmarkStart w:id="371" w:name="_Toc246394470"/>
      <w:r>
        <w:rPr>
          <w:rStyle w:val="CharSectno"/>
        </w:rPr>
        <w:t>30</w:t>
      </w:r>
      <w:r>
        <w:rPr>
          <w:snapToGrid w:val="0"/>
        </w:rPr>
        <w:t>.</w:t>
      </w:r>
      <w:r>
        <w:rPr>
          <w:snapToGrid w:val="0"/>
        </w:rPr>
        <w:tab/>
        <w:t>Decision on objection</w:t>
      </w:r>
      <w:bookmarkEnd w:id="367"/>
      <w:bookmarkEnd w:id="368"/>
      <w:bookmarkEnd w:id="369"/>
      <w:bookmarkEnd w:id="370"/>
      <w:bookmarkEnd w:id="371"/>
    </w:p>
    <w:p>
      <w:pPr>
        <w:pStyle w:val="Subsection"/>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372" w:name="_Toc88880170"/>
      <w:bookmarkStart w:id="373" w:name="_Toc89519617"/>
      <w:bookmarkStart w:id="374" w:name="_Toc90883466"/>
      <w:bookmarkStart w:id="375" w:name="_Toc92523263"/>
      <w:bookmarkStart w:id="376" w:name="_Toc101164352"/>
      <w:bookmarkStart w:id="377" w:name="_Toc101235888"/>
      <w:bookmarkStart w:id="378" w:name="_Toc103655101"/>
      <w:bookmarkStart w:id="379" w:name="_Toc122255611"/>
      <w:bookmarkStart w:id="380" w:name="_Toc122255712"/>
      <w:bookmarkStart w:id="381" w:name="_Toc157854334"/>
      <w:bookmarkStart w:id="382" w:name="_Toc196800999"/>
      <w:bookmarkStart w:id="383"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384" w:name="_Toc246329303"/>
      <w:bookmarkStart w:id="385" w:name="_Toc246394370"/>
      <w:bookmarkStart w:id="386" w:name="_Toc246394471"/>
      <w:r>
        <w:rPr>
          <w:snapToGrid w:val="0"/>
        </w:rPr>
        <w:t xml:space="preserve">Subdivision 3 — </w:t>
      </w:r>
      <w:bookmarkEnd w:id="372"/>
      <w:bookmarkEnd w:id="373"/>
      <w:r>
        <w:t>Review</w:t>
      </w:r>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spacing w:before="100"/>
      </w:pPr>
      <w:r>
        <w:tab/>
        <w:t>[Heading amended by No. 55 of 2004 s. 375.]</w:t>
      </w:r>
    </w:p>
    <w:p>
      <w:pPr>
        <w:pStyle w:val="Heading5"/>
        <w:spacing w:before="180"/>
      </w:pPr>
      <w:bookmarkStart w:id="387" w:name="_Toc103655102"/>
      <w:bookmarkStart w:id="388" w:name="_Toc246394472"/>
      <w:r>
        <w:rPr>
          <w:rStyle w:val="CharSectno"/>
        </w:rPr>
        <w:t>31</w:t>
      </w:r>
      <w:r>
        <w:t>.</w:t>
      </w:r>
      <w:r>
        <w:tab/>
        <w:t>Right of review</w:t>
      </w:r>
      <w:bookmarkEnd w:id="387"/>
      <w:bookmarkEnd w:id="388"/>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89" w:name="_Toc245793463"/>
      <w:bookmarkStart w:id="390" w:name="_Toc246319971"/>
      <w:bookmarkStart w:id="391" w:name="_Toc246394473"/>
      <w:r>
        <w:rPr>
          <w:rStyle w:val="CharSectno"/>
        </w:rPr>
        <w:t>32</w:t>
      </w:r>
      <w:r>
        <w:t>.</w:t>
      </w:r>
      <w:r>
        <w:tab/>
        <w:t>Payment following determination of review</w:t>
      </w:r>
      <w:bookmarkEnd w:id="389"/>
      <w:bookmarkEnd w:id="390"/>
      <w:bookmarkEnd w:id="391"/>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r>
      <w:r>
        <w:tab/>
        <w:t>Deleted by No. 55 of 2004 s. 379.]</w:t>
      </w:r>
    </w:p>
    <w:p>
      <w:pPr>
        <w:pStyle w:val="Heading2"/>
      </w:pPr>
      <w:bookmarkStart w:id="392" w:name="_Toc88880175"/>
      <w:bookmarkStart w:id="393" w:name="_Toc89519622"/>
      <w:bookmarkStart w:id="394" w:name="_Toc90883471"/>
      <w:bookmarkStart w:id="395" w:name="_Toc92523266"/>
      <w:bookmarkStart w:id="396" w:name="_Toc101164355"/>
      <w:bookmarkStart w:id="397" w:name="_Toc101235891"/>
      <w:bookmarkStart w:id="398" w:name="_Toc103655104"/>
      <w:bookmarkStart w:id="399" w:name="_Toc122255614"/>
      <w:bookmarkStart w:id="400" w:name="_Toc122255715"/>
      <w:bookmarkStart w:id="401" w:name="_Toc157854337"/>
      <w:bookmarkStart w:id="402" w:name="_Toc196801002"/>
      <w:bookmarkStart w:id="403" w:name="_Toc202511447"/>
      <w:bookmarkStart w:id="404" w:name="_Toc246329308"/>
      <w:bookmarkStart w:id="405" w:name="_Toc246394373"/>
      <w:bookmarkStart w:id="406" w:name="_Toc246394474"/>
      <w:r>
        <w:rPr>
          <w:rStyle w:val="CharPartNo"/>
        </w:rPr>
        <w:t>Part 3</w:t>
      </w:r>
      <w:r>
        <w:t xml:space="preserve"> — </w:t>
      </w:r>
      <w:r>
        <w:rPr>
          <w:rStyle w:val="CharPartText"/>
        </w:rPr>
        <w:t>Administration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3"/>
      </w:pPr>
      <w:bookmarkStart w:id="407" w:name="_Toc88880176"/>
      <w:bookmarkStart w:id="408" w:name="_Toc89519623"/>
      <w:bookmarkStart w:id="409" w:name="_Toc90883472"/>
      <w:bookmarkStart w:id="410" w:name="_Toc92523267"/>
      <w:bookmarkStart w:id="411" w:name="_Toc101164356"/>
      <w:bookmarkStart w:id="412" w:name="_Toc101235892"/>
      <w:bookmarkStart w:id="413" w:name="_Toc103655105"/>
      <w:bookmarkStart w:id="414" w:name="_Toc122255615"/>
      <w:bookmarkStart w:id="415" w:name="_Toc122255716"/>
      <w:bookmarkStart w:id="416" w:name="_Toc157854338"/>
      <w:bookmarkStart w:id="417" w:name="_Toc196801003"/>
      <w:bookmarkStart w:id="418" w:name="_Toc202511448"/>
      <w:bookmarkStart w:id="419" w:name="_Toc246329309"/>
      <w:bookmarkStart w:id="420" w:name="_Toc246394374"/>
      <w:bookmarkStart w:id="421" w:name="_Toc246394475"/>
      <w:r>
        <w:rPr>
          <w:rStyle w:val="CharDivNo"/>
        </w:rPr>
        <w:t>Division 1</w:t>
      </w:r>
      <w:r>
        <w:t xml:space="preserve"> — </w:t>
      </w:r>
      <w:r>
        <w:rPr>
          <w:rStyle w:val="CharDivText"/>
        </w:rPr>
        <w:t>Administration generally</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246394476"/>
      <w:bookmarkStart w:id="423" w:name="_Toc479399660"/>
      <w:bookmarkStart w:id="424" w:name="_Toc35401848"/>
      <w:bookmarkStart w:id="425" w:name="_Toc103655107"/>
      <w:r>
        <w:rPr>
          <w:rStyle w:val="CharSectno"/>
        </w:rPr>
        <w:t>34</w:t>
      </w:r>
      <w:r>
        <w:t>.</w:t>
      </w:r>
      <w:r>
        <w:tab/>
        <w:t>Administration of Act</w:t>
      </w:r>
      <w:bookmarkEnd w:id="422"/>
    </w:p>
    <w:p>
      <w:pPr>
        <w:pStyle w:val="Subsection"/>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pPr>
      <w:bookmarkStart w:id="426" w:name="_Toc246394477"/>
      <w:r>
        <w:rPr>
          <w:rStyle w:val="CharSectno"/>
        </w:rPr>
        <w:t>35</w:t>
      </w:r>
      <w:r>
        <w:t>.</w:t>
      </w:r>
      <w:r>
        <w:tab/>
        <w:t>Delegation</w:t>
      </w:r>
      <w:bookmarkEnd w:id="423"/>
      <w:bookmarkEnd w:id="424"/>
      <w:bookmarkEnd w:id="425"/>
      <w:bookmarkEnd w:id="426"/>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427" w:name="_Hlt477944963"/>
      <w:r>
        <w:t>37</w:t>
      </w:r>
      <w:bookmarkEnd w:id="427"/>
      <w:r>
        <w:t xml:space="preserve"> limits the ability of the Commissioner to act through the Commissioner’s officers and agents in the normal course of business.</w:t>
      </w:r>
    </w:p>
    <w:p>
      <w:pPr>
        <w:pStyle w:val="Heading5"/>
      </w:pPr>
      <w:bookmarkStart w:id="428" w:name="_Toc479399661"/>
      <w:bookmarkStart w:id="429" w:name="_Toc35401849"/>
      <w:bookmarkStart w:id="430" w:name="_Toc103655108"/>
      <w:bookmarkStart w:id="431" w:name="_Toc246394478"/>
      <w:r>
        <w:rPr>
          <w:rStyle w:val="CharSectno"/>
        </w:rPr>
        <w:t>36</w:t>
      </w:r>
      <w:r>
        <w:t>.</w:t>
      </w:r>
      <w:r>
        <w:tab/>
        <w:t>Authorised investigators</w:t>
      </w:r>
      <w:bookmarkEnd w:id="428"/>
      <w:bookmarkEnd w:id="429"/>
      <w:bookmarkEnd w:id="430"/>
      <w:bookmarkEnd w:id="431"/>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432" w:name="_Toc479399662"/>
      <w:bookmarkStart w:id="433" w:name="_Toc35401850"/>
      <w:bookmarkStart w:id="434" w:name="_Toc103655109"/>
      <w:bookmarkStart w:id="435" w:name="_Toc246394479"/>
      <w:r>
        <w:rPr>
          <w:rStyle w:val="CharSectno"/>
        </w:rPr>
        <w:t>37</w:t>
      </w:r>
      <w:r>
        <w:t>.</w:t>
      </w:r>
      <w:r>
        <w:tab/>
        <w:t>Administration agreements</w:t>
      </w:r>
      <w:bookmarkEnd w:id="432"/>
      <w:bookmarkEnd w:id="433"/>
      <w:bookmarkEnd w:id="434"/>
      <w:bookmarkEnd w:id="435"/>
    </w:p>
    <w:p>
      <w:pPr>
        <w:pStyle w:val="Subsection"/>
      </w:pPr>
      <w:r>
        <w:tab/>
        <w:t>(1)</w:t>
      </w:r>
      <w:r>
        <w:tab/>
        <w:t>Without limiting section </w:t>
      </w:r>
      <w:bookmarkStart w:id="436" w:name="_Hlt477944233"/>
      <w:r>
        <w:t>35</w:t>
      </w:r>
      <w:bookmarkEnd w:id="436"/>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437" w:name="_Toc88880181"/>
      <w:bookmarkStart w:id="438" w:name="_Toc89519628"/>
      <w:bookmarkStart w:id="439" w:name="_Toc90883477"/>
      <w:bookmarkStart w:id="440" w:name="_Toc92523272"/>
      <w:bookmarkStart w:id="441" w:name="_Toc101164361"/>
      <w:bookmarkStart w:id="442" w:name="_Toc101235897"/>
      <w:bookmarkStart w:id="443" w:name="_Toc103655110"/>
      <w:bookmarkStart w:id="444" w:name="_Toc122255620"/>
      <w:bookmarkStart w:id="445" w:name="_Toc122255721"/>
      <w:bookmarkStart w:id="446" w:name="_Toc157854343"/>
      <w:bookmarkStart w:id="447" w:name="_Toc196801008"/>
      <w:bookmarkStart w:id="448" w:name="_Toc202511453"/>
      <w:bookmarkStart w:id="449" w:name="_Toc246329314"/>
      <w:bookmarkStart w:id="450" w:name="_Toc246394379"/>
      <w:bookmarkStart w:id="451" w:name="_Toc246394480"/>
      <w:r>
        <w:rPr>
          <w:rStyle w:val="CharDivNo"/>
        </w:rPr>
        <w:t>Division 2</w:t>
      </w:r>
      <w:r>
        <w:t xml:space="preserve"> — </w:t>
      </w:r>
      <w:r>
        <w:rPr>
          <w:rStyle w:val="CharDivText"/>
        </w:rPr>
        <w:t>Investigations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79399663"/>
      <w:bookmarkStart w:id="453" w:name="_Toc35401851"/>
      <w:bookmarkStart w:id="454" w:name="_Toc103655111"/>
      <w:bookmarkStart w:id="455" w:name="_Toc246394481"/>
      <w:r>
        <w:rPr>
          <w:rStyle w:val="CharSectno"/>
        </w:rPr>
        <w:t>38</w:t>
      </w:r>
      <w:r>
        <w:t>.</w:t>
      </w:r>
      <w:r>
        <w:tab/>
        <w:t>Investigations</w:t>
      </w:r>
      <w:bookmarkEnd w:id="452"/>
      <w:bookmarkEnd w:id="453"/>
      <w:bookmarkEnd w:id="454"/>
      <w:bookmarkEnd w:id="45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456" w:name="_Toc479399664"/>
      <w:bookmarkStart w:id="457" w:name="_Toc35401852"/>
      <w:bookmarkStart w:id="458" w:name="_Toc103655112"/>
      <w:bookmarkStart w:id="459" w:name="_Toc246394482"/>
      <w:r>
        <w:rPr>
          <w:rStyle w:val="CharSectno"/>
        </w:rPr>
        <w:t>39</w:t>
      </w:r>
      <w:r>
        <w:rPr>
          <w:snapToGrid w:val="0"/>
        </w:rPr>
        <w:t>.</w:t>
      </w:r>
      <w:r>
        <w:rPr>
          <w:snapToGrid w:val="0"/>
        </w:rPr>
        <w:tab/>
        <w:t>Cross</w:t>
      </w:r>
      <w:r>
        <w:rPr>
          <w:snapToGrid w:val="0"/>
        </w:rPr>
        <w:noBreakHyphen/>
        <w:t>border investigations</w:t>
      </w:r>
      <w:bookmarkEnd w:id="456"/>
      <w:bookmarkEnd w:id="457"/>
      <w:bookmarkEnd w:id="458"/>
      <w:bookmarkEnd w:id="459"/>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460" w:name="_Toc479399665"/>
      <w:bookmarkStart w:id="461" w:name="_Toc35401853"/>
      <w:bookmarkStart w:id="462" w:name="_Toc103655113"/>
      <w:bookmarkStart w:id="463" w:name="_Toc246394483"/>
      <w:r>
        <w:rPr>
          <w:rStyle w:val="CharSectno"/>
        </w:rPr>
        <w:t>40</w:t>
      </w:r>
      <w:r>
        <w:rPr>
          <w:snapToGrid w:val="0"/>
        </w:rPr>
        <w:t>.</w:t>
      </w:r>
      <w:r>
        <w:rPr>
          <w:snapToGrid w:val="0"/>
        </w:rPr>
        <w:tab/>
        <w:t>Power of investigation</w:t>
      </w:r>
      <w:bookmarkEnd w:id="460"/>
      <w:bookmarkEnd w:id="461"/>
      <w:bookmarkEnd w:id="462"/>
      <w:bookmarkEnd w:id="46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464" w:name="_Toc479399666"/>
      <w:bookmarkStart w:id="465" w:name="_Toc35401854"/>
      <w:bookmarkStart w:id="466" w:name="_Toc103655114"/>
      <w:bookmarkStart w:id="467" w:name="_Toc246394484"/>
      <w:r>
        <w:rPr>
          <w:rStyle w:val="CharSectno"/>
        </w:rPr>
        <w:t>41</w:t>
      </w:r>
      <w:r>
        <w:t>.</w:t>
      </w:r>
      <w:r>
        <w:tab/>
        <w:t>Power to require person to attend for examination</w:t>
      </w:r>
      <w:bookmarkEnd w:id="464"/>
      <w:bookmarkEnd w:id="465"/>
      <w:bookmarkEnd w:id="466"/>
      <w:bookmarkEnd w:id="467"/>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468" w:name="_Toc479399667"/>
      <w:bookmarkStart w:id="469" w:name="_Toc35401855"/>
      <w:bookmarkStart w:id="470" w:name="_Toc103655115"/>
      <w:bookmarkStart w:id="471" w:name="_Toc246394485"/>
      <w:r>
        <w:rPr>
          <w:rStyle w:val="CharSectno"/>
        </w:rPr>
        <w:t>42</w:t>
      </w:r>
      <w:r>
        <w:t>.</w:t>
      </w:r>
      <w:r>
        <w:tab/>
        <w:t>Entry of premises</w:t>
      </w:r>
      <w:bookmarkEnd w:id="468"/>
      <w:bookmarkEnd w:id="469"/>
      <w:bookmarkEnd w:id="470"/>
      <w:bookmarkEnd w:id="471"/>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472" w:name="_Toc479399668"/>
      <w:bookmarkStart w:id="473" w:name="_Toc35401856"/>
      <w:bookmarkStart w:id="474" w:name="_Toc103655116"/>
      <w:bookmarkStart w:id="475" w:name="_Toc246394486"/>
      <w:r>
        <w:rPr>
          <w:rStyle w:val="CharSectno"/>
        </w:rPr>
        <w:t>43</w:t>
      </w:r>
      <w:r>
        <w:t>.</w:t>
      </w:r>
      <w:r>
        <w:tab/>
        <w:t>Powers of authorised investigator on entry of premises</w:t>
      </w:r>
      <w:bookmarkEnd w:id="472"/>
      <w:bookmarkEnd w:id="473"/>
      <w:bookmarkEnd w:id="474"/>
      <w:bookmarkEnd w:id="475"/>
    </w:p>
    <w:p>
      <w:pPr>
        <w:pStyle w:val="Subsection"/>
        <w:keepNext/>
      </w:pPr>
      <w:r>
        <w:tab/>
        <w:t>(1)</w:t>
      </w:r>
      <w:r>
        <w:tab/>
        <w:t>An authorised investigator wh</w:t>
      </w:r>
      <w:bookmarkStart w:id="476" w:name="_Hlt477236643"/>
      <w:r>
        <w:t>o enters premises under section 42</w:t>
      </w:r>
      <w:bookmarkEnd w:id="476"/>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477" w:name="_Toc479399669"/>
      <w:bookmarkStart w:id="478" w:name="_Toc35401857"/>
      <w:bookmarkStart w:id="479" w:name="_Toc103655117"/>
      <w:bookmarkStart w:id="480" w:name="_Toc246394487"/>
      <w:r>
        <w:rPr>
          <w:rStyle w:val="CharSectno"/>
        </w:rPr>
        <w:t>44</w:t>
      </w:r>
      <w:r>
        <w:t>.</w:t>
      </w:r>
      <w:r>
        <w:tab/>
        <w:t>Warrants</w:t>
      </w:r>
      <w:bookmarkEnd w:id="477"/>
      <w:bookmarkEnd w:id="478"/>
      <w:bookmarkEnd w:id="479"/>
      <w:bookmarkEnd w:id="480"/>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81" w:name="_Toc479399670"/>
      <w:bookmarkStart w:id="482" w:name="_Toc35401858"/>
      <w:r>
        <w:tab/>
        <w:t>[Section 44 amended by No. 84 of 2004 s. 80.]</w:t>
      </w:r>
    </w:p>
    <w:p>
      <w:pPr>
        <w:pStyle w:val="Heading5"/>
      </w:pPr>
      <w:bookmarkStart w:id="483" w:name="_Toc103655118"/>
      <w:bookmarkStart w:id="484" w:name="_Toc246394488"/>
      <w:r>
        <w:rPr>
          <w:rStyle w:val="CharSectno"/>
        </w:rPr>
        <w:t>45</w:t>
      </w:r>
      <w:r>
        <w:t>.</w:t>
      </w:r>
      <w:r>
        <w:tab/>
        <w:t>Use of force</w:t>
      </w:r>
      <w:bookmarkEnd w:id="481"/>
      <w:bookmarkEnd w:id="482"/>
      <w:bookmarkEnd w:id="483"/>
      <w:bookmarkEnd w:id="484"/>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85" w:name="_Toc479399671"/>
      <w:bookmarkStart w:id="486" w:name="_Toc35401859"/>
      <w:bookmarkStart w:id="487" w:name="_Toc103655119"/>
      <w:bookmarkStart w:id="488" w:name="_Toc246394489"/>
      <w:r>
        <w:rPr>
          <w:rStyle w:val="CharSectno"/>
        </w:rPr>
        <w:t>46</w:t>
      </w:r>
      <w:r>
        <w:t>.</w:t>
      </w:r>
      <w:r>
        <w:tab/>
        <w:t>Self incrimination</w:t>
      </w:r>
      <w:bookmarkEnd w:id="485"/>
      <w:bookmarkEnd w:id="486"/>
      <w:bookmarkEnd w:id="487"/>
      <w:bookmarkEnd w:id="488"/>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89" w:name="_Toc88880191"/>
      <w:bookmarkStart w:id="490" w:name="_Toc89519638"/>
      <w:bookmarkStart w:id="491" w:name="_Toc90883487"/>
      <w:bookmarkStart w:id="492" w:name="_Toc92523282"/>
      <w:bookmarkStart w:id="493" w:name="_Toc101164371"/>
      <w:bookmarkStart w:id="494" w:name="_Toc101235907"/>
      <w:bookmarkStart w:id="495" w:name="_Toc103655120"/>
      <w:bookmarkStart w:id="496" w:name="_Toc122255630"/>
      <w:bookmarkStart w:id="497" w:name="_Toc122255731"/>
      <w:bookmarkStart w:id="498" w:name="_Toc157854353"/>
      <w:bookmarkStart w:id="499" w:name="_Toc196801018"/>
      <w:bookmarkStart w:id="500" w:name="_Toc202511463"/>
      <w:bookmarkStart w:id="501" w:name="_Toc246329324"/>
      <w:bookmarkStart w:id="502" w:name="_Toc246394389"/>
      <w:bookmarkStart w:id="503" w:name="_Toc246394490"/>
      <w:r>
        <w:rPr>
          <w:rStyle w:val="CharPartNo"/>
        </w:rPr>
        <w:t>Part 4</w:t>
      </w:r>
      <w:r>
        <w:t xml:space="preserve"> — </w:t>
      </w:r>
      <w:r>
        <w:rPr>
          <w:rStyle w:val="CharPartText"/>
        </w:rPr>
        <w:t>Miscellaneous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3"/>
      </w:pPr>
      <w:bookmarkStart w:id="504" w:name="_Toc88880192"/>
      <w:bookmarkStart w:id="505" w:name="_Toc89519639"/>
      <w:bookmarkStart w:id="506" w:name="_Toc90883488"/>
      <w:bookmarkStart w:id="507" w:name="_Toc92523283"/>
      <w:bookmarkStart w:id="508" w:name="_Toc101164372"/>
      <w:bookmarkStart w:id="509" w:name="_Toc101235908"/>
      <w:bookmarkStart w:id="510" w:name="_Toc103655121"/>
      <w:bookmarkStart w:id="511" w:name="_Toc122255631"/>
      <w:bookmarkStart w:id="512" w:name="_Toc122255732"/>
      <w:bookmarkStart w:id="513" w:name="_Toc157854354"/>
      <w:bookmarkStart w:id="514" w:name="_Toc196801019"/>
      <w:bookmarkStart w:id="515" w:name="_Toc202511464"/>
      <w:bookmarkStart w:id="516" w:name="_Toc246329325"/>
      <w:bookmarkStart w:id="517" w:name="_Toc246394390"/>
      <w:bookmarkStart w:id="518" w:name="_Toc246394491"/>
      <w:r>
        <w:rPr>
          <w:rStyle w:val="CharDivNo"/>
        </w:rPr>
        <w:t>Division 1</w:t>
      </w:r>
      <w:r>
        <w:t xml:space="preserve"> — </w:t>
      </w:r>
      <w:r>
        <w:rPr>
          <w:rStyle w:val="CharDivText"/>
        </w:rPr>
        <w:t>Offences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79399672"/>
      <w:bookmarkStart w:id="520" w:name="_Toc35401860"/>
      <w:bookmarkStart w:id="521" w:name="_Toc103655122"/>
      <w:bookmarkStart w:id="522" w:name="_Toc246394492"/>
      <w:r>
        <w:rPr>
          <w:rStyle w:val="CharSectno"/>
        </w:rPr>
        <w:t>47</w:t>
      </w:r>
      <w:r>
        <w:t>.</w:t>
      </w:r>
      <w:r>
        <w:tab/>
        <w:t>False or misleading information and documents</w:t>
      </w:r>
      <w:bookmarkEnd w:id="519"/>
      <w:bookmarkEnd w:id="520"/>
      <w:bookmarkEnd w:id="521"/>
      <w:bookmarkEnd w:id="522"/>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pPr>
      <w:bookmarkStart w:id="523" w:name="_Toc479399673"/>
      <w:bookmarkStart w:id="524" w:name="_Toc35401861"/>
      <w:r>
        <w:tab/>
        <w:t>[Section 47 amended by No. 52 of 2004 s. 13.]</w:t>
      </w:r>
    </w:p>
    <w:p>
      <w:pPr>
        <w:pStyle w:val="Heading5"/>
      </w:pPr>
      <w:bookmarkStart w:id="525" w:name="_Toc103655123"/>
      <w:bookmarkStart w:id="526" w:name="_Toc246394493"/>
      <w:r>
        <w:rPr>
          <w:rStyle w:val="CharSectno"/>
        </w:rPr>
        <w:t>48</w:t>
      </w:r>
      <w:r>
        <w:t>.</w:t>
      </w:r>
      <w:r>
        <w:tab/>
        <w:t>Obstructing or misleading Commissioner or authorised investigator</w:t>
      </w:r>
      <w:bookmarkEnd w:id="523"/>
      <w:bookmarkEnd w:id="524"/>
      <w:bookmarkEnd w:id="525"/>
      <w:bookmarkEnd w:id="526"/>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527" w:name="_Toc88880195"/>
      <w:bookmarkStart w:id="528" w:name="_Toc89519642"/>
      <w:bookmarkStart w:id="529" w:name="_Toc90883491"/>
      <w:bookmarkStart w:id="530" w:name="_Toc92523286"/>
      <w:bookmarkStart w:id="531" w:name="_Toc101164375"/>
      <w:bookmarkStart w:id="532" w:name="_Toc101235911"/>
      <w:bookmarkStart w:id="533" w:name="_Toc103655124"/>
      <w:bookmarkStart w:id="534" w:name="_Toc122255634"/>
      <w:bookmarkStart w:id="535" w:name="_Toc122255735"/>
      <w:bookmarkStart w:id="536" w:name="_Toc157854357"/>
      <w:bookmarkStart w:id="537" w:name="_Toc196801022"/>
      <w:bookmarkStart w:id="538" w:name="_Toc202511467"/>
      <w:bookmarkStart w:id="539" w:name="_Toc246329328"/>
      <w:bookmarkStart w:id="540" w:name="_Toc246394393"/>
      <w:bookmarkStart w:id="541" w:name="_Toc246394494"/>
      <w:r>
        <w:rPr>
          <w:rStyle w:val="CharDivNo"/>
        </w:rPr>
        <w:t>Division 2</w:t>
      </w:r>
      <w:r>
        <w:t xml:space="preserve"> — </w:t>
      </w:r>
      <w:r>
        <w:rPr>
          <w:rStyle w:val="CharDivText"/>
        </w:rPr>
        <w:t>Evidentiary provisions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479399674"/>
      <w:bookmarkStart w:id="543" w:name="_Toc35401862"/>
      <w:bookmarkStart w:id="544" w:name="_Toc103655125"/>
      <w:bookmarkStart w:id="545" w:name="_Toc246394495"/>
      <w:r>
        <w:rPr>
          <w:rStyle w:val="CharSectno"/>
        </w:rPr>
        <w:t>49</w:t>
      </w:r>
      <w:r>
        <w:t>.</w:t>
      </w:r>
      <w:r>
        <w:tab/>
        <w:t>Evidence</w:t>
      </w:r>
      <w:bookmarkEnd w:id="542"/>
      <w:bookmarkEnd w:id="543"/>
      <w:bookmarkEnd w:id="544"/>
      <w:bookmarkEnd w:id="545"/>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546" w:name="_Toc479399675"/>
      <w:bookmarkStart w:id="547" w:name="_Toc35401863"/>
      <w:bookmarkStart w:id="548" w:name="_Toc103655126"/>
      <w:bookmarkStart w:id="549" w:name="_Toc246394496"/>
      <w:r>
        <w:rPr>
          <w:rStyle w:val="CharSectno"/>
        </w:rPr>
        <w:t>50</w:t>
      </w:r>
      <w:r>
        <w:t>.</w:t>
      </w:r>
      <w:r>
        <w:tab/>
        <w:t>Presumption of regularity</w:t>
      </w:r>
      <w:bookmarkEnd w:id="546"/>
      <w:bookmarkEnd w:id="547"/>
      <w:bookmarkEnd w:id="548"/>
      <w:bookmarkEnd w:id="549"/>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550" w:name="_Toc88880198"/>
      <w:bookmarkStart w:id="551" w:name="_Toc89519645"/>
      <w:bookmarkStart w:id="552" w:name="_Toc90883494"/>
      <w:bookmarkStart w:id="553" w:name="_Toc92523289"/>
      <w:bookmarkStart w:id="554" w:name="_Toc101164378"/>
      <w:bookmarkStart w:id="555" w:name="_Toc101235914"/>
      <w:bookmarkStart w:id="556" w:name="_Toc103655127"/>
      <w:bookmarkStart w:id="557" w:name="_Toc122255637"/>
      <w:bookmarkStart w:id="558" w:name="_Toc122255738"/>
      <w:bookmarkStart w:id="559" w:name="_Toc157854360"/>
      <w:bookmarkStart w:id="560" w:name="_Toc196801025"/>
      <w:bookmarkStart w:id="561" w:name="_Toc202511470"/>
      <w:bookmarkStart w:id="562" w:name="_Toc246329331"/>
      <w:bookmarkStart w:id="563" w:name="_Toc246394396"/>
      <w:bookmarkStart w:id="564" w:name="_Toc246394497"/>
      <w:r>
        <w:rPr>
          <w:rStyle w:val="CharDivNo"/>
        </w:rPr>
        <w:t>Division 3</w:t>
      </w:r>
      <w:r>
        <w:t xml:space="preserve"> — </w:t>
      </w:r>
      <w:r>
        <w:rPr>
          <w:rStyle w:val="CharDivText"/>
        </w:rPr>
        <w:t>Repayments and penalties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479399676"/>
      <w:bookmarkStart w:id="566" w:name="_Toc35401864"/>
      <w:bookmarkStart w:id="567" w:name="_Toc103655128"/>
      <w:bookmarkStart w:id="568" w:name="_Toc246394498"/>
      <w:r>
        <w:rPr>
          <w:rStyle w:val="CharSectno"/>
        </w:rPr>
        <w:t>51</w:t>
      </w:r>
      <w:r>
        <w:t>.</w:t>
      </w:r>
      <w:r>
        <w:tab/>
        <w:t>Commissioner may require repayment and impose penalty</w:t>
      </w:r>
      <w:bookmarkEnd w:id="565"/>
      <w:bookmarkEnd w:id="566"/>
      <w:bookmarkEnd w:id="567"/>
      <w:bookmarkEnd w:id="568"/>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569" w:name="_Toc479399677"/>
      <w:bookmarkStart w:id="570" w:name="_Toc35401865"/>
      <w:bookmarkStart w:id="571" w:name="_Toc103655129"/>
      <w:bookmarkStart w:id="572" w:name="_Toc246394499"/>
      <w:r>
        <w:rPr>
          <w:rStyle w:val="CharSectno"/>
        </w:rPr>
        <w:t>52</w:t>
      </w:r>
      <w:r>
        <w:t>.</w:t>
      </w:r>
      <w:r>
        <w:tab/>
        <w:t>Arrangements for instalments and extensions of time</w:t>
      </w:r>
      <w:bookmarkEnd w:id="569"/>
      <w:bookmarkEnd w:id="570"/>
      <w:bookmarkEnd w:id="571"/>
      <w:bookmarkEnd w:id="572"/>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573" w:name="_Toc479399678"/>
      <w:bookmarkStart w:id="574" w:name="_Toc35401866"/>
      <w:bookmarkStart w:id="575" w:name="_Toc103655130"/>
      <w:bookmarkStart w:id="576" w:name="_Toc246394500"/>
      <w:r>
        <w:rPr>
          <w:rStyle w:val="CharSectno"/>
        </w:rPr>
        <w:t>53</w:t>
      </w:r>
      <w:r>
        <w:t>.</w:t>
      </w:r>
      <w:r>
        <w:tab/>
        <w:t>Recovery of certain amounts</w:t>
      </w:r>
      <w:bookmarkEnd w:id="573"/>
      <w:bookmarkEnd w:id="574"/>
      <w:bookmarkEnd w:id="575"/>
      <w:bookmarkEnd w:id="576"/>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577" w:name="_Toc479399679"/>
      <w:bookmarkStart w:id="578" w:name="_Toc35401867"/>
      <w:bookmarkStart w:id="579" w:name="_Toc103655131"/>
      <w:bookmarkStart w:id="580" w:name="_Toc246394501"/>
      <w:r>
        <w:rPr>
          <w:rStyle w:val="CharSectno"/>
        </w:rPr>
        <w:t>54</w:t>
      </w:r>
      <w:r>
        <w:t>.</w:t>
      </w:r>
      <w:r>
        <w:tab/>
        <w:t>Writing off liability</w:t>
      </w:r>
      <w:bookmarkEnd w:id="577"/>
      <w:bookmarkEnd w:id="578"/>
      <w:bookmarkEnd w:id="579"/>
      <w:bookmarkEnd w:id="580"/>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581" w:name="_Toc88880203"/>
      <w:bookmarkStart w:id="582" w:name="_Toc89519650"/>
      <w:bookmarkStart w:id="583" w:name="_Toc90883499"/>
      <w:bookmarkStart w:id="584" w:name="_Toc92523294"/>
      <w:bookmarkStart w:id="585" w:name="_Toc101164383"/>
      <w:bookmarkStart w:id="586" w:name="_Toc101235919"/>
      <w:bookmarkStart w:id="587" w:name="_Toc103655132"/>
      <w:bookmarkStart w:id="588" w:name="_Toc122255642"/>
      <w:bookmarkStart w:id="589" w:name="_Toc122255743"/>
      <w:bookmarkStart w:id="590" w:name="_Toc157854365"/>
      <w:bookmarkStart w:id="591" w:name="_Toc196801030"/>
      <w:bookmarkStart w:id="592" w:name="_Toc202511475"/>
      <w:bookmarkStart w:id="593" w:name="_Toc246329336"/>
      <w:bookmarkStart w:id="594" w:name="_Toc246394401"/>
      <w:bookmarkStart w:id="595" w:name="_Toc246394502"/>
      <w:r>
        <w:rPr>
          <w:rStyle w:val="CharDivNo"/>
        </w:rPr>
        <w:t>Division 4</w:t>
      </w:r>
      <w:r>
        <w:t xml:space="preserve"> — </w:t>
      </w:r>
      <w:r>
        <w:rPr>
          <w:rStyle w:val="CharDivText"/>
        </w:rPr>
        <w:t>Charge on interest in home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79399680"/>
      <w:bookmarkStart w:id="597" w:name="_Toc35401868"/>
      <w:bookmarkStart w:id="598" w:name="_Toc103655133"/>
      <w:bookmarkStart w:id="599" w:name="_Toc246394503"/>
      <w:r>
        <w:rPr>
          <w:rStyle w:val="CharSectno"/>
        </w:rPr>
        <w:t>55</w:t>
      </w:r>
      <w:r>
        <w:t>.</w:t>
      </w:r>
      <w:r>
        <w:tab/>
        <w:t>Lodgement of memorial and creation of charge</w:t>
      </w:r>
      <w:bookmarkEnd w:id="596"/>
      <w:bookmarkEnd w:id="597"/>
      <w:bookmarkEnd w:id="598"/>
      <w:bookmarkEnd w:id="599"/>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600" w:name="_Toc479399681"/>
      <w:bookmarkStart w:id="601" w:name="_Toc35401869"/>
      <w:bookmarkStart w:id="602" w:name="_Toc103655134"/>
      <w:bookmarkStart w:id="603" w:name="_Toc246394504"/>
      <w:r>
        <w:rPr>
          <w:rStyle w:val="CharSectno"/>
        </w:rPr>
        <w:t>56</w:t>
      </w:r>
      <w:r>
        <w:t>.</w:t>
      </w:r>
      <w:r>
        <w:tab/>
        <w:t>Priority of charge</w:t>
      </w:r>
      <w:bookmarkEnd w:id="600"/>
      <w:bookmarkEnd w:id="601"/>
      <w:bookmarkEnd w:id="602"/>
      <w:bookmarkEnd w:id="603"/>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604" w:name="_Toc479399682"/>
      <w:bookmarkStart w:id="605" w:name="_Toc35401870"/>
      <w:bookmarkStart w:id="606" w:name="_Toc103655135"/>
      <w:bookmarkStart w:id="607" w:name="_Toc246394505"/>
      <w:r>
        <w:rPr>
          <w:rStyle w:val="CharSectno"/>
        </w:rPr>
        <w:t>57</w:t>
      </w:r>
      <w:r>
        <w:t>.</w:t>
      </w:r>
      <w:r>
        <w:tab/>
        <w:t>Release of relevant interest from charge</w:t>
      </w:r>
      <w:bookmarkEnd w:id="604"/>
      <w:bookmarkEnd w:id="605"/>
      <w:bookmarkEnd w:id="606"/>
      <w:bookmarkEnd w:id="60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608" w:name="_Toc479399683"/>
      <w:bookmarkStart w:id="609" w:name="_Toc35401871"/>
      <w:bookmarkStart w:id="610" w:name="_Toc103655136"/>
      <w:bookmarkStart w:id="611" w:name="_Toc246394506"/>
      <w:r>
        <w:rPr>
          <w:rStyle w:val="CharSectno"/>
        </w:rPr>
        <w:t>58</w:t>
      </w:r>
      <w:r>
        <w:t>.</w:t>
      </w:r>
      <w:r>
        <w:tab/>
        <w:t>Order for sale of relevant interest</w:t>
      </w:r>
      <w:bookmarkEnd w:id="608"/>
      <w:bookmarkEnd w:id="609"/>
      <w:bookmarkEnd w:id="610"/>
      <w:bookmarkEnd w:id="611"/>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612" w:name="_Toc479399684"/>
      <w:bookmarkStart w:id="613" w:name="_Toc35401872"/>
      <w:bookmarkStart w:id="614" w:name="_Toc103655137"/>
      <w:bookmarkStart w:id="615" w:name="_Toc246394507"/>
      <w:r>
        <w:rPr>
          <w:rStyle w:val="CharSectno"/>
        </w:rPr>
        <w:t>59</w:t>
      </w:r>
      <w:r>
        <w:t>.</w:t>
      </w:r>
      <w:r>
        <w:tab/>
        <w:t>Charge not to limit other means of enforcing payment</w:t>
      </w:r>
      <w:bookmarkEnd w:id="612"/>
      <w:bookmarkEnd w:id="613"/>
      <w:bookmarkEnd w:id="614"/>
      <w:bookmarkEnd w:id="615"/>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616" w:name="_Toc479399685"/>
      <w:bookmarkStart w:id="617" w:name="_Toc35401873"/>
      <w:bookmarkStart w:id="618" w:name="_Toc103655138"/>
      <w:bookmarkStart w:id="619" w:name="_Toc246394508"/>
      <w:r>
        <w:rPr>
          <w:rStyle w:val="CharSectno"/>
        </w:rPr>
        <w:t>60</w:t>
      </w:r>
      <w:r>
        <w:t>.</w:t>
      </w:r>
      <w:r>
        <w:tab/>
        <w:t>Commissioner may require fees to be reimbursed</w:t>
      </w:r>
      <w:bookmarkEnd w:id="616"/>
      <w:bookmarkEnd w:id="617"/>
      <w:bookmarkEnd w:id="618"/>
      <w:bookmarkEnd w:id="619"/>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620" w:name="_Toc88880210"/>
      <w:bookmarkStart w:id="621" w:name="_Toc89519657"/>
      <w:bookmarkStart w:id="622" w:name="_Toc90883506"/>
      <w:bookmarkStart w:id="623" w:name="_Toc92523301"/>
      <w:bookmarkStart w:id="624" w:name="_Toc101164390"/>
      <w:bookmarkStart w:id="625" w:name="_Toc101235926"/>
      <w:bookmarkStart w:id="626" w:name="_Toc103655139"/>
      <w:bookmarkStart w:id="627" w:name="_Toc122255649"/>
      <w:bookmarkStart w:id="628" w:name="_Toc122255750"/>
      <w:bookmarkStart w:id="629" w:name="_Toc157854372"/>
      <w:bookmarkStart w:id="630" w:name="_Toc196801037"/>
      <w:bookmarkStart w:id="631" w:name="_Toc202511482"/>
      <w:bookmarkStart w:id="632" w:name="_Toc246329343"/>
      <w:bookmarkStart w:id="633" w:name="_Toc246394408"/>
      <w:bookmarkStart w:id="634" w:name="_Toc246394509"/>
      <w:r>
        <w:rPr>
          <w:rStyle w:val="CharDivNo"/>
        </w:rPr>
        <w:t>Division 5</w:t>
      </w:r>
      <w:r>
        <w:t xml:space="preserve"> — </w:t>
      </w:r>
      <w:r>
        <w:rPr>
          <w:rStyle w:val="CharDivText"/>
        </w:rPr>
        <w:t>Service of documents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479399686"/>
      <w:bookmarkStart w:id="636" w:name="_Toc35401874"/>
      <w:bookmarkStart w:id="637" w:name="_Toc103655140"/>
      <w:bookmarkStart w:id="638" w:name="_Toc246394510"/>
      <w:r>
        <w:rPr>
          <w:rStyle w:val="CharSectno"/>
        </w:rPr>
        <w:t>61</w:t>
      </w:r>
      <w:r>
        <w:t>.</w:t>
      </w:r>
      <w:r>
        <w:tab/>
        <w:t>Service on joint applicants or agent or representative</w:t>
      </w:r>
      <w:bookmarkEnd w:id="635"/>
      <w:bookmarkEnd w:id="636"/>
      <w:bookmarkEnd w:id="637"/>
      <w:bookmarkEnd w:id="63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639" w:name="_Toc465565650"/>
      <w:bookmarkStart w:id="640" w:name="_Toc479399687"/>
      <w:bookmarkStart w:id="641" w:name="_Toc35401875"/>
      <w:bookmarkStart w:id="642" w:name="_Toc103655141"/>
      <w:bookmarkStart w:id="643" w:name="_Toc246394511"/>
      <w:r>
        <w:rPr>
          <w:rStyle w:val="CharSectno"/>
        </w:rPr>
        <w:t>62</w:t>
      </w:r>
      <w:r>
        <w:t>.</w:t>
      </w:r>
      <w:r>
        <w:tab/>
        <w:t>Method of service by Commissioner</w:t>
      </w:r>
      <w:bookmarkEnd w:id="639"/>
      <w:bookmarkEnd w:id="640"/>
      <w:bookmarkEnd w:id="641"/>
      <w:bookmarkEnd w:id="642"/>
      <w:bookmarkEnd w:id="643"/>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644" w:name="_Toc465565651"/>
      <w:bookmarkStart w:id="645" w:name="_Toc479399688"/>
      <w:bookmarkStart w:id="646" w:name="_Toc35401876"/>
      <w:bookmarkStart w:id="647" w:name="_Toc103655142"/>
      <w:bookmarkStart w:id="648" w:name="_Toc246394512"/>
      <w:r>
        <w:rPr>
          <w:rStyle w:val="CharSectno"/>
        </w:rPr>
        <w:t>63</w:t>
      </w:r>
      <w:r>
        <w:t>.</w:t>
      </w:r>
      <w:r>
        <w:tab/>
        <w:t>Service of court process</w:t>
      </w:r>
      <w:bookmarkEnd w:id="644"/>
      <w:bookmarkEnd w:id="645"/>
      <w:bookmarkEnd w:id="646"/>
      <w:bookmarkEnd w:id="647"/>
      <w:bookmarkEnd w:id="648"/>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649" w:name="_Toc465565652"/>
      <w:bookmarkStart w:id="650" w:name="_Toc479399689"/>
      <w:bookmarkStart w:id="651" w:name="_Toc35401877"/>
      <w:bookmarkStart w:id="652" w:name="_Toc103655143"/>
      <w:bookmarkStart w:id="653" w:name="_Toc246394513"/>
      <w:r>
        <w:rPr>
          <w:rStyle w:val="CharSectno"/>
        </w:rPr>
        <w:t>64</w:t>
      </w:r>
      <w:r>
        <w:t>.</w:t>
      </w:r>
      <w:r>
        <w:tab/>
      </w:r>
      <w:bookmarkEnd w:id="649"/>
      <w:r>
        <w:t>Other enactments not limited</w:t>
      </w:r>
      <w:bookmarkEnd w:id="650"/>
      <w:bookmarkEnd w:id="651"/>
      <w:bookmarkEnd w:id="652"/>
      <w:bookmarkEnd w:id="653"/>
    </w:p>
    <w:p>
      <w:pPr>
        <w:pStyle w:val="Subsection"/>
      </w:pPr>
      <w:r>
        <w:tab/>
      </w:r>
      <w:r>
        <w:tab/>
        <w:t>This Division does not limit any other enactment that provides for the service of documents.</w:t>
      </w:r>
    </w:p>
    <w:p>
      <w:pPr>
        <w:pStyle w:val="Heading3"/>
      </w:pPr>
      <w:bookmarkStart w:id="654" w:name="_Toc88880215"/>
      <w:bookmarkStart w:id="655" w:name="_Toc89519662"/>
      <w:bookmarkStart w:id="656" w:name="_Toc90883511"/>
      <w:bookmarkStart w:id="657" w:name="_Toc92523306"/>
      <w:bookmarkStart w:id="658" w:name="_Toc101164395"/>
      <w:bookmarkStart w:id="659" w:name="_Toc101235931"/>
      <w:bookmarkStart w:id="660" w:name="_Toc103655144"/>
      <w:bookmarkStart w:id="661" w:name="_Toc122255654"/>
      <w:bookmarkStart w:id="662" w:name="_Toc122255755"/>
      <w:bookmarkStart w:id="663" w:name="_Toc157854377"/>
      <w:bookmarkStart w:id="664" w:name="_Toc196801042"/>
      <w:bookmarkStart w:id="665" w:name="_Toc202511487"/>
      <w:bookmarkStart w:id="666" w:name="_Toc246329348"/>
      <w:bookmarkStart w:id="667" w:name="_Toc246394413"/>
      <w:bookmarkStart w:id="668" w:name="_Toc246394514"/>
      <w:r>
        <w:rPr>
          <w:rStyle w:val="CharDivNo"/>
        </w:rPr>
        <w:t>Division 6</w:t>
      </w:r>
      <w:r>
        <w:t xml:space="preserve"> — </w:t>
      </w:r>
      <w:r>
        <w:rPr>
          <w:rStyle w:val="CharDivText"/>
        </w:rPr>
        <w:t>General</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479399690"/>
      <w:bookmarkStart w:id="670" w:name="_Toc35401878"/>
      <w:bookmarkStart w:id="671" w:name="_Toc103655145"/>
      <w:bookmarkStart w:id="672" w:name="_Toc246394515"/>
      <w:r>
        <w:rPr>
          <w:rStyle w:val="CharSectno"/>
        </w:rPr>
        <w:t>65</w:t>
      </w:r>
      <w:r>
        <w:t>.</w:t>
      </w:r>
      <w:r>
        <w:tab/>
        <w:t>Confidentiality</w:t>
      </w:r>
      <w:bookmarkEnd w:id="669"/>
      <w:bookmarkEnd w:id="670"/>
      <w:bookmarkEnd w:id="671"/>
      <w:bookmarkEnd w:id="67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w:t>
      </w:r>
    </w:p>
    <w:p>
      <w:pPr>
        <w:pStyle w:val="Heading5"/>
      </w:pPr>
      <w:bookmarkStart w:id="673" w:name="_Toc479399691"/>
      <w:bookmarkStart w:id="674" w:name="_Toc35401879"/>
      <w:bookmarkStart w:id="675" w:name="_Toc103655146"/>
      <w:bookmarkStart w:id="676" w:name="_Toc246394516"/>
      <w:r>
        <w:rPr>
          <w:rStyle w:val="CharSectno"/>
        </w:rPr>
        <w:t>66</w:t>
      </w:r>
      <w:r>
        <w:t>.</w:t>
      </w:r>
      <w:r>
        <w:tab/>
        <w:t>Time for commencing prosecutions</w:t>
      </w:r>
      <w:bookmarkEnd w:id="673"/>
      <w:bookmarkEnd w:id="674"/>
      <w:bookmarkEnd w:id="675"/>
      <w:bookmarkEnd w:id="676"/>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677" w:name="_Toc479399692"/>
      <w:bookmarkStart w:id="678" w:name="_Toc35401880"/>
      <w:bookmarkStart w:id="679" w:name="_Toc103655147"/>
      <w:bookmarkStart w:id="680" w:name="_Toc246394517"/>
      <w:r>
        <w:rPr>
          <w:rStyle w:val="CharSectno"/>
        </w:rPr>
        <w:t>67</w:t>
      </w:r>
      <w:r>
        <w:t>.</w:t>
      </w:r>
      <w:r>
        <w:tab/>
        <w:t>Protection from liability for wrongdoing</w:t>
      </w:r>
      <w:bookmarkEnd w:id="677"/>
      <w:bookmarkEnd w:id="678"/>
      <w:bookmarkEnd w:id="679"/>
      <w:bookmarkEnd w:id="68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81" w:name="_Toc479399693"/>
      <w:bookmarkStart w:id="682" w:name="_Toc35401881"/>
      <w:bookmarkStart w:id="683" w:name="_Toc103655148"/>
      <w:bookmarkStart w:id="684" w:name="_Toc246394518"/>
      <w:r>
        <w:rPr>
          <w:rStyle w:val="CharSectno"/>
        </w:rPr>
        <w:t>68</w:t>
      </w:r>
      <w:r>
        <w:t>.</w:t>
      </w:r>
      <w:r>
        <w:tab/>
        <w:t xml:space="preserve">Appropriation of </w:t>
      </w:r>
      <w:bookmarkEnd w:id="681"/>
      <w:bookmarkEnd w:id="682"/>
      <w:bookmarkEnd w:id="683"/>
      <w:r>
        <w:rPr>
          <w:snapToGrid w:val="0"/>
        </w:rPr>
        <w:t>Consolidated Account</w:t>
      </w:r>
      <w:bookmarkEnd w:id="68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685" w:name="_Toc479399694"/>
      <w:bookmarkStart w:id="686" w:name="_Toc35401882"/>
      <w:bookmarkStart w:id="687" w:name="_Toc103655149"/>
      <w:bookmarkStart w:id="688" w:name="_Toc246394519"/>
      <w:r>
        <w:rPr>
          <w:rStyle w:val="CharSectno"/>
        </w:rPr>
        <w:t>69</w:t>
      </w:r>
      <w:r>
        <w:t>.</w:t>
      </w:r>
      <w:r>
        <w:tab/>
        <w:t>Regulations</w:t>
      </w:r>
      <w:bookmarkEnd w:id="685"/>
      <w:bookmarkEnd w:id="686"/>
      <w:bookmarkEnd w:id="687"/>
      <w:bookmarkEnd w:id="6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689" w:name="_Toc479399695"/>
      <w:bookmarkStart w:id="690" w:name="_Toc35401883"/>
      <w:bookmarkStart w:id="691" w:name="_Toc103655150"/>
      <w:bookmarkStart w:id="692" w:name="_Toc246394520"/>
      <w:r>
        <w:rPr>
          <w:rStyle w:val="CharSectno"/>
        </w:rPr>
        <w:t>70</w:t>
      </w:r>
      <w:r>
        <w:t>.</w:t>
      </w:r>
      <w:r>
        <w:tab/>
        <w:t>Review of Act</w:t>
      </w:r>
      <w:bookmarkEnd w:id="689"/>
      <w:bookmarkEnd w:id="690"/>
      <w:bookmarkEnd w:id="691"/>
      <w:bookmarkEnd w:id="69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93" w:name="_Toc88880222"/>
      <w:bookmarkStart w:id="694" w:name="_Toc89519669"/>
      <w:bookmarkStart w:id="695" w:name="_Toc90883518"/>
      <w:bookmarkStart w:id="696" w:name="_Toc92523313"/>
      <w:bookmarkStart w:id="697" w:name="_Toc101164402"/>
      <w:bookmarkStart w:id="698" w:name="_Toc101235938"/>
      <w:bookmarkStart w:id="699" w:name="_Toc103655151"/>
      <w:bookmarkStart w:id="700" w:name="_Toc122255661"/>
      <w:bookmarkStart w:id="701" w:name="_Toc122255762"/>
      <w:bookmarkStart w:id="702" w:name="_Toc157854384"/>
      <w:bookmarkStart w:id="703" w:name="_Toc196801049"/>
      <w:bookmarkStart w:id="704" w:name="_Toc202511494"/>
      <w:bookmarkStart w:id="705" w:name="_Toc246329355"/>
      <w:bookmarkStart w:id="706" w:name="_Toc246394420"/>
      <w:bookmarkStart w:id="707" w:name="_Toc246394521"/>
      <w:r>
        <w:t>Notes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 </w:t>
      </w:r>
      <w:r>
        <w:rPr>
          <w:snapToGrid w:val="0"/>
          <w:vertAlign w:val="superscript"/>
        </w:rPr>
        <w:t>1a</w:t>
      </w:r>
      <w:r>
        <w:rPr>
          <w:rFonts w:ascii="Times" w:hAnsi="Times"/>
          <w:snapToGrid w:val="0"/>
          <w:vertAlign w:val="superscript"/>
        </w:rPr>
        <w:t xml:space="preserve"> 6</w:t>
      </w:r>
      <w:r>
        <w:rPr>
          <w:snapToGrid w:val="0"/>
        </w:rPr>
        <w:t>.  The table also contains information about any reprint.</w:t>
      </w:r>
    </w:p>
    <w:p>
      <w:pPr>
        <w:pStyle w:val="nHeading3"/>
      </w:pPr>
      <w:bookmarkStart w:id="708" w:name="_Toc103655152"/>
      <w:bookmarkStart w:id="709" w:name="_Toc246394522"/>
      <w:r>
        <w:t>Compilation table</w:t>
      </w:r>
      <w:bookmarkEnd w:id="708"/>
      <w:bookmarkEnd w:id="709"/>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Borders>
              <w:bottom w:val="single" w:sz="4" w:space="0" w:color="auto"/>
            </w:tcBorders>
          </w:tcPr>
          <w:p>
            <w:pPr>
              <w:pStyle w:val="nTable"/>
              <w:spacing w:after="40"/>
              <w:rPr>
                <w:i/>
                <w:snapToGrid w:val="0"/>
                <w:sz w:val="19"/>
                <w:lang w:val="en-US"/>
              </w:rPr>
            </w:pPr>
            <w:r>
              <w:rPr>
                <w:i/>
                <w:snapToGrid w:val="0"/>
                <w:sz w:val="19"/>
                <w:lang w:val="en-US"/>
              </w:rPr>
              <w:t>First Home Owner Grant Amendment Act 2009</w:t>
            </w:r>
            <w:r>
              <w:rPr>
                <w:snapToGrid w:val="0"/>
                <w:sz w:val="19"/>
                <w:lang w:val="en-US"/>
              </w:rPr>
              <w:t xml:space="preserve"> </w:t>
            </w:r>
          </w:p>
        </w:tc>
        <w:tc>
          <w:tcPr>
            <w:tcW w:w="1200" w:type="dxa"/>
            <w:tcBorders>
              <w:bottom w:val="single" w:sz="4" w:space="0" w:color="auto"/>
            </w:tcBorders>
          </w:tcPr>
          <w:p>
            <w:pPr>
              <w:pStyle w:val="nTable"/>
              <w:spacing w:after="40"/>
              <w:rPr>
                <w:snapToGrid w:val="0"/>
                <w:sz w:val="19"/>
                <w:lang w:val="en-US"/>
              </w:rPr>
            </w:pPr>
            <w:r>
              <w:rPr>
                <w:snapToGrid w:val="0"/>
                <w:sz w:val="19"/>
                <w:lang w:val="en-US"/>
              </w:rPr>
              <w:t>27 of 2009</w:t>
            </w:r>
          </w:p>
        </w:tc>
        <w:tc>
          <w:tcPr>
            <w:tcW w:w="1200" w:type="dxa"/>
            <w:tcBorders>
              <w:bottom w:val="single" w:sz="4" w:space="0" w:color="auto"/>
            </w:tcBorders>
          </w:tcPr>
          <w:p>
            <w:pPr>
              <w:pStyle w:val="nTable"/>
              <w:spacing w:after="40"/>
              <w:rPr>
                <w:snapToGrid w:val="0"/>
                <w:sz w:val="19"/>
                <w:lang w:val="en-US"/>
              </w:rPr>
            </w:pPr>
            <w:r>
              <w:rPr>
                <w:sz w:val="19"/>
              </w:rPr>
              <w:t>17 Nov 2009</w:t>
            </w:r>
          </w:p>
        </w:tc>
        <w:tc>
          <w:tcPr>
            <w:tcW w:w="2379" w:type="dxa"/>
            <w:tcBorders>
              <w:bottom w:val="single" w:sz="4" w:space="0" w:color="auto"/>
            </w:tcBorders>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0" w:name="_Toc7405065"/>
      <w:bookmarkStart w:id="711" w:name="_Toc246394523"/>
      <w:r>
        <w:t>Provisions that have not come into operation</w:t>
      </w:r>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vertAlign w:val="superscript"/>
                <w:lang w:val="en-US"/>
              </w:rPr>
            </w:pPr>
            <w:r>
              <w:rPr>
                <w:i/>
                <w:snapToGrid w:val="0"/>
                <w:sz w:val="19"/>
                <w:lang w:val="en-US"/>
              </w:rPr>
              <w:t>First Home Owner Grant Amendment Act 2009</w:t>
            </w:r>
            <w:r>
              <w:rPr>
                <w:snapToGrid w:val="0"/>
                <w:sz w:val="19"/>
                <w:lang w:val="en-US"/>
              </w:rPr>
              <w:t xml:space="preserve"> Pt. 3</w:t>
            </w:r>
            <w:r>
              <w:rPr>
                <w:i/>
                <w:snapToGrid w:val="0"/>
                <w:sz w:val="19"/>
                <w:lang w:val="en-US"/>
              </w:rPr>
              <w:t> </w:t>
            </w:r>
            <w:r>
              <w:rPr>
                <w:iCs/>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27 of 2009</w:t>
            </w:r>
          </w:p>
        </w:tc>
        <w:tc>
          <w:tcPr>
            <w:tcW w:w="1134" w:type="dxa"/>
          </w:tcPr>
          <w:p>
            <w:pPr>
              <w:pStyle w:val="nTable"/>
              <w:spacing w:after="40"/>
              <w:rPr>
                <w:snapToGrid w:val="0"/>
                <w:sz w:val="19"/>
                <w:lang w:val="en-US"/>
              </w:rPr>
            </w:pPr>
            <w:r>
              <w:rPr>
                <w:sz w:val="19"/>
              </w:rPr>
              <w:t>17 Nov 2009</w:t>
            </w:r>
          </w:p>
        </w:tc>
        <w:tc>
          <w:tcPr>
            <w:tcW w:w="2552" w:type="dxa"/>
          </w:tcPr>
          <w:p>
            <w:pPr>
              <w:pStyle w:val="nTable"/>
              <w:spacing w:after="40"/>
              <w:rPr>
                <w:snapToGrid w:val="0"/>
                <w:sz w:val="19"/>
                <w:lang w:val="en-US"/>
              </w:rPr>
            </w:pPr>
            <w:r>
              <w:rPr>
                <w:snapToGrid w:val="0"/>
                <w:sz w:val="19"/>
                <w:lang w:val="en-US"/>
              </w:rPr>
              <w:t>To be proclaimed (see s. 2(c))</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712" w:name="_Toc516566117"/>
      <w:r>
        <w:rPr>
          <w:rStyle w:val="CharSectno"/>
        </w:rPr>
        <w:t>7</w:t>
      </w:r>
      <w:r>
        <w:t>.</w:t>
      </w:r>
      <w:r>
        <w:tab/>
        <w:t>Saving of right to object</w:t>
      </w:r>
      <w:bookmarkEnd w:id="712"/>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rStyle w:val="CharDefText"/>
        </w:rPr>
        <w:t>eligible transaction</w:t>
      </w:r>
      <w:r>
        <w:t xml:space="preserve">, </w:t>
      </w:r>
      <w:r>
        <w:rPr>
          <w:rStyle w:val="CharDefText"/>
        </w:rPr>
        <w:t>first home owner grant</w:t>
      </w:r>
      <w:r>
        <w:t xml:space="preserve"> and </w:t>
      </w:r>
      <w:r>
        <w:rPr>
          <w:rStyle w:val="CharDefText"/>
        </w:rPr>
        <w:t>special eligible transaction</w:t>
      </w:r>
      <w:r>
        <w:rPr>
          <w:b/>
        </w:rPr>
        <w:t xml:space="preserve">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713" w:name="_Toc37572436"/>
      <w:r>
        <w:rPr>
          <w:rStyle w:val="CharSectno"/>
        </w:rPr>
        <w:t>10</w:t>
      </w:r>
      <w:r>
        <w:t>.</w:t>
      </w:r>
      <w:r>
        <w:tab/>
        <w:t>Saving of right to object</w:t>
      </w:r>
      <w:bookmarkEnd w:id="713"/>
    </w:p>
    <w:p>
      <w:pPr>
        <w:pStyle w:val="nzSubsection"/>
      </w:pPr>
      <w:r>
        <w:tab/>
        <w:t>(1)</w:t>
      </w:r>
      <w:r>
        <w:tab/>
        <w:t xml:space="preserve">Section 28 (the </w:t>
      </w:r>
      <w:r>
        <w:rPr>
          <w:rStyle w:val="CharDefText"/>
        </w:rPr>
        <w:t>relevant section</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rStyle w:val="CharDefText"/>
        </w:rPr>
        <w:t>class 1 eligible transaction</w:t>
      </w:r>
      <w:r>
        <w:t xml:space="preserve">, </w:t>
      </w:r>
      <w:r>
        <w:rPr>
          <w:rStyle w:val="CharDefText"/>
        </w:rPr>
        <w:t>class 2 eligible transaction</w:t>
      </w:r>
      <w:r>
        <w:t xml:space="preserve">, </w:t>
      </w:r>
      <w:r>
        <w:rPr>
          <w:rStyle w:val="CharDefText"/>
        </w:rPr>
        <w:t>class 3 eligible transaction</w:t>
      </w:r>
      <w:r>
        <w:t xml:space="preserve">, </w:t>
      </w:r>
      <w:r>
        <w:rPr>
          <w:rStyle w:val="CharDefText"/>
        </w:rPr>
        <w:t>eligible transaction</w:t>
      </w:r>
      <w:r>
        <w:t xml:space="preserve"> and</w:t>
      </w:r>
      <w:r>
        <w:rPr>
          <w:b/>
        </w:rPr>
        <w:t xml:space="preserve"> </w:t>
      </w:r>
      <w:r>
        <w:t xml:space="preserve"> </w:t>
      </w:r>
      <w:r>
        <w:rPr>
          <w:rStyle w:val="CharDefText"/>
        </w:rPr>
        <w:t>first home owner grant</w:t>
      </w:r>
      <w:r>
        <w:rPr>
          <w:b/>
        </w:rPr>
        <w:t xml:space="preserve"> </w:t>
      </w:r>
      <w:r>
        <w:t xml:space="preserve">each has the same meaning as it has in the </w:t>
      </w:r>
      <w:r>
        <w:rPr>
          <w:i/>
        </w:rPr>
        <w:t>First Home Owner Grant Act 2000</w:t>
      </w:r>
      <w:r>
        <w:t>;</w:t>
      </w:r>
    </w:p>
    <w:p>
      <w:pPr>
        <w:pStyle w:val="nzDefstart"/>
      </w:pPr>
      <w:r>
        <w:tab/>
      </w:r>
      <w:r>
        <w:rPr>
          <w:rStyle w:val="CharDefText"/>
        </w:rPr>
        <w:t>First Home Owner Grant Act 2000</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714" w:name="_Toc72739703"/>
      <w:bookmarkStart w:id="715" w:name="_Toc72740279"/>
      <w:bookmarkStart w:id="716" w:name="_Toc73361696"/>
      <w:bookmarkStart w:id="717" w:name="_Toc73362080"/>
      <w:bookmarkStart w:id="718" w:name="_Toc73412968"/>
      <w:bookmarkStart w:id="719" w:name="_Toc73435222"/>
      <w:bookmarkStart w:id="720" w:name="_Toc73437775"/>
      <w:bookmarkStart w:id="721" w:name="_Toc73437869"/>
      <w:bookmarkStart w:id="722" w:name="_Toc73438965"/>
      <w:bookmarkStart w:id="723" w:name="_Toc73440425"/>
      <w:bookmarkStart w:id="724" w:name="_Toc73441628"/>
      <w:bookmarkStart w:id="725" w:name="_Toc73446345"/>
      <w:bookmarkStart w:id="726" w:name="_Toc73933442"/>
      <w:bookmarkStart w:id="727" w:name="_Toc73933634"/>
      <w:bookmarkStart w:id="728" w:name="_Toc73938664"/>
      <w:bookmarkStart w:id="729" w:name="_Toc74034737"/>
      <w:bookmarkStart w:id="730" w:name="_Toc74036623"/>
      <w:bookmarkStart w:id="731" w:name="_Toc74037233"/>
      <w:bookmarkStart w:id="732" w:name="_Toc74041612"/>
      <w:bookmarkStart w:id="733" w:name="_Toc75334777"/>
      <w:bookmarkStart w:id="734" w:name="_Toc75335719"/>
      <w:bookmarkStart w:id="735" w:name="_Toc75662765"/>
      <w:bookmarkStart w:id="736" w:name="_Toc75662788"/>
      <w:r>
        <w:rPr>
          <w:rStyle w:val="CharPartNo"/>
        </w:rPr>
        <w:t>Part 3</w:t>
      </w:r>
      <w:r>
        <w:rPr>
          <w:rStyle w:val="CharDivNo"/>
        </w:rPr>
        <w:t> </w:t>
      </w:r>
      <w:r>
        <w:t>—</w:t>
      </w:r>
      <w:r>
        <w:rPr>
          <w:rStyle w:val="CharDivText"/>
        </w:rPr>
        <w:t> </w:t>
      </w:r>
      <w:r>
        <w:rPr>
          <w:rStyle w:val="CharPartText"/>
        </w:rPr>
        <w:t>Transitional provisions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nzHeading5"/>
      </w:pPr>
      <w:bookmarkStart w:id="737" w:name="_Toc87936204"/>
      <w:r>
        <w:rPr>
          <w:rStyle w:val="CharSectno"/>
        </w:rPr>
        <w:t>15</w:t>
      </w:r>
      <w:r>
        <w:t>.</w:t>
      </w:r>
      <w:r>
        <w:tab/>
        <w:t>Definitions</w:t>
      </w:r>
      <w:bookmarkEnd w:id="737"/>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738" w:name="_Toc87936205"/>
      <w:r>
        <w:rPr>
          <w:rStyle w:val="CharSectno"/>
        </w:rPr>
        <w:t>16</w:t>
      </w:r>
      <w:r>
        <w:t>.</w:t>
      </w:r>
      <w:r>
        <w:tab/>
        <w:t>Application of amendments to minimum age requirements</w:t>
      </w:r>
      <w:bookmarkEnd w:id="738"/>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739" w:name="_Toc87936206"/>
      <w:r>
        <w:rPr>
          <w:rStyle w:val="CharSectno"/>
        </w:rPr>
        <w:t>17</w:t>
      </w:r>
      <w:r>
        <w:t>.</w:t>
      </w:r>
      <w:r>
        <w:tab/>
        <w:t>Application of amendments to residence requirements</w:t>
      </w:r>
      <w:bookmarkEnd w:id="739"/>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740" w:name="_Toc101931255"/>
      <w:bookmarkStart w:id="741" w:name="_Toc101931273"/>
      <w:bookmarkStart w:id="742" w:name="_Toc101931285"/>
      <w:bookmarkStart w:id="743" w:name="_Toc101936278"/>
      <w:bookmarkStart w:id="744" w:name="_Toc101938047"/>
      <w:bookmarkStart w:id="745" w:name="_Toc101953003"/>
      <w:bookmarkStart w:id="746" w:name="_Toc102799184"/>
      <w:bookmarkStart w:id="747" w:name="_Toc102801771"/>
      <w:bookmarkStart w:id="748" w:name="_Toc102884595"/>
      <w:bookmarkStart w:id="749" w:name="_Toc105401272"/>
      <w:bookmarkStart w:id="750" w:name="_Toc105404558"/>
      <w:bookmarkStart w:id="751" w:name="_Toc105557594"/>
      <w:bookmarkStart w:id="752" w:name="_Toc105565343"/>
      <w:bookmarkStart w:id="753" w:name="_Toc105576533"/>
      <w:bookmarkStart w:id="754" w:name="_Toc106004080"/>
      <w:bookmarkStart w:id="755" w:name="_Toc107115538"/>
      <w:bookmarkStart w:id="756" w:name="_Toc107117439"/>
      <w:bookmarkStart w:id="757" w:name="_Toc107134556"/>
      <w:bookmarkStart w:id="758" w:name="_Toc122254449"/>
      <w:r>
        <w:rPr>
          <w:rStyle w:val="CharPartNo"/>
        </w:rPr>
        <w:t>Part 3</w:t>
      </w:r>
      <w:r>
        <w:t> — </w:t>
      </w:r>
      <w:r>
        <w:rPr>
          <w:rStyle w:val="CharPartText"/>
        </w:rPr>
        <w:t>Transitional provisions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nzHeading3"/>
      </w:pPr>
      <w:bookmarkStart w:id="759" w:name="_Toc105565344"/>
      <w:bookmarkStart w:id="760" w:name="_Toc105576534"/>
      <w:bookmarkStart w:id="761" w:name="_Toc106004081"/>
      <w:bookmarkStart w:id="762" w:name="_Toc107115539"/>
      <w:bookmarkStart w:id="763" w:name="_Toc107117440"/>
      <w:bookmarkStart w:id="764" w:name="_Toc107134557"/>
      <w:bookmarkStart w:id="765" w:name="_Toc122254450"/>
      <w:bookmarkStart w:id="766" w:name="_Toc101868191"/>
      <w:bookmarkStart w:id="767" w:name="_Toc101868334"/>
      <w:bookmarkStart w:id="768" w:name="_Toc101931256"/>
      <w:bookmarkStart w:id="769" w:name="_Toc101931274"/>
      <w:bookmarkStart w:id="770" w:name="_Toc101931286"/>
      <w:bookmarkStart w:id="771" w:name="_Toc101936279"/>
      <w:bookmarkStart w:id="772" w:name="_Toc101938048"/>
      <w:bookmarkStart w:id="773" w:name="_Toc101953004"/>
      <w:bookmarkStart w:id="774" w:name="_Toc102799185"/>
      <w:bookmarkStart w:id="775" w:name="_Toc102801772"/>
      <w:bookmarkStart w:id="776" w:name="_Toc102884596"/>
      <w:bookmarkStart w:id="777" w:name="_Toc105401273"/>
      <w:bookmarkStart w:id="778" w:name="_Toc105404559"/>
      <w:bookmarkStart w:id="779" w:name="_Toc105557595"/>
      <w:r>
        <w:rPr>
          <w:rStyle w:val="CharDivNo"/>
        </w:rPr>
        <w:t>Division 1</w:t>
      </w:r>
      <w:r>
        <w:t> — </w:t>
      </w:r>
      <w:r>
        <w:rPr>
          <w:rStyle w:val="CharDivText"/>
        </w:rPr>
        <w:t>First home owner grant</w:t>
      </w:r>
      <w:bookmarkEnd w:id="759"/>
      <w:bookmarkEnd w:id="760"/>
      <w:bookmarkEnd w:id="761"/>
      <w:bookmarkEnd w:id="762"/>
      <w:bookmarkEnd w:id="763"/>
      <w:bookmarkEnd w:id="764"/>
      <w:bookmarkEnd w:id="765"/>
    </w:p>
    <w:p>
      <w:pPr>
        <w:pStyle w:val="nzHeading5"/>
      </w:pPr>
      <w:bookmarkStart w:id="780" w:name="_Toc107134558"/>
      <w:bookmarkStart w:id="781" w:name="_Toc122254451"/>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Sectno"/>
        </w:rPr>
        <w:t>5</w:t>
      </w:r>
      <w:r>
        <w:t>.</w:t>
      </w:r>
      <w:r>
        <w:tab/>
        <w:t>Terms used in this Division</w:t>
      </w:r>
      <w:bookmarkEnd w:id="780"/>
      <w:bookmarkEnd w:id="781"/>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782" w:name="_Toc107134559"/>
      <w:bookmarkStart w:id="783" w:name="_Toc122254452"/>
      <w:r>
        <w:rPr>
          <w:rStyle w:val="CharSectno"/>
        </w:rPr>
        <w:t>6</w:t>
      </w:r>
      <w:r>
        <w:t>.</w:t>
      </w:r>
      <w:r>
        <w:tab/>
        <w:t>Application of amendments to FHOG Act section 12</w:t>
      </w:r>
      <w:bookmarkEnd w:id="782"/>
      <w:bookmarkEnd w:id="783"/>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784" w:name="_Toc107134560"/>
      <w:bookmarkStart w:id="785" w:name="_Toc122254453"/>
      <w:r>
        <w:rPr>
          <w:rStyle w:val="CharSectno"/>
        </w:rPr>
        <w:t>7</w:t>
      </w:r>
      <w:r>
        <w:t>.</w:t>
      </w:r>
      <w:r>
        <w:tab/>
        <w:t>Application of amendments to FHOG Act section 15</w:t>
      </w:r>
      <w:bookmarkEnd w:id="784"/>
      <w:bookmarkEnd w:id="785"/>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786" w:name="_Toc107134561"/>
      <w:bookmarkStart w:id="787" w:name="_Toc122254454"/>
      <w:r>
        <w:rPr>
          <w:rStyle w:val="CharSectno"/>
        </w:rPr>
        <w:t>8</w:t>
      </w:r>
      <w:r>
        <w:t>.</w:t>
      </w:r>
      <w:r>
        <w:tab/>
        <w:t>Application of amendments to existing first home owner grants</w:t>
      </w:r>
      <w:bookmarkEnd w:id="786"/>
      <w:bookmarkEnd w:id="787"/>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788" w:name="_Toc105565349"/>
      <w:bookmarkStart w:id="789" w:name="_Toc105576539"/>
      <w:bookmarkStart w:id="790" w:name="_Toc106004086"/>
      <w:bookmarkStart w:id="791" w:name="_Toc107115544"/>
      <w:bookmarkStart w:id="792" w:name="_Toc107117445"/>
      <w:bookmarkStart w:id="793" w:name="_Toc107134562"/>
      <w:bookmarkStart w:id="794" w:name="_Toc122254455"/>
      <w:bookmarkStart w:id="795" w:name="_Toc101931259"/>
      <w:bookmarkStart w:id="796" w:name="_Toc101931277"/>
      <w:bookmarkStart w:id="797" w:name="_Toc101931289"/>
      <w:bookmarkStart w:id="798" w:name="_Toc101936282"/>
      <w:bookmarkStart w:id="799" w:name="_Toc101938051"/>
      <w:bookmarkStart w:id="800" w:name="_Toc101953009"/>
      <w:bookmarkStart w:id="801" w:name="_Toc102799190"/>
      <w:bookmarkStart w:id="802" w:name="_Toc102801777"/>
      <w:bookmarkStart w:id="803" w:name="_Toc102884601"/>
      <w:bookmarkStart w:id="804" w:name="_Toc105401278"/>
      <w:bookmarkStart w:id="805" w:name="_Toc105404564"/>
      <w:bookmarkStart w:id="806" w:name="_Toc105557600"/>
      <w:r>
        <w:rPr>
          <w:rStyle w:val="CharDivNo"/>
        </w:rPr>
        <w:t>Division 2</w:t>
      </w:r>
      <w:r>
        <w:t> — </w:t>
      </w:r>
      <w:r>
        <w:rPr>
          <w:rStyle w:val="CharDivText"/>
        </w:rPr>
        <w:t>Stamp duty</w:t>
      </w:r>
      <w:bookmarkEnd w:id="788"/>
      <w:bookmarkEnd w:id="789"/>
      <w:bookmarkEnd w:id="790"/>
      <w:bookmarkEnd w:id="791"/>
      <w:bookmarkEnd w:id="792"/>
      <w:bookmarkEnd w:id="793"/>
      <w:bookmarkEnd w:id="794"/>
    </w:p>
    <w:p>
      <w:pPr>
        <w:pStyle w:val="nzHeading5"/>
      </w:pPr>
      <w:bookmarkStart w:id="807" w:name="_Toc107134563"/>
      <w:bookmarkStart w:id="808" w:name="_Toc122254456"/>
      <w:bookmarkEnd w:id="795"/>
      <w:bookmarkEnd w:id="796"/>
      <w:bookmarkEnd w:id="797"/>
      <w:bookmarkEnd w:id="798"/>
      <w:bookmarkEnd w:id="799"/>
      <w:bookmarkEnd w:id="800"/>
      <w:bookmarkEnd w:id="801"/>
      <w:bookmarkEnd w:id="802"/>
      <w:bookmarkEnd w:id="803"/>
      <w:bookmarkEnd w:id="804"/>
      <w:bookmarkEnd w:id="805"/>
      <w:bookmarkEnd w:id="806"/>
      <w:r>
        <w:rPr>
          <w:rStyle w:val="CharSectno"/>
        </w:rPr>
        <w:t>9</w:t>
      </w:r>
      <w:r>
        <w:t>.</w:t>
      </w:r>
      <w:r>
        <w:tab/>
        <w:t>Terms used in this Division</w:t>
      </w:r>
      <w:bookmarkEnd w:id="807"/>
      <w:bookmarkEnd w:id="808"/>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809" w:name="_Toc107134564"/>
      <w:bookmarkStart w:id="810"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809"/>
      <w:bookmarkEnd w:id="810"/>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First Home Owner Grant Amendment Act 2009 </w:t>
      </w:r>
      <w:r>
        <w:rPr>
          <w:iCs/>
          <w:snapToGrid w:val="0"/>
        </w:rPr>
        <w:t xml:space="preserve">Pt. 3 </w:t>
      </w:r>
      <w:r>
        <w:rPr>
          <w:snapToGrid w:val="0"/>
        </w:rPr>
        <w:t>had not come into operation.  It reads as follows:</w:t>
      </w:r>
    </w:p>
    <w:p>
      <w:pPr>
        <w:pStyle w:val="BlankOpen"/>
      </w:pPr>
    </w:p>
    <w:p>
      <w:pPr>
        <w:pStyle w:val="nzHeading2"/>
      </w:pPr>
      <w:bookmarkStart w:id="811" w:name="_Toc245793444"/>
      <w:bookmarkStart w:id="812" w:name="_Toc246319952"/>
      <w:r>
        <w:rPr>
          <w:rStyle w:val="CharPartNo"/>
        </w:rPr>
        <w:t>Part 3</w:t>
      </w:r>
      <w:r>
        <w:rPr>
          <w:rStyle w:val="CharDivNo"/>
        </w:rPr>
        <w:t> </w:t>
      </w:r>
      <w:r>
        <w:t>—</w:t>
      </w:r>
      <w:r>
        <w:rPr>
          <w:rStyle w:val="CharDivText"/>
        </w:rPr>
        <w:t> </w:t>
      </w:r>
      <w:r>
        <w:rPr>
          <w:rStyle w:val="CharPartText"/>
        </w:rPr>
        <w:t>Amendments to cap value of eligible transactions</w:t>
      </w:r>
      <w:bookmarkEnd w:id="811"/>
      <w:bookmarkEnd w:id="812"/>
    </w:p>
    <w:p>
      <w:pPr>
        <w:pStyle w:val="nzHeading5"/>
      </w:pPr>
      <w:bookmarkStart w:id="813" w:name="_Toc245793445"/>
      <w:bookmarkStart w:id="814" w:name="_Toc246319953"/>
      <w:r>
        <w:rPr>
          <w:rStyle w:val="CharSectno"/>
        </w:rPr>
        <w:t>8</w:t>
      </w:r>
      <w:r>
        <w:t>.</w:t>
      </w:r>
      <w:r>
        <w:tab/>
        <w:t>Section 3 amended</w:t>
      </w:r>
      <w:bookmarkEnd w:id="813"/>
      <w:bookmarkEnd w:id="814"/>
    </w:p>
    <w:p>
      <w:pPr>
        <w:pStyle w:val="nzSubsection"/>
      </w:pPr>
      <w:r>
        <w:tab/>
        <w:t>(1)</w:t>
      </w:r>
      <w:r>
        <w:tab/>
        <w:t>In section 3(1) delete the definitions of:</w:t>
      </w:r>
    </w:p>
    <w:p>
      <w:pPr>
        <w:pStyle w:val="DeleteListSub"/>
        <w:ind w:left="1440"/>
        <w:rPr>
          <w:b/>
          <w:i/>
          <w:sz w:val="20"/>
        </w:rPr>
      </w:pPr>
      <w:r>
        <w:rPr>
          <w:b/>
          <w:i/>
          <w:sz w:val="20"/>
        </w:rPr>
        <w:t>commencement date</w:t>
      </w:r>
    </w:p>
    <w:p>
      <w:pPr>
        <w:pStyle w:val="DeleteListSub"/>
        <w:ind w:left="1440"/>
        <w:rPr>
          <w:b/>
          <w:bCs/>
          <w:i/>
          <w:iCs/>
          <w:sz w:val="20"/>
        </w:rPr>
      </w:pPr>
      <w:r>
        <w:rPr>
          <w:b/>
          <w:bCs/>
          <w:i/>
          <w:iCs/>
          <w:sz w:val="20"/>
        </w:rPr>
        <w:t>completed</w:t>
      </w:r>
    </w:p>
    <w:p>
      <w:pPr>
        <w:pStyle w:val="DeleteListSub"/>
        <w:ind w:left="1440"/>
        <w:rPr>
          <w:b/>
          <w:bCs/>
          <w:i/>
          <w:iCs/>
          <w:sz w:val="20"/>
          <w:highlight w:val="cyan"/>
        </w:rPr>
      </w:pPr>
      <w:r>
        <w:rPr>
          <w:b/>
          <w:bCs/>
          <w:i/>
          <w:iCs/>
          <w:sz w:val="20"/>
        </w:rPr>
        <w:t>consideration</w:t>
      </w:r>
    </w:p>
    <w:p>
      <w:pPr>
        <w:pStyle w:val="nzSubsection"/>
      </w:pPr>
      <w:r>
        <w:tab/>
        <w:t>(2)</w:t>
      </w:r>
      <w:r>
        <w:tab/>
        <w:t>In section 3(1) insert in alphabetical order:</w:t>
      </w:r>
    </w:p>
    <w:p>
      <w:pPr>
        <w:pStyle w:val="BlankOpen"/>
      </w:pPr>
    </w:p>
    <w:p>
      <w:pPr>
        <w:pStyle w:val="nzDefstart"/>
      </w:pPr>
      <w:r>
        <w:tab/>
      </w:r>
      <w:r>
        <w:rPr>
          <w:rStyle w:val="CharDefText"/>
        </w:rPr>
        <w:t>cap amount</w:t>
      </w:r>
      <w:r>
        <w:t xml:space="preserve"> has the meaning given by section 14AD;</w:t>
      </w:r>
    </w:p>
    <w:p>
      <w:pPr>
        <w:pStyle w:val="nzDefstart"/>
      </w:pPr>
      <w:r>
        <w:tab/>
      </w:r>
      <w:r>
        <w:rPr>
          <w:rStyle w:val="CharDefText"/>
        </w:rPr>
        <w:t>commencement date</w:t>
      </w:r>
      <w:r>
        <w:t>, in relation to a transaction, has the meaning given by section 14AA;</w:t>
      </w:r>
    </w:p>
    <w:p>
      <w:pPr>
        <w:pStyle w:val="nzDefstart"/>
      </w:pPr>
      <w:r>
        <w:tab/>
      </w:r>
      <w:r>
        <w:rPr>
          <w:rStyle w:val="CharDefText"/>
        </w:rPr>
        <w:t>completed</w:t>
      </w:r>
      <w:r>
        <w:t>, in relation to a transaction, has the meaning given by section 14AA;</w:t>
      </w:r>
    </w:p>
    <w:p>
      <w:pPr>
        <w:pStyle w:val="nzDefstart"/>
      </w:pPr>
      <w:r>
        <w:tab/>
      </w:r>
      <w:r>
        <w:rPr>
          <w:rStyle w:val="CharDefText"/>
        </w:rPr>
        <w:t>consideration</w:t>
      </w:r>
      <w:r>
        <w:t>, in relation to a transaction, has the meaning given by section 14AB;</w:t>
      </w:r>
    </w:p>
    <w:p>
      <w:pPr>
        <w:pStyle w:val="nzDefstart"/>
      </w:pPr>
      <w:r>
        <w:tab/>
      </w:r>
      <w:r>
        <w:rPr>
          <w:rStyle w:val="CharDefText"/>
        </w:rPr>
        <w:t>property</w:t>
      </w:r>
      <w:r>
        <w:t xml:space="preserve"> means — </w:t>
      </w:r>
    </w:p>
    <w:p>
      <w:pPr>
        <w:pStyle w:val="nzDefpara"/>
      </w:pPr>
      <w:r>
        <w:tab/>
        <w:t>(a)</w:t>
      </w:r>
      <w:r>
        <w:tab/>
        <w:t>a home; or</w:t>
      </w:r>
    </w:p>
    <w:p>
      <w:pPr>
        <w:pStyle w:val="nzDefpara"/>
      </w:pPr>
      <w:r>
        <w:tab/>
        <w:t>(b)</w:t>
      </w:r>
      <w:r>
        <w:tab/>
        <w:t>land; or</w:t>
      </w:r>
    </w:p>
    <w:p>
      <w:pPr>
        <w:pStyle w:val="nzDefpara"/>
      </w:pPr>
      <w:r>
        <w:tab/>
        <w:t>(c)</w:t>
      </w:r>
      <w:r>
        <w:tab/>
        <w:t>a relevant interest in land;</w:t>
      </w:r>
    </w:p>
    <w:p>
      <w:pPr>
        <w:pStyle w:val="nzDefstart"/>
      </w:pPr>
      <w:r>
        <w:tab/>
      </w:r>
      <w:r>
        <w:rPr>
          <w:rStyle w:val="CharDefText"/>
        </w:rPr>
        <w:t>total value</w:t>
      </w:r>
      <w:r>
        <w:t>, in relation to a transaction, has the meaning given by section 14AC(1);</w:t>
      </w:r>
    </w:p>
    <w:p>
      <w:pPr>
        <w:pStyle w:val="nzDefstart"/>
      </w:pPr>
      <w:r>
        <w:tab/>
      </w:r>
      <w:r>
        <w:rPr>
          <w:rStyle w:val="CharDefText"/>
        </w:rPr>
        <w:t>transaction</w:t>
      </w:r>
      <w:r>
        <w:t xml:space="preserve"> means — </w:t>
      </w:r>
    </w:p>
    <w:p>
      <w:pPr>
        <w:pStyle w:val="nzDefpara"/>
      </w:pPr>
      <w:r>
        <w:tab/>
        <w:t>(a)</w:t>
      </w:r>
      <w:r>
        <w:tab/>
        <w:t>a contract for the purchase of a home in the State; or</w:t>
      </w:r>
    </w:p>
    <w:p>
      <w:pPr>
        <w:pStyle w:val="nzDefpara"/>
      </w:pPr>
      <w:r>
        <w:tab/>
        <w:t>(b)</w:t>
      </w:r>
      <w:r>
        <w:tab/>
        <w:t>a comprehensive home building contract made by the owner of land in the State, or a person who will on completion of the contract be the owner of land in the State, to have a home built on the land; or</w:t>
      </w:r>
    </w:p>
    <w:p>
      <w:pPr>
        <w:pStyle w:val="nzDefpara"/>
      </w:pPr>
      <w:r>
        <w:tab/>
        <w:t>(c)</w:t>
      </w:r>
      <w:r>
        <w:tab/>
        <w:t>the building of a home in the State by an owner builder;</w:t>
      </w:r>
    </w:p>
    <w:p>
      <w:pPr>
        <w:pStyle w:val="nzDefstart"/>
      </w:pPr>
      <w:r>
        <w:tab/>
      </w:r>
      <w:r>
        <w:rPr>
          <w:rStyle w:val="CharDefText"/>
        </w:rPr>
        <w:t>unencumbered value</w:t>
      </w:r>
      <w:r>
        <w:t xml:space="preserve"> has the meaning given by section 14AE(1).</w:t>
      </w:r>
    </w:p>
    <w:p>
      <w:pPr>
        <w:pStyle w:val="BlankClose"/>
        <w:keepNext/>
      </w:pPr>
    </w:p>
    <w:p>
      <w:pPr>
        <w:pStyle w:val="nzSubsection"/>
      </w:pPr>
      <w:r>
        <w:tab/>
        <w:t>(3)</w:t>
      </w:r>
      <w:r>
        <w:tab/>
        <w:t xml:space="preserve">In section 3(1) in the definition of </w:t>
      </w:r>
      <w:r>
        <w:rPr>
          <w:b/>
          <w:bCs/>
          <w:i/>
          <w:iCs/>
        </w:rPr>
        <w:t>the home</w:t>
      </w:r>
      <w:r>
        <w:t xml:space="preserve"> delete “relates.” and insert:</w:t>
      </w:r>
    </w:p>
    <w:p>
      <w:pPr>
        <w:pStyle w:val="BlankOpen"/>
      </w:pPr>
    </w:p>
    <w:p>
      <w:pPr>
        <w:pStyle w:val="nzSubsection"/>
      </w:pPr>
      <w:r>
        <w:tab/>
      </w:r>
      <w:r>
        <w:tab/>
        <w:t>relates;</w:t>
      </w:r>
    </w:p>
    <w:p>
      <w:pPr>
        <w:pStyle w:val="BlankClose"/>
      </w:pPr>
    </w:p>
    <w:p>
      <w:pPr>
        <w:pStyle w:val="nzHeading5"/>
      </w:pPr>
      <w:bookmarkStart w:id="815" w:name="_Toc245793446"/>
      <w:bookmarkStart w:id="816" w:name="_Toc246319954"/>
      <w:r>
        <w:rPr>
          <w:rStyle w:val="CharSectno"/>
        </w:rPr>
        <w:t>9</w:t>
      </w:r>
      <w:r>
        <w:t>.</w:t>
      </w:r>
      <w:r>
        <w:tab/>
        <w:t>Section 14 amended</w:t>
      </w:r>
      <w:bookmarkEnd w:id="815"/>
      <w:bookmarkEnd w:id="816"/>
    </w:p>
    <w:p>
      <w:pPr>
        <w:pStyle w:val="nzSubsection"/>
      </w:pPr>
      <w:r>
        <w:tab/>
        <w:t>(1)</w:t>
      </w:r>
      <w:r>
        <w:tab/>
        <w:t>Delete section 14(1) and insert:</w:t>
      </w:r>
    </w:p>
    <w:p>
      <w:pPr>
        <w:pStyle w:val="BlankOpen"/>
      </w:pPr>
    </w:p>
    <w:p>
      <w:pPr>
        <w:pStyle w:val="nzSubsection"/>
        <w:rPr>
          <w:rStyle w:val="CharDefText"/>
          <w:b w:val="0"/>
          <w:bCs/>
          <w:i w:val="0"/>
          <w:iCs/>
        </w:rPr>
      </w:pPr>
      <w:r>
        <w:tab/>
        <w:t>(1)</w:t>
      </w:r>
      <w:r>
        <w:tab/>
        <w:t xml:space="preserve">An </w:t>
      </w:r>
      <w:r>
        <w:rPr>
          <w:rStyle w:val="CharDefText"/>
        </w:rPr>
        <w:t xml:space="preserve">eligible transaction </w:t>
      </w:r>
      <w:r>
        <w:rPr>
          <w:rStyle w:val="CharDefText"/>
          <w:b w:val="0"/>
          <w:bCs/>
          <w:i w:val="0"/>
          <w:iCs/>
        </w:rPr>
        <w:t xml:space="preserve">is a transaction — </w:t>
      </w:r>
    </w:p>
    <w:p>
      <w:pPr>
        <w:pStyle w:val="nzIndenta"/>
      </w:pPr>
      <w:r>
        <w:tab/>
        <w:t>(a)</w:t>
      </w:r>
      <w:r>
        <w:tab/>
        <w:t>with a commencement date on or after 1 July 2000; and</w:t>
      </w:r>
    </w:p>
    <w:p>
      <w:pPr>
        <w:pStyle w:val="nzIndenta"/>
      </w:pPr>
      <w:r>
        <w:tab/>
        <w:t>(b)</w:t>
      </w:r>
      <w:r>
        <w:tab/>
        <w:t xml:space="preserve">that has a total value that is less than or equal to any cap amount that applies — </w:t>
      </w:r>
    </w:p>
    <w:p>
      <w:pPr>
        <w:pStyle w:val="nzIndenti"/>
      </w:pPr>
      <w:r>
        <w:tab/>
        <w:t>(i)</w:t>
      </w:r>
      <w:r>
        <w:tab/>
        <w:t>in the case of a contract — on the commencement date; or</w:t>
      </w:r>
    </w:p>
    <w:p>
      <w:pPr>
        <w:pStyle w:val="nzIndenti"/>
      </w:pPr>
      <w:r>
        <w:tab/>
        <w:t>(ii)</w:t>
      </w:r>
      <w:r>
        <w:tab/>
        <w:t>in the case of the building of a home by an owner builder — on the date the transaction is completed.</w:t>
      </w:r>
    </w:p>
    <w:p>
      <w:pPr>
        <w:pStyle w:val="BlankClose"/>
      </w:pPr>
    </w:p>
    <w:p>
      <w:pPr>
        <w:pStyle w:val="nzSubsection"/>
      </w:pPr>
      <w:r>
        <w:tab/>
        <w:t>(2)</w:t>
      </w:r>
      <w:r>
        <w:tab/>
        <w:t>Delete section 14(5) to (8) and insert:</w:t>
      </w:r>
    </w:p>
    <w:p>
      <w:pPr>
        <w:pStyle w:val="BlankOpen"/>
      </w:pPr>
    </w:p>
    <w:p>
      <w:pPr>
        <w:pStyle w:val="nz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BlankClose"/>
        <w:rPr>
          <w:rStyle w:val="CharSectno"/>
        </w:rPr>
      </w:pPr>
    </w:p>
    <w:p>
      <w:pPr>
        <w:pStyle w:val="nzHeading5"/>
      </w:pPr>
      <w:bookmarkStart w:id="817" w:name="_Toc245793447"/>
      <w:bookmarkStart w:id="818" w:name="_Toc246319955"/>
      <w:r>
        <w:rPr>
          <w:rStyle w:val="CharSectno"/>
        </w:rPr>
        <w:t>10</w:t>
      </w:r>
      <w:r>
        <w:t>.</w:t>
      </w:r>
      <w:r>
        <w:tab/>
        <w:t>Sections 14AA to 14AE inserted</w:t>
      </w:r>
      <w:bookmarkEnd w:id="817"/>
      <w:bookmarkEnd w:id="818"/>
    </w:p>
    <w:p>
      <w:pPr>
        <w:pStyle w:val="nzSubsection"/>
      </w:pPr>
      <w:r>
        <w:tab/>
      </w:r>
      <w:r>
        <w:tab/>
        <w:t>At the end of Part 2 Division 3 Subdivision 1 insert:</w:t>
      </w:r>
    </w:p>
    <w:p>
      <w:pPr>
        <w:pStyle w:val="BlankOpen"/>
      </w:pPr>
    </w:p>
    <w:p>
      <w:pPr>
        <w:pStyle w:val="nzHeading5"/>
      </w:pPr>
      <w:bookmarkStart w:id="819" w:name="_Toc245793448"/>
      <w:bookmarkStart w:id="820" w:name="_Toc246319956"/>
      <w:r>
        <w:t>14AA.</w:t>
      </w:r>
      <w:r>
        <w:tab/>
        <w:t>Commencement and completion of transaction</w:t>
      </w:r>
      <w:bookmarkEnd w:id="819"/>
      <w:bookmarkEnd w:id="820"/>
    </w:p>
    <w:p>
      <w:pPr>
        <w:pStyle w:val="nzSubsection"/>
        <w:rPr>
          <w:snapToGrid w:val="0"/>
        </w:rPr>
      </w:pPr>
      <w:r>
        <w:tab/>
        <w:t>(1)</w:t>
      </w:r>
      <w:r>
        <w:tab/>
        <w:t xml:space="preserve">The </w:t>
      </w:r>
      <w:r>
        <w:rPr>
          <w:rStyle w:val="CharDefText"/>
        </w:rPr>
        <w:t>commencement date</w:t>
      </w:r>
      <w:r>
        <w:t xml:space="preserve"> of</w:t>
      </w:r>
      <w:r>
        <w:rPr>
          <w:snapToGrid w:val="0"/>
        </w:rPr>
        <w:t xml:space="preserve"> a transaction is — </w:t>
      </w:r>
    </w:p>
    <w:p>
      <w:pPr>
        <w:pStyle w:val="nzIndenta"/>
        <w:rPr>
          <w:snapToGrid w:val="0"/>
        </w:rPr>
      </w:pPr>
      <w:r>
        <w:rPr>
          <w:snapToGrid w:val="0"/>
        </w:rPr>
        <w:tab/>
        <w:t>(a)</w:t>
      </w:r>
      <w:r>
        <w:rPr>
          <w:snapToGrid w:val="0"/>
        </w:rPr>
        <w:tab/>
        <w:t>in the case of a contract — the date when the contract is made; or</w:t>
      </w:r>
    </w:p>
    <w:p>
      <w:pPr>
        <w:pStyle w:val="nzIndenta"/>
        <w:rPr>
          <w:snapToGrid w:val="0"/>
        </w:rPr>
      </w:pPr>
      <w:r>
        <w:rPr>
          <w:snapToGrid w:val="0"/>
        </w:rPr>
        <w:tab/>
        <w:t>(b)</w:t>
      </w:r>
      <w:r>
        <w:rPr>
          <w:snapToGrid w:val="0"/>
        </w:rPr>
        <w:tab/>
        <w:t xml:space="preserve">in the case of the building of a home by an owner builder — </w:t>
      </w:r>
    </w:p>
    <w:p>
      <w:pPr>
        <w:pStyle w:val="nzIndenti"/>
        <w:rPr>
          <w:snapToGrid w:val="0"/>
        </w:rPr>
      </w:pPr>
      <w:r>
        <w:rPr>
          <w:snapToGrid w:val="0"/>
        </w:rPr>
        <w:tab/>
        <w:t>(i)</w:t>
      </w:r>
      <w:r>
        <w:rPr>
          <w:snapToGrid w:val="0"/>
        </w:rPr>
        <w:tab/>
        <w:t>the date when laying the foundations for the home begins; or</w:t>
      </w:r>
    </w:p>
    <w:p>
      <w:pPr>
        <w:pStyle w:val="nzIndenti"/>
        <w:rPr>
          <w:snapToGrid w:val="0"/>
        </w:rPr>
      </w:pPr>
      <w:r>
        <w:rPr>
          <w:snapToGrid w:val="0"/>
        </w:rPr>
        <w:tab/>
        <w:t>(ii)</w:t>
      </w:r>
      <w:r>
        <w:rPr>
          <w:snapToGrid w:val="0"/>
        </w:rPr>
        <w:tab/>
        <w:t>another date (on or after 1 July 2000) the Commissioner considers appropriate in the circumstances of the case.</w:t>
      </w:r>
    </w:p>
    <w:p>
      <w:pPr>
        <w:pStyle w:val="nzSubsection"/>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nzIndenta"/>
        <w:rPr>
          <w:snapToGrid w:val="0"/>
        </w:rPr>
      </w:pPr>
      <w:r>
        <w:tab/>
        <w:t>(a)</w:t>
      </w:r>
      <w:r>
        <w:tab/>
      </w:r>
      <w:r>
        <w:rPr>
          <w:snapToGrid w:val="0"/>
        </w:rPr>
        <w:t xml:space="preserve">in the case of a contract for the purchase of a home — </w:t>
      </w:r>
    </w:p>
    <w:p>
      <w:pPr>
        <w:pStyle w:val="nzIndenti"/>
        <w:rPr>
          <w:snapToGrid w:val="0"/>
        </w:rPr>
      </w:pPr>
      <w:r>
        <w:rPr>
          <w:snapToGrid w:val="0"/>
        </w:rPr>
        <w:tab/>
        <w:t>(i)</w:t>
      </w:r>
      <w:r>
        <w:rPr>
          <w:snapToGrid w:val="0"/>
        </w:rPr>
        <w:tab/>
        <w:t>the purchaser becomes entitled to possession of the home under the contract; and</w:t>
      </w:r>
    </w:p>
    <w:p>
      <w:pPr>
        <w:pStyle w:val="nz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nzIndenta"/>
      </w:pPr>
      <w:r>
        <w:tab/>
      </w:r>
      <w:r>
        <w:tab/>
        <w:t>or</w:t>
      </w:r>
    </w:p>
    <w:p>
      <w:pPr>
        <w:pStyle w:val="nzIndenta"/>
        <w:rPr>
          <w:snapToGrid w:val="0"/>
        </w:rPr>
      </w:pPr>
      <w:r>
        <w:rPr>
          <w:snapToGrid w:val="0"/>
        </w:rPr>
        <w:tab/>
        <w:t>(b)</w:t>
      </w:r>
      <w:r>
        <w:rPr>
          <w:snapToGrid w:val="0"/>
        </w:rPr>
        <w:tab/>
        <w:t>in the case of a contract to have a home built — the building is ready for occupation as a place of residence; or</w:t>
      </w:r>
    </w:p>
    <w:p>
      <w:pPr>
        <w:pStyle w:val="nzIndenta"/>
        <w:rPr>
          <w:snapToGrid w:val="0"/>
        </w:rPr>
      </w:pPr>
      <w:r>
        <w:rPr>
          <w:snapToGrid w:val="0"/>
        </w:rPr>
        <w:tab/>
        <w:t>(c)</w:t>
      </w:r>
      <w:r>
        <w:rPr>
          <w:snapToGrid w:val="0"/>
        </w:rPr>
        <w:tab/>
        <w:t>in the case of the building of a home by an owner builder — the building is ready for occupation as a place of residence.</w:t>
      </w:r>
    </w:p>
    <w:p>
      <w:pPr>
        <w:pStyle w:val="nzSubsection"/>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nzIndenta"/>
        <w:rPr>
          <w:snapToGrid w:val="0"/>
        </w:rPr>
      </w:pPr>
      <w:r>
        <w:rPr>
          <w:snapToGrid w:val="0"/>
        </w:rPr>
        <w:tab/>
        <w:t>(a)</w:t>
      </w:r>
      <w:r>
        <w:rPr>
          <w:snapToGrid w:val="0"/>
        </w:rPr>
        <w:tab/>
        <w:t>this Act applies as if the person were an owner builder building a home on the land; and</w:t>
      </w:r>
    </w:p>
    <w:p>
      <w:pPr>
        <w:pStyle w:val="nzIndenta"/>
        <w:rPr>
          <w:snapToGrid w:val="0"/>
        </w:rPr>
      </w:pPr>
      <w:r>
        <w:rPr>
          <w:snapToGrid w:val="0"/>
        </w:rPr>
        <w:tab/>
        <w:t>(b)</w:t>
      </w:r>
      <w:r>
        <w:rPr>
          <w:snapToGrid w:val="0"/>
        </w:rPr>
        <w:tab/>
        <w:t>the commencement date of the transaction is taken to be the date of the contract to purchase the movable building; and</w:t>
      </w:r>
    </w:p>
    <w:p>
      <w:pPr>
        <w:pStyle w:val="nz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nzHeading5"/>
      </w:pPr>
      <w:bookmarkStart w:id="821" w:name="_Toc245793449"/>
      <w:bookmarkStart w:id="822" w:name="_Toc246319957"/>
      <w:r>
        <w:t>14AB.</w:t>
      </w:r>
      <w:r>
        <w:tab/>
        <w:t>Term used: consideration</w:t>
      </w:r>
      <w:bookmarkEnd w:id="821"/>
      <w:bookmarkEnd w:id="822"/>
      <w:r>
        <w:t xml:space="preserve"> </w:t>
      </w:r>
    </w:p>
    <w:p>
      <w:pPr>
        <w:pStyle w:val="nz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nzIndenta"/>
        <w:rPr>
          <w:snapToGrid w:val="0"/>
        </w:rPr>
      </w:pPr>
      <w:r>
        <w:rPr>
          <w:snapToGrid w:val="0"/>
        </w:rPr>
        <w:tab/>
        <w:t>(a)</w:t>
      </w:r>
      <w:r>
        <w:rPr>
          <w:snapToGrid w:val="0"/>
        </w:rPr>
        <w:tab/>
        <w:t>in the case of a contract for the purchase of a home — the consideration for the purchase; or</w:t>
      </w:r>
    </w:p>
    <w:p>
      <w:pPr>
        <w:pStyle w:val="nzIndenta"/>
        <w:rPr>
          <w:snapToGrid w:val="0"/>
        </w:rPr>
      </w:pPr>
      <w:r>
        <w:rPr>
          <w:snapToGrid w:val="0"/>
        </w:rPr>
        <w:tab/>
        <w:t>(b)</w:t>
      </w:r>
      <w:r>
        <w:rPr>
          <w:snapToGrid w:val="0"/>
        </w:rPr>
        <w:tab/>
        <w:t>in the case of a comprehensive home building contract — the total consideration payable for the building work; or</w:t>
      </w:r>
    </w:p>
    <w:p>
      <w:pPr>
        <w:pStyle w:val="nz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nzHeading5"/>
      </w:pPr>
      <w:bookmarkStart w:id="823" w:name="_Toc245793450"/>
      <w:bookmarkStart w:id="824" w:name="_Toc246319958"/>
      <w:r>
        <w:t>14AC.</w:t>
      </w:r>
      <w:r>
        <w:tab/>
        <w:t>Term used: total value</w:t>
      </w:r>
      <w:bookmarkEnd w:id="823"/>
      <w:bookmarkEnd w:id="824"/>
      <w:r>
        <w:t xml:space="preserve"> </w:t>
      </w:r>
    </w:p>
    <w:p>
      <w:pPr>
        <w:pStyle w:val="nzSubsection"/>
      </w:pPr>
      <w:r>
        <w:tab/>
        <w:t>(1)</w:t>
      </w:r>
      <w:r>
        <w:tab/>
        <w:t xml:space="preserve">The </w:t>
      </w:r>
      <w:r>
        <w:rPr>
          <w:rStyle w:val="CharDefText"/>
        </w:rPr>
        <w:t>total value</w:t>
      </w:r>
      <w:r>
        <w:t xml:space="preserve"> of a transaction is — </w:t>
      </w:r>
    </w:p>
    <w:p>
      <w:pPr>
        <w:pStyle w:val="nzIndenta"/>
      </w:pPr>
      <w:r>
        <w:tab/>
        <w:t>(a)</w:t>
      </w:r>
      <w:r>
        <w:tab/>
        <w:t xml:space="preserve">in the case of a contract for the purchase of a home, the greater of — </w:t>
      </w:r>
    </w:p>
    <w:p>
      <w:pPr>
        <w:pStyle w:val="nzIndenti"/>
      </w:pPr>
      <w:r>
        <w:tab/>
        <w:t>(i)</w:t>
      </w:r>
      <w:r>
        <w:tab/>
        <w:t>the consideration for the transaction; and</w:t>
      </w:r>
    </w:p>
    <w:p>
      <w:pPr>
        <w:pStyle w:val="nzIndenti"/>
      </w:pPr>
      <w:r>
        <w:tab/>
        <w:t>(ii)</w:t>
      </w:r>
      <w:r>
        <w:tab/>
        <w:t>the unencumbered value, at the commencement date, of the property the subject of the transaction;</w:t>
      </w:r>
    </w:p>
    <w:p>
      <w:pPr>
        <w:pStyle w:val="nzIndenta"/>
      </w:pPr>
      <w:r>
        <w:tab/>
      </w:r>
      <w:r>
        <w:tab/>
        <w:t>or</w:t>
      </w:r>
    </w:p>
    <w:p>
      <w:pPr>
        <w:pStyle w:val="nzIndenta"/>
      </w:pPr>
      <w:r>
        <w:tab/>
        <w:t>(b)</w:t>
      </w:r>
      <w:r>
        <w:tab/>
        <w:t xml:space="preserve">in the case of a comprehensive home building contract, the amount calculated by adding — </w:t>
      </w:r>
    </w:p>
    <w:p>
      <w:pPr>
        <w:pStyle w:val="nzIndenti"/>
      </w:pPr>
      <w:r>
        <w:tab/>
        <w:t>(i)</w:t>
      </w:r>
      <w:r>
        <w:tab/>
        <w:t>the consideration for the transaction; and</w:t>
      </w:r>
    </w:p>
    <w:p>
      <w:pPr>
        <w:pStyle w:val="nzIndenti"/>
      </w:pPr>
      <w:r>
        <w:tab/>
        <w:t>(ii)</w:t>
      </w:r>
      <w:r>
        <w:tab/>
        <w:t>the value, at the commencement date, of the relevant interest in the land on which the home is to be built;</w:t>
      </w:r>
    </w:p>
    <w:p>
      <w:pPr>
        <w:pStyle w:val="nzIndenta"/>
      </w:pPr>
      <w:r>
        <w:tab/>
      </w:r>
      <w:r>
        <w:tab/>
        <w:t>or</w:t>
      </w:r>
    </w:p>
    <w:p>
      <w:pPr>
        <w:pStyle w:val="nzIndenta"/>
      </w:pPr>
      <w:r>
        <w:tab/>
        <w:t>(c)</w:t>
      </w:r>
      <w:r>
        <w:tab/>
        <w:t xml:space="preserve">in the case of the building of a home by an owner builder, the amount calculated by adding — </w:t>
      </w:r>
    </w:p>
    <w:p>
      <w:pPr>
        <w:pStyle w:val="nzIndenti"/>
      </w:pPr>
      <w:r>
        <w:tab/>
        <w:t>(i)</w:t>
      </w:r>
      <w:r>
        <w:tab/>
        <w:t>the unencumbered value, at the date the transaction is completed, of the home; and</w:t>
      </w:r>
    </w:p>
    <w:p>
      <w:pPr>
        <w:pStyle w:val="nzIndenti"/>
      </w:pPr>
      <w:r>
        <w:tab/>
        <w:t>(ii)</w:t>
      </w:r>
      <w:r>
        <w:tab/>
        <w:t>the value, at the date the transaction is completed, of the relevant interest in the land on which the home is built.</w:t>
      </w:r>
    </w:p>
    <w:p>
      <w:pPr>
        <w:pStyle w:val="nzSubsection"/>
      </w:pPr>
      <w:r>
        <w:tab/>
        <w:t>(2)</w:t>
      </w:r>
      <w:r>
        <w:tab/>
        <w:t xml:space="preserve">For the purposes of subsections (1)(b)(ii) and (1)(c)(ii) the value of a relevant interest in land is the greater of — </w:t>
      </w:r>
    </w:p>
    <w:p>
      <w:pPr>
        <w:pStyle w:val="nzIndenta"/>
      </w:pPr>
      <w:r>
        <w:tab/>
        <w:t>(a)</w:t>
      </w:r>
      <w:r>
        <w:tab/>
        <w:t>the consideration paid for the interest; and</w:t>
      </w:r>
    </w:p>
    <w:p>
      <w:pPr>
        <w:pStyle w:val="nzIndenta"/>
      </w:pPr>
      <w:r>
        <w:tab/>
        <w:t>(b)</w:t>
      </w:r>
      <w:r>
        <w:tab/>
        <w:t>the unencumbered value of the interest.</w:t>
      </w:r>
    </w:p>
    <w:p>
      <w:pPr>
        <w:pStyle w:val="nzHeading5"/>
      </w:pPr>
      <w:bookmarkStart w:id="825" w:name="_Toc245793451"/>
      <w:bookmarkStart w:id="826" w:name="_Toc246319959"/>
      <w:r>
        <w:t>14AD.</w:t>
      </w:r>
      <w:r>
        <w:tab/>
        <w:t>Term used: cap amount</w:t>
      </w:r>
      <w:bookmarkEnd w:id="825"/>
      <w:bookmarkEnd w:id="826"/>
      <w:r>
        <w:t xml:space="preserve"> </w:t>
      </w:r>
    </w:p>
    <w:p>
      <w:pPr>
        <w:pStyle w:val="nzSubsection"/>
      </w:pPr>
      <w:r>
        <w:tab/>
      </w:r>
      <w:r>
        <w:tab/>
        <w:t xml:space="preserve">The </w:t>
      </w:r>
      <w:r>
        <w:rPr>
          <w:rStyle w:val="CharDefText"/>
        </w:rPr>
        <w:t>cap amount</w:t>
      </w:r>
      <w:r>
        <w:t xml:space="preserve"> that applies in respect of a transaction is — </w:t>
      </w:r>
    </w:p>
    <w:p>
      <w:pPr>
        <w:pStyle w:val="nzIndenta"/>
      </w:pPr>
      <w:r>
        <w:tab/>
        <w:t>(a)</w:t>
      </w:r>
      <w:r>
        <w:tab/>
        <w:t>in relation to a home south of the 26</w:t>
      </w:r>
      <w:r>
        <w:rPr>
          <w:vertAlign w:val="superscript"/>
        </w:rPr>
        <w:t>th</w:t>
      </w:r>
      <w:r>
        <w:t xml:space="preserve"> parallel of South Latitude, $750 000; or</w:t>
      </w:r>
    </w:p>
    <w:p>
      <w:pPr>
        <w:pStyle w:val="nzIndenta"/>
      </w:pPr>
      <w:r>
        <w:tab/>
        <w:t>(b)</w:t>
      </w:r>
      <w:r>
        <w:tab/>
        <w:t>in relation to a home north of the 26</w:t>
      </w:r>
      <w:r>
        <w:rPr>
          <w:vertAlign w:val="superscript"/>
        </w:rPr>
        <w:t>th</w:t>
      </w:r>
      <w:r>
        <w:t xml:space="preserve"> parallel of South Latitude, $1 000 000,</w:t>
      </w:r>
    </w:p>
    <w:p>
      <w:pPr>
        <w:pStyle w:val="nzSubsection"/>
      </w:pPr>
      <w:r>
        <w:tab/>
      </w:r>
      <w:r>
        <w:tab/>
        <w:t xml:space="preserve">except that the regulations may prescribe another amount as the cap amount for the purposes of paragraph (a) or (b).    </w:t>
      </w:r>
    </w:p>
    <w:p>
      <w:pPr>
        <w:pStyle w:val="nzHeading5"/>
      </w:pPr>
      <w:bookmarkStart w:id="827" w:name="_Toc245793452"/>
      <w:bookmarkStart w:id="828" w:name="_Toc246319960"/>
      <w:r>
        <w:t>14AE.</w:t>
      </w:r>
      <w:r>
        <w:tab/>
        <w:t>Term used: unencumbered value</w:t>
      </w:r>
      <w:bookmarkEnd w:id="827"/>
      <w:bookmarkEnd w:id="828"/>
    </w:p>
    <w:p>
      <w:pPr>
        <w:pStyle w:val="nz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nzIndenta"/>
      </w:pPr>
      <w:r>
        <w:tab/>
        <w:t>(a)</w:t>
      </w:r>
      <w:r>
        <w:tab/>
        <w:t>any encumbrance to which the property is subject, whether contingently or otherwise; or</w:t>
      </w:r>
    </w:p>
    <w:p>
      <w:pPr>
        <w:pStyle w:val="nzIndenta"/>
      </w:pPr>
      <w:r>
        <w:tab/>
        <w:t>(b)</w:t>
      </w:r>
      <w:r>
        <w:tab/>
        <w:t xml:space="preserve">any arrangement — </w:t>
      </w:r>
    </w:p>
    <w:p>
      <w:pPr>
        <w:pStyle w:val="nzIndenti"/>
      </w:pPr>
      <w:r>
        <w:tab/>
        <w:t>(i)</w:t>
      </w:r>
      <w:r>
        <w:tab/>
        <w:t>the parties to which are not dealing with each other at arm’s length; and</w:t>
      </w:r>
    </w:p>
    <w:p>
      <w:pPr>
        <w:pStyle w:val="nzIndenti"/>
      </w:pPr>
      <w:r>
        <w:tab/>
        <w:t>(ii)</w:t>
      </w:r>
      <w:r>
        <w:tab/>
        <w:t>that results in the reduction of the value of the property;</w:t>
      </w:r>
    </w:p>
    <w:p>
      <w:pPr>
        <w:pStyle w:val="nzIndenta"/>
      </w:pPr>
      <w:r>
        <w:tab/>
      </w:r>
      <w:r>
        <w:tab/>
        <w:t>or</w:t>
      </w:r>
    </w:p>
    <w:p>
      <w:pPr>
        <w:pStyle w:val="nzIndenta"/>
      </w:pPr>
      <w:r>
        <w:tab/>
        <w:t>(c)</w:t>
      </w:r>
      <w:r>
        <w:tab/>
        <w:t>any scheme or arrangement for which a significant purpose of any party to the scheme or arrangement was, in the opinion of the Commissioner, the reduction of the value of the property; or</w:t>
      </w:r>
    </w:p>
    <w:p>
      <w:pPr>
        <w:pStyle w:val="nzIndenta"/>
      </w:pPr>
      <w:r>
        <w:tab/>
        <w:t>(d)</w:t>
      </w:r>
      <w:r>
        <w:tab/>
        <w:t>where the property is held by a person on trust as guardian for another person who is under a legal disability — the liabilities of the trust, including the liability to indemnify the trustee.</w:t>
      </w:r>
    </w:p>
    <w:p>
      <w:pPr>
        <w:pStyle w:val="nzSubsection"/>
      </w:pPr>
      <w:r>
        <w:tab/>
        <w:t>(2)</w:t>
      </w:r>
      <w:r>
        <w:tab/>
        <w:t xml:space="preserve">For the purposes of subsection (1)(c), the Commissioner may have regard to — </w:t>
      </w:r>
    </w:p>
    <w:p>
      <w:pPr>
        <w:pStyle w:val="nzIndenta"/>
      </w:pPr>
      <w:r>
        <w:tab/>
        <w:t>(a)</w:t>
      </w:r>
      <w:r>
        <w:tab/>
        <w:t>the duration of the scheme or arrangement before the commencement date of the transaction to which the property relates; and</w:t>
      </w:r>
    </w:p>
    <w:p>
      <w:pPr>
        <w:pStyle w:val="nzIndenta"/>
      </w:pPr>
      <w:r>
        <w:tab/>
        <w:t>(b)</w:t>
      </w:r>
      <w:r>
        <w:tab/>
        <w:t>whether there is any commercial efficacy to the making of the scheme or arrangement other than to reduce the value of the property; and</w:t>
      </w:r>
    </w:p>
    <w:p>
      <w:pPr>
        <w:pStyle w:val="nzIndenta"/>
      </w:pPr>
      <w:r>
        <w:tab/>
        <w:t>(c)</w:t>
      </w:r>
      <w:r>
        <w:tab/>
        <w:t>any other matters the Commissioner considers relevant.</w:t>
      </w:r>
    </w:p>
    <w:p>
      <w:pPr>
        <w:pStyle w:val="nzHeading5"/>
      </w:pPr>
      <w:bookmarkStart w:id="829" w:name="_Toc245793453"/>
      <w:bookmarkStart w:id="830" w:name="_Toc246319961"/>
      <w:r>
        <w:rPr>
          <w:rStyle w:val="CharSectno"/>
        </w:rPr>
        <w:t>11</w:t>
      </w:r>
      <w:r>
        <w:t>.</w:t>
      </w:r>
      <w:r>
        <w:tab/>
        <w:t>Section 18 amended</w:t>
      </w:r>
      <w:bookmarkEnd w:id="829"/>
      <w:bookmarkEnd w:id="830"/>
    </w:p>
    <w:p>
      <w:pPr>
        <w:pStyle w:val="nzSubsection"/>
      </w:pPr>
      <w:r>
        <w:tab/>
        <w:t>(1)</w:t>
      </w:r>
      <w:r>
        <w:tab/>
        <w:t>Delete section 18(2)(b) and insert:</w:t>
      </w:r>
    </w:p>
    <w:p>
      <w:pPr>
        <w:pStyle w:val="BlankOpen"/>
      </w:pPr>
    </w:p>
    <w:p>
      <w:pPr>
        <w:pStyle w:val="nzIndenta"/>
      </w:pPr>
      <w:r>
        <w:tab/>
        <w:t>(b)</w:t>
      </w:r>
      <w:r>
        <w:tab/>
        <w:t xml:space="preserve">the interests of the State can be adequately protected by conditions requiring repayment of the grant if — </w:t>
      </w:r>
    </w:p>
    <w:p>
      <w:pPr>
        <w:pStyle w:val="nzIndenti"/>
      </w:pPr>
      <w:r>
        <w:tab/>
        <w:t>(i)</w:t>
      </w:r>
      <w:r>
        <w:tab/>
        <w:t>the transaction is not completed within a reasonable time; or</w:t>
      </w:r>
    </w:p>
    <w:p>
      <w:pPr>
        <w:pStyle w:val="nzIndenti"/>
      </w:pPr>
      <w:r>
        <w:tab/>
        <w:t>(ii)</w:t>
      </w:r>
      <w:r>
        <w:tab/>
        <w:t>on completion of the transaction, the total value of the transaction exceeds the cap amount that applies in respect of the transaction.</w:t>
      </w:r>
    </w:p>
    <w:p>
      <w:pPr>
        <w:pStyle w:val="BlankClose"/>
      </w:pPr>
    </w:p>
    <w:p>
      <w:pPr>
        <w:pStyle w:val="nzSubsection"/>
      </w:pPr>
      <w:r>
        <w:tab/>
        <w:t>(2)</w:t>
      </w:r>
      <w:r>
        <w:tab/>
        <w:t>After section 18(2) insert:</w:t>
      </w:r>
    </w:p>
    <w:p>
      <w:pPr>
        <w:pStyle w:val="BlankOpen"/>
      </w:pPr>
    </w:p>
    <w:p>
      <w:pPr>
        <w:pStyle w:val="nz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nzIndenta"/>
      </w:pPr>
      <w:r>
        <w:tab/>
        <w:t>(a)</w:t>
      </w:r>
      <w:r>
        <w:tab/>
        <w:t>give written notice of that fact to the Commissioner; and</w:t>
      </w:r>
    </w:p>
    <w:p>
      <w:pPr>
        <w:pStyle w:val="nzIndenta"/>
      </w:pPr>
      <w:r>
        <w:tab/>
        <w:t>(b)</w:t>
      </w:r>
      <w:r>
        <w:tab/>
        <w:t>either repay the amount of the grant, or make an application under section 52(2) for the Commissioner to approve an arrangement for the repayment of the amount of the grant.</w:t>
      </w:r>
    </w:p>
    <w:p>
      <w:pPr>
        <w:pStyle w:val="nz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nzSubsection"/>
      </w:pPr>
      <w:r>
        <w:tab/>
        <w:t>(5)</w:t>
      </w:r>
      <w:r>
        <w:tab/>
        <w:t xml:space="preserve">The Commissioner may, by written notice, impose a penalty on an applicant if the applicant — </w:t>
      </w:r>
    </w:p>
    <w:p>
      <w:pPr>
        <w:pStyle w:val="nzIndenta"/>
      </w:pPr>
      <w:r>
        <w:tab/>
        <w:t>(a)</w:t>
      </w:r>
      <w:r>
        <w:tab/>
        <w:t>does not comply with subsection (3)(b) within the 30 day period mentioned in subsection (3); or</w:t>
      </w:r>
    </w:p>
    <w:p>
      <w:pPr>
        <w:pStyle w:val="nzIndenta"/>
      </w:pPr>
      <w:r>
        <w:tab/>
        <w:t>(b)</w:t>
      </w:r>
      <w:r>
        <w:tab/>
        <w:t>does not repay the amount of the grant in accordance with an arrangement approved for the purposes of subsection (3)(b).</w:t>
      </w:r>
    </w:p>
    <w:p>
      <w:pPr>
        <w:pStyle w:val="nzSubsection"/>
      </w:pPr>
      <w:r>
        <w:tab/>
        <w:t>(6)</w:t>
      </w:r>
      <w:r>
        <w:tab/>
        <w:t>The amount of a penalty imposed under subsection (5) is not to exceed the amount that the applicant is required to repay under subsection (3).</w:t>
      </w:r>
    </w:p>
    <w:p>
      <w:pPr>
        <w:pStyle w:val="nzSubsection"/>
      </w:pPr>
      <w:r>
        <w:tab/>
        <w:t>(7)</w:t>
      </w:r>
      <w:r>
        <w:tab/>
        <w:t>Subject to section 52, the amount of a penalty imposed under subsection (5) must be paid by the applicant within 28 days after the date on which notice of the penalty is given to the applicant.</w:t>
      </w:r>
    </w:p>
    <w:p>
      <w:pPr>
        <w:pStyle w:val="BlankClose"/>
      </w:pPr>
    </w:p>
    <w:p>
      <w:pPr>
        <w:pStyle w:val="nzHeading5"/>
      </w:pPr>
      <w:bookmarkStart w:id="831" w:name="_Toc245793454"/>
      <w:bookmarkStart w:id="832" w:name="_Toc246319962"/>
      <w:r>
        <w:rPr>
          <w:rStyle w:val="CharSectno"/>
        </w:rPr>
        <w:t>12</w:t>
      </w:r>
      <w:r>
        <w:t>.</w:t>
      </w:r>
      <w:r>
        <w:tab/>
        <w:t>Section 26 amended</w:t>
      </w:r>
      <w:bookmarkEnd w:id="831"/>
      <w:bookmarkEnd w:id="832"/>
    </w:p>
    <w:p>
      <w:pPr>
        <w:pStyle w:val="nzSubsection"/>
      </w:pPr>
      <w:r>
        <w:tab/>
      </w:r>
      <w:r>
        <w:tab/>
        <w:t xml:space="preserve">In section 26 in the definition of </w:t>
      </w:r>
      <w:r>
        <w:rPr>
          <w:b/>
          <w:bCs/>
          <w:i/>
          <w:iCs/>
        </w:rPr>
        <w:t>decision on the application</w:t>
      </w:r>
      <w:r>
        <w:t>:</w:t>
      </w:r>
    </w:p>
    <w:p>
      <w:pPr>
        <w:pStyle w:val="nzIndenta"/>
      </w:pPr>
      <w:r>
        <w:tab/>
        <w:t>(a)</w:t>
      </w:r>
      <w:r>
        <w:tab/>
        <w:t>in paragraph (c) before “21(2)” insert:</w:t>
      </w:r>
    </w:p>
    <w:p>
      <w:pPr>
        <w:pStyle w:val="BlankOpen"/>
      </w:pPr>
    </w:p>
    <w:p>
      <w:pPr>
        <w:pStyle w:val="nzIndenta"/>
      </w:pPr>
      <w:r>
        <w:tab/>
      </w:r>
      <w:r>
        <w:tab/>
        <w:t>18(3) or</w:t>
      </w:r>
    </w:p>
    <w:p>
      <w:pPr>
        <w:pStyle w:val="BlankClose"/>
      </w:pPr>
    </w:p>
    <w:p>
      <w:pPr>
        <w:pStyle w:val="nzIndenta"/>
      </w:pPr>
      <w:r>
        <w:tab/>
        <w:t>(b)</w:t>
      </w:r>
      <w:r>
        <w:tab/>
        <w:t>in paragraph (d) before “21(5)” insert:</w:t>
      </w:r>
    </w:p>
    <w:p>
      <w:pPr>
        <w:pStyle w:val="BlankOpen"/>
      </w:pPr>
    </w:p>
    <w:p>
      <w:pPr>
        <w:pStyle w:val="nzIndenta"/>
      </w:pPr>
      <w:r>
        <w:tab/>
      </w:r>
      <w:r>
        <w:tab/>
        <w:t>18(5),</w:t>
      </w:r>
    </w:p>
    <w:p>
      <w:pPr>
        <w:pStyle w:val="BlankClose"/>
      </w:pPr>
    </w:p>
    <w:p>
      <w:pPr>
        <w:pStyle w:val="nzHeading5"/>
      </w:pPr>
      <w:bookmarkStart w:id="833" w:name="_Toc245793455"/>
      <w:bookmarkStart w:id="834" w:name="_Toc246319963"/>
      <w:r>
        <w:rPr>
          <w:rStyle w:val="CharSectno"/>
        </w:rPr>
        <w:t>13</w:t>
      </w:r>
      <w:r>
        <w:t>.</w:t>
      </w:r>
      <w:r>
        <w:tab/>
        <w:t>Section 41A inserted</w:t>
      </w:r>
      <w:bookmarkEnd w:id="833"/>
      <w:bookmarkEnd w:id="834"/>
    </w:p>
    <w:p>
      <w:pPr>
        <w:pStyle w:val="nzSubsection"/>
      </w:pPr>
      <w:r>
        <w:tab/>
      </w:r>
      <w:r>
        <w:tab/>
        <w:t>After section 40 insert:</w:t>
      </w:r>
    </w:p>
    <w:p>
      <w:pPr>
        <w:pStyle w:val="BlankOpen"/>
        <w:rPr>
          <w:rStyle w:val="CharSectno"/>
        </w:rPr>
      </w:pPr>
    </w:p>
    <w:p>
      <w:pPr>
        <w:pStyle w:val="nzHeading5"/>
      </w:pPr>
      <w:bookmarkStart w:id="835" w:name="_Toc245793456"/>
      <w:bookmarkStart w:id="836" w:name="_Toc246319964"/>
      <w:r>
        <w:rPr>
          <w:rStyle w:val="CharSectno"/>
        </w:rPr>
        <w:t>41A.</w:t>
      </w:r>
      <w:r>
        <w:rPr>
          <w:rStyle w:val="CharSectno"/>
        </w:rPr>
        <w:tab/>
        <w:t>P</w:t>
      </w:r>
      <w:r>
        <w:t>ower to have valuation made</w:t>
      </w:r>
      <w:bookmarkEnd w:id="835"/>
      <w:bookmarkEnd w:id="836"/>
    </w:p>
    <w:p>
      <w:pPr>
        <w:pStyle w:val="nzSubsection"/>
      </w:pPr>
      <w:r>
        <w:tab/>
        <w:t>(1)</w:t>
      </w:r>
      <w:r>
        <w:tab/>
        <w:t xml:space="preserve">In this section — </w:t>
      </w:r>
    </w:p>
    <w:p>
      <w:pPr>
        <w:pStyle w:val="nz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nzDefstart"/>
      </w:pPr>
      <w:r>
        <w:tab/>
      </w:r>
      <w:r>
        <w:rPr>
          <w:rStyle w:val="CharDefText"/>
        </w:rPr>
        <w:t>licensed valuer</w:t>
      </w:r>
      <w:r>
        <w:t xml:space="preserve"> means a person licensed under the </w:t>
      </w:r>
      <w:r>
        <w:rPr>
          <w:i/>
        </w:rPr>
        <w:t>Land Valuers Licensing Act 1978</w:t>
      </w:r>
      <w:r>
        <w:t>.</w:t>
      </w:r>
    </w:p>
    <w:p>
      <w:pPr>
        <w:pStyle w:val="nzSubsection"/>
      </w:pPr>
      <w:r>
        <w:tab/>
        <w:t>(2)</w:t>
      </w:r>
      <w:r>
        <w:tab/>
        <w:t xml:space="preserve">For the purposes of determining whether a transaction is an eligible transaction, the Commissioner may — </w:t>
      </w:r>
    </w:p>
    <w:p>
      <w:pPr>
        <w:pStyle w:val="nzIndenta"/>
      </w:pPr>
      <w:r>
        <w:tab/>
        <w:t>(a)</w:t>
      </w:r>
      <w:r>
        <w:tab/>
        <w:t xml:space="preserve">have a valuation made of any property or consideration; or </w:t>
      </w:r>
    </w:p>
    <w:p>
      <w:pPr>
        <w:pStyle w:val="nzIndenta"/>
      </w:pPr>
      <w:r>
        <w:tab/>
        <w:t>(b)</w:t>
      </w:r>
      <w:r>
        <w:tab/>
        <w:t>adopt any available valuation of the property or consideration by a licensed valuer that the Commissioner considers appropriate.</w:t>
      </w:r>
    </w:p>
    <w:p>
      <w:pPr>
        <w:pStyle w:val="nzSubsection"/>
      </w:pPr>
      <w:r>
        <w:tab/>
        <w:t>(3)</w:t>
      </w:r>
      <w:r>
        <w:tab/>
        <w:t>The Commissioner may have a valuation made, or adopt a valuation, regardless of whether — </w:t>
      </w:r>
    </w:p>
    <w:p>
      <w:pPr>
        <w:pStyle w:val="nzIndenta"/>
      </w:pPr>
      <w:r>
        <w:tab/>
        <w:t>(a)</w:t>
      </w:r>
      <w:r>
        <w:tab/>
        <w:t>the Commissioner has required the applicant to provide information under section 40 about the value of the property or consideration; or</w:t>
      </w:r>
    </w:p>
    <w:p>
      <w:pPr>
        <w:pStyle w:val="nzIndenta"/>
      </w:pPr>
      <w:r>
        <w:tab/>
        <w:t>(b)</w:t>
      </w:r>
      <w:r>
        <w:tab/>
        <w:t xml:space="preserve">the applicant has complied with such a requirement. </w:t>
      </w:r>
    </w:p>
    <w:p>
      <w:pPr>
        <w:pStyle w:val="BlankClose"/>
      </w:pPr>
    </w:p>
    <w:p>
      <w:pPr>
        <w:pStyle w:val="nzHeading5"/>
      </w:pPr>
      <w:bookmarkStart w:id="837" w:name="_Toc245793457"/>
      <w:bookmarkStart w:id="838" w:name="_Toc246319965"/>
      <w:r>
        <w:rPr>
          <w:rStyle w:val="CharSectno"/>
        </w:rPr>
        <w:t>14</w:t>
      </w:r>
      <w:r>
        <w:t>.</w:t>
      </w:r>
      <w:r>
        <w:tab/>
        <w:t>Section 52 amended</w:t>
      </w:r>
      <w:bookmarkEnd w:id="837"/>
      <w:bookmarkEnd w:id="838"/>
    </w:p>
    <w:p>
      <w:pPr>
        <w:pStyle w:val="nzSubsection"/>
      </w:pPr>
      <w:r>
        <w:tab/>
      </w:r>
      <w:r>
        <w:tab/>
        <w:t>In section 52(1)(a) delete “section 21” and insert:</w:t>
      </w:r>
    </w:p>
    <w:p>
      <w:pPr>
        <w:pStyle w:val="BlankOpen"/>
      </w:pPr>
    </w:p>
    <w:p>
      <w:pPr>
        <w:pStyle w:val="nzSubsection"/>
      </w:pPr>
      <w:r>
        <w:tab/>
      </w:r>
      <w:r>
        <w:tab/>
        <w:t>section 18, 21</w:t>
      </w:r>
    </w:p>
    <w:p>
      <w:pPr>
        <w:pStyle w:val="BlankClose"/>
      </w:pPr>
    </w:p>
    <w:p>
      <w:pPr>
        <w:pStyle w:val="nzHeading5"/>
      </w:pPr>
      <w:bookmarkStart w:id="839" w:name="_Toc245793458"/>
      <w:bookmarkStart w:id="840" w:name="_Toc246319966"/>
      <w:r>
        <w:rPr>
          <w:rStyle w:val="CharSectno"/>
        </w:rPr>
        <w:t>15</w:t>
      </w:r>
      <w:r>
        <w:t>.</w:t>
      </w:r>
      <w:r>
        <w:tab/>
        <w:t>Other provisions amended</w:t>
      </w:r>
      <w:bookmarkEnd w:id="839"/>
      <w:bookmarkEnd w:id="840"/>
    </w:p>
    <w:p>
      <w:pPr>
        <w:pStyle w:val="nzSubsection"/>
      </w:pPr>
      <w:r>
        <w:tab/>
      </w:r>
      <w:r>
        <w:tab/>
        <w:t>In the provisions listed in the Table delete “eligible”.</w:t>
      </w:r>
    </w:p>
    <w:p>
      <w:pPr>
        <w:pStyle w:val="THeading"/>
      </w:pPr>
      <w:r>
        <w:t>Table</w:t>
      </w:r>
    </w:p>
    <w:tbl>
      <w:tblPr>
        <w:tblW w:w="0" w:type="auto"/>
        <w:jc w:val="center"/>
        <w:tblInd w:w="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07"/>
        <w:gridCol w:w="2763"/>
      </w:tblGrid>
      <w:tr>
        <w:trPr>
          <w:cantSplit/>
          <w:jc w:val="center"/>
        </w:trPr>
        <w:tc>
          <w:tcPr>
            <w:tcW w:w="3107" w:type="dxa"/>
          </w:tcPr>
          <w:p>
            <w:pPr>
              <w:pStyle w:val="nTable"/>
            </w:pPr>
            <w:r>
              <w:t xml:space="preserve">s. 3(1) def. of </w:t>
            </w:r>
            <w:r>
              <w:rPr>
                <w:b/>
                <w:bCs/>
                <w:i/>
                <w:iCs/>
              </w:rPr>
              <w:t>de facto partner</w:t>
            </w:r>
          </w:p>
        </w:tc>
        <w:tc>
          <w:tcPr>
            <w:tcW w:w="2763" w:type="dxa"/>
          </w:tcPr>
          <w:p>
            <w:pPr>
              <w:pStyle w:val="nTable"/>
            </w:pPr>
            <w:r>
              <w:t>s. 7(1)</w:t>
            </w:r>
          </w:p>
        </w:tc>
      </w:tr>
      <w:tr>
        <w:trPr>
          <w:cantSplit/>
          <w:jc w:val="center"/>
        </w:trPr>
        <w:tc>
          <w:tcPr>
            <w:tcW w:w="3107" w:type="dxa"/>
          </w:tcPr>
          <w:p>
            <w:pPr>
              <w:pStyle w:val="nTable"/>
            </w:pPr>
            <w:r>
              <w:t>s. 7A</w:t>
            </w:r>
          </w:p>
        </w:tc>
        <w:tc>
          <w:tcPr>
            <w:tcW w:w="2763" w:type="dxa"/>
          </w:tcPr>
          <w:p>
            <w:pPr>
              <w:pStyle w:val="nTable"/>
            </w:pPr>
            <w:r>
              <w:t>s. 7B</w:t>
            </w:r>
          </w:p>
        </w:tc>
      </w:tr>
      <w:tr>
        <w:trPr>
          <w:cantSplit/>
          <w:jc w:val="center"/>
        </w:trPr>
        <w:tc>
          <w:tcPr>
            <w:tcW w:w="3107" w:type="dxa"/>
          </w:tcPr>
          <w:p>
            <w:pPr>
              <w:pStyle w:val="nTable"/>
            </w:pPr>
            <w:r>
              <w:t>s. 12(3)</w:t>
            </w:r>
          </w:p>
        </w:tc>
        <w:tc>
          <w:tcPr>
            <w:tcW w:w="2763" w:type="dxa"/>
          </w:tcPr>
          <w:p>
            <w:pPr>
              <w:pStyle w:val="nTable"/>
            </w:pPr>
            <w:r>
              <w:t>s. 15(5)(a) and (b)</w:t>
            </w:r>
          </w:p>
        </w:tc>
      </w:tr>
      <w:tr>
        <w:trPr>
          <w:cantSplit/>
          <w:jc w:val="center"/>
        </w:trPr>
        <w:tc>
          <w:tcPr>
            <w:tcW w:w="3107" w:type="dxa"/>
          </w:tcPr>
          <w:p>
            <w:pPr>
              <w:pStyle w:val="nTable"/>
            </w:pPr>
            <w:r>
              <w:t xml:space="preserve">s. 16(3) def. of </w:t>
            </w:r>
            <w:r>
              <w:rPr>
                <w:b/>
                <w:bCs/>
                <w:i/>
                <w:iCs/>
              </w:rPr>
              <w:t>interested person</w:t>
            </w:r>
          </w:p>
        </w:tc>
        <w:tc>
          <w:tcPr>
            <w:tcW w:w="2763" w:type="dxa"/>
          </w:tcPr>
          <w:p>
            <w:pPr>
              <w:pStyle w:val="nTable"/>
            </w:pPr>
            <w:r>
              <w:t>s. 19(1)(a)</w:t>
            </w:r>
          </w:p>
        </w:tc>
      </w:tr>
    </w:tbl>
    <w:p>
      <w:pPr>
        <w:pStyle w:val="BlankOpen"/>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07"/>
    <w:docVar w:name="WAFER_20151210141107" w:val="RemoveTrackChanges"/>
    <w:docVar w:name="WAFER_20151210141107_GUID" w:val="bf9c287f-633f-4514-80fd-ec3085235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19127</Words>
  <Characters>91431</Characters>
  <Application>Microsoft Office Word</Application>
  <DocSecurity>0</DocSecurity>
  <Lines>2539</Lines>
  <Paragraphs>1474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109084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2000 - 01-g0-03</dc:title>
  <dc:subject/>
  <dc:creator/>
  <cp:keywords/>
  <dc:description/>
  <cp:lastModifiedBy>svcMRProcess</cp:lastModifiedBy>
  <cp:revision>4</cp:revision>
  <cp:lastPrinted>2005-05-25T06:20:00Z</cp:lastPrinted>
  <dcterms:created xsi:type="dcterms:W3CDTF">2018-08-29T05:55:00Z</dcterms:created>
  <dcterms:modified xsi:type="dcterms:W3CDTF">2018-08-29T05:55:00Z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20091118</vt:lpwstr>
  </property>
  <property fmtid="{D5CDD505-2E9C-101B-9397-08002B2CF9AE}" pid="4" name="DocumentType">
    <vt:lpwstr>Act</vt:lpwstr>
  </property>
  <property fmtid="{D5CDD505-2E9C-101B-9397-08002B2CF9AE}" pid="5" name="OwlsUID">
    <vt:i4>2000</vt:i4>
  </property>
  <property fmtid="{D5CDD505-2E9C-101B-9397-08002B2CF9AE}" pid="6" name="AsAtDate">
    <vt:lpwstr>18 Nov 2009</vt:lpwstr>
  </property>
  <property fmtid="{D5CDD505-2E9C-101B-9397-08002B2CF9AE}" pid="7" name="Suffix">
    <vt:lpwstr>01-g0-03</vt:lpwstr>
  </property>
</Properties>
</file>