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89C" w:rsidRDefault="00430C74">
      <w:pPr>
        <w:pStyle w:val="WA"/>
      </w:pPr>
      <w:bookmarkStart w:id="0" w:name="_GoBack"/>
      <w:bookmarkEnd w:id="0"/>
      <w:r>
        <w:t>Western Australia</w:t>
      </w:r>
    </w:p>
    <w:p w:rsidR="00BA589C" w:rsidRDefault="00430C74">
      <w:pPr>
        <w:pStyle w:val="NameofActRegPage1"/>
        <w:spacing w:before="3760" w:after="4200"/>
        <w:ind w:left="567" w:right="476"/>
      </w:pPr>
      <w:r>
        <w:fldChar w:fldCharType="begin"/>
      </w:r>
      <w:r>
        <w:instrText xml:space="preserve"> STYLEREF "Name Of Act/Reg"</w:instrText>
      </w:r>
      <w:r>
        <w:fldChar w:fldCharType="separate"/>
      </w:r>
      <w:r w:rsidR="00A9082D">
        <w:rPr>
          <w:noProof/>
        </w:rPr>
        <w:t>Pig, Potato and Poultry Industries (Compensation Legislation) Repeal Act 2004</w:t>
      </w:r>
      <w:r>
        <w:fldChar w:fldCharType="end"/>
      </w:r>
    </w:p>
    <w:p w:rsidR="00BA589C" w:rsidRDefault="00BA589C">
      <w:pPr>
        <w:jc w:val="center"/>
        <w:rPr>
          <w:b/>
        </w:rPr>
        <w:sectPr w:rsidR="00BA589C">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BA589C" w:rsidRDefault="00430C74">
      <w:pPr>
        <w:pStyle w:val="WA"/>
      </w:pPr>
      <w:r>
        <w:lastRenderedPageBreak/>
        <w:t>Western Australia</w:t>
      </w:r>
    </w:p>
    <w:p w:rsidR="00BA589C" w:rsidRDefault="00430C74">
      <w:pPr>
        <w:pStyle w:val="NameofActRegPage1"/>
      </w:pPr>
      <w:r>
        <w:fldChar w:fldCharType="begin"/>
      </w:r>
      <w:r>
        <w:instrText xml:space="preserve"> STYLEREF "Name Of Act/Reg"</w:instrText>
      </w:r>
      <w:r>
        <w:fldChar w:fldCharType="separate"/>
      </w:r>
      <w:r w:rsidR="00A9082D">
        <w:rPr>
          <w:noProof/>
        </w:rPr>
        <w:t>Pig, Potato and Poultry Industries (Compensation Legislation) Repeal Act 2004</w:t>
      </w:r>
      <w:r>
        <w:fldChar w:fldCharType="end"/>
      </w:r>
    </w:p>
    <w:p w:rsidR="00BA589C" w:rsidRDefault="00430C74">
      <w:pPr>
        <w:pStyle w:val="Arrangement"/>
      </w:pPr>
      <w:r>
        <w:t>CONTENTS</w:t>
      </w:r>
    </w:p>
    <w:p w:rsidR="00BA589C" w:rsidRDefault="00430C74">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rsidR="00BA589C" w:rsidRDefault="00430C74">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_Toc94937039 \h </w:instrText>
      </w:r>
      <w:r>
        <w:rPr>
          <w:noProof/>
        </w:rPr>
      </w:r>
      <w:r>
        <w:rPr>
          <w:noProof/>
        </w:rPr>
        <w:fldChar w:fldCharType="separate"/>
      </w:r>
      <w:r w:rsidR="00A9082D">
        <w:rPr>
          <w:noProof/>
        </w:rPr>
        <w:t>1</w:t>
      </w:r>
      <w:r>
        <w:rPr>
          <w:noProof/>
        </w:rPr>
        <w:fldChar w:fldCharType="end"/>
      </w:r>
    </w:p>
    <w:p w:rsidR="00BA589C" w:rsidRDefault="00430C74">
      <w:pPr>
        <w:pStyle w:val="TOC4"/>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_Toc94937040 \h </w:instrText>
      </w:r>
      <w:r>
        <w:rPr>
          <w:noProof/>
        </w:rPr>
      </w:r>
      <w:r>
        <w:rPr>
          <w:noProof/>
        </w:rPr>
        <w:fldChar w:fldCharType="separate"/>
      </w:r>
      <w:r w:rsidR="00A9082D">
        <w:rPr>
          <w:noProof/>
        </w:rPr>
        <w:t>1</w:t>
      </w:r>
      <w:r>
        <w:rPr>
          <w:noProof/>
        </w:rPr>
        <w:fldChar w:fldCharType="end"/>
      </w:r>
    </w:p>
    <w:p w:rsidR="00BA589C" w:rsidRDefault="00430C74">
      <w:pPr>
        <w:pStyle w:val="TOC2"/>
        <w:tabs>
          <w:tab w:val="right" w:leader="dot" w:pos="7086"/>
        </w:tabs>
        <w:rPr>
          <w:b w:val="0"/>
          <w:noProof/>
          <w:sz w:val="24"/>
          <w:szCs w:val="24"/>
        </w:rPr>
      </w:pPr>
      <w:r>
        <w:rPr>
          <w:noProof/>
          <w:szCs w:val="30"/>
        </w:rPr>
        <w:t>Part 2 — Repeal of Acts</w:t>
      </w:r>
    </w:p>
    <w:p w:rsidR="00BA589C" w:rsidRDefault="00430C74">
      <w:pPr>
        <w:pStyle w:val="TOC4"/>
        <w:rPr>
          <w:noProof/>
          <w:sz w:val="24"/>
          <w:szCs w:val="24"/>
        </w:rPr>
      </w:pPr>
      <w:r>
        <w:rPr>
          <w:noProof/>
          <w:szCs w:val="24"/>
        </w:rPr>
        <w:t>3.</w:t>
      </w:r>
      <w:r>
        <w:rPr>
          <w:noProof/>
          <w:sz w:val="24"/>
          <w:szCs w:val="24"/>
        </w:rPr>
        <w:tab/>
      </w:r>
      <w:r>
        <w:rPr>
          <w:i/>
          <w:noProof/>
          <w:szCs w:val="24"/>
        </w:rPr>
        <w:t>Pig Industry Compensation Act 1942</w:t>
      </w:r>
      <w:r>
        <w:rPr>
          <w:noProof/>
          <w:szCs w:val="24"/>
        </w:rPr>
        <w:t xml:space="preserve"> repealed</w:t>
      </w:r>
      <w:r>
        <w:rPr>
          <w:noProof/>
        </w:rPr>
        <w:tab/>
      </w:r>
      <w:r>
        <w:rPr>
          <w:noProof/>
        </w:rPr>
        <w:fldChar w:fldCharType="begin"/>
      </w:r>
      <w:r>
        <w:rPr>
          <w:noProof/>
        </w:rPr>
        <w:instrText xml:space="preserve"> PAGEREF _Toc94937042 \h </w:instrText>
      </w:r>
      <w:r>
        <w:rPr>
          <w:noProof/>
        </w:rPr>
      </w:r>
      <w:r>
        <w:rPr>
          <w:noProof/>
        </w:rPr>
        <w:fldChar w:fldCharType="separate"/>
      </w:r>
      <w:r w:rsidR="00A9082D">
        <w:rPr>
          <w:noProof/>
        </w:rPr>
        <w:t>1</w:t>
      </w:r>
      <w:r>
        <w:rPr>
          <w:noProof/>
        </w:rPr>
        <w:fldChar w:fldCharType="end"/>
      </w:r>
    </w:p>
    <w:p w:rsidR="00BA589C" w:rsidRDefault="00430C74">
      <w:pPr>
        <w:pStyle w:val="TOC4"/>
        <w:rPr>
          <w:noProof/>
          <w:sz w:val="24"/>
          <w:szCs w:val="24"/>
        </w:rPr>
      </w:pPr>
      <w:r>
        <w:rPr>
          <w:noProof/>
          <w:szCs w:val="24"/>
        </w:rPr>
        <w:t>4.</w:t>
      </w:r>
      <w:r>
        <w:rPr>
          <w:noProof/>
          <w:sz w:val="24"/>
          <w:szCs w:val="24"/>
        </w:rPr>
        <w:tab/>
      </w:r>
      <w:r>
        <w:rPr>
          <w:i/>
          <w:noProof/>
          <w:szCs w:val="24"/>
        </w:rPr>
        <w:t>Potato Growing Industry Trust Fund Act 1947</w:t>
      </w:r>
      <w:r>
        <w:rPr>
          <w:noProof/>
          <w:szCs w:val="24"/>
        </w:rPr>
        <w:t xml:space="preserve"> repealed</w:t>
      </w:r>
      <w:r>
        <w:rPr>
          <w:noProof/>
        </w:rPr>
        <w:tab/>
      </w:r>
      <w:r>
        <w:rPr>
          <w:noProof/>
        </w:rPr>
        <w:fldChar w:fldCharType="begin"/>
      </w:r>
      <w:r>
        <w:rPr>
          <w:noProof/>
        </w:rPr>
        <w:instrText xml:space="preserve"> PAGEREF _Toc94937043 \h </w:instrText>
      </w:r>
      <w:r>
        <w:rPr>
          <w:noProof/>
        </w:rPr>
      </w:r>
      <w:r>
        <w:rPr>
          <w:noProof/>
        </w:rPr>
        <w:fldChar w:fldCharType="separate"/>
      </w:r>
      <w:r w:rsidR="00A9082D">
        <w:rPr>
          <w:noProof/>
        </w:rPr>
        <w:t>1</w:t>
      </w:r>
      <w:r>
        <w:rPr>
          <w:noProof/>
        </w:rPr>
        <w:fldChar w:fldCharType="end"/>
      </w:r>
    </w:p>
    <w:p w:rsidR="00BA589C" w:rsidRDefault="00430C74">
      <w:pPr>
        <w:pStyle w:val="TOC4"/>
        <w:rPr>
          <w:noProof/>
          <w:sz w:val="24"/>
          <w:szCs w:val="24"/>
        </w:rPr>
      </w:pPr>
      <w:r>
        <w:rPr>
          <w:noProof/>
          <w:szCs w:val="24"/>
        </w:rPr>
        <w:t>5.</w:t>
      </w:r>
      <w:r>
        <w:rPr>
          <w:noProof/>
          <w:sz w:val="24"/>
          <w:szCs w:val="24"/>
        </w:rPr>
        <w:tab/>
      </w:r>
      <w:r>
        <w:rPr>
          <w:i/>
          <w:noProof/>
          <w:szCs w:val="24"/>
        </w:rPr>
        <w:t>Poultry Industry (Trust Fund) Act 1948</w:t>
      </w:r>
      <w:r>
        <w:rPr>
          <w:noProof/>
          <w:szCs w:val="24"/>
        </w:rPr>
        <w:t xml:space="preserve"> repealed</w:t>
      </w:r>
      <w:r>
        <w:rPr>
          <w:noProof/>
        </w:rPr>
        <w:tab/>
      </w:r>
      <w:r>
        <w:rPr>
          <w:noProof/>
        </w:rPr>
        <w:fldChar w:fldCharType="begin"/>
      </w:r>
      <w:r>
        <w:rPr>
          <w:noProof/>
        </w:rPr>
        <w:instrText xml:space="preserve"> PAGEREF _Toc94937044 \h </w:instrText>
      </w:r>
      <w:r>
        <w:rPr>
          <w:noProof/>
        </w:rPr>
      </w:r>
      <w:r>
        <w:rPr>
          <w:noProof/>
        </w:rPr>
        <w:fldChar w:fldCharType="separate"/>
      </w:r>
      <w:r w:rsidR="00A9082D">
        <w:rPr>
          <w:noProof/>
        </w:rPr>
        <w:t>1</w:t>
      </w:r>
      <w:r>
        <w:rPr>
          <w:noProof/>
        </w:rPr>
        <w:fldChar w:fldCharType="end"/>
      </w:r>
    </w:p>
    <w:p w:rsidR="00BA589C" w:rsidRDefault="00430C74">
      <w:pPr>
        <w:pStyle w:val="TOC2"/>
        <w:tabs>
          <w:tab w:val="right" w:leader="dot" w:pos="7086"/>
        </w:tabs>
        <w:rPr>
          <w:b w:val="0"/>
          <w:noProof/>
          <w:sz w:val="24"/>
          <w:szCs w:val="24"/>
        </w:rPr>
      </w:pPr>
      <w:r>
        <w:rPr>
          <w:noProof/>
          <w:szCs w:val="30"/>
        </w:rPr>
        <w:t>Part 3 — Transitional provisions</w:t>
      </w:r>
    </w:p>
    <w:p w:rsidR="00BA589C" w:rsidRDefault="00430C74">
      <w:pPr>
        <w:pStyle w:val="TOC4"/>
        <w:rPr>
          <w:noProof/>
          <w:sz w:val="24"/>
          <w:szCs w:val="24"/>
        </w:rPr>
      </w:pPr>
      <w:r>
        <w:rPr>
          <w:noProof/>
          <w:szCs w:val="24"/>
        </w:rPr>
        <w:t>6.</w:t>
      </w:r>
      <w:r>
        <w:rPr>
          <w:noProof/>
          <w:sz w:val="24"/>
          <w:szCs w:val="24"/>
        </w:rPr>
        <w:tab/>
      </w:r>
      <w:r>
        <w:rPr>
          <w:noProof/>
          <w:szCs w:val="24"/>
        </w:rPr>
        <w:t>Definitions</w:t>
      </w:r>
      <w:r>
        <w:rPr>
          <w:noProof/>
        </w:rPr>
        <w:tab/>
      </w:r>
      <w:r>
        <w:rPr>
          <w:noProof/>
        </w:rPr>
        <w:fldChar w:fldCharType="begin"/>
      </w:r>
      <w:r>
        <w:rPr>
          <w:noProof/>
        </w:rPr>
        <w:instrText xml:space="preserve"> PAGEREF _Toc94937046 \h </w:instrText>
      </w:r>
      <w:r>
        <w:rPr>
          <w:noProof/>
        </w:rPr>
      </w:r>
      <w:r>
        <w:rPr>
          <w:noProof/>
        </w:rPr>
        <w:fldChar w:fldCharType="separate"/>
      </w:r>
      <w:r w:rsidR="00A9082D">
        <w:rPr>
          <w:noProof/>
        </w:rPr>
        <w:t>1</w:t>
      </w:r>
      <w:r>
        <w:rPr>
          <w:noProof/>
        </w:rPr>
        <w:fldChar w:fldCharType="end"/>
      </w:r>
    </w:p>
    <w:p w:rsidR="00BA589C" w:rsidRDefault="00430C74">
      <w:pPr>
        <w:pStyle w:val="TOC4"/>
        <w:rPr>
          <w:noProof/>
          <w:sz w:val="24"/>
          <w:szCs w:val="24"/>
        </w:rPr>
      </w:pPr>
      <w:r>
        <w:rPr>
          <w:noProof/>
          <w:szCs w:val="24"/>
        </w:rPr>
        <w:t>7.</w:t>
      </w:r>
      <w:r>
        <w:rPr>
          <w:noProof/>
          <w:sz w:val="24"/>
          <w:szCs w:val="24"/>
        </w:rPr>
        <w:tab/>
      </w:r>
      <w:r>
        <w:rPr>
          <w:noProof/>
          <w:szCs w:val="24"/>
        </w:rPr>
        <w:t>Interpretation Act not affected</w:t>
      </w:r>
      <w:r>
        <w:rPr>
          <w:noProof/>
        </w:rPr>
        <w:tab/>
      </w:r>
      <w:r>
        <w:rPr>
          <w:noProof/>
        </w:rPr>
        <w:fldChar w:fldCharType="begin"/>
      </w:r>
      <w:r>
        <w:rPr>
          <w:noProof/>
        </w:rPr>
        <w:instrText xml:space="preserve"> PAGEREF _Toc94937047 \h </w:instrText>
      </w:r>
      <w:r>
        <w:rPr>
          <w:noProof/>
        </w:rPr>
      </w:r>
      <w:r>
        <w:rPr>
          <w:noProof/>
        </w:rPr>
        <w:fldChar w:fldCharType="separate"/>
      </w:r>
      <w:r w:rsidR="00A9082D">
        <w:rPr>
          <w:noProof/>
        </w:rPr>
        <w:t>1</w:t>
      </w:r>
      <w:r>
        <w:rPr>
          <w:noProof/>
        </w:rPr>
        <w:fldChar w:fldCharType="end"/>
      </w:r>
    </w:p>
    <w:p w:rsidR="00BA589C" w:rsidRDefault="00430C74">
      <w:pPr>
        <w:pStyle w:val="TOC4"/>
        <w:rPr>
          <w:noProof/>
          <w:sz w:val="24"/>
          <w:szCs w:val="24"/>
        </w:rPr>
      </w:pPr>
      <w:r>
        <w:rPr>
          <w:noProof/>
          <w:szCs w:val="24"/>
        </w:rPr>
        <w:t>8.</w:t>
      </w:r>
      <w:r>
        <w:rPr>
          <w:noProof/>
          <w:sz w:val="24"/>
          <w:szCs w:val="24"/>
        </w:rPr>
        <w:tab/>
      </w:r>
      <w:r>
        <w:rPr>
          <w:noProof/>
          <w:szCs w:val="24"/>
        </w:rPr>
        <w:t>Members cease to hold office</w:t>
      </w:r>
      <w:r>
        <w:rPr>
          <w:noProof/>
        </w:rPr>
        <w:tab/>
      </w:r>
      <w:r>
        <w:rPr>
          <w:noProof/>
        </w:rPr>
        <w:fldChar w:fldCharType="begin"/>
      </w:r>
      <w:r>
        <w:rPr>
          <w:noProof/>
        </w:rPr>
        <w:instrText xml:space="preserve"> PAGEREF _Toc94937048 \h </w:instrText>
      </w:r>
      <w:r>
        <w:rPr>
          <w:noProof/>
        </w:rPr>
      </w:r>
      <w:r>
        <w:rPr>
          <w:noProof/>
        </w:rPr>
        <w:fldChar w:fldCharType="separate"/>
      </w:r>
      <w:r w:rsidR="00A9082D">
        <w:rPr>
          <w:noProof/>
        </w:rPr>
        <w:t>1</w:t>
      </w:r>
      <w:r>
        <w:rPr>
          <w:noProof/>
        </w:rPr>
        <w:fldChar w:fldCharType="end"/>
      </w:r>
    </w:p>
    <w:p w:rsidR="00BA589C" w:rsidRDefault="00430C74">
      <w:pPr>
        <w:pStyle w:val="TOC4"/>
        <w:rPr>
          <w:noProof/>
          <w:sz w:val="24"/>
          <w:szCs w:val="24"/>
        </w:rPr>
      </w:pPr>
      <w:r>
        <w:rPr>
          <w:noProof/>
          <w:szCs w:val="24"/>
        </w:rPr>
        <w:t>9.</w:t>
      </w:r>
      <w:r>
        <w:rPr>
          <w:noProof/>
          <w:sz w:val="24"/>
          <w:szCs w:val="24"/>
        </w:rPr>
        <w:tab/>
      </w:r>
      <w:r>
        <w:rPr>
          <w:noProof/>
          <w:szCs w:val="24"/>
        </w:rPr>
        <w:t>Compensation claims made before repeals</w:t>
      </w:r>
      <w:r>
        <w:rPr>
          <w:noProof/>
        </w:rPr>
        <w:tab/>
      </w:r>
      <w:r>
        <w:rPr>
          <w:noProof/>
        </w:rPr>
        <w:fldChar w:fldCharType="begin"/>
      </w:r>
      <w:r>
        <w:rPr>
          <w:noProof/>
        </w:rPr>
        <w:instrText xml:space="preserve"> PAGEREF _Toc94937049 \h </w:instrText>
      </w:r>
      <w:r>
        <w:rPr>
          <w:noProof/>
        </w:rPr>
      </w:r>
      <w:r>
        <w:rPr>
          <w:noProof/>
        </w:rPr>
        <w:fldChar w:fldCharType="separate"/>
      </w:r>
      <w:r w:rsidR="00A9082D">
        <w:rPr>
          <w:noProof/>
        </w:rPr>
        <w:t>1</w:t>
      </w:r>
      <w:r>
        <w:rPr>
          <w:noProof/>
        </w:rPr>
        <w:fldChar w:fldCharType="end"/>
      </w:r>
    </w:p>
    <w:p w:rsidR="00BA589C" w:rsidRDefault="00430C74">
      <w:pPr>
        <w:pStyle w:val="TOC4"/>
        <w:rPr>
          <w:noProof/>
          <w:sz w:val="24"/>
          <w:szCs w:val="24"/>
        </w:rPr>
      </w:pPr>
      <w:r>
        <w:rPr>
          <w:noProof/>
          <w:szCs w:val="24"/>
        </w:rPr>
        <w:t>10.</w:t>
      </w:r>
      <w:r>
        <w:rPr>
          <w:noProof/>
          <w:sz w:val="24"/>
          <w:szCs w:val="24"/>
        </w:rPr>
        <w:tab/>
      </w:r>
      <w:r>
        <w:rPr>
          <w:noProof/>
          <w:szCs w:val="24"/>
        </w:rPr>
        <w:t>Funds in former accounts</w:t>
      </w:r>
      <w:r>
        <w:rPr>
          <w:noProof/>
        </w:rPr>
        <w:tab/>
      </w:r>
      <w:r>
        <w:rPr>
          <w:noProof/>
        </w:rPr>
        <w:fldChar w:fldCharType="begin"/>
      </w:r>
      <w:r>
        <w:rPr>
          <w:noProof/>
        </w:rPr>
        <w:instrText xml:space="preserve"> PAGEREF _Toc94937050 \h </w:instrText>
      </w:r>
      <w:r>
        <w:rPr>
          <w:noProof/>
        </w:rPr>
      </w:r>
      <w:r>
        <w:rPr>
          <w:noProof/>
        </w:rPr>
        <w:fldChar w:fldCharType="separate"/>
      </w:r>
      <w:r w:rsidR="00A9082D">
        <w:rPr>
          <w:noProof/>
        </w:rPr>
        <w:t>1</w:t>
      </w:r>
      <w:r>
        <w:rPr>
          <w:noProof/>
        </w:rPr>
        <w:fldChar w:fldCharType="end"/>
      </w:r>
    </w:p>
    <w:p w:rsidR="00BA589C" w:rsidRDefault="00430C74">
      <w:pPr>
        <w:pStyle w:val="TOC4"/>
        <w:rPr>
          <w:noProof/>
          <w:sz w:val="24"/>
          <w:szCs w:val="24"/>
        </w:rPr>
      </w:pPr>
      <w:r>
        <w:rPr>
          <w:noProof/>
          <w:szCs w:val="24"/>
        </w:rPr>
        <w:t>11.</w:t>
      </w:r>
      <w:r>
        <w:rPr>
          <w:noProof/>
          <w:sz w:val="24"/>
          <w:szCs w:val="24"/>
        </w:rPr>
        <w:tab/>
      </w:r>
      <w:r>
        <w:rPr>
          <w:noProof/>
          <w:szCs w:val="24"/>
        </w:rPr>
        <w:t>Moneys payable to Agricultural Produce Commission Account</w:t>
      </w:r>
      <w:r>
        <w:rPr>
          <w:noProof/>
        </w:rPr>
        <w:tab/>
      </w:r>
      <w:r>
        <w:rPr>
          <w:noProof/>
        </w:rPr>
        <w:fldChar w:fldCharType="begin"/>
      </w:r>
      <w:r>
        <w:rPr>
          <w:noProof/>
        </w:rPr>
        <w:instrText xml:space="preserve"> PAGEREF _Toc94937051 \h </w:instrText>
      </w:r>
      <w:r>
        <w:rPr>
          <w:noProof/>
        </w:rPr>
      </w:r>
      <w:r>
        <w:rPr>
          <w:noProof/>
        </w:rPr>
        <w:fldChar w:fldCharType="separate"/>
      </w:r>
      <w:r w:rsidR="00A9082D">
        <w:rPr>
          <w:noProof/>
        </w:rPr>
        <w:t>1</w:t>
      </w:r>
      <w:r>
        <w:rPr>
          <w:noProof/>
        </w:rPr>
        <w:fldChar w:fldCharType="end"/>
      </w:r>
    </w:p>
    <w:p w:rsidR="00BA589C" w:rsidRDefault="00430C74">
      <w:pPr>
        <w:pStyle w:val="TOC4"/>
        <w:rPr>
          <w:noProof/>
          <w:sz w:val="24"/>
          <w:szCs w:val="24"/>
        </w:rPr>
      </w:pPr>
      <w:r>
        <w:rPr>
          <w:noProof/>
          <w:szCs w:val="24"/>
        </w:rPr>
        <w:t>12.</w:t>
      </w:r>
      <w:r>
        <w:rPr>
          <w:noProof/>
          <w:sz w:val="24"/>
          <w:szCs w:val="24"/>
        </w:rPr>
        <w:tab/>
      </w:r>
      <w:r>
        <w:rPr>
          <w:noProof/>
          <w:szCs w:val="24"/>
        </w:rPr>
        <w:t>References to former committees and former accounts</w:t>
      </w:r>
      <w:r>
        <w:rPr>
          <w:noProof/>
        </w:rPr>
        <w:tab/>
      </w:r>
      <w:r>
        <w:rPr>
          <w:noProof/>
        </w:rPr>
        <w:fldChar w:fldCharType="begin"/>
      </w:r>
      <w:r>
        <w:rPr>
          <w:noProof/>
        </w:rPr>
        <w:instrText xml:space="preserve"> PAGEREF _Toc94937052 \h </w:instrText>
      </w:r>
      <w:r>
        <w:rPr>
          <w:noProof/>
        </w:rPr>
      </w:r>
      <w:r>
        <w:rPr>
          <w:noProof/>
        </w:rPr>
        <w:fldChar w:fldCharType="separate"/>
      </w:r>
      <w:r w:rsidR="00A9082D">
        <w:rPr>
          <w:noProof/>
        </w:rPr>
        <w:t>1</w:t>
      </w:r>
      <w:r>
        <w:rPr>
          <w:noProof/>
        </w:rPr>
        <w:fldChar w:fldCharType="end"/>
      </w:r>
    </w:p>
    <w:p w:rsidR="00BA589C" w:rsidRDefault="00430C74">
      <w:pPr>
        <w:pStyle w:val="TOC4"/>
        <w:rPr>
          <w:noProof/>
          <w:sz w:val="24"/>
          <w:szCs w:val="24"/>
        </w:rPr>
      </w:pPr>
      <w:r>
        <w:rPr>
          <w:noProof/>
          <w:szCs w:val="24"/>
        </w:rPr>
        <w:t>13.</w:t>
      </w:r>
      <w:r>
        <w:rPr>
          <w:noProof/>
          <w:sz w:val="24"/>
          <w:szCs w:val="24"/>
        </w:rPr>
        <w:tab/>
      </w:r>
      <w:r>
        <w:rPr>
          <w:noProof/>
          <w:szCs w:val="24"/>
        </w:rPr>
        <w:t>Proceedings and remedies</w:t>
      </w:r>
      <w:r>
        <w:rPr>
          <w:noProof/>
        </w:rPr>
        <w:tab/>
      </w:r>
      <w:r>
        <w:rPr>
          <w:noProof/>
        </w:rPr>
        <w:fldChar w:fldCharType="begin"/>
      </w:r>
      <w:r>
        <w:rPr>
          <w:noProof/>
        </w:rPr>
        <w:instrText xml:space="preserve"> PAGEREF _Toc94937053 \h </w:instrText>
      </w:r>
      <w:r>
        <w:rPr>
          <w:noProof/>
        </w:rPr>
      </w:r>
      <w:r>
        <w:rPr>
          <w:noProof/>
        </w:rPr>
        <w:fldChar w:fldCharType="separate"/>
      </w:r>
      <w:r w:rsidR="00A9082D">
        <w:rPr>
          <w:noProof/>
        </w:rPr>
        <w:t>1</w:t>
      </w:r>
      <w:r>
        <w:rPr>
          <w:noProof/>
        </w:rPr>
        <w:fldChar w:fldCharType="end"/>
      </w:r>
    </w:p>
    <w:p w:rsidR="00BA589C" w:rsidRDefault="00430C74">
      <w:pPr>
        <w:pStyle w:val="TOC4"/>
        <w:rPr>
          <w:noProof/>
          <w:sz w:val="24"/>
          <w:szCs w:val="24"/>
        </w:rPr>
      </w:pPr>
      <w:r>
        <w:rPr>
          <w:noProof/>
          <w:szCs w:val="24"/>
        </w:rPr>
        <w:t>14.</w:t>
      </w:r>
      <w:r>
        <w:rPr>
          <w:noProof/>
          <w:sz w:val="24"/>
          <w:szCs w:val="24"/>
        </w:rPr>
        <w:tab/>
      </w:r>
      <w:r>
        <w:rPr>
          <w:noProof/>
          <w:szCs w:val="24"/>
        </w:rPr>
        <w:t>Records to be delivered to Commission</w:t>
      </w:r>
      <w:r>
        <w:rPr>
          <w:noProof/>
        </w:rPr>
        <w:tab/>
      </w:r>
      <w:r>
        <w:rPr>
          <w:noProof/>
        </w:rPr>
        <w:fldChar w:fldCharType="begin"/>
      </w:r>
      <w:r>
        <w:rPr>
          <w:noProof/>
        </w:rPr>
        <w:instrText xml:space="preserve"> PAGEREF _Toc94937054 \h </w:instrText>
      </w:r>
      <w:r>
        <w:rPr>
          <w:noProof/>
        </w:rPr>
      </w:r>
      <w:r>
        <w:rPr>
          <w:noProof/>
        </w:rPr>
        <w:fldChar w:fldCharType="separate"/>
      </w:r>
      <w:r w:rsidR="00A9082D">
        <w:rPr>
          <w:noProof/>
        </w:rPr>
        <w:t>1</w:t>
      </w:r>
      <w:r>
        <w:rPr>
          <w:noProof/>
        </w:rPr>
        <w:fldChar w:fldCharType="end"/>
      </w:r>
    </w:p>
    <w:p w:rsidR="00BA589C" w:rsidRDefault="00430C74">
      <w:pPr>
        <w:pStyle w:val="TOC4"/>
        <w:rPr>
          <w:noProof/>
          <w:sz w:val="24"/>
          <w:szCs w:val="24"/>
        </w:rPr>
      </w:pPr>
      <w:r>
        <w:rPr>
          <w:noProof/>
          <w:szCs w:val="24"/>
        </w:rPr>
        <w:t>15.</w:t>
      </w:r>
      <w:r>
        <w:rPr>
          <w:noProof/>
          <w:sz w:val="24"/>
          <w:szCs w:val="24"/>
        </w:rPr>
        <w:tab/>
      </w:r>
      <w:r>
        <w:rPr>
          <w:noProof/>
          <w:szCs w:val="24"/>
        </w:rPr>
        <w:t>Financial reporting</w:t>
      </w:r>
      <w:r>
        <w:rPr>
          <w:noProof/>
        </w:rPr>
        <w:tab/>
      </w:r>
      <w:r>
        <w:rPr>
          <w:noProof/>
        </w:rPr>
        <w:fldChar w:fldCharType="begin"/>
      </w:r>
      <w:r>
        <w:rPr>
          <w:noProof/>
        </w:rPr>
        <w:instrText xml:space="preserve"> PAGEREF _Toc94937055 \h </w:instrText>
      </w:r>
      <w:r>
        <w:rPr>
          <w:noProof/>
        </w:rPr>
      </w:r>
      <w:r>
        <w:rPr>
          <w:noProof/>
        </w:rPr>
        <w:fldChar w:fldCharType="separate"/>
      </w:r>
      <w:r w:rsidR="00A9082D">
        <w:rPr>
          <w:noProof/>
        </w:rPr>
        <w:t>1</w:t>
      </w:r>
      <w:r>
        <w:rPr>
          <w:noProof/>
        </w:rPr>
        <w:fldChar w:fldCharType="end"/>
      </w:r>
    </w:p>
    <w:p w:rsidR="00BA589C" w:rsidRDefault="00430C74">
      <w:pPr>
        <w:pStyle w:val="TOC2"/>
        <w:tabs>
          <w:tab w:val="right" w:leader="dot" w:pos="7086"/>
        </w:tabs>
        <w:rPr>
          <w:b w:val="0"/>
          <w:noProof/>
          <w:sz w:val="24"/>
          <w:szCs w:val="24"/>
        </w:rPr>
      </w:pPr>
      <w:r>
        <w:rPr>
          <w:noProof/>
          <w:szCs w:val="30"/>
        </w:rPr>
        <w:t>Part 4 — Consequential amendments</w:t>
      </w:r>
    </w:p>
    <w:p w:rsidR="00BA589C" w:rsidRDefault="00430C74">
      <w:pPr>
        <w:pStyle w:val="TOC4"/>
        <w:rPr>
          <w:noProof/>
          <w:sz w:val="24"/>
          <w:szCs w:val="24"/>
        </w:rPr>
      </w:pPr>
      <w:r>
        <w:rPr>
          <w:noProof/>
          <w:szCs w:val="24"/>
        </w:rPr>
        <w:t>16.</w:t>
      </w:r>
      <w:r>
        <w:rPr>
          <w:noProof/>
          <w:sz w:val="24"/>
          <w:szCs w:val="24"/>
        </w:rPr>
        <w:tab/>
      </w:r>
      <w:r>
        <w:rPr>
          <w:i/>
          <w:noProof/>
          <w:szCs w:val="24"/>
        </w:rPr>
        <w:t>Constitution Acts Amendment Act 1899</w:t>
      </w:r>
      <w:r>
        <w:rPr>
          <w:noProof/>
          <w:szCs w:val="24"/>
        </w:rPr>
        <w:t xml:space="preserve"> amended</w:t>
      </w:r>
      <w:r>
        <w:rPr>
          <w:noProof/>
        </w:rPr>
        <w:tab/>
      </w:r>
      <w:r>
        <w:rPr>
          <w:noProof/>
        </w:rPr>
        <w:fldChar w:fldCharType="begin"/>
      </w:r>
      <w:r>
        <w:rPr>
          <w:noProof/>
        </w:rPr>
        <w:instrText xml:space="preserve"> PAGEREF _Toc94937057 \h </w:instrText>
      </w:r>
      <w:r>
        <w:rPr>
          <w:noProof/>
        </w:rPr>
      </w:r>
      <w:r>
        <w:rPr>
          <w:noProof/>
        </w:rPr>
        <w:fldChar w:fldCharType="separate"/>
      </w:r>
      <w:r w:rsidR="00A9082D">
        <w:rPr>
          <w:noProof/>
        </w:rPr>
        <w:t>1</w:t>
      </w:r>
      <w:r>
        <w:rPr>
          <w:noProof/>
        </w:rPr>
        <w:fldChar w:fldCharType="end"/>
      </w:r>
    </w:p>
    <w:p w:rsidR="00BA589C" w:rsidRDefault="00430C74">
      <w:pPr>
        <w:pStyle w:val="TOC4"/>
        <w:rPr>
          <w:noProof/>
          <w:sz w:val="24"/>
          <w:szCs w:val="24"/>
        </w:rPr>
      </w:pPr>
      <w:r>
        <w:rPr>
          <w:noProof/>
          <w:szCs w:val="24"/>
        </w:rPr>
        <w:t>17.</w:t>
      </w:r>
      <w:r>
        <w:rPr>
          <w:noProof/>
          <w:sz w:val="24"/>
          <w:szCs w:val="24"/>
        </w:rPr>
        <w:tab/>
      </w:r>
      <w:r>
        <w:rPr>
          <w:i/>
          <w:noProof/>
          <w:szCs w:val="24"/>
        </w:rPr>
        <w:t>Financial Administration and Audit Act 1985</w:t>
      </w:r>
      <w:r>
        <w:rPr>
          <w:noProof/>
          <w:szCs w:val="24"/>
        </w:rPr>
        <w:t xml:space="preserve"> amended</w:t>
      </w:r>
      <w:r>
        <w:rPr>
          <w:noProof/>
        </w:rPr>
        <w:tab/>
      </w:r>
      <w:r>
        <w:rPr>
          <w:noProof/>
        </w:rPr>
        <w:fldChar w:fldCharType="begin"/>
      </w:r>
      <w:r>
        <w:rPr>
          <w:noProof/>
        </w:rPr>
        <w:instrText xml:space="preserve"> PAGEREF _Toc94937058 \h </w:instrText>
      </w:r>
      <w:r>
        <w:rPr>
          <w:noProof/>
        </w:rPr>
      </w:r>
      <w:r>
        <w:rPr>
          <w:noProof/>
        </w:rPr>
        <w:fldChar w:fldCharType="separate"/>
      </w:r>
      <w:r w:rsidR="00A9082D">
        <w:rPr>
          <w:noProof/>
        </w:rPr>
        <w:t>1</w:t>
      </w:r>
      <w:r>
        <w:rPr>
          <w:noProof/>
        </w:rPr>
        <w:fldChar w:fldCharType="end"/>
      </w:r>
    </w:p>
    <w:p w:rsidR="00BA589C" w:rsidRDefault="00430C74">
      <w:pPr>
        <w:pStyle w:val="TOC4"/>
        <w:rPr>
          <w:noProof/>
          <w:sz w:val="24"/>
          <w:szCs w:val="24"/>
        </w:rPr>
      </w:pPr>
      <w:r>
        <w:rPr>
          <w:noProof/>
          <w:szCs w:val="24"/>
        </w:rPr>
        <w:t>18.</w:t>
      </w:r>
      <w:r>
        <w:rPr>
          <w:noProof/>
          <w:sz w:val="24"/>
          <w:szCs w:val="24"/>
        </w:rPr>
        <w:tab/>
      </w:r>
      <w:r>
        <w:rPr>
          <w:i/>
          <w:noProof/>
          <w:szCs w:val="24"/>
        </w:rPr>
        <w:t>Sentencing Act 1995</w:t>
      </w:r>
      <w:r>
        <w:rPr>
          <w:noProof/>
          <w:szCs w:val="24"/>
        </w:rPr>
        <w:t xml:space="preserve"> amended</w:t>
      </w:r>
      <w:r>
        <w:rPr>
          <w:noProof/>
        </w:rPr>
        <w:tab/>
      </w:r>
      <w:r>
        <w:rPr>
          <w:noProof/>
        </w:rPr>
        <w:fldChar w:fldCharType="begin"/>
      </w:r>
      <w:r>
        <w:rPr>
          <w:noProof/>
        </w:rPr>
        <w:instrText xml:space="preserve"> PAGEREF _Toc94937059 \h </w:instrText>
      </w:r>
      <w:r>
        <w:rPr>
          <w:noProof/>
        </w:rPr>
      </w:r>
      <w:r>
        <w:rPr>
          <w:noProof/>
        </w:rPr>
        <w:fldChar w:fldCharType="separate"/>
      </w:r>
      <w:r w:rsidR="00A9082D">
        <w:rPr>
          <w:noProof/>
        </w:rPr>
        <w:t>1</w:t>
      </w:r>
      <w:r>
        <w:rPr>
          <w:noProof/>
        </w:rPr>
        <w:fldChar w:fldCharType="end"/>
      </w:r>
    </w:p>
    <w:p w:rsidR="00BA589C" w:rsidRDefault="00430C74">
      <w:pPr>
        <w:pStyle w:val="TOC2"/>
        <w:tabs>
          <w:tab w:val="right" w:leader="dot" w:pos="7086"/>
        </w:tabs>
        <w:rPr>
          <w:b w:val="0"/>
          <w:noProof/>
          <w:sz w:val="24"/>
          <w:szCs w:val="24"/>
        </w:rPr>
      </w:pPr>
      <w:r>
        <w:rPr>
          <w:noProof/>
          <w:szCs w:val="30"/>
        </w:rPr>
        <w:t>Part 5 — General</w:t>
      </w:r>
    </w:p>
    <w:p w:rsidR="00BA589C" w:rsidRDefault="00430C74">
      <w:pPr>
        <w:pStyle w:val="TOC4"/>
        <w:rPr>
          <w:noProof/>
          <w:sz w:val="24"/>
          <w:szCs w:val="24"/>
        </w:rPr>
      </w:pPr>
      <w:r>
        <w:rPr>
          <w:noProof/>
          <w:szCs w:val="24"/>
        </w:rPr>
        <w:t>19.</w:t>
      </w:r>
      <w:r>
        <w:rPr>
          <w:noProof/>
          <w:sz w:val="24"/>
          <w:szCs w:val="24"/>
        </w:rPr>
        <w:tab/>
      </w:r>
      <w:r>
        <w:rPr>
          <w:noProof/>
          <w:szCs w:val="24"/>
        </w:rPr>
        <w:t>Repeal of this Act</w:t>
      </w:r>
      <w:r>
        <w:rPr>
          <w:noProof/>
        </w:rPr>
        <w:tab/>
      </w:r>
      <w:r>
        <w:rPr>
          <w:noProof/>
        </w:rPr>
        <w:fldChar w:fldCharType="begin"/>
      </w:r>
      <w:r>
        <w:rPr>
          <w:noProof/>
        </w:rPr>
        <w:instrText xml:space="preserve"> PAGEREF _Toc94937061 \h </w:instrText>
      </w:r>
      <w:r>
        <w:rPr>
          <w:noProof/>
        </w:rPr>
      </w:r>
      <w:r>
        <w:rPr>
          <w:noProof/>
        </w:rPr>
        <w:fldChar w:fldCharType="separate"/>
      </w:r>
      <w:r w:rsidR="00A9082D">
        <w:rPr>
          <w:noProof/>
        </w:rPr>
        <w:t>1</w:t>
      </w:r>
      <w:r>
        <w:rPr>
          <w:noProof/>
        </w:rPr>
        <w:fldChar w:fldCharType="end"/>
      </w:r>
    </w:p>
    <w:p w:rsidR="00BA589C" w:rsidRDefault="00430C74">
      <w:pPr>
        <w:pStyle w:val="TOC2"/>
        <w:tabs>
          <w:tab w:val="right" w:leader="dot" w:pos="7086"/>
        </w:tabs>
        <w:rPr>
          <w:b w:val="0"/>
          <w:noProof/>
          <w:sz w:val="24"/>
          <w:szCs w:val="24"/>
        </w:rPr>
      </w:pPr>
      <w:r>
        <w:rPr>
          <w:noProof/>
          <w:szCs w:val="26"/>
        </w:rPr>
        <w:t>Notes</w:t>
      </w:r>
    </w:p>
    <w:p w:rsidR="00BA589C" w:rsidRDefault="00430C74">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_Toc94937063 \h </w:instrText>
      </w:r>
      <w:r>
        <w:rPr>
          <w:noProof/>
        </w:rPr>
      </w:r>
      <w:r>
        <w:rPr>
          <w:noProof/>
        </w:rPr>
        <w:fldChar w:fldCharType="separate"/>
      </w:r>
      <w:r w:rsidR="00A9082D">
        <w:rPr>
          <w:noProof/>
        </w:rPr>
        <w:t>1</w:t>
      </w:r>
      <w:r>
        <w:rPr>
          <w:noProof/>
        </w:rPr>
        <w:fldChar w:fldCharType="end"/>
      </w:r>
    </w:p>
    <w:p w:rsidR="00BA589C" w:rsidRDefault="00430C74">
      <w:pPr>
        <w:pStyle w:val="TOC2"/>
      </w:pPr>
      <w:r>
        <w:fldChar w:fldCharType="end"/>
      </w:r>
    </w:p>
    <w:p w:rsidR="00BA589C" w:rsidRDefault="00430C7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A589C" w:rsidRDefault="00BA589C">
      <w:pPr>
        <w:pStyle w:val="NoteHeading"/>
        <w:sectPr w:rsidR="00BA589C">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BA589C" w:rsidRDefault="00430C74">
      <w:pPr>
        <w:pStyle w:val="WA"/>
        <w:suppressLineNumbers/>
        <w:spacing w:after="480"/>
      </w:pPr>
      <w:r>
        <w:t>Western Australia</w:t>
      </w:r>
    </w:p>
    <w:p w:rsidR="00BA589C" w:rsidRDefault="00430C74">
      <w:pPr>
        <w:pStyle w:val="NameofActReg"/>
        <w:suppressLineNumbers/>
        <w:spacing w:before="360"/>
      </w:pPr>
      <w:r>
        <w:t>Pig, Potato and Poultry Industries (Compensation Legislation) Repeal Act 2004</w:t>
      </w:r>
    </w:p>
    <w:p w:rsidR="00BA589C" w:rsidRDefault="00430C74">
      <w:pPr>
        <w:pStyle w:val="LongTitle"/>
        <w:suppressLineNumbers/>
        <w:rPr>
          <w:snapToGrid w:val="0"/>
        </w:rPr>
      </w:pPr>
      <w:r>
        <w:rPr>
          <w:snapToGrid w:val="0"/>
        </w:rPr>
        <w:t xml:space="preserve">An Act to — </w:t>
      </w:r>
    </w:p>
    <w:p w:rsidR="00BA589C" w:rsidRDefault="00430C74">
      <w:pPr>
        <w:pStyle w:val="LongTitle2"/>
        <w:rPr>
          <w:snapToGrid w:val="0"/>
        </w:rPr>
      </w:pPr>
      <w:r>
        <w:rPr>
          <w:snapToGrid w:val="0"/>
        </w:rPr>
        <w:tab/>
      </w:r>
      <w:r>
        <w:t>•</w:t>
      </w:r>
      <w:r>
        <w:rPr>
          <w:snapToGrid w:val="0"/>
        </w:rPr>
        <w:tab/>
        <w:t xml:space="preserve">repeal the — </w:t>
      </w:r>
    </w:p>
    <w:p w:rsidR="00BA589C" w:rsidRDefault="00430C74">
      <w:pPr>
        <w:pStyle w:val="LongTitle3"/>
        <w:rPr>
          <w:snapToGrid w:val="0"/>
        </w:rPr>
      </w:pPr>
      <w:r>
        <w:tab/>
        <w:t>•</w:t>
      </w:r>
      <w:r>
        <w:rPr>
          <w:snapToGrid w:val="0"/>
        </w:rPr>
        <w:tab/>
      </w:r>
      <w:r>
        <w:rPr>
          <w:i/>
          <w:iCs/>
        </w:rPr>
        <w:t>Pig Industry Compensation Act 1942</w:t>
      </w:r>
      <w:r>
        <w:t>;</w:t>
      </w:r>
    </w:p>
    <w:p w:rsidR="00BA589C" w:rsidRDefault="00430C74">
      <w:pPr>
        <w:pStyle w:val="LongTitle3"/>
        <w:rPr>
          <w:snapToGrid w:val="0"/>
        </w:rPr>
      </w:pPr>
      <w:r>
        <w:rPr>
          <w:iCs/>
          <w:snapToGrid w:val="0"/>
        </w:rPr>
        <w:tab/>
      </w:r>
      <w:r>
        <w:t>•</w:t>
      </w:r>
      <w:r>
        <w:rPr>
          <w:snapToGrid w:val="0"/>
        </w:rPr>
        <w:tab/>
      </w:r>
      <w:r>
        <w:rPr>
          <w:i/>
          <w:snapToGrid w:val="0"/>
        </w:rPr>
        <w:t>Potato Growing Industry Trust Fund Act 1947</w:t>
      </w:r>
      <w:r>
        <w:rPr>
          <w:snapToGrid w:val="0"/>
        </w:rPr>
        <w:t>; and</w:t>
      </w:r>
    </w:p>
    <w:p w:rsidR="00BA589C" w:rsidRDefault="00430C74">
      <w:pPr>
        <w:pStyle w:val="LongTitle3"/>
        <w:rPr>
          <w:snapToGrid w:val="0"/>
        </w:rPr>
      </w:pPr>
      <w:r>
        <w:rPr>
          <w:snapToGrid w:val="0"/>
        </w:rPr>
        <w:tab/>
      </w:r>
      <w:r>
        <w:t>•</w:t>
      </w:r>
      <w:r>
        <w:rPr>
          <w:snapToGrid w:val="0"/>
        </w:rPr>
        <w:tab/>
      </w:r>
      <w:r>
        <w:rPr>
          <w:i/>
          <w:snapToGrid w:val="0"/>
        </w:rPr>
        <w:t>Poultry Industry (Trust Fund) Act 1948</w:t>
      </w:r>
      <w:r>
        <w:rPr>
          <w:snapToGrid w:val="0"/>
        </w:rPr>
        <w:t>,</w:t>
      </w:r>
    </w:p>
    <w:p w:rsidR="00BA589C" w:rsidRDefault="00430C74">
      <w:pPr>
        <w:pStyle w:val="LongTitle2"/>
        <w:rPr>
          <w:snapToGrid w:val="0"/>
        </w:rPr>
      </w:pPr>
      <w:r>
        <w:rPr>
          <w:snapToGrid w:val="0"/>
        </w:rPr>
        <w:tab/>
      </w:r>
      <w:r>
        <w:t>•</w:t>
      </w:r>
      <w:r>
        <w:rPr>
          <w:snapToGrid w:val="0"/>
        </w:rPr>
        <w:tab/>
        <w:t>make transitional provisions with respect to accounts under those Acts and other matters; and</w:t>
      </w:r>
    </w:p>
    <w:p w:rsidR="00BA589C" w:rsidRDefault="00430C74">
      <w:pPr>
        <w:pStyle w:val="LongTitle2"/>
        <w:rPr>
          <w:snapToGrid w:val="0"/>
        </w:rPr>
      </w:pPr>
      <w:r>
        <w:rPr>
          <w:snapToGrid w:val="0"/>
        </w:rPr>
        <w:tab/>
      </w:r>
      <w:r>
        <w:t>•</w:t>
      </w:r>
      <w:r>
        <w:rPr>
          <w:snapToGrid w:val="0"/>
        </w:rPr>
        <w:tab/>
        <w:t>consequentially amend other Acts,</w:t>
      </w:r>
    </w:p>
    <w:p w:rsidR="00BA589C" w:rsidRDefault="00430C74">
      <w:pPr>
        <w:pStyle w:val="LongTitle"/>
        <w:suppressLineNumbers/>
        <w:rPr>
          <w:snapToGrid w:val="0"/>
        </w:rPr>
      </w:pPr>
      <w:r>
        <w:rPr>
          <w:snapToGrid w:val="0"/>
        </w:rPr>
        <w:t>and for related purposes.</w:t>
      </w:r>
    </w:p>
    <w:p w:rsidR="00BA589C" w:rsidRDefault="00430C74">
      <w:pPr>
        <w:pStyle w:val="Heading2"/>
      </w:pPr>
      <w:bookmarkStart w:id="1" w:name="_Toc55117251"/>
      <w:bookmarkStart w:id="2" w:name="_Toc94936102"/>
      <w:bookmarkStart w:id="3" w:name="_Toc94937038"/>
      <w:r>
        <w:rPr>
          <w:rStyle w:val="CharPartNo"/>
        </w:rPr>
        <w:t>Part 1</w:t>
      </w:r>
      <w:r>
        <w:rPr>
          <w:rStyle w:val="CharDivNo"/>
        </w:rPr>
        <w:t> </w:t>
      </w:r>
      <w:r>
        <w:t>—</w:t>
      </w:r>
      <w:r>
        <w:rPr>
          <w:rStyle w:val="CharDivText"/>
        </w:rPr>
        <w:t> </w:t>
      </w:r>
      <w:r>
        <w:rPr>
          <w:rStyle w:val="CharPartText"/>
        </w:rPr>
        <w:t>Preliminary</w:t>
      </w:r>
      <w:bookmarkEnd w:id="1"/>
      <w:bookmarkEnd w:id="2"/>
      <w:bookmarkEnd w:id="3"/>
    </w:p>
    <w:p w:rsidR="00BA589C" w:rsidRDefault="00430C74">
      <w:pPr>
        <w:pStyle w:val="Heading5"/>
        <w:rPr>
          <w:snapToGrid w:val="0"/>
        </w:rPr>
      </w:pPr>
      <w:bookmarkStart w:id="4" w:name="_Toc471793481"/>
      <w:bookmarkStart w:id="5" w:name="_Toc512746194"/>
      <w:bookmarkStart w:id="6" w:name="_Toc515958175"/>
      <w:bookmarkStart w:id="7" w:name="_Toc87064643"/>
      <w:bookmarkStart w:id="8" w:name="_Toc94937039"/>
      <w:r>
        <w:rPr>
          <w:rStyle w:val="CharSectno"/>
        </w:rPr>
        <w:t>1</w:t>
      </w:r>
      <w:r>
        <w:rPr>
          <w:snapToGrid w:val="0"/>
        </w:rPr>
        <w:t>.</w:t>
      </w:r>
      <w:r>
        <w:rPr>
          <w:snapToGrid w:val="0"/>
        </w:rPr>
        <w:tab/>
        <w:t>Short title</w:t>
      </w:r>
      <w:bookmarkEnd w:id="4"/>
      <w:bookmarkEnd w:id="5"/>
      <w:bookmarkEnd w:id="6"/>
      <w:bookmarkEnd w:id="7"/>
      <w:bookmarkEnd w:id="8"/>
    </w:p>
    <w:p w:rsidR="00BA589C" w:rsidRDefault="00430C74">
      <w:pPr>
        <w:pStyle w:val="Subsection"/>
      </w:pPr>
      <w:r>
        <w:rPr>
          <w:snapToGrid w:val="0"/>
        </w:rPr>
        <w:tab/>
      </w:r>
      <w:r>
        <w:rPr>
          <w:snapToGrid w:val="0"/>
        </w:rPr>
        <w:tab/>
      </w:r>
      <w:r>
        <w:t>This</w:t>
      </w:r>
      <w:r>
        <w:rPr>
          <w:snapToGrid w:val="0"/>
        </w:rPr>
        <w:t xml:space="preserve"> Act may be cited as the</w:t>
      </w:r>
      <w:r>
        <w:rPr>
          <w:i/>
          <w:snapToGrid w:val="0"/>
        </w:rPr>
        <w:t xml:space="preserve"> Pig, Potato and Poultry Industries (Compensation Legislation) Repeal Act 2004</w:t>
      </w:r>
      <w:r>
        <w:rPr>
          <w:snapToGrid w:val="0"/>
        </w:rPr>
        <w:t xml:space="preserve">. </w:t>
      </w:r>
    </w:p>
    <w:p w:rsidR="00BA589C" w:rsidRDefault="00430C74">
      <w:pPr>
        <w:pStyle w:val="Heading5"/>
      </w:pPr>
      <w:bookmarkStart w:id="9" w:name="_Toc87064644"/>
      <w:bookmarkStart w:id="10" w:name="_Toc94937040"/>
      <w:r>
        <w:rPr>
          <w:rStyle w:val="CharSectno"/>
        </w:rPr>
        <w:t>2</w:t>
      </w:r>
      <w:r>
        <w:t>.</w:t>
      </w:r>
      <w:r>
        <w:tab/>
        <w:t>Commencement</w:t>
      </w:r>
      <w:bookmarkEnd w:id="9"/>
      <w:bookmarkEnd w:id="10"/>
    </w:p>
    <w:p w:rsidR="00BA589C" w:rsidRDefault="00430C74">
      <w:pPr>
        <w:pStyle w:val="Subsection"/>
      </w:pPr>
      <w:r>
        <w:tab/>
      </w:r>
      <w:r>
        <w:tab/>
        <w:t>This Act comes into operation on a day fixed by proclamation.</w:t>
      </w:r>
    </w:p>
    <w:p w:rsidR="00BA589C" w:rsidRDefault="00430C74">
      <w:pPr>
        <w:pStyle w:val="Heading2"/>
      </w:pPr>
      <w:bookmarkStart w:id="11" w:name="_Toc55117254"/>
      <w:bookmarkStart w:id="12" w:name="_Toc94936105"/>
      <w:bookmarkStart w:id="13" w:name="_Toc94937041"/>
      <w:r>
        <w:rPr>
          <w:rStyle w:val="CharPartNo"/>
        </w:rPr>
        <w:t>Part 2</w:t>
      </w:r>
      <w:r>
        <w:rPr>
          <w:rStyle w:val="CharDivNo"/>
        </w:rPr>
        <w:t> </w:t>
      </w:r>
      <w:r>
        <w:t>—</w:t>
      </w:r>
      <w:r>
        <w:rPr>
          <w:rStyle w:val="CharDivText"/>
        </w:rPr>
        <w:t> </w:t>
      </w:r>
      <w:r>
        <w:rPr>
          <w:rStyle w:val="CharPartText"/>
        </w:rPr>
        <w:t>Repeal of Acts</w:t>
      </w:r>
      <w:bookmarkEnd w:id="11"/>
      <w:bookmarkEnd w:id="12"/>
      <w:bookmarkEnd w:id="13"/>
    </w:p>
    <w:p w:rsidR="00BA589C" w:rsidRDefault="00430C74">
      <w:pPr>
        <w:pStyle w:val="Heading5"/>
      </w:pPr>
      <w:bookmarkStart w:id="14" w:name="_Toc87064645"/>
      <w:bookmarkStart w:id="15" w:name="_Toc94937042"/>
      <w:r>
        <w:rPr>
          <w:rStyle w:val="CharSectno"/>
        </w:rPr>
        <w:t>3</w:t>
      </w:r>
      <w:r>
        <w:t>.</w:t>
      </w:r>
      <w:r>
        <w:tab/>
      </w:r>
      <w:r>
        <w:rPr>
          <w:i/>
        </w:rPr>
        <w:t>Pig Industry Compensation Act 1942</w:t>
      </w:r>
      <w:r>
        <w:t xml:space="preserve"> repealed</w:t>
      </w:r>
      <w:bookmarkEnd w:id="14"/>
      <w:bookmarkEnd w:id="15"/>
    </w:p>
    <w:p w:rsidR="00BA589C" w:rsidRDefault="00430C74">
      <w:pPr>
        <w:pStyle w:val="Subsection"/>
      </w:pPr>
      <w:r>
        <w:tab/>
      </w:r>
      <w:r>
        <w:tab/>
        <w:t xml:space="preserve">The </w:t>
      </w:r>
      <w:r>
        <w:rPr>
          <w:i/>
        </w:rPr>
        <w:t>Pig Industry Compensation Act 1942</w:t>
      </w:r>
      <w:r>
        <w:t xml:space="preserve"> is repealed.</w:t>
      </w:r>
    </w:p>
    <w:p w:rsidR="00BA589C" w:rsidRDefault="00430C74">
      <w:pPr>
        <w:pStyle w:val="Heading5"/>
      </w:pPr>
      <w:bookmarkStart w:id="16" w:name="_Toc87064646"/>
      <w:bookmarkStart w:id="17" w:name="_Toc94937043"/>
      <w:r>
        <w:rPr>
          <w:rStyle w:val="CharSectno"/>
        </w:rPr>
        <w:t>4</w:t>
      </w:r>
      <w:r>
        <w:t>.</w:t>
      </w:r>
      <w:r>
        <w:tab/>
      </w:r>
      <w:r>
        <w:rPr>
          <w:i/>
        </w:rPr>
        <w:t>Potato Growing Industry Trust Fund Act 1947</w:t>
      </w:r>
      <w:r>
        <w:t xml:space="preserve"> repealed</w:t>
      </w:r>
      <w:bookmarkEnd w:id="16"/>
      <w:bookmarkEnd w:id="17"/>
    </w:p>
    <w:p w:rsidR="00BA589C" w:rsidRDefault="00430C74">
      <w:pPr>
        <w:pStyle w:val="Subsection"/>
      </w:pPr>
      <w:r>
        <w:tab/>
      </w:r>
      <w:r>
        <w:tab/>
        <w:t xml:space="preserve">The </w:t>
      </w:r>
      <w:r>
        <w:rPr>
          <w:i/>
        </w:rPr>
        <w:t>Potato Growing Industry Trust Fund</w:t>
      </w:r>
      <w:r>
        <w:t xml:space="preserve"> </w:t>
      </w:r>
      <w:r>
        <w:rPr>
          <w:i/>
        </w:rPr>
        <w:t>Act 1947</w:t>
      </w:r>
      <w:r>
        <w:t xml:space="preserve"> is repealed.</w:t>
      </w:r>
    </w:p>
    <w:p w:rsidR="00BA589C" w:rsidRDefault="00430C74">
      <w:pPr>
        <w:pStyle w:val="Heading5"/>
      </w:pPr>
      <w:bookmarkStart w:id="18" w:name="_Toc87064647"/>
      <w:bookmarkStart w:id="19" w:name="_Toc94937044"/>
      <w:r>
        <w:rPr>
          <w:rStyle w:val="CharSectno"/>
        </w:rPr>
        <w:t>5</w:t>
      </w:r>
      <w:r>
        <w:t>.</w:t>
      </w:r>
      <w:r>
        <w:tab/>
      </w:r>
      <w:r>
        <w:rPr>
          <w:i/>
        </w:rPr>
        <w:t>Poultry Industry (Trust Fund) Act 1948</w:t>
      </w:r>
      <w:r>
        <w:t xml:space="preserve"> repealed</w:t>
      </w:r>
      <w:bookmarkEnd w:id="18"/>
      <w:bookmarkEnd w:id="19"/>
    </w:p>
    <w:p w:rsidR="00BA589C" w:rsidRDefault="00430C74">
      <w:pPr>
        <w:pStyle w:val="Subsection"/>
      </w:pPr>
      <w:r>
        <w:tab/>
      </w:r>
      <w:r>
        <w:tab/>
        <w:t xml:space="preserve">The </w:t>
      </w:r>
      <w:r>
        <w:rPr>
          <w:i/>
        </w:rPr>
        <w:t>Poultry Industry (Trust Fund) Act 1948</w:t>
      </w:r>
      <w:r>
        <w:t xml:space="preserve"> is repealed.</w:t>
      </w:r>
    </w:p>
    <w:p w:rsidR="00BA589C" w:rsidRDefault="00430C74">
      <w:pPr>
        <w:pStyle w:val="Heading2"/>
      </w:pPr>
      <w:bookmarkStart w:id="20" w:name="_Toc55117258"/>
      <w:bookmarkStart w:id="21" w:name="_Toc94936109"/>
      <w:bookmarkStart w:id="22" w:name="_Toc94937045"/>
      <w:r>
        <w:rPr>
          <w:rStyle w:val="CharPartNo"/>
        </w:rPr>
        <w:t>Part 3</w:t>
      </w:r>
      <w:r>
        <w:rPr>
          <w:rStyle w:val="CharDivNo"/>
        </w:rPr>
        <w:t> </w:t>
      </w:r>
      <w:r>
        <w:t>—</w:t>
      </w:r>
      <w:r>
        <w:rPr>
          <w:rStyle w:val="CharDivText"/>
        </w:rPr>
        <w:t> </w:t>
      </w:r>
      <w:r>
        <w:rPr>
          <w:rStyle w:val="CharPartText"/>
        </w:rPr>
        <w:t>Transitional provisions</w:t>
      </w:r>
      <w:bookmarkEnd w:id="20"/>
      <w:bookmarkEnd w:id="21"/>
      <w:bookmarkEnd w:id="22"/>
    </w:p>
    <w:p w:rsidR="00BA589C" w:rsidRDefault="00430C74">
      <w:pPr>
        <w:pStyle w:val="Heading5"/>
      </w:pPr>
      <w:bookmarkStart w:id="23" w:name="_Toc87064648"/>
      <w:bookmarkStart w:id="24" w:name="_Toc94937046"/>
      <w:r>
        <w:rPr>
          <w:rStyle w:val="CharSectno"/>
        </w:rPr>
        <w:t>6</w:t>
      </w:r>
      <w:r>
        <w:t>.</w:t>
      </w:r>
      <w:r>
        <w:tab/>
        <w:t>Definitions</w:t>
      </w:r>
      <w:bookmarkEnd w:id="23"/>
      <w:bookmarkEnd w:id="24"/>
    </w:p>
    <w:p w:rsidR="00BA589C" w:rsidRDefault="00430C74">
      <w:pPr>
        <w:pStyle w:val="Subsection"/>
      </w:pPr>
      <w:r>
        <w:tab/>
      </w:r>
      <w:r>
        <w:tab/>
        <w:t xml:space="preserve">In this Part — </w:t>
      </w:r>
    </w:p>
    <w:p w:rsidR="00BA589C" w:rsidRDefault="00430C74">
      <w:pPr>
        <w:pStyle w:val="Defstart"/>
      </w:pPr>
      <w:r>
        <w:tab/>
      </w:r>
      <w:r>
        <w:rPr>
          <w:rStyle w:val="CharDefText"/>
        </w:rPr>
        <w:t>Agricultural Produce Commission Account</w:t>
      </w:r>
      <w:r>
        <w:t xml:space="preserve"> means the account referred to in section 7(2) of the </w:t>
      </w:r>
      <w:r>
        <w:rPr>
          <w:i/>
        </w:rPr>
        <w:t>Agricultural Produce Commission Act 1988</w:t>
      </w:r>
      <w:r>
        <w:t>;</w:t>
      </w:r>
    </w:p>
    <w:p w:rsidR="00BA589C" w:rsidRDefault="00430C74">
      <w:pPr>
        <w:pStyle w:val="Defstart"/>
      </w:pPr>
      <w:r>
        <w:rPr>
          <w:b/>
        </w:rPr>
        <w:tab/>
      </w:r>
      <w:r>
        <w:rPr>
          <w:rStyle w:val="CharDefText"/>
        </w:rPr>
        <w:t>commencement day</w:t>
      </w:r>
      <w:r>
        <w:t xml:space="preserve"> means the day on which this Act comes into operation;</w:t>
      </w:r>
    </w:p>
    <w:p w:rsidR="00BA589C" w:rsidRDefault="00430C74">
      <w:pPr>
        <w:pStyle w:val="Defstart"/>
      </w:pPr>
      <w:r>
        <w:rPr>
          <w:b/>
        </w:rPr>
        <w:tab/>
      </w:r>
      <w:r>
        <w:rPr>
          <w:rStyle w:val="CharDefText"/>
        </w:rPr>
        <w:t>Commission</w:t>
      </w:r>
      <w:r>
        <w:t xml:space="preserve"> means the Agricultural Produce Commission established under section 4 of the </w:t>
      </w:r>
      <w:r>
        <w:rPr>
          <w:i/>
        </w:rPr>
        <w:t>Agricultural Produce Commission Act 1988</w:t>
      </w:r>
      <w:r>
        <w:t>;</w:t>
      </w:r>
    </w:p>
    <w:p w:rsidR="00BA589C" w:rsidRDefault="00430C74">
      <w:pPr>
        <w:pStyle w:val="Defstart"/>
      </w:pPr>
      <w:r>
        <w:rPr>
          <w:b/>
        </w:rPr>
        <w:tab/>
      </w:r>
      <w:r>
        <w:rPr>
          <w:rStyle w:val="CharDefText"/>
        </w:rPr>
        <w:t>former accounts</w:t>
      </w:r>
      <w:r>
        <w:t xml:space="preserve"> means — </w:t>
      </w:r>
    </w:p>
    <w:p w:rsidR="00BA589C" w:rsidRDefault="00430C74">
      <w:pPr>
        <w:pStyle w:val="Defpara"/>
      </w:pPr>
      <w:r>
        <w:tab/>
        <w:t>(a)</w:t>
      </w:r>
      <w:r>
        <w:tab/>
        <w:t xml:space="preserve">the Pig Industry Compensation Fund established under section 13 of the </w:t>
      </w:r>
      <w:r>
        <w:rPr>
          <w:i/>
        </w:rPr>
        <w:t>Pig Industry Compensation Act 1942</w:t>
      </w:r>
      <w:r>
        <w:t>;</w:t>
      </w:r>
    </w:p>
    <w:p w:rsidR="00BA589C" w:rsidRDefault="00430C74">
      <w:pPr>
        <w:pStyle w:val="Defpara"/>
      </w:pPr>
      <w:r>
        <w:tab/>
        <w:t>(b)</w:t>
      </w:r>
      <w:r>
        <w:tab/>
        <w:t>the Potato Growing Industry Trust Fund established under section 19 of the</w:t>
      </w:r>
      <w:r>
        <w:rPr>
          <w:i/>
        </w:rPr>
        <w:t xml:space="preserve"> Potato Growing Industry Trust Fund</w:t>
      </w:r>
      <w:r>
        <w:t xml:space="preserve"> </w:t>
      </w:r>
      <w:r>
        <w:rPr>
          <w:i/>
        </w:rPr>
        <w:t>Act 1947</w:t>
      </w:r>
      <w:r>
        <w:t xml:space="preserve">; and </w:t>
      </w:r>
    </w:p>
    <w:p w:rsidR="00BA589C" w:rsidRDefault="00430C74">
      <w:pPr>
        <w:pStyle w:val="Defpara"/>
      </w:pPr>
      <w:r>
        <w:tab/>
        <w:t>(c)</w:t>
      </w:r>
      <w:r>
        <w:tab/>
        <w:t>the Poultry Industry Trust Fund established under section 15 of the</w:t>
      </w:r>
      <w:r>
        <w:rPr>
          <w:i/>
        </w:rPr>
        <w:t xml:space="preserve"> Poultry Industry (Trust Fund) Act 1948</w:t>
      </w:r>
      <w:r>
        <w:t>;</w:t>
      </w:r>
    </w:p>
    <w:p w:rsidR="00BA589C" w:rsidRDefault="00430C74">
      <w:pPr>
        <w:pStyle w:val="Defstart"/>
      </w:pPr>
      <w:r>
        <w:rPr>
          <w:b/>
        </w:rPr>
        <w:tab/>
      </w:r>
      <w:r>
        <w:rPr>
          <w:rStyle w:val="CharDefText"/>
        </w:rPr>
        <w:t>former committees</w:t>
      </w:r>
      <w:r>
        <w:t xml:space="preserve"> means — </w:t>
      </w:r>
    </w:p>
    <w:p w:rsidR="00BA589C" w:rsidRDefault="00430C74">
      <w:pPr>
        <w:pStyle w:val="Defpara"/>
      </w:pPr>
      <w:r>
        <w:tab/>
        <w:t>(a)</w:t>
      </w:r>
      <w:r>
        <w:tab/>
        <w:t xml:space="preserve">the Potato Growing Industry Trust Fund Advisory Committee constituted under section 6 of the </w:t>
      </w:r>
      <w:r>
        <w:rPr>
          <w:i/>
        </w:rPr>
        <w:t>Potato Growing Industry Trust Fund</w:t>
      </w:r>
      <w:r>
        <w:t xml:space="preserve"> </w:t>
      </w:r>
      <w:r>
        <w:rPr>
          <w:i/>
        </w:rPr>
        <w:t>Act 1947</w:t>
      </w:r>
      <w:r>
        <w:t>; and</w:t>
      </w:r>
    </w:p>
    <w:p w:rsidR="00BA589C" w:rsidRDefault="00430C74">
      <w:pPr>
        <w:pStyle w:val="Defpara"/>
      </w:pPr>
      <w:r>
        <w:tab/>
        <w:t>(b)</w:t>
      </w:r>
      <w:r>
        <w:tab/>
        <w:t>The Poultry Industry Trust Fund Committee constituted under section 5 of the</w:t>
      </w:r>
      <w:r>
        <w:rPr>
          <w:i/>
        </w:rPr>
        <w:t xml:space="preserve"> Poultry Industry (Trust Fund) Act 1948</w:t>
      </w:r>
      <w:r>
        <w:t>;</w:t>
      </w:r>
    </w:p>
    <w:p w:rsidR="00BA589C" w:rsidRDefault="00430C74">
      <w:pPr>
        <w:pStyle w:val="Defstart"/>
      </w:pPr>
      <w:r>
        <w:rPr>
          <w:b/>
        </w:rPr>
        <w:tab/>
      </w:r>
      <w:r>
        <w:rPr>
          <w:rStyle w:val="CharDefText"/>
        </w:rPr>
        <w:t>repealed Acts</w:t>
      </w:r>
      <w:r>
        <w:t xml:space="preserve"> means the Acts repealed under Part 2.</w:t>
      </w:r>
    </w:p>
    <w:p w:rsidR="00BA589C" w:rsidRDefault="00430C74">
      <w:pPr>
        <w:pStyle w:val="Heading5"/>
      </w:pPr>
      <w:bookmarkStart w:id="25" w:name="_Toc87064649"/>
      <w:bookmarkStart w:id="26" w:name="_Toc94937047"/>
      <w:r>
        <w:rPr>
          <w:rStyle w:val="CharSectno"/>
        </w:rPr>
        <w:t>7</w:t>
      </w:r>
      <w:r>
        <w:t>.</w:t>
      </w:r>
      <w:r>
        <w:tab/>
        <w:t>Interpretation Act not affected</w:t>
      </w:r>
      <w:bookmarkEnd w:id="25"/>
      <w:bookmarkEnd w:id="26"/>
    </w:p>
    <w:p w:rsidR="00BA589C" w:rsidRDefault="00430C74">
      <w:pPr>
        <w:pStyle w:val="Subsection"/>
      </w:pPr>
      <w:r>
        <w:tab/>
      </w:r>
      <w:r>
        <w:tab/>
        <w:t xml:space="preserve">Nothing in this Act is to be construed so as to limit the operation of the </w:t>
      </w:r>
      <w:r>
        <w:rPr>
          <w:i/>
        </w:rPr>
        <w:t>Interpretation Act 1984</w:t>
      </w:r>
      <w:r>
        <w:t>.</w:t>
      </w:r>
    </w:p>
    <w:p w:rsidR="00BA589C" w:rsidRDefault="00430C74">
      <w:pPr>
        <w:pStyle w:val="Heading5"/>
      </w:pPr>
      <w:bookmarkStart w:id="27" w:name="_Toc87064650"/>
      <w:bookmarkStart w:id="28" w:name="_Toc94937048"/>
      <w:r>
        <w:rPr>
          <w:rStyle w:val="CharSectno"/>
        </w:rPr>
        <w:t>8</w:t>
      </w:r>
      <w:r>
        <w:t>.</w:t>
      </w:r>
      <w:r>
        <w:tab/>
        <w:t>Members cease to hold office</w:t>
      </w:r>
      <w:bookmarkEnd w:id="27"/>
      <w:bookmarkEnd w:id="28"/>
    </w:p>
    <w:p w:rsidR="00BA589C" w:rsidRDefault="00430C74">
      <w:pPr>
        <w:pStyle w:val="Subsection"/>
      </w:pPr>
      <w:r>
        <w:tab/>
      </w:r>
      <w:r>
        <w:tab/>
        <w:t>On the commencement day the members of the former committees cease to hold office.</w:t>
      </w:r>
    </w:p>
    <w:p w:rsidR="00BA589C" w:rsidRDefault="00430C74">
      <w:pPr>
        <w:pStyle w:val="Heading5"/>
      </w:pPr>
      <w:bookmarkStart w:id="29" w:name="_Toc87064651"/>
      <w:bookmarkStart w:id="30" w:name="_Toc94937049"/>
      <w:r>
        <w:rPr>
          <w:rStyle w:val="CharSectno"/>
        </w:rPr>
        <w:t>9</w:t>
      </w:r>
      <w:r>
        <w:t>.</w:t>
      </w:r>
      <w:r>
        <w:tab/>
        <w:t>Compensation claims made before repeals</w:t>
      </w:r>
      <w:bookmarkEnd w:id="29"/>
      <w:bookmarkEnd w:id="30"/>
    </w:p>
    <w:p w:rsidR="00BA589C" w:rsidRDefault="00430C74">
      <w:pPr>
        <w:pStyle w:val="Subsection"/>
      </w:pPr>
      <w:r>
        <w:tab/>
      </w:r>
      <w:r>
        <w:tab/>
        <w:t>Despite Part 2, an application for compensation under a repealed Act not fully dealt with</w:t>
      </w:r>
      <w:r>
        <w:rPr>
          <w:i/>
        </w:rPr>
        <w:t xml:space="preserve"> </w:t>
      </w:r>
      <w:r>
        <w:t xml:space="preserve">before the commencement day is to be dealt with by the Commission — </w:t>
      </w:r>
    </w:p>
    <w:p w:rsidR="00BA589C" w:rsidRDefault="00430C74">
      <w:pPr>
        <w:pStyle w:val="Indenta"/>
      </w:pPr>
      <w:r>
        <w:tab/>
        <w:t>(a)</w:t>
      </w:r>
      <w:r>
        <w:tab/>
        <w:t>under that Act as if the Act had not been repealed; and</w:t>
      </w:r>
    </w:p>
    <w:p w:rsidR="00BA589C" w:rsidRDefault="00430C74">
      <w:pPr>
        <w:pStyle w:val="Indenta"/>
      </w:pPr>
      <w:r>
        <w:tab/>
        <w:t>(b)</w:t>
      </w:r>
      <w:r>
        <w:tab/>
        <w:t>for that purpose, any reference in that repealed Act to a former committee is to be read and have effect on and after the commencement day as if it were a reference to the Commission.</w:t>
      </w:r>
    </w:p>
    <w:p w:rsidR="00BA589C" w:rsidRDefault="00430C74">
      <w:pPr>
        <w:pStyle w:val="Heading5"/>
      </w:pPr>
      <w:bookmarkStart w:id="31" w:name="_Toc87064652"/>
      <w:bookmarkStart w:id="32" w:name="_Toc94937050"/>
      <w:r>
        <w:rPr>
          <w:rStyle w:val="CharSectno"/>
        </w:rPr>
        <w:t>10</w:t>
      </w:r>
      <w:r>
        <w:t>.</w:t>
      </w:r>
      <w:r>
        <w:tab/>
        <w:t>Funds in former accounts</w:t>
      </w:r>
      <w:bookmarkEnd w:id="31"/>
      <w:bookmarkEnd w:id="32"/>
    </w:p>
    <w:p w:rsidR="00BA589C" w:rsidRDefault="00430C74">
      <w:pPr>
        <w:pStyle w:val="Subsection"/>
      </w:pPr>
      <w:r>
        <w:tab/>
        <w:t>(1)</w:t>
      </w:r>
      <w:r>
        <w:tab/>
        <w:t xml:space="preserve">Any moneys standing to the credit of a former account immediately before the commencement day are to be credited to the Agricultural Produce Commission Account to be applied in the payment of — </w:t>
      </w:r>
    </w:p>
    <w:p w:rsidR="00BA589C" w:rsidRDefault="00430C74">
      <w:pPr>
        <w:pStyle w:val="Indenta"/>
      </w:pPr>
      <w:r>
        <w:tab/>
        <w:t>(a)</w:t>
      </w:r>
      <w:r>
        <w:tab/>
        <w:t>compensation payable on an application referred to in section 9 made under the Act which established the former account; and</w:t>
      </w:r>
    </w:p>
    <w:p w:rsidR="00BA589C" w:rsidRDefault="00430C74">
      <w:pPr>
        <w:pStyle w:val="Indenta"/>
      </w:pPr>
      <w:r>
        <w:tab/>
        <w:t>(b)</w:t>
      </w:r>
      <w:r>
        <w:tab/>
        <w:t>any liabilities of the former account which arose before the commencement day,</w:t>
      </w:r>
    </w:p>
    <w:p w:rsidR="00BA589C" w:rsidRDefault="00430C74">
      <w:pPr>
        <w:pStyle w:val="Subsection"/>
      </w:pPr>
      <w:r>
        <w:tab/>
      </w:r>
      <w:r>
        <w:tab/>
        <w:t xml:space="preserve">and any balance remaining is to be applied by the relevant producers’ committee for the purposes of carrying out its functions under the </w:t>
      </w:r>
      <w:r>
        <w:rPr>
          <w:i/>
        </w:rPr>
        <w:t>Agricultural Produce Commission Act 1988</w:t>
      </w:r>
      <w:r>
        <w:t>.</w:t>
      </w:r>
    </w:p>
    <w:p w:rsidR="00BA589C" w:rsidRDefault="00430C74">
      <w:pPr>
        <w:pStyle w:val="Subsection"/>
        <w:keepNext/>
      </w:pPr>
      <w:r>
        <w:tab/>
        <w:t>(2)</w:t>
      </w:r>
      <w:r>
        <w:tab/>
        <w:t xml:space="preserve">In this section — </w:t>
      </w:r>
    </w:p>
    <w:p w:rsidR="00BA589C" w:rsidRDefault="00430C74">
      <w:pPr>
        <w:pStyle w:val="Defstart"/>
      </w:pPr>
      <w:r>
        <w:rPr>
          <w:b/>
        </w:rPr>
        <w:tab/>
      </w:r>
      <w:r>
        <w:rPr>
          <w:rStyle w:val="CharDefText"/>
        </w:rPr>
        <w:t>relevant producers’ committee</w:t>
      </w:r>
      <w:r>
        <w:t xml:space="preserve">, in relation to a former account, means the producers’ committee, as defined in section 3(1) of the </w:t>
      </w:r>
      <w:r>
        <w:rPr>
          <w:i/>
        </w:rPr>
        <w:t>Agricultural Produce Commission Act 1988</w:t>
      </w:r>
      <w:r>
        <w:t>, established in relation to the agricultural produce relevant to the former account.</w:t>
      </w:r>
    </w:p>
    <w:p w:rsidR="00BA589C" w:rsidRDefault="00430C74">
      <w:pPr>
        <w:pStyle w:val="Heading5"/>
      </w:pPr>
      <w:bookmarkStart w:id="33" w:name="_Toc87064653"/>
      <w:bookmarkStart w:id="34" w:name="_Toc94937051"/>
      <w:r>
        <w:rPr>
          <w:rStyle w:val="CharSectno"/>
        </w:rPr>
        <w:t>11</w:t>
      </w:r>
      <w:r>
        <w:t>.</w:t>
      </w:r>
      <w:r>
        <w:tab/>
        <w:t>Moneys payable to Agricultural Produce Commission Account</w:t>
      </w:r>
      <w:bookmarkEnd w:id="33"/>
      <w:bookmarkEnd w:id="34"/>
    </w:p>
    <w:p w:rsidR="00BA589C" w:rsidRDefault="00430C74">
      <w:pPr>
        <w:pStyle w:val="Subsection"/>
      </w:pPr>
      <w:r>
        <w:tab/>
      </w:r>
      <w:r>
        <w:tab/>
        <w:t>The Agricultural Produce Commission Account is to be credited with any money that became payable to a former account before the commencement day and that is paid after that day.</w:t>
      </w:r>
    </w:p>
    <w:p w:rsidR="00BA589C" w:rsidRDefault="00430C74">
      <w:pPr>
        <w:pStyle w:val="Heading5"/>
      </w:pPr>
      <w:bookmarkStart w:id="35" w:name="_Toc87064654"/>
      <w:bookmarkStart w:id="36" w:name="_Toc94937052"/>
      <w:r>
        <w:rPr>
          <w:rStyle w:val="CharSectno"/>
        </w:rPr>
        <w:t>12</w:t>
      </w:r>
      <w:r>
        <w:t>.</w:t>
      </w:r>
      <w:r>
        <w:tab/>
        <w:t>References to former committees and former accounts</w:t>
      </w:r>
      <w:bookmarkEnd w:id="35"/>
      <w:bookmarkEnd w:id="36"/>
    </w:p>
    <w:p w:rsidR="00BA589C" w:rsidRDefault="00430C74">
      <w:pPr>
        <w:pStyle w:val="Subsection"/>
      </w:pPr>
      <w:r>
        <w:tab/>
      </w:r>
      <w:r>
        <w:tab/>
        <w:t xml:space="preserve">If in an agreement, instrument or other document there is a reference to — </w:t>
      </w:r>
    </w:p>
    <w:p w:rsidR="00BA589C" w:rsidRDefault="00430C74">
      <w:pPr>
        <w:pStyle w:val="Indenta"/>
      </w:pPr>
      <w:r>
        <w:tab/>
        <w:t>(a)</w:t>
      </w:r>
      <w:r>
        <w:tab/>
        <w:t>a former account, that reference is, unless the context otherwise requires, to be read and have effect on and after the commencement day as if it were a reference to the Agricultural Produce Commission Account; or</w:t>
      </w:r>
    </w:p>
    <w:p w:rsidR="00BA589C" w:rsidRDefault="00430C74">
      <w:pPr>
        <w:pStyle w:val="Indenta"/>
      </w:pPr>
      <w:r>
        <w:tab/>
        <w:t>(b)</w:t>
      </w:r>
      <w:r>
        <w:tab/>
        <w:t>a former committee, that reference is, unless the context otherwise requires, to be read and have effect on and after the commencement day as if it were a reference to the Commission.</w:t>
      </w:r>
    </w:p>
    <w:p w:rsidR="00BA589C" w:rsidRDefault="00430C74">
      <w:pPr>
        <w:pStyle w:val="Heading5"/>
      </w:pPr>
      <w:bookmarkStart w:id="37" w:name="_Toc87064655"/>
      <w:bookmarkStart w:id="38" w:name="_Toc94937053"/>
      <w:r>
        <w:rPr>
          <w:rStyle w:val="CharSectno"/>
        </w:rPr>
        <w:t>13</w:t>
      </w:r>
      <w:r>
        <w:t>.</w:t>
      </w:r>
      <w:r>
        <w:tab/>
        <w:t>Proceedings and remedies</w:t>
      </w:r>
      <w:bookmarkEnd w:id="37"/>
      <w:bookmarkEnd w:id="38"/>
    </w:p>
    <w:p w:rsidR="00BA589C" w:rsidRDefault="00430C74">
      <w:pPr>
        <w:pStyle w:val="Subsection"/>
      </w:pPr>
      <w:r>
        <w:tab/>
      </w:r>
      <w:r>
        <w:tab/>
        <w:t xml:space="preserve">On and after the commencement day — </w:t>
      </w:r>
    </w:p>
    <w:p w:rsidR="00BA589C" w:rsidRDefault="00430C74">
      <w:pPr>
        <w:pStyle w:val="Indenta"/>
      </w:pPr>
      <w:r>
        <w:tab/>
        <w:t>(a)</w:t>
      </w:r>
      <w:r>
        <w:tab/>
        <w:t>the Commission is a party to any proceedings by or against a former committee commenced before that day; and</w:t>
      </w:r>
    </w:p>
    <w:p w:rsidR="00BA589C" w:rsidRDefault="00430C74">
      <w:pPr>
        <w:pStyle w:val="Indenta"/>
      </w:pPr>
      <w:r>
        <w:tab/>
        <w:t>(b)</w:t>
      </w:r>
      <w:r>
        <w:tab/>
        <w:t>any proceedings or remedy that might have been commenced by, or available against or to, a former committee may be commenced by, and are available against or to, the Commission.</w:t>
      </w:r>
    </w:p>
    <w:p w:rsidR="00BA589C" w:rsidRDefault="00430C74">
      <w:pPr>
        <w:pStyle w:val="Heading5"/>
      </w:pPr>
      <w:bookmarkStart w:id="39" w:name="_Toc87064656"/>
      <w:bookmarkStart w:id="40" w:name="_Toc94937054"/>
      <w:r>
        <w:rPr>
          <w:rStyle w:val="CharSectno"/>
        </w:rPr>
        <w:t>14</w:t>
      </w:r>
      <w:r>
        <w:t>.</w:t>
      </w:r>
      <w:r>
        <w:tab/>
        <w:t>Records to be delivered to Commission</w:t>
      </w:r>
      <w:bookmarkEnd w:id="39"/>
      <w:bookmarkEnd w:id="40"/>
      <w:r>
        <w:t xml:space="preserve"> </w:t>
      </w:r>
    </w:p>
    <w:p w:rsidR="00BA589C" w:rsidRDefault="00430C74">
      <w:pPr>
        <w:pStyle w:val="Subsection"/>
      </w:pPr>
      <w:r>
        <w:tab/>
      </w:r>
      <w:r>
        <w:tab/>
        <w:t xml:space="preserve">On the commencement day the Commission is to take delivery of all registers, papers, documents, minutes, receipts, books of account and other records (however compiled, recorded or stored) relating to the operations of — </w:t>
      </w:r>
    </w:p>
    <w:p w:rsidR="00BA589C" w:rsidRDefault="00430C74">
      <w:pPr>
        <w:pStyle w:val="Indenta"/>
      </w:pPr>
      <w:r>
        <w:tab/>
        <w:t>(a)</w:t>
      </w:r>
      <w:r>
        <w:tab/>
        <w:t>the former accounts; and</w:t>
      </w:r>
    </w:p>
    <w:p w:rsidR="00BA589C" w:rsidRDefault="00430C74">
      <w:pPr>
        <w:pStyle w:val="Indenta"/>
      </w:pPr>
      <w:r>
        <w:tab/>
        <w:t>(b)</w:t>
      </w:r>
      <w:r>
        <w:tab/>
        <w:t>the former committees.</w:t>
      </w:r>
    </w:p>
    <w:p w:rsidR="00BA589C" w:rsidRDefault="00430C74">
      <w:pPr>
        <w:pStyle w:val="Heading5"/>
      </w:pPr>
      <w:bookmarkStart w:id="41" w:name="_Toc87064657"/>
      <w:bookmarkStart w:id="42" w:name="_Toc94937055"/>
      <w:r>
        <w:rPr>
          <w:rStyle w:val="CharSectno"/>
        </w:rPr>
        <w:t>15</w:t>
      </w:r>
      <w:r>
        <w:t>.</w:t>
      </w:r>
      <w:r>
        <w:tab/>
        <w:t>Financial reporting</w:t>
      </w:r>
      <w:bookmarkEnd w:id="41"/>
      <w:bookmarkEnd w:id="42"/>
    </w:p>
    <w:p w:rsidR="00BA589C" w:rsidRDefault="00430C74">
      <w:pPr>
        <w:pStyle w:val="Subsection"/>
      </w:pPr>
      <w:r>
        <w:tab/>
        <w:t>(1)</w:t>
      </w:r>
      <w:r>
        <w:tab/>
        <w:t xml:space="preserve">Section 65A of the FAA Act applies in relation to the preparation and submission of a final report in respect of a former committee as if — </w:t>
      </w:r>
    </w:p>
    <w:p w:rsidR="00BA589C" w:rsidRDefault="00430C74">
      <w:pPr>
        <w:pStyle w:val="Indenta"/>
      </w:pPr>
      <w:r>
        <w:tab/>
        <w:t>(a)</w:t>
      </w:r>
      <w:r>
        <w:tab/>
        <w:t>references in that section to a department were references to the former committee; and</w:t>
      </w:r>
    </w:p>
    <w:p w:rsidR="00BA589C" w:rsidRDefault="00430C74">
      <w:pPr>
        <w:pStyle w:val="Indenta"/>
      </w:pPr>
      <w:r>
        <w:tab/>
        <w:t>(b)</w:t>
      </w:r>
      <w:r>
        <w:tab/>
        <w:t>references in that section to provisions of sections 62 to 65 of the FAA Act were references to the equivalent provisions of sections 66 to 70 of that Act,</w:t>
      </w:r>
    </w:p>
    <w:p w:rsidR="00BA589C" w:rsidRDefault="00430C74">
      <w:pPr>
        <w:pStyle w:val="Subsection"/>
      </w:pPr>
      <w:r>
        <w:tab/>
      </w:r>
      <w:r>
        <w:tab/>
        <w:t>except that the period to which the final report is to relate is the final period, the references in sections 66(1), 68, and 70(1) to the end of the financial year are to be read as references to the end of the final period and the former committee is to be taken to be appointed as the reporting officer under section 65A(2).</w:t>
      </w:r>
    </w:p>
    <w:p w:rsidR="00BA589C" w:rsidRDefault="00430C74">
      <w:pPr>
        <w:pStyle w:val="Subsection"/>
      </w:pPr>
      <w:r>
        <w:tab/>
        <w:t>(2)</w:t>
      </w:r>
      <w:r>
        <w:tab/>
        <w:t>If at the commencement day, any duty imposed by Part II Division 14 of the FAA Act on the accountable authority of a former committee has not been complied with for any financial year that expired before the commencement day, that duty subsists and is to be performed by the former committee.</w:t>
      </w:r>
    </w:p>
    <w:p w:rsidR="00BA589C" w:rsidRDefault="00430C74">
      <w:pPr>
        <w:pStyle w:val="Subsection"/>
      </w:pPr>
      <w:r>
        <w:tab/>
        <w:t>(3)</w:t>
      </w:r>
      <w:r>
        <w:tab/>
        <w:t>The time within which the former committee is to perform a duty referred to in subsection (2) is extended until the end of the day that is 2 months after the commencement day, but this subsection does not prevent the time from being extended again under section 70 of the FAA Act.</w:t>
      </w:r>
    </w:p>
    <w:p w:rsidR="00BA589C" w:rsidRDefault="00430C74">
      <w:pPr>
        <w:pStyle w:val="Subsection"/>
      </w:pPr>
      <w:r>
        <w:tab/>
        <w:t>(4)</w:t>
      </w:r>
      <w:r>
        <w:tab/>
        <w:t>Despite the repeals effected under Part 2, each former committee continues in existence for the purposes of this section and is entitled to receive from the Commission and its staff such assistance as it may require for that purpose.</w:t>
      </w:r>
    </w:p>
    <w:p w:rsidR="00BA589C" w:rsidRDefault="00430C74">
      <w:pPr>
        <w:pStyle w:val="Subsection"/>
      </w:pPr>
      <w:r>
        <w:tab/>
        <w:t>(5)</w:t>
      </w:r>
      <w:r>
        <w:tab/>
        <w:t xml:space="preserve">In this section — </w:t>
      </w:r>
    </w:p>
    <w:p w:rsidR="00BA589C" w:rsidRDefault="00430C74">
      <w:pPr>
        <w:pStyle w:val="Defstart"/>
      </w:pPr>
      <w:r>
        <w:rPr>
          <w:b/>
        </w:rPr>
        <w:tab/>
      </w:r>
      <w:r>
        <w:rPr>
          <w:rStyle w:val="CharDefText"/>
        </w:rPr>
        <w:t>FAA Act</w:t>
      </w:r>
      <w:r>
        <w:t xml:space="preserve"> means the </w:t>
      </w:r>
      <w:r>
        <w:rPr>
          <w:i/>
        </w:rPr>
        <w:t>Financial Administration and Audit Act 1985</w:t>
      </w:r>
      <w:r>
        <w:t>;</w:t>
      </w:r>
    </w:p>
    <w:p w:rsidR="00BA589C" w:rsidRDefault="00430C74">
      <w:pPr>
        <w:pStyle w:val="Defstart"/>
      </w:pPr>
      <w:r>
        <w:rPr>
          <w:b/>
        </w:rPr>
        <w:tab/>
      </w:r>
      <w:r>
        <w:rPr>
          <w:rStyle w:val="CharDefText"/>
        </w:rPr>
        <w:t>final period</w:t>
      </w:r>
      <w:r>
        <w:t xml:space="preserve"> in relation to the former committee — </w:t>
      </w:r>
    </w:p>
    <w:p w:rsidR="00BA589C" w:rsidRDefault="00430C74">
      <w:pPr>
        <w:pStyle w:val="Defpara"/>
      </w:pPr>
      <w:r>
        <w:tab/>
        <w:t>(a)</w:t>
      </w:r>
      <w:r>
        <w:tab/>
        <w:t xml:space="preserve">under the </w:t>
      </w:r>
      <w:r>
        <w:rPr>
          <w:i/>
        </w:rPr>
        <w:t>Potato Growing Industry Trust Fund Act 1947</w:t>
      </w:r>
      <w:r>
        <w:t>, means the period starting on 1 July last preceding the commencement day;</w:t>
      </w:r>
    </w:p>
    <w:p w:rsidR="00BA589C" w:rsidRDefault="00430C74">
      <w:pPr>
        <w:pStyle w:val="Defpara"/>
      </w:pPr>
      <w:r>
        <w:tab/>
        <w:t>(b)</w:t>
      </w:r>
      <w:r>
        <w:tab/>
        <w:t xml:space="preserve">under the </w:t>
      </w:r>
      <w:r>
        <w:rPr>
          <w:i/>
        </w:rPr>
        <w:t>Poultry Industry (Trust Fund) Act 1948</w:t>
      </w:r>
      <w:r>
        <w:t>, means the period starting on 1 August last preceding the commencement day.</w:t>
      </w:r>
    </w:p>
    <w:p w:rsidR="00BA589C" w:rsidRDefault="00430C74">
      <w:pPr>
        <w:pStyle w:val="Heading2"/>
      </w:pPr>
      <w:bookmarkStart w:id="43" w:name="_Toc55117269"/>
      <w:bookmarkStart w:id="44" w:name="_Toc94936120"/>
      <w:bookmarkStart w:id="45" w:name="_Toc94937056"/>
      <w:r>
        <w:rPr>
          <w:rStyle w:val="CharPartNo"/>
        </w:rPr>
        <w:t>Part 4</w:t>
      </w:r>
      <w:r>
        <w:rPr>
          <w:rStyle w:val="CharDivNo"/>
        </w:rPr>
        <w:t> </w:t>
      </w:r>
      <w:r>
        <w:t>—</w:t>
      </w:r>
      <w:r>
        <w:rPr>
          <w:rStyle w:val="CharDivText"/>
        </w:rPr>
        <w:t> </w:t>
      </w:r>
      <w:r>
        <w:rPr>
          <w:rStyle w:val="CharPartText"/>
        </w:rPr>
        <w:t>Consequential amendments</w:t>
      </w:r>
      <w:bookmarkEnd w:id="43"/>
      <w:bookmarkEnd w:id="44"/>
      <w:bookmarkEnd w:id="45"/>
    </w:p>
    <w:p w:rsidR="00BA589C" w:rsidRDefault="00430C74">
      <w:pPr>
        <w:pStyle w:val="Heading5"/>
      </w:pPr>
      <w:bookmarkStart w:id="46" w:name="_Toc87064658"/>
      <w:bookmarkStart w:id="47" w:name="_Toc94937057"/>
      <w:r>
        <w:rPr>
          <w:rStyle w:val="CharSectno"/>
        </w:rPr>
        <w:t>16</w:t>
      </w:r>
      <w:r>
        <w:t>.</w:t>
      </w:r>
      <w:r>
        <w:tab/>
      </w:r>
      <w:r>
        <w:rPr>
          <w:i/>
        </w:rPr>
        <w:t>Constitution Acts Amendment Act 1899</w:t>
      </w:r>
      <w:r>
        <w:t xml:space="preserve"> amended</w:t>
      </w:r>
      <w:bookmarkEnd w:id="46"/>
      <w:bookmarkEnd w:id="47"/>
    </w:p>
    <w:p w:rsidR="00BA589C" w:rsidRDefault="00430C74">
      <w:pPr>
        <w:pStyle w:val="Subsection"/>
      </w:pPr>
      <w:r>
        <w:tab/>
        <w:t>(1)</w:t>
      </w:r>
      <w:r>
        <w:tab/>
        <w:t xml:space="preserve">The amendments in this section are to the </w:t>
      </w:r>
      <w:r>
        <w:rPr>
          <w:i/>
        </w:rPr>
        <w:t>Constitution Acts Amendment Act 1899*</w:t>
      </w:r>
      <w:r>
        <w:t>.</w:t>
      </w:r>
    </w:p>
    <w:p w:rsidR="00BA589C" w:rsidRDefault="00430C74">
      <w:pPr>
        <w:pStyle w:val="Subsection"/>
        <w:tabs>
          <w:tab w:val="clear" w:pos="595"/>
          <w:tab w:val="left" w:pos="1134"/>
        </w:tabs>
        <w:ind w:left="1134" w:hanging="1134"/>
      </w:pPr>
      <w:r>
        <w:tab/>
        <w:t>[*</w:t>
      </w:r>
      <w:r>
        <w:rPr>
          <w:i/>
        </w:rPr>
        <w:tab/>
        <w:t>Reprint 12 as at 3 Oct 2003</w:t>
      </w:r>
      <w:r>
        <w:t>.]</w:t>
      </w:r>
    </w:p>
    <w:p w:rsidR="00BA589C" w:rsidRDefault="00430C74">
      <w:pPr>
        <w:pStyle w:val="Subsection"/>
      </w:pPr>
      <w:r>
        <w:tab/>
        <w:t>(2)</w:t>
      </w:r>
      <w:r>
        <w:tab/>
        <w:t>Schedule 5 Part 3 is amended as follows:</w:t>
      </w:r>
    </w:p>
    <w:p w:rsidR="00BA589C" w:rsidRDefault="00430C74">
      <w:pPr>
        <w:pStyle w:val="Indenta"/>
      </w:pPr>
      <w:r>
        <w:tab/>
        <w:t>(a)</w:t>
      </w:r>
      <w:r>
        <w:tab/>
        <w:t>by deleting the item commencing “The Potato Growing Industry Trust Fund Advisory Committee”;</w:t>
      </w:r>
    </w:p>
    <w:p w:rsidR="00BA589C" w:rsidRDefault="00430C74">
      <w:pPr>
        <w:pStyle w:val="Indenta"/>
      </w:pPr>
      <w:r>
        <w:tab/>
        <w:t>(b)</w:t>
      </w:r>
      <w:r>
        <w:tab/>
        <w:t>by deleting the item commencing “The Poultry Industry Trust Fund Committee”.</w:t>
      </w:r>
    </w:p>
    <w:p w:rsidR="00BA589C" w:rsidRDefault="00430C74">
      <w:pPr>
        <w:pStyle w:val="Heading5"/>
      </w:pPr>
      <w:bookmarkStart w:id="48" w:name="_Toc87064659"/>
      <w:bookmarkStart w:id="49" w:name="_Toc94937058"/>
      <w:r>
        <w:rPr>
          <w:rStyle w:val="CharSectno"/>
        </w:rPr>
        <w:t>17</w:t>
      </w:r>
      <w:r>
        <w:t>.</w:t>
      </w:r>
      <w:r>
        <w:tab/>
      </w:r>
      <w:r>
        <w:rPr>
          <w:i/>
        </w:rPr>
        <w:t>Financial Administration and Audit Act 1985</w:t>
      </w:r>
      <w:r>
        <w:t xml:space="preserve"> amended</w:t>
      </w:r>
      <w:bookmarkEnd w:id="48"/>
      <w:bookmarkEnd w:id="49"/>
    </w:p>
    <w:p w:rsidR="00BA589C" w:rsidRDefault="00430C74">
      <w:pPr>
        <w:pStyle w:val="Subsection"/>
      </w:pPr>
      <w:r>
        <w:tab/>
        <w:t>(1)</w:t>
      </w:r>
      <w:r>
        <w:tab/>
        <w:t xml:space="preserve">The amendments in this section are to the </w:t>
      </w:r>
      <w:r>
        <w:rPr>
          <w:i/>
        </w:rPr>
        <w:t>Financial Administration and Audit Act 1985*</w:t>
      </w:r>
      <w:r>
        <w:t>.</w:t>
      </w:r>
    </w:p>
    <w:p w:rsidR="00BA589C" w:rsidRDefault="00430C74">
      <w:pPr>
        <w:pStyle w:val="Subsection"/>
        <w:tabs>
          <w:tab w:val="clear" w:pos="595"/>
          <w:tab w:val="left" w:pos="1134"/>
        </w:tabs>
        <w:ind w:left="1134" w:hanging="1134"/>
        <w:rPr>
          <w:i/>
        </w:rPr>
      </w:pPr>
      <w:r>
        <w:tab/>
        <w:t>[*</w:t>
      </w:r>
      <w:r>
        <w:rPr>
          <w:i/>
        </w:rPr>
        <w:tab/>
        <w:t>Reprinted as at 16 September 2002.</w:t>
      </w:r>
    </w:p>
    <w:p w:rsidR="00BA589C" w:rsidRDefault="00430C74">
      <w:pPr>
        <w:pStyle w:val="Subsection"/>
        <w:tabs>
          <w:tab w:val="clear" w:pos="595"/>
          <w:tab w:val="left" w:pos="1134"/>
        </w:tabs>
        <w:spacing w:before="0"/>
        <w:ind w:left="1134" w:hanging="1134"/>
      </w:pPr>
      <w:r>
        <w:rPr>
          <w:i/>
        </w:rPr>
        <w:tab/>
      </w:r>
      <w:r>
        <w:rPr>
          <w:i/>
        </w:rPr>
        <w:tab/>
        <w:t xml:space="preserve">For subsequent amendments see 2002 Index to Legislation of Western Australia, Table 1, </w:t>
      </w:r>
      <w:r>
        <w:rPr>
          <w:i/>
          <w:spacing w:val="-2"/>
        </w:rPr>
        <w:t>p. 139</w:t>
      </w:r>
      <w:r>
        <w:rPr>
          <w:i/>
        </w:rPr>
        <w:t xml:space="preserve"> and Acts Nos. 31 and 35 of 2003</w:t>
      </w:r>
      <w:r>
        <w:t>.]</w:t>
      </w:r>
    </w:p>
    <w:p w:rsidR="00BA589C" w:rsidRDefault="00430C74">
      <w:pPr>
        <w:pStyle w:val="Subsection"/>
      </w:pPr>
      <w:r>
        <w:tab/>
        <w:t>(2)</w:t>
      </w:r>
      <w:r>
        <w:tab/>
        <w:t>Schedule 1 is amended as follows:</w:t>
      </w:r>
    </w:p>
    <w:p w:rsidR="00BA589C" w:rsidRDefault="00430C74">
      <w:pPr>
        <w:pStyle w:val="Indenta"/>
      </w:pPr>
      <w:r>
        <w:tab/>
        <w:t>(a)</w:t>
      </w:r>
      <w:r>
        <w:tab/>
        <w:t>by deleting the item commencing “The Potato Growing Industry Trust Fund Advisory Committee”;</w:t>
      </w:r>
    </w:p>
    <w:p w:rsidR="00BA589C" w:rsidRDefault="00430C74">
      <w:pPr>
        <w:pStyle w:val="Indenta"/>
      </w:pPr>
      <w:r>
        <w:tab/>
        <w:t>(b)</w:t>
      </w:r>
      <w:r>
        <w:tab/>
        <w:t>by deleting the item commencing “The Poultry Industry Trust Fund Committee”.</w:t>
      </w:r>
    </w:p>
    <w:p w:rsidR="00BA589C" w:rsidRDefault="00430C74">
      <w:pPr>
        <w:pStyle w:val="Heading5"/>
      </w:pPr>
      <w:bookmarkStart w:id="50" w:name="_Toc87064660"/>
      <w:bookmarkStart w:id="51" w:name="_Toc94937059"/>
      <w:r>
        <w:rPr>
          <w:rStyle w:val="CharSectno"/>
        </w:rPr>
        <w:t>18</w:t>
      </w:r>
      <w:r>
        <w:t>.</w:t>
      </w:r>
      <w:r>
        <w:tab/>
      </w:r>
      <w:r>
        <w:rPr>
          <w:i/>
        </w:rPr>
        <w:t>Sentencing Act 1995</w:t>
      </w:r>
      <w:r>
        <w:t xml:space="preserve"> amended</w:t>
      </w:r>
      <w:bookmarkEnd w:id="50"/>
      <w:bookmarkEnd w:id="51"/>
    </w:p>
    <w:p w:rsidR="00BA589C" w:rsidRDefault="00430C74">
      <w:pPr>
        <w:pStyle w:val="Subsection"/>
      </w:pPr>
      <w:r>
        <w:tab/>
        <w:t>(1)</w:t>
      </w:r>
      <w:r>
        <w:tab/>
        <w:t xml:space="preserve">The amendments in this section are to the </w:t>
      </w:r>
      <w:r>
        <w:rPr>
          <w:i/>
        </w:rPr>
        <w:t>Sentencing Act 1995</w:t>
      </w:r>
      <w:r>
        <w:t>*.</w:t>
      </w:r>
    </w:p>
    <w:p w:rsidR="00BA589C" w:rsidRDefault="00430C74">
      <w:pPr>
        <w:pStyle w:val="Subsection"/>
        <w:tabs>
          <w:tab w:val="clear" w:pos="595"/>
          <w:tab w:val="left" w:pos="1134"/>
        </w:tabs>
        <w:ind w:left="1134" w:hanging="1134"/>
        <w:rPr>
          <w:i/>
        </w:rPr>
      </w:pPr>
      <w:r>
        <w:tab/>
        <w:t>[*</w:t>
      </w:r>
      <w:r>
        <w:tab/>
      </w:r>
      <w:r>
        <w:rPr>
          <w:i/>
        </w:rPr>
        <w:t>Reprinted as at 4 May 2001.</w:t>
      </w:r>
    </w:p>
    <w:p w:rsidR="00BA589C" w:rsidRDefault="00430C74">
      <w:pPr>
        <w:pStyle w:val="Subsection"/>
        <w:tabs>
          <w:tab w:val="clear" w:pos="595"/>
          <w:tab w:val="left" w:pos="1134"/>
        </w:tabs>
        <w:spacing w:before="0"/>
        <w:ind w:left="1134" w:hanging="1134"/>
        <w:rPr>
          <w:i/>
        </w:rPr>
      </w:pPr>
      <w:r>
        <w:rPr>
          <w:i/>
        </w:rPr>
        <w:tab/>
      </w:r>
      <w:r>
        <w:rPr>
          <w:i/>
        </w:rPr>
        <w:tab/>
        <w:t>For subsequent amendments see 2002 Index to Legislation of Western Australia, Table 1, p. 353 and Acts Nos. 35 and 50 of 2003.]</w:t>
      </w:r>
    </w:p>
    <w:p w:rsidR="00BA589C" w:rsidRDefault="00430C74">
      <w:pPr>
        <w:pStyle w:val="Subsection"/>
      </w:pPr>
      <w:r>
        <w:tab/>
        <w:t>(2)</w:t>
      </w:r>
      <w:r>
        <w:tab/>
        <w:t>Schedule 1 is amended as follows:</w:t>
      </w:r>
    </w:p>
    <w:p w:rsidR="00BA589C" w:rsidRDefault="00430C74">
      <w:pPr>
        <w:pStyle w:val="Indenta"/>
      </w:pPr>
      <w:r>
        <w:tab/>
        <w:t>(a)</w:t>
      </w:r>
      <w:r>
        <w:tab/>
        <w:t>by deleting the item commencing “</w:t>
      </w:r>
      <w:r>
        <w:rPr>
          <w:i/>
        </w:rPr>
        <w:t>Potato Growing Industry Trust Fund Act 1947</w:t>
      </w:r>
      <w:r>
        <w:t>”;</w:t>
      </w:r>
    </w:p>
    <w:p w:rsidR="00BA589C" w:rsidRDefault="00430C74">
      <w:pPr>
        <w:pStyle w:val="Indenta"/>
      </w:pPr>
      <w:r>
        <w:tab/>
        <w:t>(b)</w:t>
      </w:r>
      <w:r>
        <w:tab/>
        <w:t>by deleting the item commencing “</w:t>
      </w:r>
      <w:r>
        <w:rPr>
          <w:i/>
        </w:rPr>
        <w:t>Poultry Industry (Trust Fund) Act 1948</w:t>
      </w:r>
      <w:r>
        <w:t>”.</w:t>
      </w:r>
    </w:p>
    <w:p w:rsidR="00BA589C" w:rsidRDefault="00430C74">
      <w:pPr>
        <w:pStyle w:val="Heading2"/>
      </w:pPr>
      <w:bookmarkStart w:id="52" w:name="_Toc55117273"/>
      <w:bookmarkStart w:id="53" w:name="_Toc94936124"/>
      <w:bookmarkStart w:id="54" w:name="_Toc94937060"/>
      <w:r>
        <w:rPr>
          <w:rStyle w:val="CharPartNo"/>
        </w:rPr>
        <w:t>Part 5</w:t>
      </w:r>
      <w:r>
        <w:rPr>
          <w:rStyle w:val="CharDivNo"/>
        </w:rPr>
        <w:t> </w:t>
      </w:r>
      <w:r>
        <w:t>—</w:t>
      </w:r>
      <w:r>
        <w:rPr>
          <w:rStyle w:val="CharDivText"/>
        </w:rPr>
        <w:t> </w:t>
      </w:r>
      <w:r>
        <w:rPr>
          <w:rStyle w:val="CharPartText"/>
        </w:rPr>
        <w:t>General</w:t>
      </w:r>
      <w:bookmarkEnd w:id="52"/>
      <w:bookmarkEnd w:id="53"/>
      <w:bookmarkEnd w:id="54"/>
    </w:p>
    <w:p w:rsidR="00BA589C" w:rsidRDefault="00430C74">
      <w:pPr>
        <w:pStyle w:val="Heading5"/>
      </w:pPr>
      <w:bookmarkStart w:id="55" w:name="_Toc87064661"/>
      <w:bookmarkStart w:id="56" w:name="_Toc94937061"/>
      <w:r>
        <w:rPr>
          <w:rStyle w:val="CharSectno"/>
        </w:rPr>
        <w:t>19</w:t>
      </w:r>
      <w:r>
        <w:t>.</w:t>
      </w:r>
      <w:r>
        <w:tab/>
        <w:t>Repeal of this Act</w:t>
      </w:r>
      <w:bookmarkEnd w:id="55"/>
      <w:bookmarkEnd w:id="56"/>
    </w:p>
    <w:p w:rsidR="00BA589C" w:rsidRDefault="00430C74">
      <w:pPr>
        <w:pStyle w:val="Subsection"/>
      </w:pPr>
      <w:r>
        <w:tab/>
      </w:r>
      <w:r>
        <w:tab/>
        <w:t xml:space="preserve">When the Treasurer is satisfied that there is — </w:t>
      </w:r>
    </w:p>
    <w:p w:rsidR="00BA589C" w:rsidRDefault="00430C74">
      <w:pPr>
        <w:pStyle w:val="Indenta"/>
      </w:pPr>
      <w:r>
        <w:tab/>
        <w:t>(a)</w:t>
      </w:r>
      <w:r>
        <w:tab/>
        <w:t>no money in any former account under this Act; and</w:t>
      </w:r>
    </w:p>
    <w:p w:rsidR="00BA589C" w:rsidRDefault="00430C74">
      <w:pPr>
        <w:pStyle w:val="Indenta"/>
      </w:pPr>
      <w:r>
        <w:tab/>
        <w:t>(b)</w:t>
      </w:r>
      <w:r>
        <w:tab/>
        <w:t>no money to be paid into the Agricultural Produce Commission Account under this Act,</w:t>
      </w:r>
    </w:p>
    <w:p w:rsidR="00BA589C" w:rsidRDefault="00430C74">
      <w:pPr>
        <w:pStyle w:val="Subsection"/>
      </w:pPr>
      <w:r>
        <w:tab/>
      </w:r>
      <w:r>
        <w:tab/>
        <w:t xml:space="preserve">the Treasurer is to make an order to that effect, and on publication of that order in the </w:t>
      </w:r>
      <w:r>
        <w:rPr>
          <w:i/>
        </w:rPr>
        <w:t xml:space="preserve">Gazette </w:t>
      </w:r>
      <w:r>
        <w:t>this Act is repealed.</w:t>
      </w:r>
    </w:p>
    <w:p w:rsidR="00BA589C" w:rsidRDefault="00BA589C">
      <w:pPr>
        <w:rPr>
          <w:rStyle w:val="CharDivText"/>
        </w:rPr>
        <w:sectPr w:rsidR="00BA589C">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7" w:name="_Toc94937062"/>
    </w:p>
    <w:p w:rsidR="00BA589C" w:rsidRDefault="00430C74">
      <w:pPr>
        <w:pStyle w:val="nHeading2"/>
      </w:pPr>
      <w:r>
        <w:t>Notes</w:t>
      </w:r>
      <w:bookmarkEnd w:id="57"/>
    </w:p>
    <w:p w:rsidR="00BA589C" w:rsidRDefault="00430C74">
      <w:pPr>
        <w:pStyle w:val="nSubsection"/>
        <w:rPr>
          <w:snapToGrid w:val="0"/>
        </w:rPr>
      </w:pPr>
      <w:bookmarkStart w:id="58" w:name="_Toc512403484"/>
      <w:bookmarkStart w:id="59" w:name="_Toc512403627"/>
      <w:bookmarkStart w:id="60" w:name="_Toc36369351"/>
      <w:r>
        <w:rPr>
          <w:snapToGrid w:val="0"/>
          <w:vertAlign w:val="superscript"/>
        </w:rPr>
        <w:t>1</w:t>
      </w:r>
      <w:r>
        <w:rPr>
          <w:snapToGrid w:val="0"/>
        </w:rPr>
        <w:tab/>
        <w:t xml:space="preserve">This is a compilation of the </w:t>
      </w:r>
      <w:r>
        <w:rPr>
          <w:i/>
          <w:noProof/>
          <w:snapToGrid w:val="0"/>
        </w:rPr>
        <w:t>Pig, Potato and Poultry Industries (Compensation Legislation) Repeal Act 2004</w:t>
      </w:r>
      <w:r>
        <w:rPr>
          <w:snapToGrid w:val="0"/>
        </w:rPr>
        <w:t xml:space="preserve">.  The following table contains information about that Act. </w:t>
      </w:r>
    </w:p>
    <w:p w:rsidR="00BA589C" w:rsidRDefault="00430C74">
      <w:pPr>
        <w:pStyle w:val="nHeading3"/>
        <w:rPr>
          <w:snapToGrid w:val="0"/>
        </w:rPr>
      </w:pPr>
      <w:bookmarkStart w:id="61" w:name="_Toc94937063"/>
      <w:r>
        <w:rPr>
          <w:snapToGrid w:val="0"/>
        </w:rPr>
        <w:t>Compilation table</w:t>
      </w:r>
      <w:bookmarkEnd w:id="58"/>
      <w:bookmarkEnd w:id="59"/>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A589C">
        <w:trPr>
          <w:tblHeader/>
        </w:trPr>
        <w:tc>
          <w:tcPr>
            <w:tcW w:w="2268" w:type="dxa"/>
            <w:tcBorders>
              <w:top w:val="single" w:sz="4" w:space="0" w:color="auto"/>
            </w:tcBorders>
          </w:tcPr>
          <w:p w:rsidR="00BA589C" w:rsidRDefault="00430C74">
            <w:pPr>
              <w:pStyle w:val="nTable"/>
              <w:rPr>
                <w:b/>
                <w:sz w:val="19"/>
              </w:rPr>
            </w:pPr>
            <w:r>
              <w:rPr>
                <w:b/>
                <w:sz w:val="19"/>
              </w:rPr>
              <w:t>Short title</w:t>
            </w:r>
          </w:p>
        </w:tc>
        <w:tc>
          <w:tcPr>
            <w:tcW w:w="1134" w:type="dxa"/>
            <w:tcBorders>
              <w:top w:val="single" w:sz="4" w:space="0" w:color="auto"/>
            </w:tcBorders>
          </w:tcPr>
          <w:p w:rsidR="00BA589C" w:rsidRDefault="00430C74">
            <w:pPr>
              <w:pStyle w:val="nTable"/>
              <w:rPr>
                <w:b/>
                <w:sz w:val="19"/>
              </w:rPr>
            </w:pPr>
            <w:r>
              <w:rPr>
                <w:b/>
                <w:sz w:val="19"/>
              </w:rPr>
              <w:t>Number and Year</w:t>
            </w:r>
          </w:p>
        </w:tc>
        <w:tc>
          <w:tcPr>
            <w:tcW w:w="1134" w:type="dxa"/>
            <w:tcBorders>
              <w:top w:val="single" w:sz="4" w:space="0" w:color="auto"/>
            </w:tcBorders>
          </w:tcPr>
          <w:p w:rsidR="00BA589C" w:rsidRDefault="00430C74">
            <w:pPr>
              <w:pStyle w:val="nTable"/>
              <w:rPr>
                <w:b/>
                <w:sz w:val="19"/>
              </w:rPr>
            </w:pPr>
            <w:r>
              <w:rPr>
                <w:b/>
                <w:sz w:val="19"/>
              </w:rPr>
              <w:t>Assent</w:t>
            </w:r>
          </w:p>
        </w:tc>
        <w:tc>
          <w:tcPr>
            <w:tcW w:w="2552" w:type="dxa"/>
            <w:tcBorders>
              <w:top w:val="single" w:sz="4" w:space="0" w:color="auto"/>
            </w:tcBorders>
          </w:tcPr>
          <w:p w:rsidR="00BA589C" w:rsidRDefault="00430C74">
            <w:pPr>
              <w:pStyle w:val="nTable"/>
              <w:rPr>
                <w:b/>
                <w:sz w:val="19"/>
              </w:rPr>
            </w:pPr>
            <w:r>
              <w:rPr>
                <w:b/>
                <w:sz w:val="19"/>
              </w:rPr>
              <w:t>Commencement</w:t>
            </w:r>
          </w:p>
        </w:tc>
      </w:tr>
      <w:tr w:rsidR="00BA589C">
        <w:tc>
          <w:tcPr>
            <w:tcW w:w="2268" w:type="dxa"/>
            <w:tcBorders>
              <w:top w:val="single" w:sz="4" w:space="0" w:color="auto"/>
              <w:bottom w:val="single" w:sz="4" w:space="0" w:color="auto"/>
            </w:tcBorders>
          </w:tcPr>
          <w:p w:rsidR="00BA589C" w:rsidRDefault="00430C74">
            <w:pPr>
              <w:pStyle w:val="nTable"/>
              <w:spacing w:before="100"/>
              <w:rPr>
                <w:sz w:val="19"/>
              </w:rPr>
            </w:pPr>
            <w:r>
              <w:rPr>
                <w:i/>
                <w:noProof/>
                <w:snapToGrid w:val="0"/>
                <w:sz w:val="19"/>
              </w:rPr>
              <w:t>Pig, Potato and Poultry Industries (Compensation Legislation) Repeal Act 2004</w:t>
            </w:r>
          </w:p>
        </w:tc>
        <w:tc>
          <w:tcPr>
            <w:tcW w:w="1134" w:type="dxa"/>
            <w:tcBorders>
              <w:top w:val="single" w:sz="4" w:space="0" w:color="auto"/>
              <w:bottom w:val="single" w:sz="4" w:space="0" w:color="auto"/>
            </w:tcBorders>
          </w:tcPr>
          <w:p w:rsidR="00BA589C" w:rsidRDefault="00430C74">
            <w:pPr>
              <w:pStyle w:val="nTable"/>
              <w:spacing w:before="100"/>
              <w:rPr>
                <w:sz w:val="19"/>
              </w:rPr>
            </w:pPr>
            <w:r>
              <w:rPr>
                <w:sz w:val="19"/>
              </w:rPr>
              <w:t>40 of 2004</w:t>
            </w:r>
          </w:p>
        </w:tc>
        <w:tc>
          <w:tcPr>
            <w:tcW w:w="1134" w:type="dxa"/>
            <w:tcBorders>
              <w:top w:val="single" w:sz="4" w:space="0" w:color="auto"/>
              <w:bottom w:val="single" w:sz="4" w:space="0" w:color="auto"/>
            </w:tcBorders>
          </w:tcPr>
          <w:p w:rsidR="00BA589C" w:rsidRDefault="00430C74">
            <w:pPr>
              <w:pStyle w:val="nTable"/>
              <w:spacing w:before="100"/>
              <w:rPr>
                <w:sz w:val="19"/>
              </w:rPr>
            </w:pPr>
            <w:r>
              <w:rPr>
                <w:sz w:val="19"/>
              </w:rPr>
              <w:t>3 Nov 2004</w:t>
            </w:r>
          </w:p>
        </w:tc>
        <w:tc>
          <w:tcPr>
            <w:tcW w:w="2552" w:type="dxa"/>
            <w:tcBorders>
              <w:top w:val="single" w:sz="4" w:space="0" w:color="auto"/>
              <w:bottom w:val="single" w:sz="4" w:space="0" w:color="auto"/>
            </w:tcBorders>
          </w:tcPr>
          <w:p w:rsidR="00BA589C" w:rsidRDefault="00430C74">
            <w:pPr>
              <w:pStyle w:val="nTable"/>
              <w:spacing w:before="100"/>
              <w:rPr>
                <w:sz w:val="19"/>
              </w:rPr>
            </w:pPr>
            <w:r>
              <w:rPr>
                <w:sz w:val="19"/>
              </w:rPr>
              <w:t xml:space="preserve">1 Feb 2005 (see s. 2 and </w:t>
            </w:r>
            <w:r>
              <w:rPr>
                <w:i/>
                <w:iCs/>
                <w:sz w:val="19"/>
              </w:rPr>
              <w:t xml:space="preserve">Gazette </w:t>
            </w:r>
            <w:r>
              <w:rPr>
                <w:sz w:val="19"/>
              </w:rPr>
              <w:t>7 Jan 2005 p. 53)</w:t>
            </w:r>
          </w:p>
        </w:tc>
      </w:tr>
    </w:tbl>
    <w:p w:rsidR="00BA589C" w:rsidRDefault="00BA589C"/>
    <w:p w:rsidR="00BA589C" w:rsidRDefault="00BA589C">
      <w:pPr>
        <w:sectPr w:rsidR="00BA589C">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BA589C" w:rsidRDefault="00BA589C"/>
    <w:sectPr w:rsidR="00BA589C">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89C" w:rsidRDefault="00430C74">
      <w:pPr>
        <w:rPr>
          <w:b/>
          <w:sz w:val="28"/>
        </w:rPr>
      </w:pPr>
      <w:r>
        <w:rPr>
          <w:b/>
          <w:sz w:val="28"/>
        </w:rPr>
        <w:t>Endnotes</w:t>
      </w:r>
    </w:p>
    <w:p w:rsidR="00BA589C" w:rsidRDefault="00430C74">
      <w:pPr>
        <w:spacing w:after="240"/>
        <w:rPr>
          <w:rFonts w:ascii="Times" w:hAnsi="Times"/>
          <w:sz w:val="18"/>
        </w:rPr>
      </w:pPr>
      <w:r>
        <w:rPr>
          <w:sz w:val="20"/>
        </w:rPr>
        <w:t>[For ease of reference detach these notes and read them alongside the draft.]</w:t>
      </w:r>
    </w:p>
  </w:endnote>
  <w:endnote w:type="continuationSeparator" w:id="0">
    <w:p w:rsidR="00BA589C" w:rsidRDefault="00BA589C">
      <w:pPr>
        <w:pStyle w:val="Footer"/>
      </w:pPr>
    </w:p>
  </w:endnote>
  <w:endnote w:type="continuationNotice" w:id="1">
    <w:p w:rsidR="00BA589C" w:rsidRDefault="00BA58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BA589C">
    <w:pPr>
      <w:pStyle w:val="Footer"/>
      <w:tabs>
        <w:tab w:val="clear" w:pos="4153"/>
        <w:tab w:val="right" w:pos="7088"/>
      </w:tabs>
      <w:rPr>
        <w:rStyle w:val="PageNumber"/>
      </w:rPr>
    </w:pPr>
  </w:p>
  <w:p w:rsidR="00BA589C" w:rsidRDefault="00430C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82D">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82D">
      <w:rPr>
        <w:rFonts w:ascii="Arial" w:hAnsi="Arial" w:cs="Arial"/>
        <w:sz w:val="20"/>
        <w:lang w:val="en-US"/>
      </w:rPr>
      <w:t>01 Feb 2005</w:t>
    </w:r>
    <w:r>
      <w:rPr>
        <w:rFonts w:ascii="Arial" w:hAnsi="Arial" w:cs="Arial"/>
        <w:sz w:val="20"/>
        <w:lang w:val="en-US"/>
      </w:rPr>
      <w:fldChar w:fldCharType="end"/>
    </w:r>
  </w:p>
  <w:p w:rsidR="00BA589C" w:rsidRDefault="00430C7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BA589C">
    <w:pPr>
      <w:pStyle w:val="Footer"/>
      <w:tabs>
        <w:tab w:val="clear" w:pos="4153"/>
        <w:tab w:val="right" w:pos="7088"/>
      </w:tabs>
      <w:rPr>
        <w:rStyle w:val="PageNumber"/>
      </w:rPr>
    </w:pPr>
  </w:p>
  <w:p w:rsidR="00BA589C" w:rsidRDefault="00430C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82D">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82D">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rsidR="00BA589C" w:rsidRDefault="00430C7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BA589C">
    <w:pPr>
      <w:pStyle w:val="Footer"/>
      <w:tabs>
        <w:tab w:val="clear" w:pos="4153"/>
        <w:tab w:val="right" w:pos="7088"/>
      </w:tabs>
      <w:rPr>
        <w:rStyle w:val="PageNumber"/>
      </w:rPr>
    </w:pPr>
  </w:p>
  <w:p w:rsidR="00BA589C" w:rsidRDefault="00430C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82D">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82D">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rsidR="00BA589C" w:rsidRDefault="00430C7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BA589C">
    <w:pPr>
      <w:pStyle w:val="Footer"/>
      <w:tabs>
        <w:tab w:val="clear" w:pos="4153"/>
        <w:tab w:val="right" w:pos="7088"/>
      </w:tabs>
      <w:rPr>
        <w:rStyle w:val="PageNumber"/>
      </w:rPr>
    </w:pPr>
  </w:p>
  <w:p w:rsidR="00BA589C" w:rsidRDefault="00430C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082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82D">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82D">
      <w:rPr>
        <w:rFonts w:ascii="Arial" w:hAnsi="Arial" w:cs="Arial"/>
        <w:sz w:val="20"/>
        <w:lang w:val="en-US"/>
      </w:rPr>
      <w:t>01 Feb 2005</w:t>
    </w:r>
    <w:r>
      <w:rPr>
        <w:rFonts w:ascii="Arial" w:hAnsi="Arial" w:cs="Arial"/>
        <w:sz w:val="20"/>
        <w:lang w:val="en-US"/>
      </w:rPr>
      <w:fldChar w:fldCharType="end"/>
    </w:r>
  </w:p>
  <w:p w:rsidR="00BA589C" w:rsidRDefault="00430C7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BA589C">
    <w:pPr>
      <w:pStyle w:val="Footer"/>
      <w:tabs>
        <w:tab w:val="clear" w:pos="4153"/>
        <w:tab w:val="right" w:pos="7088"/>
      </w:tabs>
      <w:rPr>
        <w:rStyle w:val="PageNumber"/>
      </w:rPr>
    </w:pPr>
  </w:p>
  <w:p w:rsidR="00BA589C" w:rsidRDefault="00430C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82D">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82D">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rsidR="00BA589C" w:rsidRDefault="00430C7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BA589C">
    <w:pPr>
      <w:pStyle w:val="Footer"/>
      <w:tabs>
        <w:tab w:val="clear" w:pos="4153"/>
        <w:tab w:val="right" w:pos="7088"/>
      </w:tabs>
      <w:rPr>
        <w:rStyle w:val="PageNumber"/>
      </w:rPr>
    </w:pPr>
  </w:p>
  <w:p w:rsidR="00BA589C" w:rsidRDefault="00430C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82D">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82D">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082D">
      <w:rPr>
        <w:rStyle w:val="PageNumber"/>
        <w:rFonts w:ascii="Arial" w:hAnsi="Arial" w:cs="Arial"/>
        <w:noProof/>
      </w:rPr>
      <w:t>i</w:t>
    </w:r>
    <w:r>
      <w:rPr>
        <w:rStyle w:val="PageNumber"/>
        <w:rFonts w:ascii="Arial" w:hAnsi="Arial" w:cs="Arial"/>
      </w:rPr>
      <w:fldChar w:fldCharType="end"/>
    </w:r>
  </w:p>
  <w:p w:rsidR="00BA589C" w:rsidRDefault="00430C7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BA589C">
    <w:pPr>
      <w:pStyle w:val="Footer"/>
      <w:tabs>
        <w:tab w:val="clear" w:pos="4153"/>
        <w:tab w:val="right" w:pos="7088"/>
      </w:tabs>
      <w:rPr>
        <w:rStyle w:val="PageNumber"/>
      </w:rPr>
    </w:pPr>
  </w:p>
  <w:p w:rsidR="00BA589C" w:rsidRDefault="00430C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082D">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82D">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82D">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 xml:space="preserve"> </w:t>
    </w:r>
  </w:p>
  <w:p w:rsidR="00BA589C" w:rsidRDefault="00430C7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BA589C">
    <w:pPr>
      <w:pStyle w:val="Footer"/>
      <w:tabs>
        <w:tab w:val="clear" w:pos="4153"/>
        <w:tab w:val="right" w:pos="7088"/>
      </w:tabs>
      <w:rPr>
        <w:rStyle w:val="PageNumber"/>
      </w:rPr>
    </w:pPr>
  </w:p>
  <w:p w:rsidR="00BA589C" w:rsidRDefault="00430C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82D">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82D">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082D">
      <w:rPr>
        <w:rStyle w:val="CharPageNo"/>
        <w:rFonts w:ascii="Arial" w:hAnsi="Arial"/>
        <w:noProof/>
      </w:rPr>
      <w:t>11</w:t>
    </w:r>
    <w:r>
      <w:rPr>
        <w:rStyle w:val="CharPageNo"/>
        <w:rFonts w:ascii="Arial" w:hAnsi="Arial"/>
      </w:rPr>
      <w:fldChar w:fldCharType="end"/>
    </w:r>
  </w:p>
  <w:p w:rsidR="00BA589C" w:rsidRDefault="00430C7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BA589C">
    <w:pPr>
      <w:pStyle w:val="Footer"/>
      <w:tabs>
        <w:tab w:val="clear" w:pos="4153"/>
        <w:tab w:val="right" w:pos="7088"/>
      </w:tabs>
      <w:rPr>
        <w:rStyle w:val="PageNumber"/>
      </w:rPr>
    </w:pPr>
  </w:p>
  <w:p w:rsidR="00BA589C" w:rsidRDefault="00430C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82D">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82D">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082D">
      <w:rPr>
        <w:rStyle w:val="CharPageNo"/>
        <w:rFonts w:ascii="Arial" w:hAnsi="Arial"/>
        <w:noProof/>
      </w:rPr>
      <w:t>1</w:t>
    </w:r>
    <w:r>
      <w:rPr>
        <w:rStyle w:val="CharPageNo"/>
        <w:rFonts w:ascii="Arial" w:hAnsi="Arial"/>
      </w:rPr>
      <w:fldChar w:fldCharType="end"/>
    </w:r>
  </w:p>
  <w:p w:rsidR="00BA589C" w:rsidRDefault="00430C7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89C" w:rsidRDefault="00430C74">
      <w:r>
        <w:separator/>
      </w:r>
    </w:p>
  </w:footnote>
  <w:footnote w:type="continuationSeparator" w:id="0">
    <w:p w:rsidR="00BA589C" w:rsidRDefault="00430C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430C74">
    <w:pPr>
      <w:pStyle w:val="headerpartodd"/>
      <w:ind w:left="0" w:firstLine="0"/>
      <w:rPr>
        <w:i/>
      </w:rPr>
    </w:pPr>
    <w:r>
      <w:rPr>
        <w:i/>
      </w:rPr>
      <w:fldChar w:fldCharType="begin"/>
    </w:r>
    <w:r>
      <w:rPr>
        <w:i/>
      </w:rPr>
      <w:instrText xml:space="preserve"> Styleref "Name of Act/Reg" </w:instrText>
    </w:r>
    <w:r>
      <w:rPr>
        <w:i/>
      </w:rPr>
      <w:fldChar w:fldCharType="separate"/>
    </w:r>
    <w:r w:rsidR="00A9082D">
      <w:rPr>
        <w:i/>
        <w:noProof/>
      </w:rPr>
      <w:t>Pig, Potato and Poultry Industries (Compensation Legislation) Repeal Act 2004</w:t>
    </w:r>
    <w:r>
      <w:rPr>
        <w:i/>
      </w:rPr>
      <w:fldChar w:fldCharType="end"/>
    </w:r>
  </w:p>
  <w:p w:rsidR="00BA589C" w:rsidRDefault="00430C7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A589C" w:rsidRDefault="00430C7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A589C" w:rsidRDefault="00BA589C">
    <w:pPr>
      <w:pStyle w:val="headerpart"/>
    </w:pPr>
  </w:p>
  <w:p w:rsidR="00BA589C" w:rsidRDefault="00BA589C">
    <w:pPr>
      <w:pBdr>
        <w:bottom w:val="single" w:sz="6" w:space="1" w:color="auto"/>
      </w:pBdr>
      <w:rPr>
        <w:b/>
      </w:rPr>
    </w:pPr>
  </w:p>
  <w:p w:rsidR="00BA589C" w:rsidRDefault="00BA58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BA58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BA58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589C">
      <w:trPr>
        <w:cantSplit/>
      </w:trPr>
      <w:tc>
        <w:tcPr>
          <w:tcW w:w="7258" w:type="dxa"/>
          <w:gridSpan w:val="2"/>
        </w:tcPr>
        <w:p w:rsidR="00BA589C" w:rsidRDefault="00430C74">
          <w:pPr>
            <w:pStyle w:val="HeaderActNameLeft"/>
            <w:ind w:right="315"/>
          </w:pPr>
          <w:fldSimple w:instr=" Styleref &quot;Name of Act/Reg&quot; ">
            <w:r w:rsidR="00A9082D">
              <w:rPr>
                <w:noProof/>
              </w:rPr>
              <w:t>Pig, Potato and Poultry Industries (Compensation Legislation) Repeal Act 2004</w:t>
            </w:r>
          </w:fldSimple>
        </w:p>
      </w:tc>
    </w:tr>
    <w:tr w:rsidR="00BA589C">
      <w:tc>
        <w:tcPr>
          <w:tcW w:w="1548" w:type="dxa"/>
        </w:tcPr>
        <w:p w:rsidR="00BA589C" w:rsidRDefault="00BA589C">
          <w:pPr>
            <w:pStyle w:val="HeaderNumberLeft"/>
          </w:pPr>
        </w:p>
      </w:tc>
      <w:tc>
        <w:tcPr>
          <w:tcW w:w="5715" w:type="dxa"/>
        </w:tcPr>
        <w:p w:rsidR="00BA589C" w:rsidRDefault="00BA589C">
          <w:pPr>
            <w:pStyle w:val="HeaderTextLeft"/>
          </w:pPr>
        </w:p>
      </w:tc>
    </w:tr>
    <w:tr w:rsidR="00BA589C">
      <w:tc>
        <w:tcPr>
          <w:tcW w:w="1548" w:type="dxa"/>
        </w:tcPr>
        <w:p w:rsidR="00BA589C" w:rsidRDefault="00BA589C">
          <w:pPr>
            <w:pStyle w:val="HeaderNumberLeft"/>
          </w:pPr>
        </w:p>
      </w:tc>
      <w:tc>
        <w:tcPr>
          <w:tcW w:w="5715" w:type="dxa"/>
        </w:tcPr>
        <w:p w:rsidR="00BA589C" w:rsidRDefault="00BA589C">
          <w:pPr>
            <w:pStyle w:val="HeaderTextLeft"/>
          </w:pPr>
        </w:p>
      </w:tc>
    </w:tr>
    <w:tr w:rsidR="00BA589C">
      <w:trPr>
        <w:cantSplit/>
      </w:trPr>
      <w:tc>
        <w:tcPr>
          <w:tcW w:w="7258" w:type="dxa"/>
          <w:gridSpan w:val="2"/>
        </w:tcPr>
        <w:p w:rsidR="00BA589C" w:rsidRDefault="00430C74">
          <w:pPr>
            <w:pStyle w:val="HeaderSectionLeft"/>
            <w:rPr>
              <w:b w:val="0"/>
            </w:rPr>
          </w:pPr>
          <w:r>
            <w:rPr>
              <w:b w:val="0"/>
            </w:rPr>
            <w:t>Contents</w:t>
          </w:r>
        </w:p>
      </w:tc>
    </w:tr>
  </w:tbl>
  <w:p w:rsidR="00BA589C" w:rsidRDefault="00BA589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589C">
      <w:trPr>
        <w:cantSplit/>
      </w:trPr>
      <w:tc>
        <w:tcPr>
          <w:tcW w:w="7258" w:type="dxa"/>
          <w:gridSpan w:val="2"/>
        </w:tcPr>
        <w:p w:rsidR="00BA589C" w:rsidRDefault="00430C74">
          <w:pPr>
            <w:pStyle w:val="HeaderActNameRight"/>
            <w:ind w:right="17"/>
          </w:pPr>
          <w:fldSimple w:instr=" Styleref &quot;Name of Act/Reg&quot; ">
            <w:r w:rsidR="00A9082D">
              <w:rPr>
                <w:noProof/>
              </w:rPr>
              <w:t>Pig, Potato and Poultry Industries (Compensation Legislation) Repeal Act 2004</w:t>
            </w:r>
          </w:fldSimple>
        </w:p>
      </w:tc>
    </w:tr>
    <w:tr w:rsidR="00BA589C">
      <w:tc>
        <w:tcPr>
          <w:tcW w:w="5715" w:type="dxa"/>
        </w:tcPr>
        <w:p w:rsidR="00BA589C" w:rsidRDefault="00BA589C">
          <w:pPr>
            <w:pStyle w:val="HeaderTextRight"/>
          </w:pPr>
        </w:p>
      </w:tc>
      <w:tc>
        <w:tcPr>
          <w:tcW w:w="1548" w:type="dxa"/>
        </w:tcPr>
        <w:p w:rsidR="00BA589C" w:rsidRDefault="00BA589C">
          <w:pPr>
            <w:pStyle w:val="HeaderNumberRight"/>
            <w:ind w:right="17"/>
          </w:pPr>
        </w:p>
      </w:tc>
    </w:tr>
    <w:tr w:rsidR="00BA589C">
      <w:tc>
        <w:tcPr>
          <w:tcW w:w="5715" w:type="dxa"/>
        </w:tcPr>
        <w:p w:rsidR="00BA589C" w:rsidRDefault="00BA589C">
          <w:pPr>
            <w:pStyle w:val="HeaderTextRight"/>
          </w:pPr>
        </w:p>
      </w:tc>
      <w:tc>
        <w:tcPr>
          <w:tcW w:w="1548" w:type="dxa"/>
        </w:tcPr>
        <w:p w:rsidR="00BA589C" w:rsidRDefault="00BA589C">
          <w:pPr>
            <w:pStyle w:val="HeaderNumberRight"/>
            <w:ind w:right="17"/>
          </w:pPr>
        </w:p>
      </w:tc>
    </w:tr>
    <w:tr w:rsidR="00BA589C">
      <w:trPr>
        <w:cantSplit/>
      </w:trPr>
      <w:tc>
        <w:tcPr>
          <w:tcW w:w="7258" w:type="dxa"/>
          <w:gridSpan w:val="2"/>
        </w:tcPr>
        <w:p w:rsidR="00BA589C" w:rsidRDefault="00430C74">
          <w:pPr>
            <w:pStyle w:val="HeaderSectionRight"/>
            <w:ind w:right="17"/>
            <w:rPr>
              <w:b w:val="0"/>
            </w:rPr>
          </w:pPr>
          <w:r>
            <w:rPr>
              <w:b w:val="0"/>
            </w:rPr>
            <w:t>Contents</w:t>
          </w:r>
        </w:p>
      </w:tc>
    </w:tr>
  </w:tbl>
  <w:p w:rsidR="00BA589C" w:rsidRDefault="00BA589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589C">
      <w:trPr>
        <w:cantSplit/>
      </w:trPr>
      <w:tc>
        <w:tcPr>
          <w:tcW w:w="7258" w:type="dxa"/>
          <w:gridSpan w:val="2"/>
        </w:tcPr>
        <w:p w:rsidR="00BA589C" w:rsidRDefault="00430C74">
          <w:pPr>
            <w:pStyle w:val="HeaderActNameLeft"/>
            <w:ind w:right="456"/>
          </w:pPr>
          <w:fldSimple w:instr=" Styleref &quot;Name of Act/Reg&quot; ">
            <w:r w:rsidR="00A9082D">
              <w:rPr>
                <w:noProof/>
              </w:rPr>
              <w:t>Pig, Potato and Poultry Industries (Compensation Legislation) Repeal Act 2004</w:t>
            </w:r>
          </w:fldSimple>
        </w:p>
      </w:tc>
    </w:tr>
    <w:tr w:rsidR="00BA589C">
      <w:tc>
        <w:tcPr>
          <w:tcW w:w="1548" w:type="dxa"/>
        </w:tcPr>
        <w:p w:rsidR="00BA589C" w:rsidRDefault="00430C74">
          <w:pPr>
            <w:pStyle w:val="HeaderNumberLeft"/>
          </w:pPr>
          <w:r>
            <w:fldChar w:fldCharType="begin"/>
          </w:r>
          <w:r>
            <w:instrText xml:space="preserve"> styleref CharPartNo </w:instrText>
          </w:r>
          <w:r>
            <w:fldChar w:fldCharType="end"/>
          </w:r>
        </w:p>
      </w:tc>
      <w:tc>
        <w:tcPr>
          <w:tcW w:w="5715" w:type="dxa"/>
        </w:tcPr>
        <w:p w:rsidR="00BA589C" w:rsidRDefault="00430C74">
          <w:pPr>
            <w:pStyle w:val="HeaderTextLeft"/>
          </w:pPr>
          <w:r>
            <w:fldChar w:fldCharType="begin"/>
          </w:r>
          <w:r>
            <w:instrText xml:space="preserve"> styleref CharPartText </w:instrText>
          </w:r>
          <w:r>
            <w:fldChar w:fldCharType="end"/>
          </w:r>
        </w:p>
      </w:tc>
    </w:tr>
    <w:tr w:rsidR="00BA589C">
      <w:tc>
        <w:tcPr>
          <w:tcW w:w="1548" w:type="dxa"/>
        </w:tcPr>
        <w:p w:rsidR="00BA589C" w:rsidRDefault="00430C74">
          <w:pPr>
            <w:pStyle w:val="HeaderNumberLeft"/>
          </w:pPr>
          <w:r>
            <w:fldChar w:fldCharType="begin"/>
          </w:r>
          <w:r>
            <w:instrText xml:space="preserve"> styleref CharDivNo </w:instrText>
          </w:r>
          <w:r>
            <w:fldChar w:fldCharType="end"/>
          </w:r>
        </w:p>
      </w:tc>
      <w:tc>
        <w:tcPr>
          <w:tcW w:w="5715" w:type="dxa"/>
        </w:tcPr>
        <w:p w:rsidR="00BA589C" w:rsidRDefault="00430C74">
          <w:pPr>
            <w:pStyle w:val="HeaderTextLeft"/>
          </w:pPr>
          <w:r>
            <w:fldChar w:fldCharType="begin"/>
          </w:r>
          <w:r>
            <w:instrText xml:space="preserve"> styleref CharDivText </w:instrText>
          </w:r>
          <w:r>
            <w:fldChar w:fldCharType="end"/>
          </w:r>
        </w:p>
      </w:tc>
    </w:tr>
    <w:tr w:rsidR="00BA589C">
      <w:trPr>
        <w:cantSplit/>
      </w:trPr>
      <w:tc>
        <w:tcPr>
          <w:tcW w:w="7258" w:type="dxa"/>
          <w:gridSpan w:val="2"/>
        </w:tcPr>
        <w:p w:rsidR="00BA589C" w:rsidRDefault="00430C74">
          <w:pPr>
            <w:pStyle w:val="HeaderSectionLeft"/>
          </w:pPr>
          <w:r>
            <w:t xml:space="preserve">s. </w:t>
          </w:r>
          <w:fldSimple w:instr=" styleref CharSectno ">
            <w:r w:rsidR="00A9082D">
              <w:rPr>
                <w:noProof/>
              </w:rPr>
              <w:t>1</w:t>
            </w:r>
          </w:fldSimple>
        </w:p>
      </w:tc>
    </w:tr>
  </w:tbl>
  <w:p w:rsidR="00BA589C" w:rsidRDefault="00BA589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589C">
      <w:trPr>
        <w:cantSplit/>
      </w:trPr>
      <w:tc>
        <w:tcPr>
          <w:tcW w:w="7258" w:type="dxa"/>
          <w:gridSpan w:val="2"/>
        </w:tcPr>
        <w:p w:rsidR="00BA589C" w:rsidRDefault="00430C74">
          <w:pPr>
            <w:pStyle w:val="HeaderActNameRight"/>
            <w:ind w:left="284" w:right="17"/>
          </w:pPr>
          <w:fldSimple w:instr=" Styleref &quot;Name of Act/Reg&quot; ">
            <w:r w:rsidR="00A9082D">
              <w:rPr>
                <w:noProof/>
              </w:rPr>
              <w:t>Pig, Potato and Poultry Industries (Compensation Legislation) Repeal Act 2004</w:t>
            </w:r>
          </w:fldSimple>
        </w:p>
      </w:tc>
    </w:tr>
    <w:tr w:rsidR="00BA589C">
      <w:tc>
        <w:tcPr>
          <w:tcW w:w="5715" w:type="dxa"/>
        </w:tcPr>
        <w:p w:rsidR="00BA589C" w:rsidRDefault="00430C74">
          <w:pPr>
            <w:pStyle w:val="HeaderTextRight"/>
          </w:pPr>
          <w:r>
            <w:fldChar w:fldCharType="begin"/>
          </w:r>
          <w:r>
            <w:instrText xml:space="preserve"> styleref CharPartText </w:instrText>
          </w:r>
          <w:r>
            <w:fldChar w:fldCharType="end"/>
          </w:r>
        </w:p>
      </w:tc>
      <w:tc>
        <w:tcPr>
          <w:tcW w:w="1548" w:type="dxa"/>
        </w:tcPr>
        <w:p w:rsidR="00BA589C" w:rsidRDefault="00430C74">
          <w:pPr>
            <w:pStyle w:val="HeaderNumberRight"/>
            <w:ind w:right="17"/>
          </w:pPr>
          <w:r>
            <w:fldChar w:fldCharType="begin"/>
          </w:r>
          <w:r>
            <w:instrText xml:space="preserve"> styleref CharPartNo </w:instrText>
          </w:r>
          <w:r>
            <w:fldChar w:fldCharType="end"/>
          </w:r>
        </w:p>
      </w:tc>
    </w:tr>
    <w:tr w:rsidR="00BA589C">
      <w:tc>
        <w:tcPr>
          <w:tcW w:w="5715" w:type="dxa"/>
        </w:tcPr>
        <w:p w:rsidR="00BA589C" w:rsidRDefault="00430C74">
          <w:pPr>
            <w:pStyle w:val="HeaderTextRight"/>
          </w:pPr>
          <w:r>
            <w:fldChar w:fldCharType="begin"/>
          </w:r>
          <w:r>
            <w:instrText xml:space="preserve"> styleref CharDivText </w:instrText>
          </w:r>
          <w:r>
            <w:fldChar w:fldCharType="end"/>
          </w:r>
        </w:p>
      </w:tc>
      <w:tc>
        <w:tcPr>
          <w:tcW w:w="1548" w:type="dxa"/>
        </w:tcPr>
        <w:p w:rsidR="00BA589C" w:rsidRDefault="00430C74">
          <w:pPr>
            <w:pStyle w:val="HeaderNumberRight"/>
            <w:ind w:right="17"/>
          </w:pPr>
          <w:r>
            <w:fldChar w:fldCharType="begin"/>
          </w:r>
          <w:r>
            <w:instrText xml:space="preserve"> styleref CharDivNo </w:instrText>
          </w:r>
          <w:r>
            <w:fldChar w:fldCharType="end"/>
          </w:r>
        </w:p>
      </w:tc>
    </w:tr>
    <w:tr w:rsidR="00BA589C">
      <w:trPr>
        <w:cantSplit/>
      </w:trPr>
      <w:tc>
        <w:tcPr>
          <w:tcW w:w="7258" w:type="dxa"/>
          <w:gridSpan w:val="2"/>
        </w:tcPr>
        <w:p w:rsidR="00BA589C" w:rsidRDefault="00430C74">
          <w:pPr>
            <w:pStyle w:val="HeaderSectionRight"/>
            <w:ind w:right="17"/>
          </w:pPr>
          <w:r>
            <w:t xml:space="preserve">s. </w:t>
          </w:r>
          <w:fldSimple w:instr=" styleref CharSectno ">
            <w:r w:rsidR="00A9082D">
              <w:rPr>
                <w:noProof/>
              </w:rPr>
              <w:t>1</w:t>
            </w:r>
          </w:fldSimple>
        </w:p>
      </w:tc>
    </w:tr>
  </w:tbl>
  <w:p w:rsidR="00BA589C" w:rsidRDefault="00BA589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BA589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A589C">
      <w:trPr>
        <w:cantSplit/>
      </w:trPr>
      <w:tc>
        <w:tcPr>
          <w:tcW w:w="7160" w:type="dxa"/>
          <w:gridSpan w:val="2"/>
        </w:tcPr>
        <w:p w:rsidR="00BA589C" w:rsidRDefault="00430C74">
          <w:pPr>
            <w:pStyle w:val="HeaderActNameLeft"/>
            <w:ind w:right="212"/>
          </w:pPr>
          <w:fldSimple w:instr=" Styleref &quot;Name of Act/Reg&quot; ">
            <w:r w:rsidR="00A9082D">
              <w:rPr>
                <w:noProof/>
              </w:rPr>
              <w:t>Pig, Potato and Poultry Industries (Compensation Legislation) Repeal Act 2004</w:t>
            </w:r>
          </w:fldSimple>
        </w:p>
      </w:tc>
    </w:tr>
    <w:tr w:rsidR="00BA589C">
      <w:tc>
        <w:tcPr>
          <w:tcW w:w="1548" w:type="dxa"/>
        </w:tcPr>
        <w:p w:rsidR="00BA589C" w:rsidRDefault="00BA589C">
          <w:pPr>
            <w:pStyle w:val="HeaderNumberLeft"/>
          </w:pPr>
        </w:p>
      </w:tc>
      <w:tc>
        <w:tcPr>
          <w:tcW w:w="5612" w:type="dxa"/>
        </w:tcPr>
        <w:p w:rsidR="00BA589C" w:rsidRDefault="00BA589C">
          <w:pPr>
            <w:pStyle w:val="HeaderTextLeft"/>
          </w:pPr>
        </w:p>
      </w:tc>
    </w:tr>
    <w:tr w:rsidR="00BA589C">
      <w:tc>
        <w:tcPr>
          <w:tcW w:w="1548" w:type="dxa"/>
        </w:tcPr>
        <w:p w:rsidR="00BA589C" w:rsidRDefault="00BA589C">
          <w:pPr>
            <w:pStyle w:val="HeaderNumberLeft"/>
          </w:pPr>
        </w:p>
      </w:tc>
      <w:tc>
        <w:tcPr>
          <w:tcW w:w="5612" w:type="dxa"/>
        </w:tcPr>
        <w:p w:rsidR="00BA589C" w:rsidRDefault="00BA589C">
          <w:pPr>
            <w:pStyle w:val="HeaderTextLeft"/>
          </w:pPr>
        </w:p>
      </w:tc>
    </w:tr>
    <w:tr w:rsidR="00BA589C">
      <w:trPr>
        <w:cantSplit/>
      </w:trPr>
      <w:tc>
        <w:tcPr>
          <w:tcW w:w="7160" w:type="dxa"/>
          <w:gridSpan w:val="2"/>
        </w:tcPr>
        <w:p w:rsidR="00BA589C" w:rsidRDefault="00BA589C">
          <w:pPr>
            <w:pStyle w:val="HeaderSectionLeft"/>
          </w:pPr>
        </w:p>
      </w:tc>
    </w:tr>
  </w:tbl>
  <w:p w:rsidR="00BA589C" w:rsidRDefault="00BA589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A589C">
      <w:trPr>
        <w:cantSplit/>
      </w:trPr>
      <w:tc>
        <w:tcPr>
          <w:tcW w:w="7160" w:type="dxa"/>
          <w:gridSpan w:val="2"/>
        </w:tcPr>
        <w:p w:rsidR="00BA589C" w:rsidRDefault="00430C74">
          <w:pPr>
            <w:pStyle w:val="HeaderActNameRight"/>
          </w:pPr>
          <w:fldSimple w:instr=" Styleref &quot;Name of Act/Reg&quot; ">
            <w:r w:rsidR="00A9082D">
              <w:rPr>
                <w:noProof/>
              </w:rPr>
              <w:t>Pig, Potato and Poultry Industries (Compensation Legislation) Repeal Act 2004</w:t>
            </w:r>
          </w:fldSimple>
        </w:p>
      </w:tc>
    </w:tr>
    <w:tr w:rsidR="00BA589C">
      <w:tc>
        <w:tcPr>
          <w:tcW w:w="5760" w:type="dxa"/>
        </w:tcPr>
        <w:p w:rsidR="00BA589C" w:rsidRDefault="00BA589C">
          <w:pPr>
            <w:pStyle w:val="HeaderTextRight"/>
          </w:pPr>
        </w:p>
      </w:tc>
      <w:tc>
        <w:tcPr>
          <w:tcW w:w="1400" w:type="dxa"/>
        </w:tcPr>
        <w:p w:rsidR="00BA589C" w:rsidRDefault="00BA589C">
          <w:pPr>
            <w:pStyle w:val="HeaderNumberRight"/>
          </w:pPr>
        </w:p>
      </w:tc>
    </w:tr>
    <w:tr w:rsidR="00BA589C">
      <w:tc>
        <w:tcPr>
          <w:tcW w:w="5760" w:type="dxa"/>
        </w:tcPr>
        <w:p w:rsidR="00BA589C" w:rsidRDefault="00BA589C">
          <w:pPr>
            <w:pStyle w:val="HeaderTextRight"/>
          </w:pPr>
        </w:p>
      </w:tc>
      <w:tc>
        <w:tcPr>
          <w:tcW w:w="1400" w:type="dxa"/>
        </w:tcPr>
        <w:p w:rsidR="00BA589C" w:rsidRDefault="00BA589C">
          <w:pPr>
            <w:pStyle w:val="HeaderNumberRight"/>
          </w:pPr>
        </w:p>
      </w:tc>
    </w:tr>
    <w:tr w:rsidR="00BA589C">
      <w:trPr>
        <w:cantSplit/>
      </w:trPr>
      <w:tc>
        <w:tcPr>
          <w:tcW w:w="7160" w:type="dxa"/>
          <w:gridSpan w:val="2"/>
        </w:tcPr>
        <w:p w:rsidR="00BA589C" w:rsidRDefault="00BA589C">
          <w:pPr>
            <w:pStyle w:val="HeaderSectionRight"/>
          </w:pPr>
        </w:p>
      </w:tc>
    </w:tr>
  </w:tbl>
  <w:p w:rsidR="00BA589C" w:rsidRDefault="00BA589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BA589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430C74">
    <w:pPr>
      <w:pStyle w:val="headerpartodd"/>
      <w:ind w:left="0" w:firstLine="0"/>
      <w:rPr>
        <w:i/>
      </w:rPr>
    </w:pPr>
    <w:r>
      <w:rPr>
        <w:i/>
      </w:rPr>
      <w:fldChar w:fldCharType="begin"/>
    </w:r>
    <w:r>
      <w:rPr>
        <w:i/>
      </w:rPr>
      <w:instrText xml:space="preserve"> Styleref "Name of Act/Reg" </w:instrText>
    </w:r>
    <w:r>
      <w:rPr>
        <w:i/>
      </w:rPr>
      <w:fldChar w:fldCharType="separate"/>
    </w:r>
    <w:r w:rsidR="00A9082D">
      <w:rPr>
        <w:i/>
        <w:noProof/>
      </w:rPr>
      <w:t>Pig, Potato and Poultry Industries (Compensation Legislation) Repeal Act 2004</w:t>
    </w:r>
    <w:r>
      <w:rPr>
        <w:i/>
      </w:rPr>
      <w:fldChar w:fldCharType="end"/>
    </w:r>
  </w:p>
  <w:p w:rsidR="00BA589C" w:rsidRDefault="00BA589C">
    <w:pPr>
      <w:pStyle w:val="headerpartodd"/>
      <w:ind w:left="0" w:firstLine="0"/>
      <w:rPr>
        <w:b w:val="0"/>
        <w:i/>
      </w:rPr>
    </w:pPr>
  </w:p>
  <w:p w:rsidR="00BA589C" w:rsidRDefault="00BA589C">
    <w:pPr>
      <w:pStyle w:val="headerpart"/>
    </w:pPr>
  </w:p>
  <w:p w:rsidR="00BA589C" w:rsidRDefault="00BA589C">
    <w:pPr>
      <w:pStyle w:val="headerpart"/>
    </w:pPr>
  </w:p>
  <w:p w:rsidR="00BA589C" w:rsidRDefault="00BA589C">
    <w:pPr>
      <w:pBdr>
        <w:bottom w:val="single" w:sz="6" w:space="1" w:color="auto"/>
      </w:pBdr>
      <w:rPr>
        <w:b/>
      </w:rPr>
    </w:pPr>
  </w:p>
  <w:p w:rsidR="00BA589C" w:rsidRDefault="00BA589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430C74">
    <w:pPr>
      <w:pStyle w:val="headerpartodd"/>
      <w:ind w:left="0" w:firstLine="0"/>
      <w:jc w:val="right"/>
      <w:rPr>
        <w:i/>
      </w:rPr>
    </w:pPr>
    <w:r>
      <w:rPr>
        <w:i/>
      </w:rPr>
      <w:fldChar w:fldCharType="begin"/>
    </w:r>
    <w:r>
      <w:rPr>
        <w:i/>
      </w:rPr>
      <w:instrText xml:space="preserve"> Styleref "Name of Act/Reg" </w:instrText>
    </w:r>
    <w:r>
      <w:rPr>
        <w:i/>
      </w:rPr>
      <w:fldChar w:fldCharType="separate"/>
    </w:r>
    <w:r w:rsidR="00A9082D">
      <w:rPr>
        <w:i/>
        <w:noProof/>
      </w:rPr>
      <w:t>Pig, Potato and Poultry Industries (Compensation Legislation) Repeal Act 2004</w:t>
    </w:r>
    <w:r>
      <w:rPr>
        <w:i/>
      </w:rPr>
      <w:fldChar w:fldCharType="end"/>
    </w:r>
  </w:p>
  <w:p w:rsidR="00BA589C" w:rsidRDefault="00BA589C">
    <w:pPr>
      <w:pStyle w:val="headerpartodd"/>
      <w:ind w:left="0" w:firstLine="0"/>
      <w:jc w:val="right"/>
      <w:rPr>
        <w:b w:val="0"/>
        <w:i/>
      </w:rPr>
    </w:pPr>
  </w:p>
  <w:p w:rsidR="00BA589C" w:rsidRDefault="00BA589C">
    <w:pPr>
      <w:pStyle w:val="headerpart"/>
      <w:jc w:val="right"/>
    </w:pPr>
  </w:p>
  <w:p w:rsidR="00BA589C" w:rsidRDefault="00BA589C">
    <w:pPr>
      <w:pStyle w:val="headerpart"/>
      <w:jc w:val="right"/>
    </w:pPr>
  </w:p>
  <w:p w:rsidR="00BA589C" w:rsidRDefault="00BA589C">
    <w:pPr>
      <w:pBdr>
        <w:bottom w:val="single" w:sz="6" w:space="1" w:color="auto"/>
      </w:pBdr>
      <w:jc w:val="right"/>
      <w:rPr>
        <w:b/>
      </w:rPr>
    </w:pPr>
  </w:p>
  <w:p w:rsidR="00BA589C" w:rsidRDefault="00BA589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89C" w:rsidRDefault="00BA58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BAC1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6AAEDF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6C9E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2EB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6C69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450C0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74CFB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687D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F660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9E6C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BF68A948"/>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6228252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A1AE3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6652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4"/>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C74"/>
    <w:rsid w:val="00430C74"/>
    <w:rsid w:val="00A9082D"/>
    <w:rsid w:val="00AC6099"/>
    <w:rsid w:val="00BA589C"/>
    <w:rsid w:val="00D278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1880</Words>
  <Characters>9480</Characters>
  <Application>Microsoft Office Word</Application>
  <DocSecurity>0</DocSecurity>
  <Lines>287</Lines>
  <Paragraphs>192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Parliamentary Counsel's Office</Company>
  <LinksUpToDate>false</LinksUpToDate>
  <CharactersWithSpaces>11168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 Potato and Poultry Industries (Compensation Legislation) Repeal Act 2004 - 00-a0-07</dc:title>
  <dc:subject>Bills and Amendments</dc:subject>
  <dc:creator>Matthew Pether</dc:creator>
  <cp:keywords>Brought into Production 7 June 2002</cp:keywords>
  <dc:description/>
  <cp:lastModifiedBy>svcMRProcess</cp:lastModifiedBy>
  <cp:revision>4</cp:revision>
  <cp:lastPrinted>2004-11-05T01:09:00Z</cp:lastPrinted>
  <dcterms:created xsi:type="dcterms:W3CDTF">2013-02-19T23:28:00Z</dcterms:created>
  <dcterms:modified xsi:type="dcterms:W3CDTF">2013-02-19T23:28:00Z</dcterms:modified>
  <cp:category>IG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40 of 2004</vt:lpwstr>
  </property>
  <property fmtid="{D5CDD505-2E9C-101B-9397-08002B2CF9AE}" pid="3" name="CommencementDate">
    <vt:lpwstr>20050201</vt:lpwstr>
  </property>
  <property fmtid="{D5CDD505-2E9C-101B-9397-08002B2CF9AE}" pid="4" name="DocumentType">
    <vt:lpwstr>Act</vt:lpwstr>
  </property>
  <property fmtid="{D5CDD505-2E9C-101B-9397-08002B2CF9AE}" pid="5" name="AsAtDate">
    <vt:lpwstr>01 Feb 2005</vt:lpwstr>
  </property>
  <property fmtid="{D5CDD505-2E9C-101B-9397-08002B2CF9AE}" pid="6" name="Suffix">
    <vt:lpwstr>00-a0-07</vt:lpwstr>
  </property>
</Properties>
</file>