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256"/>
      </w:pPr>
      <w:r>
        <w:fldChar w:fldCharType="begin"/>
      </w:r>
      <w:r>
        <w:instrText xml:space="preserve"> STYLEREF "Name Of Act/Reg"</w:instrText>
      </w:r>
      <w:r>
        <w:fldChar w:fldCharType="separate"/>
      </w:r>
      <w:r>
        <w:rPr>
          <w:noProof/>
        </w:rPr>
        <w:t>Water Efficiency Labelling and Standards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Water Efficiency Labelling and Standards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_Toc377038915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_Toc377038916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_Toc377038917 \h </w:instrText>
      </w:r>
      <w:r>
        <w:fldChar w:fldCharType="separate"/>
      </w:r>
      <w:r>
        <w:t>2</w:t>
      </w:r>
      <w:r>
        <w:fldChar w:fldCharType="end"/>
      </w:r>
    </w:p>
    <w:p>
      <w:pPr>
        <w:pStyle w:val="TOC8"/>
        <w:rPr>
          <w:rFonts w:asciiTheme="minorHAnsi" w:eastAsiaTheme="minorEastAsia" w:hAnsiTheme="minorHAnsi" w:cstheme="minorBidi"/>
          <w:szCs w:val="22"/>
        </w:rPr>
      </w:pPr>
      <w:r>
        <w:t>4.</w:t>
      </w:r>
      <w:r>
        <w:tab/>
        <w:t>Act to bind the Crown</w:t>
      </w:r>
      <w:r>
        <w:tab/>
      </w:r>
      <w:r>
        <w:fldChar w:fldCharType="begin"/>
      </w:r>
      <w:r>
        <w:instrText xml:space="preserve"> PAGEREF _Toc377038918 \h </w:instrText>
      </w:r>
      <w:r>
        <w:fldChar w:fldCharType="separate"/>
      </w:r>
      <w:r>
        <w:t>2</w:t>
      </w:r>
      <w:r>
        <w:fldChar w:fldCharType="end"/>
      </w:r>
    </w:p>
    <w:p>
      <w:pPr>
        <w:pStyle w:val="TOC8"/>
        <w:rPr>
          <w:rFonts w:asciiTheme="minorHAnsi" w:eastAsiaTheme="minorEastAsia" w:hAnsiTheme="minorHAnsi" w:cstheme="minorBidi"/>
          <w:szCs w:val="22"/>
        </w:rPr>
      </w:pPr>
      <w:r>
        <w:t>5.</w:t>
      </w:r>
      <w:r>
        <w:tab/>
        <w:t>External Territories</w:t>
      </w:r>
      <w:r>
        <w:tab/>
      </w:r>
      <w:r>
        <w:fldChar w:fldCharType="begin"/>
      </w:r>
      <w:r>
        <w:instrText xml:space="preserve"> PAGEREF _Toc377038919 \h </w:instrText>
      </w:r>
      <w:r>
        <w:fldChar w:fldCharType="separate"/>
      </w:r>
      <w:r>
        <w:t>2</w:t>
      </w:r>
      <w:r>
        <w:fldChar w:fldCharType="end"/>
      </w:r>
    </w:p>
    <w:p>
      <w:pPr>
        <w:pStyle w:val="TOC8"/>
        <w:rPr>
          <w:rFonts w:asciiTheme="minorHAnsi" w:eastAsiaTheme="minorEastAsia" w:hAnsiTheme="minorHAnsi" w:cstheme="minorBidi"/>
          <w:szCs w:val="22"/>
        </w:rPr>
      </w:pPr>
      <w:r>
        <w:t>5A.</w:t>
      </w:r>
      <w:r>
        <w:tab/>
        <w:t>Numbering</w:t>
      </w:r>
      <w:r>
        <w:tab/>
      </w:r>
      <w:r>
        <w:fldChar w:fldCharType="begin"/>
      </w:r>
      <w:r>
        <w:instrText xml:space="preserve"> PAGEREF _Toc377038920 \h </w:instrText>
      </w:r>
      <w:r>
        <w:fldChar w:fldCharType="separate"/>
      </w:r>
      <w:r>
        <w:t>3</w:t>
      </w:r>
      <w:r>
        <w:fldChar w:fldCharType="end"/>
      </w:r>
    </w:p>
    <w:p>
      <w:pPr>
        <w:pStyle w:val="TOC8"/>
        <w:rPr>
          <w:rFonts w:asciiTheme="minorHAnsi" w:eastAsiaTheme="minorEastAsia" w:hAnsiTheme="minorHAnsi" w:cstheme="minorBidi"/>
          <w:szCs w:val="22"/>
        </w:rPr>
      </w:pPr>
      <w:r>
        <w:t>5B.</w:t>
      </w:r>
      <w:r>
        <w:tab/>
        <w:t>Notes</w:t>
      </w:r>
      <w:r>
        <w:tab/>
      </w:r>
      <w:r>
        <w:fldChar w:fldCharType="begin"/>
      </w:r>
      <w:r>
        <w:instrText xml:space="preserve"> PAGEREF _Toc377038921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6.</w:t>
      </w:r>
      <w:r>
        <w:tab/>
        <w:t>Application of the Criminal Code</w:t>
      </w:r>
      <w:r>
        <w:tab/>
      </w:r>
      <w:r>
        <w:fldChar w:fldCharType="begin"/>
      </w:r>
      <w:r>
        <w:instrText xml:space="preserve"> PAGEREF _Toc377038923 \h </w:instrText>
      </w:r>
      <w:r>
        <w:fldChar w:fldCharType="separate"/>
      </w:r>
      <w:r>
        <w:t>4</w:t>
      </w:r>
      <w:r>
        <w:fldChar w:fldCharType="end"/>
      </w:r>
    </w:p>
    <w:p>
      <w:pPr>
        <w:pStyle w:val="TOC8"/>
        <w:rPr>
          <w:rFonts w:asciiTheme="minorHAnsi" w:eastAsiaTheme="minorEastAsia" w:hAnsiTheme="minorHAnsi" w:cstheme="minorBidi"/>
          <w:szCs w:val="22"/>
        </w:rPr>
      </w:pPr>
      <w:r>
        <w:t>7.</w:t>
      </w:r>
      <w:r>
        <w:tab/>
        <w:t>Definitions</w:t>
      </w:r>
      <w:r>
        <w:tab/>
      </w:r>
      <w:r>
        <w:fldChar w:fldCharType="begin"/>
      </w:r>
      <w:r>
        <w:instrText xml:space="preserve"> PAGEREF _Toc377038924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National WELS scheme</w:t>
      </w:r>
    </w:p>
    <w:p>
      <w:pPr>
        <w:pStyle w:val="TOC8"/>
        <w:rPr>
          <w:rFonts w:asciiTheme="minorHAnsi" w:eastAsiaTheme="minorEastAsia" w:hAnsiTheme="minorHAnsi" w:cstheme="minorBidi"/>
          <w:szCs w:val="22"/>
        </w:rPr>
      </w:pPr>
      <w:r>
        <w:t>8.</w:t>
      </w:r>
      <w:r>
        <w:tab/>
        <w:t>WELS scheme to be a national cooperative scheme</w:t>
      </w:r>
      <w:r>
        <w:tab/>
      </w:r>
      <w:r>
        <w:fldChar w:fldCharType="begin"/>
      </w:r>
      <w:r>
        <w:instrText xml:space="preserve"> PAGEREF _Toc377038926 \h </w:instrText>
      </w:r>
      <w:r>
        <w:fldChar w:fldCharType="separate"/>
      </w:r>
      <w:r>
        <w:t>7</w:t>
      </w:r>
      <w:r>
        <w:fldChar w:fldCharType="end"/>
      </w:r>
    </w:p>
    <w:p>
      <w:pPr>
        <w:pStyle w:val="TOC8"/>
        <w:rPr>
          <w:rFonts w:asciiTheme="minorHAnsi" w:eastAsiaTheme="minorEastAsia" w:hAnsiTheme="minorHAnsi" w:cstheme="minorBidi"/>
          <w:szCs w:val="22"/>
        </w:rPr>
      </w:pPr>
      <w:r>
        <w:t>9.</w:t>
      </w:r>
      <w:r>
        <w:tab/>
        <w:t>Application of this Act</w:t>
      </w:r>
      <w:r>
        <w:tab/>
      </w:r>
      <w:r>
        <w:fldChar w:fldCharType="begin"/>
      </w:r>
      <w:r>
        <w:instrText xml:space="preserve"> PAGEREF _Toc377038927 \h </w:instrText>
      </w:r>
      <w:r>
        <w:fldChar w:fldCharType="separate"/>
      </w:r>
      <w:r>
        <w:t>7</w:t>
      </w:r>
      <w:r>
        <w:fldChar w:fldCharType="end"/>
      </w:r>
    </w:p>
    <w:p>
      <w:pPr>
        <w:pStyle w:val="TOC8"/>
        <w:rPr>
          <w:rFonts w:asciiTheme="minorHAnsi" w:eastAsiaTheme="minorEastAsia" w:hAnsiTheme="minorHAnsi" w:cstheme="minorBidi"/>
          <w:szCs w:val="22"/>
        </w:rPr>
      </w:pPr>
      <w:r>
        <w:t>10.</w:t>
      </w:r>
      <w:r>
        <w:tab/>
        <w:t>Relationship to other State laws</w:t>
      </w:r>
      <w:r>
        <w:tab/>
      </w:r>
      <w:r>
        <w:fldChar w:fldCharType="begin"/>
      </w:r>
      <w:r>
        <w:instrText xml:space="preserve"> PAGEREF _Toc377038928 \h </w:instrText>
      </w:r>
      <w:r>
        <w:fldChar w:fldCharType="separate"/>
      </w:r>
      <w:r>
        <w:t>7</w:t>
      </w:r>
      <w:r>
        <w:fldChar w:fldCharType="end"/>
      </w:r>
    </w:p>
    <w:p>
      <w:pPr>
        <w:pStyle w:val="TOC8"/>
        <w:rPr>
          <w:rFonts w:asciiTheme="minorHAnsi" w:eastAsiaTheme="minorEastAsia" w:hAnsiTheme="minorHAnsi" w:cstheme="minorBidi"/>
          <w:szCs w:val="22"/>
        </w:rPr>
      </w:pPr>
      <w:r>
        <w:t>11.</w:t>
      </w:r>
      <w:r>
        <w:tab/>
        <w:t>State and Territory laws may operate concurrently</w:t>
      </w:r>
      <w:r>
        <w:tab/>
      </w:r>
      <w:r>
        <w:fldChar w:fldCharType="begin"/>
      </w:r>
      <w:r>
        <w:instrText xml:space="preserve"> PAGEREF _Toc377038929 \h </w:instrText>
      </w:r>
      <w:r>
        <w:fldChar w:fldCharType="separate"/>
      </w:r>
      <w:r>
        <w:t>7</w:t>
      </w:r>
      <w:r>
        <w:fldChar w:fldCharType="end"/>
      </w:r>
    </w:p>
    <w:p>
      <w:pPr>
        <w:pStyle w:val="TOC8"/>
        <w:rPr>
          <w:rFonts w:asciiTheme="minorHAnsi" w:eastAsiaTheme="minorEastAsia" w:hAnsiTheme="minorHAnsi" w:cstheme="minorBidi"/>
          <w:szCs w:val="22"/>
        </w:rPr>
      </w:pPr>
      <w:r>
        <w:t>12.</w:t>
      </w:r>
      <w:r>
        <w:tab/>
        <w:t>Meaning of “corresponding law”</w:t>
      </w:r>
      <w:r>
        <w:tab/>
      </w:r>
      <w:r>
        <w:fldChar w:fldCharType="begin"/>
      </w:r>
      <w:r>
        <w:instrText xml:space="preserve"> PAGEREF _Toc377038930 \h </w:instrText>
      </w:r>
      <w:r>
        <w:fldChar w:fldCharType="separate"/>
      </w:r>
      <w:r>
        <w:t>7</w:t>
      </w:r>
      <w:r>
        <w:fldChar w:fldCharType="end"/>
      </w:r>
    </w:p>
    <w:p>
      <w:pPr>
        <w:pStyle w:val="TOC8"/>
        <w:rPr>
          <w:rFonts w:asciiTheme="minorHAnsi" w:eastAsiaTheme="minorEastAsia" w:hAnsiTheme="minorHAnsi" w:cstheme="minorBidi"/>
          <w:szCs w:val="22"/>
        </w:rPr>
      </w:pPr>
      <w:r>
        <w:t>13.</w:t>
      </w:r>
      <w:r>
        <w:tab/>
        <w:t>Commonwealth consent to conferral of functions etc. on the Regulator or inspectors by corresponding laws</w:t>
      </w:r>
      <w:r>
        <w:tab/>
      </w:r>
      <w:r>
        <w:fldChar w:fldCharType="begin"/>
      </w:r>
      <w:r>
        <w:instrText xml:space="preserve"> PAGEREF _Toc377038931 \h </w:instrText>
      </w:r>
      <w:r>
        <w:fldChar w:fldCharType="separate"/>
      </w:r>
      <w:r>
        <w:t>7</w:t>
      </w:r>
      <w:r>
        <w:fldChar w:fldCharType="end"/>
      </w:r>
    </w:p>
    <w:p>
      <w:pPr>
        <w:pStyle w:val="TOC8"/>
        <w:rPr>
          <w:rFonts w:asciiTheme="minorHAnsi" w:eastAsiaTheme="minorEastAsia" w:hAnsiTheme="minorHAnsi" w:cstheme="minorBidi"/>
          <w:szCs w:val="22"/>
        </w:rPr>
      </w:pPr>
      <w:r>
        <w:t>14.</w:t>
      </w:r>
      <w:r>
        <w:tab/>
        <w:t>How duty is imposed by corresponding laws</w:t>
      </w:r>
      <w:r>
        <w:tab/>
      </w:r>
      <w:r>
        <w:fldChar w:fldCharType="begin"/>
      </w:r>
      <w:r>
        <w:instrText xml:space="preserve"> PAGEREF _Toc377038932 \h </w:instrText>
      </w:r>
      <w:r>
        <w:fldChar w:fldCharType="separate"/>
      </w:r>
      <w:r>
        <w:t>8</w:t>
      </w:r>
      <w:r>
        <w:fldChar w:fldCharType="end"/>
      </w:r>
    </w:p>
    <w:p>
      <w:pPr>
        <w:pStyle w:val="TOC8"/>
        <w:rPr>
          <w:rFonts w:asciiTheme="minorHAnsi" w:eastAsiaTheme="minorEastAsia" w:hAnsiTheme="minorHAnsi" w:cstheme="minorBidi"/>
          <w:szCs w:val="22"/>
        </w:rPr>
      </w:pPr>
      <w:r>
        <w:t>15.</w:t>
      </w:r>
      <w:r>
        <w:tab/>
        <w:t>When a corresponding State</w:t>
      </w:r>
      <w:r>
        <w:noBreakHyphen/>
        <w:t>Territory law imposes a duty</w:t>
      </w:r>
      <w:r>
        <w:tab/>
      </w:r>
      <w:r>
        <w:fldChar w:fldCharType="begin"/>
      </w:r>
      <w:r>
        <w:instrText xml:space="preserve"> PAGEREF _Toc377038933 \h </w:instrText>
      </w:r>
      <w:r>
        <w:fldChar w:fldCharType="separate"/>
      </w:r>
      <w:r>
        <w:t>8</w:t>
      </w:r>
      <w:r>
        <w:fldChar w:fldCharType="end"/>
      </w:r>
    </w:p>
    <w:p>
      <w:pPr>
        <w:pStyle w:val="TOC8"/>
        <w:rPr>
          <w:rFonts w:asciiTheme="minorHAnsi" w:eastAsiaTheme="minorEastAsia" w:hAnsiTheme="minorHAnsi" w:cstheme="minorBidi"/>
          <w:szCs w:val="22"/>
        </w:rPr>
      </w:pPr>
      <w:r>
        <w:t>16.</w:t>
      </w:r>
      <w:r>
        <w:tab/>
        <w:t>No doubling up of liabilities</w:t>
      </w:r>
      <w:r>
        <w:tab/>
      </w:r>
      <w:r>
        <w:fldChar w:fldCharType="begin"/>
      </w:r>
      <w:r>
        <w:instrText xml:space="preserve"> PAGEREF _Toc377038934 \h </w:instrText>
      </w:r>
      <w:r>
        <w:fldChar w:fldCharType="separate"/>
      </w:r>
      <w:r>
        <w:t>8</w:t>
      </w:r>
      <w:r>
        <w:fldChar w:fldCharType="end"/>
      </w:r>
    </w:p>
    <w:p>
      <w:pPr>
        <w:pStyle w:val="TOC8"/>
        <w:rPr>
          <w:rFonts w:asciiTheme="minorHAnsi" w:eastAsiaTheme="minorEastAsia" w:hAnsiTheme="minorHAnsi" w:cstheme="minorBidi"/>
          <w:szCs w:val="22"/>
        </w:rPr>
      </w:pPr>
      <w:r>
        <w:t>17.</w:t>
      </w:r>
      <w:r>
        <w:tab/>
        <w:t>Review of decisions under this Act</w:t>
      </w:r>
      <w:r>
        <w:tab/>
      </w:r>
      <w:r>
        <w:fldChar w:fldCharType="begin"/>
      </w:r>
      <w:r>
        <w:instrText xml:space="preserve"> PAGEREF _Toc377038935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4 — WELS products and WELS standards</w:t>
      </w:r>
    </w:p>
    <w:p>
      <w:pPr>
        <w:pStyle w:val="TOC8"/>
        <w:rPr>
          <w:rFonts w:asciiTheme="minorHAnsi" w:eastAsiaTheme="minorEastAsia" w:hAnsiTheme="minorHAnsi" w:cstheme="minorBidi"/>
          <w:szCs w:val="22"/>
        </w:rPr>
      </w:pPr>
      <w:r>
        <w:t>18.</w:t>
      </w:r>
      <w:r>
        <w:tab/>
        <w:t>WELS products</w:t>
      </w:r>
      <w:r>
        <w:tab/>
      </w:r>
      <w:r>
        <w:fldChar w:fldCharType="begin"/>
      </w:r>
      <w:r>
        <w:instrText xml:space="preserve"> PAGEREF _Toc377038937 \h </w:instrText>
      </w:r>
      <w:r>
        <w:fldChar w:fldCharType="separate"/>
      </w:r>
      <w:r>
        <w:t>9</w:t>
      </w:r>
      <w:r>
        <w:fldChar w:fldCharType="end"/>
      </w:r>
    </w:p>
    <w:p>
      <w:pPr>
        <w:pStyle w:val="TOC8"/>
        <w:rPr>
          <w:rFonts w:asciiTheme="minorHAnsi" w:eastAsiaTheme="minorEastAsia" w:hAnsiTheme="minorHAnsi" w:cstheme="minorBidi"/>
          <w:szCs w:val="22"/>
        </w:rPr>
      </w:pPr>
      <w:r>
        <w:t>19.</w:t>
      </w:r>
      <w:r>
        <w:tab/>
        <w:t>WELS standards</w:t>
      </w:r>
      <w:r>
        <w:tab/>
      </w:r>
      <w:r>
        <w:fldChar w:fldCharType="begin"/>
      </w:r>
      <w:r>
        <w:instrText xml:space="preserve"> PAGEREF _Toc377038938 \h </w:instrText>
      </w:r>
      <w:r>
        <w:fldChar w:fldCharType="separate"/>
      </w:r>
      <w:r>
        <w:t>9</w:t>
      </w:r>
      <w:r>
        <w:fldChar w:fldCharType="end"/>
      </w:r>
    </w:p>
    <w:p>
      <w:pPr>
        <w:pStyle w:val="TOC8"/>
        <w:rPr>
          <w:rFonts w:asciiTheme="minorHAnsi" w:eastAsiaTheme="minorEastAsia" w:hAnsiTheme="minorHAnsi" w:cstheme="minorBidi"/>
          <w:szCs w:val="22"/>
        </w:rPr>
      </w:pPr>
      <w:r>
        <w:t>20.</w:t>
      </w:r>
      <w:r>
        <w:tab/>
        <w:t>Meaning of WELS labelled</w:t>
      </w:r>
      <w:r>
        <w:tab/>
      </w:r>
      <w:r>
        <w:fldChar w:fldCharType="begin"/>
      </w:r>
      <w:r>
        <w:instrText xml:space="preserve"> PAGEREF _Toc377038939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5 — The WELS Regulator</w:t>
      </w:r>
    </w:p>
    <w:p>
      <w:pPr>
        <w:pStyle w:val="TOC8"/>
        <w:rPr>
          <w:rFonts w:asciiTheme="minorHAnsi" w:eastAsiaTheme="minorEastAsia" w:hAnsiTheme="minorHAnsi" w:cstheme="minorBidi"/>
          <w:szCs w:val="22"/>
        </w:rPr>
      </w:pPr>
      <w:r>
        <w:t>21.</w:t>
      </w:r>
      <w:r>
        <w:tab/>
        <w:t>The Regulator</w:t>
      </w:r>
      <w:r>
        <w:tab/>
      </w:r>
      <w:r>
        <w:fldChar w:fldCharType="begin"/>
      </w:r>
      <w:r>
        <w:instrText xml:space="preserve"> PAGEREF _Toc377038941 \h </w:instrText>
      </w:r>
      <w:r>
        <w:fldChar w:fldCharType="separate"/>
      </w:r>
      <w:r>
        <w:t>10</w:t>
      </w:r>
      <w:r>
        <w:fldChar w:fldCharType="end"/>
      </w:r>
    </w:p>
    <w:p>
      <w:pPr>
        <w:pStyle w:val="TOC8"/>
        <w:rPr>
          <w:rFonts w:asciiTheme="minorHAnsi" w:eastAsiaTheme="minorEastAsia" w:hAnsiTheme="minorHAnsi" w:cstheme="minorBidi"/>
          <w:szCs w:val="22"/>
        </w:rPr>
      </w:pPr>
      <w:r>
        <w:t>22.</w:t>
      </w:r>
      <w:r>
        <w:tab/>
        <w:t>Functions of the Regulator</w:t>
      </w:r>
      <w:r>
        <w:tab/>
      </w:r>
      <w:r>
        <w:fldChar w:fldCharType="begin"/>
      </w:r>
      <w:r>
        <w:instrText xml:space="preserve"> PAGEREF _Toc377038942 \h </w:instrText>
      </w:r>
      <w:r>
        <w:fldChar w:fldCharType="separate"/>
      </w:r>
      <w:r>
        <w:t>10</w:t>
      </w:r>
      <w:r>
        <w:fldChar w:fldCharType="end"/>
      </w:r>
    </w:p>
    <w:p>
      <w:pPr>
        <w:pStyle w:val="TOC8"/>
        <w:rPr>
          <w:rFonts w:asciiTheme="minorHAnsi" w:eastAsiaTheme="minorEastAsia" w:hAnsiTheme="minorHAnsi" w:cstheme="minorBidi"/>
          <w:szCs w:val="22"/>
        </w:rPr>
      </w:pPr>
      <w:r>
        <w:t>23.</w:t>
      </w:r>
      <w:r>
        <w:tab/>
        <w:t>Powers of the Regulator</w:t>
      </w:r>
      <w:r>
        <w:tab/>
      </w:r>
      <w:r>
        <w:fldChar w:fldCharType="begin"/>
      </w:r>
      <w:r>
        <w:instrText xml:space="preserve"> PAGEREF _Toc377038943 \h </w:instrText>
      </w:r>
      <w:r>
        <w:fldChar w:fldCharType="separate"/>
      </w:r>
      <w:r>
        <w:t>11</w:t>
      </w:r>
      <w:r>
        <w:fldChar w:fldCharType="end"/>
      </w:r>
    </w:p>
    <w:p>
      <w:pPr>
        <w:pStyle w:val="TOC8"/>
        <w:rPr>
          <w:rFonts w:asciiTheme="minorHAnsi" w:eastAsiaTheme="minorEastAsia" w:hAnsiTheme="minorHAnsi" w:cstheme="minorBidi"/>
          <w:szCs w:val="22"/>
        </w:rPr>
      </w:pPr>
      <w:r>
        <w:t>24.</w:t>
      </w:r>
      <w:r>
        <w:tab/>
        <w:t>Arrangements with other agencies</w:t>
      </w:r>
      <w:r>
        <w:tab/>
      </w:r>
      <w:r>
        <w:fldChar w:fldCharType="begin"/>
      </w:r>
      <w:r>
        <w:instrText xml:space="preserve"> PAGEREF _Toc377038944 \h </w:instrText>
      </w:r>
      <w:r>
        <w:fldChar w:fldCharType="separate"/>
      </w:r>
      <w:r>
        <w:t>11</w:t>
      </w:r>
      <w:r>
        <w:fldChar w:fldCharType="end"/>
      </w:r>
    </w:p>
    <w:p>
      <w:pPr>
        <w:pStyle w:val="TOC8"/>
        <w:rPr>
          <w:rFonts w:asciiTheme="minorHAnsi" w:eastAsiaTheme="minorEastAsia" w:hAnsiTheme="minorHAnsi" w:cstheme="minorBidi"/>
          <w:szCs w:val="22"/>
        </w:rPr>
      </w:pPr>
      <w:r>
        <w:t>25.</w:t>
      </w:r>
      <w:r>
        <w:tab/>
        <w:t>Delegation</w:t>
      </w:r>
      <w:r>
        <w:tab/>
      </w:r>
      <w:r>
        <w:fldChar w:fldCharType="begin"/>
      </w:r>
      <w:r>
        <w:instrText xml:space="preserve"> PAGEREF _Toc377038945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6 — Registration of WELS products</w:t>
      </w:r>
    </w:p>
    <w:p>
      <w:pPr>
        <w:pStyle w:val="TOC8"/>
        <w:rPr>
          <w:rFonts w:asciiTheme="minorHAnsi" w:eastAsiaTheme="minorEastAsia" w:hAnsiTheme="minorHAnsi" w:cstheme="minorBidi"/>
          <w:szCs w:val="22"/>
        </w:rPr>
      </w:pPr>
      <w:r>
        <w:t>26.</w:t>
      </w:r>
      <w:r>
        <w:tab/>
        <w:t>Applying for registration</w:t>
      </w:r>
      <w:r>
        <w:tab/>
      </w:r>
      <w:r>
        <w:fldChar w:fldCharType="begin"/>
      </w:r>
      <w:r>
        <w:instrText xml:space="preserve"> PAGEREF _Toc377038947 \h </w:instrText>
      </w:r>
      <w:r>
        <w:fldChar w:fldCharType="separate"/>
      </w:r>
      <w:r>
        <w:t>12</w:t>
      </w:r>
      <w:r>
        <w:fldChar w:fldCharType="end"/>
      </w:r>
    </w:p>
    <w:p>
      <w:pPr>
        <w:pStyle w:val="TOC8"/>
        <w:rPr>
          <w:rFonts w:asciiTheme="minorHAnsi" w:eastAsiaTheme="minorEastAsia" w:hAnsiTheme="minorHAnsi" w:cstheme="minorBidi"/>
          <w:szCs w:val="22"/>
        </w:rPr>
      </w:pPr>
      <w:r>
        <w:t>27.</w:t>
      </w:r>
      <w:r>
        <w:tab/>
        <w:t>Documentation etc. to be provided with application for registration</w:t>
      </w:r>
      <w:r>
        <w:tab/>
      </w:r>
      <w:r>
        <w:fldChar w:fldCharType="begin"/>
      </w:r>
      <w:r>
        <w:instrText xml:space="preserve"> PAGEREF _Toc377038948 \h </w:instrText>
      </w:r>
      <w:r>
        <w:fldChar w:fldCharType="separate"/>
      </w:r>
      <w:r>
        <w:t>12</w:t>
      </w:r>
      <w:r>
        <w:fldChar w:fldCharType="end"/>
      </w:r>
    </w:p>
    <w:p>
      <w:pPr>
        <w:pStyle w:val="TOC8"/>
        <w:rPr>
          <w:rFonts w:asciiTheme="minorHAnsi" w:eastAsiaTheme="minorEastAsia" w:hAnsiTheme="minorHAnsi" w:cstheme="minorBidi"/>
          <w:szCs w:val="22"/>
        </w:rPr>
      </w:pPr>
      <w:r>
        <w:t>28.</w:t>
      </w:r>
      <w:r>
        <w:tab/>
        <w:t>Registration of products</w:t>
      </w:r>
      <w:r>
        <w:tab/>
      </w:r>
      <w:r>
        <w:fldChar w:fldCharType="begin"/>
      </w:r>
      <w:r>
        <w:instrText xml:space="preserve"> PAGEREF _Toc377038949 \h </w:instrText>
      </w:r>
      <w:r>
        <w:fldChar w:fldCharType="separate"/>
      </w:r>
      <w:r>
        <w:t>13</w:t>
      </w:r>
      <w:r>
        <w:fldChar w:fldCharType="end"/>
      </w:r>
    </w:p>
    <w:p>
      <w:pPr>
        <w:pStyle w:val="TOC8"/>
        <w:rPr>
          <w:rFonts w:asciiTheme="minorHAnsi" w:eastAsiaTheme="minorEastAsia" w:hAnsiTheme="minorHAnsi" w:cstheme="minorBidi"/>
          <w:szCs w:val="22"/>
        </w:rPr>
      </w:pPr>
      <w:r>
        <w:t>29.</w:t>
      </w:r>
      <w:r>
        <w:tab/>
        <w:t>Grounds for refusing to register</w:t>
      </w:r>
      <w:r>
        <w:tab/>
      </w:r>
      <w:r>
        <w:fldChar w:fldCharType="begin"/>
      </w:r>
      <w:r>
        <w:instrText xml:space="preserve"> PAGEREF _Toc377038950 \h </w:instrText>
      </w:r>
      <w:r>
        <w:fldChar w:fldCharType="separate"/>
      </w:r>
      <w:r>
        <w:t>13</w:t>
      </w:r>
      <w:r>
        <w:fldChar w:fldCharType="end"/>
      </w:r>
    </w:p>
    <w:p>
      <w:pPr>
        <w:pStyle w:val="TOC8"/>
        <w:rPr>
          <w:rFonts w:asciiTheme="minorHAnsi" w:eastAsiaTheme="minorEastAsia" w:hAnsiTheme="minorHAnsi" w:cstheme="minorBidi"/>
          <w:szCs w:val="22"/>
        </w:rPr>
      </w:pPr>
      <w:r>
        <w:t>30.</w:t>
      </w:r>
      <w:r>
        <w:tab/>
        <w:t>Period of registration</w:t>
      </w:r>
      <w:r>
        <w:tab/>
      </w:r>
      <w:r>
        <w:fldChar w:fldCharType="begin"/>
      </w:r>
      <w:r>
        <w:instrText xml:space="preserve"> PAGEREF _Toc377038951 \h </w:instrText>
      </w:r>
      <w:r>
        <w:fldChar w:fldCharType="separate"/>
      </w:r>
      <w:r>
        <w:t>14</w:t>
      </w:r>
      <w:r>
        <w:fldChar w:fldCharType="end"/>
      </w:r>
    </w:p>
    <w:p>
      <w:pPr>
        <w:pStyle w:val="TOC8"/>
        <w:rPr>
          <w:rFonts w:asciiTheme="minorHAnsi" w:eastAsiaTheme="minorEastAsia" w:hAnsiTheme="minorHAnsi" w:cstheme="minorBidi"/>
          <w:szCs w:val="22"/>
        </w:rPr>
      </w:pPr>
      <w:r>
        <w:t>31.</w:t>
      </w:r>
      <w:r>
        <w:tab/>
        <w:t>Cancelling or suspending registration</w:t>
      </w:r>
      <w:r>
        <w:tab/>
      </w:r>
      <w:r>
        <w:fldChar w:fldCharType="begin"/>
      </w:r>
      <w:r>
        <w:instrText xml:space="preserve"> PAGEREF _Toc377038952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7 — Offences relating to the supply of WELS products</w:t>
      </w:r>
    </w:p>
    <w:p>
      <w:pPr>
        <w:pStyle w:val="TOC4"/>
        <w:tabs>
          <w:tab w:val="right" w:leader="dot" w:pos="7086"/>
        </w:tabs>
        <w:rPr>
          <w:rFonts w:asciiTheme="minorHAnsi" w:eastAsiaTheme="minorEastAsia" w:hAnsiTheme="minorHAnsi" w:cstheme="minorBidi"/>
          <w:b w:val="0"/>
          <w:szCs w:val="22"/>
        </w:rPr>
      </w:pPr>
      <w:r>
        <w:t>Division 1 — Applicable WELS standards</w:t>
      </w:r>
    </w:p>
    <w:p>
      <w:pPr>
        <w:pStyle w:val="TOC8"/>
        <w:rPr>
          <w:rFonts w:asciiTheme="minorHAnsi" w:eastAsiaTheme="minorEastAsia" w:hAnsiTheme="minorHAnsi" w:cstheme="minorBidi"/>
          <w:szCs w:val="22"/>
        </w:rPr>
      </w:pPr>
      <w:r>
        <w:t>32.</w:t>
      </w:r>
      <w:r>
        <w:tab/>
        <w:t>Meaning of applicable WELS standard</w:t>
      </w:r>
      <w:r>
        <w:tab/>
      </w:r>
      <w:r>
        <w:fldChar w:fldCharType="begin"/>
      </w:r>
      <w:r>
        <w:instrText xml:space="preserve"> PAGEREF _Toc377038955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Registration and labelling</w:t>
      </w:r>
    </w:p>
    <w:p>
      <w:pPr>
        <w:pStyle w:val="TOC8"/>
        <w:rPr>
          <w:rFonts w:asciiTheme="minorHAnsi" w:eastAsiaTheme="minorEastAsia" w:hAnsiTheme="minorHAnsi" w:cstheme="minorBidi"/>
          <w:szCs w:val="22"/>
        </w:rPr>
      </w:pPr>
      <w:r>
        <w:t>33.</w:t>
      </w:r>
      <w:r>
        <w:tab/>
        <w:t>Registration requirement</w:t>
      </w:r>
      <w:r>
        <w:tab/>
      </w:r>
      <w:r>
        <w:fldChar w:fldCharType="begin"/>
      </w:r>
      <w:r>
        <w:instrText xml:space="preserve"> PAGEREF _Toc377038957 \h </w:instrText>
      </w:r>
      <w:r>
        <w:fldChar w:fldCharType="separate"/>
      </w:r>
      <w:r>
        <w:t>16</w:t>
      </w:r>
      <w:r>
        <w:fldChar w:fldCharType="end"/>
      </w:r>
    </w:p>
    <w:p>
      <w:pPr>
        <w:pStyle w:val="TOC8"/>
        <w:rPr>
          <w:rFonts w:asciiTheme="minorHAnsi" w:eastAsiaTheme="minorEastAsia" w:hAnsiTheme="minorHAnsi" w:cstheme="minorBidi"/>
          <w:szCs w:val="22"/>
        </w:rPr>
      </w:pPr>
      <w:r>
        <w:t>34.</w:t>
      </w:r>
      <w:r>
        <w:tab/>
        <w:t>Labelling registered products</w:t>
      </w:r>
      <w:r>
        <w:tab/>
      </w:r>
      <w:r>
        <w:fldChar w:fldCharType="begin"/>
      </w:r>
      <w:r>
        <w:instrText xml:space="preserve"> PAGEREF _Toc377038958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Minimum efficiency and performance requirements</w:t>
      </w:r>
    </w:p>
    <w:p>
      <w:pPr>
        <w:pStyle w:val="TOC8"/>
        <w:rPr>
          <w:rFonts w:asciiTheme="minorHAnsi" w:eastAsiaTheme="minorEastAsia" w:hAnsiTheme="minorHAnsi" w:cstheme="minorBidi"/>
          <w:szCs w:val="22"/>
        </w:rPr>
      </w:pPr>
      <w:r>
        <w:t>35.</w:t>
      </w:r>
      <w:r>
        <w:tab/>
        <w:t>Minimum water efficiency — products required to be registered</w:t>
      </w:r>
      <w:r>
        <w:tab/>
      </w:r>
      <w:r>
        <w:fldChar w:fldCharType="begin"/>
      </w:r>
      <w:r>
        <w:instrText xml:space="preserve"> PAGEREF _Toc377038960 \h </w:instrText>
      </w:r>
      <w:r>
        <w:fldChar w:fldCharType="separate"/>
      </w:r>
      <w:r>
        <w:t>17</w:t>
      </w:r>
      <w:r>
        <w:fldChar w:fldCharType="end"/>
      </w:r>
    </w:p>
    <w:p>
      <w:pPr>
        <w:pStyle w:val="TOC8"/>
        <w:rPr>
          <w:rFonts w:asciiTheme="minorHAnsi" w:eastAsiaTheme="minorEastAsia" w:hAnsiTheme="minorHAnsi" w:cstheme="minorBidi"/>
          <w:szCs w:val="22"/>
        </w:rPr>
      </w:pPr>
      <w:r>
        <w:t>36.</w:t>
      </w:r>
      <w:r>
        <w:tab/>
        <w:t>Minimum general performance — products required to be registered</w:t>
      </w:r>
      <w:r>
        <w:tab/>
      </w:r>
      <w:r>
        <w:fldChar w:fldCharType="begin"/>
      </w:r>
      <w:r>
        <w:instrText xml:space="preserve"> PAGEREF _Toc377038961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4 — Misuse of WELS standards etc.</w:t>
      </w:r>
    </w:p>
    <w:p>
      <w:pPr>
        <w:pStyle w:val="TOC8"/>
        <w:rPr>
          <w:rFonts w:asciiTheme="minorHAnsi" w:eastAsiaTheme="minorEastAsia" w:hAnsiTheme="minorHAnsi" w:cstheme="minorBidi"/>
          <w:szCs w:val="22"/>
        </w:rPr>
      </w:pPr>
      <w:r>
        <w:t>37.</w:t>
      </w:r>
      <w:r>
        <w:tab/>
        <w:t>Misuse of WELS standards and information</w:t>
      </w:r>
      <w:r>
        <w:tab/>
      </w:r>
      <w:r>
        <w:fldChar w:fldCharType="begin"/>
      </w:r>
      <w:r>
        <w:instrText xml:space="preserve"> PAGEREF _Toc377038963 \h </w:instrText>
      </w:r>
      <w:r>
        <w:fldChar w:fldCharType="separate"/>
      </w:r>
      <w:r>
        <w:t>18</w:t>
      </w:r>
      <w:r>
        <w:fldChar w:fldCharType="end"/>
      </w:r>
    </w:p>
    <w:p>
      <w:pPr>
        <w:pStyle w:val="TOC8"/>
        <w:rPr>
          <w:rFonts w:asciiTheme="minorHAnsi" w:eastAsiaTheme="minorEastAsia" w:hAnsiTheme="minorHAnsi" w:cstheme="minorBidi"/>
          <w:szCs w:val="22"/>
        </w:rPr>
      </w:pPr>
      <w:r>
        <w:t>38.</w:t>
      </w:r>
      <w:r>
        <w:tab/>
        <w:t>Information inconsistent with WELS standards</w:t>
      </w:r>
      <w:r>
        <w:tab/>
      </w:r>
      <w:r>
        <w:fldChar w:fldCharType="begin"/>
      </w:r>
      <w:r>
        <w:instrText xml:space="preserve"> PAGEREF _Toc377038964 \h </w:instrText>
      </w:r>
      <w:r>
        <w:fldChar w:fldCharType="separate"/>
      </w:r>
      <w:r>
        <w:t>18</w:t>
      </w:r>
      <w:r>
        <w:fldChar w:fldCharType="end"/>
      </w:r>
    </w:p>
    <w:p>
      <w:pPr>
        <w:pStyle w:val="TOC8"/>
        <w:rPr>
          <w:rFonts w:asciiTheme="minorHAnsi" w:eastAsiaTheme="minorEastAsia" w:hAnsiTheme="minorHAnsi" w:cstheme="minorBidi"/>
          <w:szCs w:val="22"/>
        </w:rPr>
      </w:pPr>
      <w:r>
        <w:t>39.</w:t>
      </w:r>
      <w:r>
        <w:tab/>
        <w:t>Using information in the supply of products</w:t>
      </w:r>
      <w:r>
        <w:tab/>
      </w:r>
      <w:r>
        <w:fldChar w:fldCharType="begin"/>
      </w:r>
      <w:r>
        <w:instrText xml:space="preserve"> PAGEREF _Toc377038965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5 — False or misleading information or document</w:t>
      </w:r>
    </w:p>
    <w:p>
      <w:pPr>
        <w:pStyle w:val="TOC8"/>
        <w:rPr>
          <w:rFonts w:asciiTheme="minorHAnsi" w:eastAsiaTheme="minorEastAsia" w:hAnsiTheme="minorHAnsi" w:cstheme="minorBidi"/>
          <w:szCs w:val="22"/>
        </w:rPr>
      </w:pPr>
      <w:r>
        <w:t>39A.</w:t>
      </w:r>
      <w:r>
        <w:tab/>
        <w:t>False or misleading information or document</w:t>
      </w:r>
      <w:r>
        <w:tab/>
      </w:r>
      <w:r>
        <w:fldChar w:fldCharType="begin"/>
      </w:r>
      <w:r>
        <w:instrText xml:space="preserve"> PAGEREF _Toc377038967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8 — Other enforcement</w:t>
      </w:r>
    </w:p>
    <w:p>
      <w:pPr>
        <w:pStyle w:val="TOC4"/>
        <w:tabs>
          <w:tab w:val="right" w:leader="dot" w:pos="7086"/>
        </w:tabs>
        <w:rPr>
          <w:rFonts w:asciiTheme="minorHAnsi" w:eastAsiaTheme="minorEastAsia" w:hAnsiTheme="minorHAnsi" w:cstheme="minorBidi"/>
          <w:b w:val="0"/>
          <w:szCs w:val="22"/>
        </w:rPr>
      </w:pPr>
      <w:r>
        <w:t>Division 1 — Infringement notices</w:t>
      </w:r>
    </w:p>
    <w:p>
      <w:pPr>
        <w:pStyle w:val="TOC8"/>
        <w:rPr>
          <w:rFonts w:asciiTheme="minorHAnsi" w:eastAsiaTheme="minorEastAsia" w:hAnsiTheme="minorHAnsi" w:cstheme="minorBidi"/>
          <w:szCs w:val="22"/>
        </w:rPr>
      </w:pPr>
      <w:r>
        <w:t>40.</w:t>
      </w:r>
      <w:r>
        <w:tab/>
        <w:t>Infringement notices</w:t>
      </w:r>
      <w:r>
        <w:tab/>
      </w:r>
      <w:r>
        <w:fldChar w:fldCharType="begin"/>
      </w:r>
      <w:r>
        <w:instrText xml:space="preserve"> PAGEREF _Toc377038970 \h </w:instrText>
      </w:r>
      <w:r>
        <w:fldChar w:fldCharType="separate"/>
      </w:r>
      <w:r>
        <w:t>20</w:t>
      </w:r>
      <w:r>
        <w:fldChar w:fldCharType="end"/>
      </w:r>
    </w:p>
    <w:p>
      <w:pPr>
        <w:pStyle w:val="TOC8"/>
        <w:rPr>
          <w:rFonts w:asciiTheme="minorHAnsi" w:eastAsiaTheme="minorEastAsia" w:hAnsiTheme="minorHAnsi" w:cstheme="minorBidi"/>
          <w:szCs w:val="22"/>
        </w:rPr>
      </w:pPr>
      <w:r>
        <w:t>40A.</w:t>
      </w:r>
      <w:r>
        <w:tab/>
        <w:t>Content of notice</w:t>
      </w:r>
      <w:r>
        <w:tab/>
      </w:r>
      <w:r>
        <w:fldChar w:fldCharType="begin"/>
      </w:r>
      <w:r>
        <w:instrText xml:space="preserve"> PAGEREF _Toc377038971 \h </w:instrText>
      </w:r>
      <w:r>
        <w:fldChar w:fldCharType="separate"/>
      </w:r>
      <w:r>
        <w:t>20</w:t>
      </w:r>
      <w:r>
        <w:fldChar w:fldCharType="end"/>
      </w:r>
    </w:p>
    <w:p>
      <w:pPr>
        <w:pStyle w:val="TOC8"/>
        <w:rPr>
          <w:rFonts w:asciiTheme="minorHAnsi" w:eastAsiaTheme="minorEastAsia" w:hAnsiTheme="minorHAnsi" w:cstheme="minorBidi"/>
          <w:szCs w:val="22"/>
        </w:rPr>
      </w:pPr>
      <w:r>
        <w:t>40B.</w:t>
      </w:r>
      <w:r>
        <w:tab/>
        <w:t>Extension of time</w:t>
      </w:r>
      <w:r>
        <w:tab/>
      </w:r>
      <w:r>
        <w:fldChar w:fldCharType="begin"/>
      </w:r>
      <w:r>
        <w:instrText xml:space="preserve"> PAGEREF _Toc377038972 \h </w:instrText>
      </w:r>
      <w:r>
        <w:fldChar w:fldCharType="separate"/>
      </w:r>
      <w:r>
        <w:t>21</w:t>
      </w:r>
      <w:r>
        <w:fldChar w:fldCharType="end"/>
      </w:r>
    </w:p>
    <w:p>
      <w:pPr>
        <w:pStyle w:val="TOC8"/>
        <w:rPr>
          <w:rFonts w:asciiTheme="minorHAnsi" w:eastAsiaTheme="minorEastAsia" w:hAnsiTheme="minorHAnsi" w:cstheme="minorBidi"/>
          <w:szCs w:val="22"/>
        </w:rPr>
      </w:pPr>
      <w:r>
        <w:t>40C.</w:t>
      </w:r>
      <w:r>
        <w:tab/>
        <w:t>Withdrawal of notice</w:t>
      </w:r>
      <w:r>
        <w:tab/>
      </w:r>
      <w:r>
        <w:fldChar w:fldCharType="begin"/>
      </w:r>
      <w:r>
        <w:instrText xml:space="preserve"> PAGEREF _Toc377038973 \h </w:instrText>
      </w:r>
      <w:r>
        <w:fldChar w:fldCharType="separate"/>
      </w:r>
      <w:r>
        <w:t>21</w:t>
      </w:r>
      <w:r>
        <w:fldChar w:fldCharType="end"/>
      </w:r>
    </w:p>
    <w:p>
      <w:pPr>
        <w:pStyle w:val="TOC8"/>
        <w:rPr>
          <w:rFonts w:asciiTheme="minorHAnsi" w:eastAsiaTheme="minorEastAsia" w:hAnsiTheme="minorHAnsi" w:cstheme="minorBidi"/>
          <w:szCs w:val="22"/>
        </w:rPr>
      </w:pPr>
      <w:r>
        <w:t>40D.</w:t>
      </w:r>
      <w:r>
        <w:tab/>
        <w:t>Benefit of paying modified penalty</w:t>
      </w:r>
      <w:r>
        <w:tab/>
      </w:r>
      <w:r>
        <w:fldChar w:fldCharType="begin"/>
      </w:r>
      <w:r>
        <w:instrText xml:space="preserve"> PAGEREF _Toc377038974 \h </w:instrText>
      </w:r>
      <w:r>
        <w:fldChar w:fldCharType="separate"/>
      </w:r>
      <w:r>
        <w:t>21</w:t>
      </w:r>
      <w:r>
        <w:fldChar w:fldCharType="end"/>
      </w:r>
    </w:p>
    <w:p>
      <w:pPr>
        <w:pStyle w:val="TOC8"/>
        <w:rPr>
          <w:rFonts w:asciiTheme="minorHAnsi" w:eastAsiaTheme="minorEastAsia" w:hAnsiTheme="minorHAnsi" w:cstheme="minorBidi"/>
          <w:szCs w:val="22"/>
        </w:rPr>
      </w:pPr>
      <w:r>
        <w:t>40E.</w:t>
      </w:r>
      <w:r>
        <w:tab/>
        <w:t>Application of penalties collected</w:t>
      </w:r>
      <w:r>
        <w:tab/>
      </w:r>
      <w:r>
        <w:fldChar w:fldCharType="begin"/>
      </w:r>
      <w:r>
        <w:instrText xml:space="preserve"> PAGEREF _Toc377038975 \h </w:instrText>
      </w:r>
      <w:r>
        <w:fldChar w:fldCharType="separate"/>
      </w:r>
      <w:r>
        <w:t>21</w:t>
      </w:r>
      <w:r>
        <w:fldChar w:fldCharType="end"/>
      </w:r>
    </w:p>
    <w:p>
      <w:pPr>
        <w:pStyle w:val="TOC8"/>
        <w:rPr>
          <w:rFonts w:asciiTheme="minorHAnsi" w:eastAsiaTheme="minorEastAsia" w:hAnsiTheme="minorHAnsi" w:cstheme="minorBidi"/>
          <w:szCs w:val="22"/>
        </w:rPr>
      </w:pPr>
      <w:r>
        <w:t>40F.</w:t>
      </w:r>
      <w:r>
        <w:tab/>
        <w:t>Production of identity card</w:t>
      </w:r>
      <w:r>
        <w:tab/>
      </w:r>
      <w:r>
        <w:fldChar w:fldCharType="begin"/>
      </w:r>
      <w:r>
        <w:instrText xml:space="preserve"> PAGEREF _Toc377038976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Publicising offences</w:t>
      </w:r>
    </w:p>
    <w:p>
      <w:pPr>
        <w:pStyle w:val="TOC8"/>
        <w:rPr>
          <w:rFonts w:asciiTheme="minorHAnsi" w:eastAsiaTheme="minorEastAsia" w:hAnsiTheme="minorHAnsi" w:cstheme="minorBidi"/>
          <w:szCs w:val="22"/>
        </w:rPr>
      </w:pPr>
      <w:r>
        <w:t>41.</w:t>
      </w:r>
      <w:r>
        <w:tab/>
        <w:t>Regulator may publicise offences</w:t>
      </w:r>
      <w:r>
        <w:tab/>
      </w:r>
      <w:r>
        <w:fldChar w:fldCharType="begin"/>
      </w:r>
      <w:r>
        <w:instrText xml:space="preserve"> PAGEREF _Toc377038978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Enforceable undertakings</w:t>
      </w:r>
    </w:p>
    <w:p>
      <w:pPr>
        <w:pStyle w:val="TOC8"/>
        <w:rPr>
          <w:rFonts w:asciiTheme="minorHAnsi" w:eastAsiaTheme="minorEastAsia" w:hAnsiTheme="minorHAnsi" w:cstheme="minorBidi"/>
          <w:szCs w:val="22"/>
        </w:rPr>
      </w:pPr>
      <w:r>
        <w:t>42.</w:t>
      </w:r>
      <w:r>
        <w:tab/>
        <w:t>Acceptance of undertakings</w:t>
      </w:r>
      <w:r>
        <w:tab/>
      </w:r>
      <w:r>
        <w:fldChar w:fldCharType="begin"/>
      </w:r>
      <w:r>
        <w:instrText xml:space="preserve"> PAGEREF _Toc377038980 \h </w:instrText>
      </w:r>
      <w:r>
        <w:fldChar w:fldCharType="separate"/>
      </w:r>
      <w:r>
        <w:t>22</w:t>
      </w:r>
      <w:r>
        <w:fldChar w:fldCharType="end"/>
      </w:r>
    </w:p>
    <w:p>
      <w:pPr>
        <w:pStyle w:val="TOC8"/>
        <w:rPr>
          <w:rFonts w:asciiTheme="minorHAnsi" w:eastAsiaTheme="minorEastAsia" w:hAnsiTheme="minorHAnsi" w:cstheme="minorBidi"/>
          <w:szCs w:val="22"/>
        </w:rPr>
      </w:pPr>
      <w:r>
        <w:t>43.</w:t>
      </w:r>
      <w:r>
        <w:tab/>
        <w:t>Enforcement of undertakings</w:t>
      </w:r>
      <w:r>
        <w:tab/>
      </w:r>
      <w:r>
        <w:fldChar w:fldCharType="begin"/>
      </w:r>
      <w:r>
        <w:instrText xml:space="preserve"> PAGEREF _Toc377038981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Injunctions</w:t>
      </w:r>
    </w:p>
    <w:p>
      <w:pPr>
        <w:pStyle w:val="TOC8"/>
        <w:rPr>
          <w:rFonts w:asciiTheme="minorHAnsi" w:eastAsiaTheme="minorEastAsia" w:hAnsiTheme="minorHAnsi" w:cstheme="minorBidi"/>
          <w:szCs w:val="22"/>
        </w:rPr>
      </w:pPr>
      <w:r>
        <w:t>44.</w:t>
      </w:r>
      <w:r>
        <w:tab/>
        <w:t>Injunctions</w:t>
      </w:r>
      <w:r>
        <w:tab/>
      </w:r>
      <w:r>
        <w:fldChar w:fldCharType="begin"/>
      </w:r>
      <w:r>
        <w:instrText xml:space="preserve"> PAGEREF _Toc377038983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9 — WELS inspectors</w:t>
      </w:r>
    </w:p>
    <w:p>
      <w:pPr>
        <w:pStyle w:val="TOC4"/>
        <w:tabs>
          <w:tab w:val="right" w:leader="dot" w:pos="7086"/>
        </w:tabs>
        <w:rPr>
          <w:rFonts w:asciiTheme="minorHAnsi" w:eastAsiaTheme="minorEastAsia" w:hAnsiTheme="minorHAnsi" w:cstheme="minorBidi"/>
          <w:b w:val="0"/>
          <w:szCs w:val="22"/>
        </w:rPr>
      </w:pPr>
      <w:r>
        <w:t>Division 1 — Appointment of WELS inspectors</w:t>
      </w:r>
    </w:p>
    <w:p>
      <w:pPr>
        <w:pStyle w:val="TOC8"/>
        <w:rPr>
          <w:rFonts w:asciiTheme="minorHAnsi" w:eastAsiaTheme="minorEastAsia" w:hAnsiTheme="minorHAnsi" w:cstheme="minorBidi"/>
          <w:szCs w:val="22"/>
        </w:rPr>
      </w:pPr>
      <w:r>
        <w:t>45.</w:t>
      </w:r>
      <w:r>
        <w:tab/>
        <w:t>Regulator may appoint WELS inspectors</w:t>
      </w:r>
      <w:r>
        <w:tab/>
      </w:r>
      <w:r>
        <w:fldChar w:fldCharType="begin"/>
      </w:r>
      <w:r>
        <w:instrText xml:space="preserve"> PAGEREF _Toc377038986 \h </w:instrText>
      </w:r>
      <w:r>
        <w:fldChar w:fldCharType="separate"/>
      </w:r>
      <w:r>
        <w:t>25</w:t>
      </w:r>
      <w:r>
        <w:fldChar w:fldCharType="end"/>
      </w:r>
    </w:p>
    <w:p>
      <w:pPr>
        <w:pStyle w:val="TOC8"/>
        <w:rPr>
          <w:rFonts w:asciiTheme="minorHAnsi" w:eastAsiaTheme="minorEastAsia" w:hAnsiTheme="minorHAnsi" w:cstheme="minorBidi"/>
          <w:szCs w:val="22"/>
        </w:rPr>
      </w:pPr>
      <w:r>
        <w:t>46.</w:t>
      </w:r>
      <w:r>
        <w:tab/>
        <w:t>Identity cards</w:t>
      </w:r>
      <w:r>
        <w:tab/>
      </w:r>
      <w:r>
        <w:fldChar w:fldCharType="begin"/>
      </w:r>
      <w:r>
        <w:instrText xml:space="preserve"> PAGEREF _Toc377038987 \h </w:instrText>
      </w:r>
      <w:r>
        <w:fldChar w:fldCharType="separate"/>
      </w:r>
      <w:r>
        <w:t>25</w:t>
      </w:r>
      <w:r>
        <w:fldChar w:fldCharType="end"/>
      </w:r>
    </w:p>
    <w:p>
      <w:pPr>
        <w:pStyle w:val="TOC8"/>
        <w:rPr>
          <w:rFonts w:asciiTheme="minorHAnsi" w:eastAsiaTheme="minorEastAsia" w:hAnsiTheme="minorHAnsi" w:cstheme="minorBidi"/>
          <w:szCs w:val="22"/>
        </w:rPr>
      </w:pPr>
      <w:r>
        <w:t>46A.</w:t>
      </w:r>
      <w:r>
        <w:tab/>
        <w:t>Offences in relation to WELS inspectors</w:t>
      </w:r>
      <w:r>
        <w:tab/>
      </w:r>
      <w:r>
        <w:fldChar w:fldCharType="begin"/>
      </w:r>
      <w:r>
        <w:instrText xml:space="preserve"> PAGEREF _Toc377038988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Powers of WELS inspectors</w:t>
      </w:r>
    </w:p>
    <w:p>
      <w:pPr>
        <w:pStyle w:val="TOC8"/>
        <w:rPr>
          <w:rFonts w:asciiTheme="minorHAnsi" w:eastAsiaTheme="minorEastAsia" w:hAnsiTheme="minorHAnsi" w:cstheme="minorBidi"/>
          <w:szCs w:val="22"/>
        </w:rPr>
      </w:pPr>
      <w:r>
        <w:t>47.</w:t>
      </w:r>
      <w:r>
        <w:tab/>
        <w:t>Purposes for which powers can be used</w:t>
      </w:r>
      <w:r>
        <w:tab/>
      </w:r>
      <w:r>
        <w:fldChar w:fldCharType="begin"/>
      </w:r>
      <w:r>
        <w:instrText xml:space="preserve"> PAGEREF _Toc377038990 \h </w:instrText>
      </w:r>
      <w:r>
        <w:fldChar w:fldCharType="separate"/>
      </w:r>
      <w:r>
        <w:t>26</w:t>
      </w:r>
      <w:r>
        <w:fldChar w:fldCharType="end"/>
      </w:r>
    </w:p>
    <w:p>
      <w:pPr>
        <w:pStyle w:val="TOC8"/>
        <w:rPr>
          <w:rFonts w:asciiTheme="minorHAnsi" w:eastAsiaTheme="minorEastAsia" w:hAnsiTheme="minorHAnsi" w:cstheme="minorBidi"/>
          <w:szCs w:val="22"/>
        </w:rPr>
      </w:pPr>
      <w:r>
        <w:t>48.</w:t>
      </w:r>
      <w:r>
        <w:tab/>
        <w:t>Inspection powers — public areas of WELS business premises</w:t>
      </w:r>
      <w:r>
        <w:tab/>
      </w:r>
      <w:r>
        <w:fldChar w:fldCharType="begin"/>
      </w:r>
      <w:r>
        <w:instrText xml:space="preserve"> PAGEREF _Toc377038991 \h </w:instrText>
      </w:r>
      <w:r>
        <w:fldChar w:fldCharType="separate"/>
      </w:r>
      <w:r>
        <w:t>27</w:t>
      </w:r>
      <w:r>
        <w:fldChar w:fldCharType="end"/>
      </w:r>
    </w:p>
    <w:p>
      <w:pPr>
        <w:pStyle w:val="TOC8"/>
        <w:rPr>
          <w:rFonts w:asciiTheme="minorHAnsi" w:eastAsiaTheme="minorEastAsia" w:hAnsiTheme="minorHAnsi" w:cstheme="minorBidi"/>
          <w:szCs w:val="22"/>
        </w:rPr>
      </w:pPr>
      <w:r>
        <w:t>49.</w:t>
      </w:r>
      <w:r>
        <w:tab/>
        <w:t>Inspection powers — with consent</w:t>
      </w:r>
      <w:r>
        <w:tab/>
      </w:r>
      <w:r>
        <w:fldChar w:fldCharType="begin"/>
      </w:r>
      <w:r>
        <w:instrText xml:space="preserve"> PAGEREF _Toc377038992 \h </w:instrText>
      </w:r>
      <w:r>
        <w:fldChar w:fldCharType="separate"/>
      </w:r>
      <w:r>
        <w:t>27</w:t>
      </w:r>
      <w:r>
        <w:fldChar w:fldCharType="end"/>
      </w:r>
    </w:p>
    <w:p>
      <w:pPr>
        <w:pStyle w:val="TOC8"/>
        <w:rPr>
          <w:rFonts w:asciiTheme="minorHAnsi" w:eastAsiaTheme="minorEastAsia" w:hAnsiTheme="minorHAnsi" w:cstheme="minorBidi"/>
          <w:szCs w:val="22"/>
        </w:rPr>
      </w:pPr>
      <w:r>
        <w:t>50.</w:t>
      </w:r>
      <w:r>
        <w:tab/>
        <w:t>Refusing consent is not an offence</w:t>
      </w:r>
      <w:r>
        <w:tab/>
      </w:r>
      <w:r>
        <w:fldChar w:fldCharType="begin"/>
      </w:r>
      <w:r>
        <w:instrText xml:space="preserve"> PAGEREF _Toc377038993 \h </w:instrText>
      </w:r>
      <w:r>
        <w:fldChar w:fldCharType="separate"/>
      </w:r>
      <w:r>
        <w:t>28</w:t>
      </w:r>
      <w:r>
        <w:fldChar w:fldCharType="end"/>
      </w:r>
    </w:p>
    <w:p>
      <w:pPr>
        <w:pStyle w:val="TOC8"/>
        <w:rPr>
          <w:rFonts w:asciiTheme="minorHAnsi" w:eastAsiaTheme="minorEastAsia" w:hAnsiTheme="minorHAnsi" w:cstheme="minorBidi"/>
          <w:szCs w:val="22"/>
        </w:rPr>
      </w:pPr>
      <w:r>
        <w:t>51.</w:t>
      </w:r>
      <w:r>
        <w:tab/>
        <w:t>Inspection powers — with warrant</w:t>
      </w:r>
      <w:r>
        <w:tab/>
      </w:r>
      <w:r>
        <w:fldChar w:fldCharType="begin"/>
      </w:r>
      <w:r>
        <w:instrText xml:space="preserve"> PAGEREF _Toc377038994 \h </w:instrText>
      </w:r>
      <w:r>
        <w:fldChar w:fldCharType="separate"/>
      </w:r>
      <w:r>
        <w:t>28</w:t>
      </w:r>
      <w:r>
        <w:fldChar w:fldCharType="end"/>
      </w:r>
    </w:p>
    <w:p>
      <w:pPr>
        <w:pStyle w:val="TOC8"/>
        <w:rPr>
          <w:rFonts w:asciiTheme="minorHAnsi" w:eastAsiaTheme="minorEastAsia" w:hAnsiTheme="minorHAnsi" w:cstheme="minorBidi"/>
          <w:szCs w:val="22"/>
        </w:rPr>
      </w:pPr>
      <w:r>
        <w:t>52.</w:t>
      </w:r>
      <w:r>
        <w:tab/>
        <w:t>Announcement before entry under warrant</w:t>
      </w:r>
      <w:r>
        <w:tab/>
      </w:r>
      <w:r>
        <w:fldChar w:fldCharType="begin"/>
      </w:r>
      <w:r>
        <w:instrText xml:space="preserve"> PAGEREF _Toc377038995 \h </w:instrText>
      </w:r>
      <w:r>
        <w:fldChar w:fldCharType="separate"/>
      </w:r>
      <w:r>
        <w:t>29</w:t>
      </w:r>
      <w:r>
        <w:fldChar w:fldCharType="end"/>
      </w:r>
    </w:p>
    <w:p>
      <w:pPr>
        <w:pStyle w:val="TOC8"/>
        <w:rPr>
          <w:rFonts w:asciiTheme="minorHAnsi" w:eastAsiaTheme="minorEastAsia" w:hAnsiTheme="minorHAnsi" w:cstheme="minorBidi"/>
          <w:szCs w:val="22"/>
        </w:rPr>
      </w:pPr>
      <w:r>
        <w:t>53.</w:t>
      </w:r>
      <w:r>
        <w:tab/>
        <w:t>Copy of warrant to be given to occupier</w:t>
      </w:r>
      <w:r>
        <w:tab/>
      </w:r>
      <w:r>
        <w:fldChar w:fldCharType="begin"/>
      </w:r>
      <w:r>
        <w:instrText xml:space="preserve"> PAGEREF _Toc377038996 \h </w:instrText>
      </w:r>
      <w:r>
        <w:fldChar w:fldCharType="separate"/>
      </w:r>
      <w:r>
        <w:t>29</w:t>
      </w:r>
      <w:r>
        <w:fldChar w:fldCharType="end"/>
      </w:r>
    </w:p>
    <w:p>
      <w:pPr>
        <w:pStyle w:val="TOC8"/>
        <w:rPr>
          <w:rFonts w:asciiTheme="minorHAnsi" w:eastAsiaTheme="minorEastAsia" w:hAnsiTheme="minorHAnsi" w:cstheme="minorBidi"/>
          <w:szCs w:val="22"/>
        </w:rPr>
      </w:pPr>
      <w:r>
        <w:t>54.</w:t>
      </w:r>
      <w:r>
        <w:tab/>
        <w:t>Occupier must provide inspector with facilities and assistance</w:t>
      </w:r>
      <w:r>
        <w:tab/>
      </w:r>
      <w:r>
        <w:fldChar w:fldCharType="begin"/>
      </w:r>
      <w:r>
        <w:instrText xml:space="preserve"> PAGEREF _Toc377038997 \h </w:instrText>
      </w:r>
      <w:r>
        <w:fldChar w:fldCharType="separate"/>
      </w:r>
      <w:r>
        <w:t>30</w:t>
      </w:r>
      <w:r>
        <w:fldChar w:fldCharType="end"/>
      </w:r>
    </w:p>
    <w:p>
      <w:pPr>
        <w:pStyle w:val="TOC8"/>
        <w:rPr>
          <w:rFonts w:asciiTheme="minorHAnsi" w:eastAsiaTheme="minorEastAsia" w:hAnsiTheme="minorHAnsi" w:cstheme="minorBidi"/>
          <w:szCs w:val="22"/>
        </w:rPr>
      </w:pPr>
      <w:r>
        <w:t>55.</w:t>
      </w:r>
      <w:r>
        <w:tab/>
        <w:t>Seizing or securing evidential material</w:t>
      </w:r>
      <w:r>
        <w:tab/>
      </w:r>
      <w:r>
        <w:fldChar w:fldCharType="begin"/>
      </w:r>
      <w:r>
        <w:instrText xml:space="preserve"> PAGEREF _Toc377038998 \h </w:instrText>
      </w:r>
      <w:r>
        <w:fldChar w:fldCharType="separate"/>
      </w:r>
      <w:r>
        <w:t>30</w:t>
      </w:r>
      <w:r>
        <w:fldChar w:fldCharType="end"/>
      </w:r>
    </w:p>
    <w:p>
      <w:pPr>
        <w:pStyle w:val="TOC8"/>
        <w:rPr>
          <w:rFonts w:asciiTheme="minorHAnsi" w:eastAsiaTheme="minorEastAsia" w:hAnsiTheme="minorHAnsi" w:cstheme="minorBidi"/>
          <w:szCs w:val="22"/>
        </w:rPr>
      </w:pPr>
      <w:r>
        <w:t>56.</w:t>
      </w:r>
      <w:r>
        <w:tab/>
        <w:t>Holding evidential material for more than 90 days</w:t>
      </w:r>
      <w:r>
        <w:tab/>
      </w:r>
      <w:r>
        <w:fldChar w:fldCharType="begin"/>
      </w:r>
      <w:r>
        <w:instrText xml:space="preserve"> PAGEREF _Toc377038999 \h </w:instrText>
      </w:r>
      <w:r>
        <w:fldChar w:fldCharType="separate"/>
      </w:r>
      <w:r>
        <w:t>30</w:t>
      </w:r>
      <w:r>
        <w:fldChar w:fldCharType="end"/>
      </w:r>
    </w:p>
    <w:p>
      <w:pPr>
        <w:pStyle w:val="TOC8"/>
        <w:rPr>
          <w:rFonts w:asciiTheme="minorHAnsi" w:eastAsiaTheme="minorEastAsia" w:hAnsiTheme="minorHAnsi" w:cstheme="minorBidi"/>
          <w:szCs w:val="22"/>
        </w:rPr>
      </w:pPr>
      <w:r>
        <w:t>57.</w:t>
      </w:r>
      <w:r>
        <w:tab/>
        <w:t>Returning evidential material</w:t>
      </w:r>
      <w:r>
        <w:tab/>
      </w:r>
      <w:r>
        <w:fldChar w:fldCharType="begin"/>
      </w:r>
      <w:r>
        <w:instrText xml:space="preserve"> PAGEREF _Toc377039000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Applying for warrants to enter WELS premises</w:t>
      </w:r>
    </w:p>
    <w:p>
      <w:pPr>
        <w:pStyle w:val="TOC8"/>
        <w:rPr>
          <w:rFonts w:asciiTheme="minorHAnsi" w:eastAsiaTheme="minorEastAsia" w:hAnsiTheme="minorHAnsi" w:cstheme="minorBidi"/>
          <w:szCs w:val="22"/>
        </w:rPr>
      </w:pPr>
      <w:r>
        <w:t>58.</w:t>
      </w:r>
      <w:r>
        <w:tab/>
        <w:t>Ordinary warrants</w:t>
      </w:r>
      <w:r>
        <w:tab/>
      </w:r>
      <w:r>
        <w:fldChar w:fldCharType="begin"/>
      </w:r>
      <w:r>
        <w:instrText xml:space="preserve"> PAGEREF _Toc377039002 \h </w:instrText>
      </w:r>
      <w:r>
        <w:fldChar w:fldCharType="separate"/>
      </w:r>
      <w:r>
        <w:t>31</w:t>
      </w:r>
      <w:r>
        <w:fldChar w:fldCharType="end"/>
      </w:r>
    </w:p>
    <w:p>
      <w:pPr>
        <w:pStyle w:val="TOC8"/>
        <w:rPr>
          <w:rFonts w:asciiTheme="minorHAnsi" w:eastAsiaTheme="minorEastAsia" w:hAnsiTheme="minorHAnsi" w:cstheme="minorBidi"/>
          <w:szCs w:val="22"/>
        </w:rPr>
      </w:pPr>
      <w:r>
        <w:t>59.</w:t>
      </w:r>
      <w:r>
        <w:tab/>
        <w:t>Warrants by telephone, fax or other electronic means</w:t>
      </w:r>
      <w:r>
        <w:tab/>
      </w:r>
      <w:r>
        <w:fldChar w:fldCharType="begin"/>
      </w:r>
      <w:r>
        <w:instrText xml:space="preserve"> PAGEREF _Toc377039003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4 — Giving WELS information to WELS inspectors</w:t>
      </w:r>
    </w:p>
    <w:p>
      <w:pPr>
        <w:pStyle w:val="TOC8"/>
        <w:rPr>
          <w:rFonts w:asciiTheme="minorHAnsi" w:eastAsiaTheme="minorEastAsia" w:hAnsiTheme="minorHAnsi" w:cstheme="minorBidi"/>
          <w:szCs w:val="22"/>
        </w:rPr>
      </w:pPr>
      <w:r>
        <w:t>60.</w:t>
      </w:r>
      <w:r>
        <w:tab/>
        <w:t>Meaning of person who has WELS information</w:t>
      </w:r>
      <w:r>
        <w:tab/>
      </w:r>
      <w:r>
        <w:fldChar w:fldCharType="begin"/>
      </w:r>
      <w:r>
        <w:instrText xml:space="preserve"> PAGEREF _Toc377039005 \h </w:instrText>
      </w:r>
      <w:r>
        <w:fldChar w:fldCharType="separate"/>
      </w:r>
      <w:r>
        <w:t>34</w:t>
      </w:r>
      <w:r>
        <w:fldChar w:fldCharType="end"/>
      </w:r>
    </w:p>
    <w:p>
      <w:pPr>
        <w:pStyle w:val="TOC8"/>
        <w:rPr>
          <w:rFonts w:asciiTheme="minorHAnsi" w:eastAsiaTheme="minorEastAsia" w:hAnsiTheme="minorHAnsi" w:cstheme="minorBidi"/>
          <w:szCs w:val="22"/>
        </w:rPr>
      </w:pPr>
      <w:r>
        <w:t>61.</w:t>
      </w:r>
      <w:r>
        <w:tab/>
        <w:t>Regulator may require a person to provide information</w:t>
      </w:r>
      <w:r>
        <w:tab/>
      </w:r>
      <w:r>
        <w:fldChar w:fldCharType="begin"/>
      </w:r>
      <w:r>
        <w:instrText xml:space="preserve"> PAGEREF _Toc377039006 \h </w:instrText>
      </w:r>
      <w:r>
        <w:fldChar w:fldCharType="separate"/>
      </w:r>
      <w:r>
        <w:t>34</w:t>
      </w:r>
      <w:r>
        <w:fldChar w:fldCharType="end"/>
      </w:r>
    </w:p>
    <w:p>
      <w:pPr>
        <w:pStyle w:val="TOC8"/>
        <w:rPr>
          <w:rFonts w:asciiTheme="minorHAnsi" w:eastAsiaTheme="minorEastAsia" w:hAnsiTheme="minorHAnsi" w:cstheme="minorBidi"/>
          <w:szCs w:val="22"/>
        </w:rPr>
      </w:pPr>
      <w:r>
        <w:t>62.</w:t>
      </w:r>
      <w:r>
        <w:tab/>
        <w:t>Regulator may require a person to appear before a WELS inspector</w:t>
      </w:r>
      <w:r>
        <w:tab/>
      </w:r>
      <w:r>
        <w:fldChar w:fldCharType="begin"/>
      </w:r>
      <w:r>
        <w:instrText xml:space="preserve"> PAGEREF _Toc377039007 \h </w:instrText>
      </w:r>
      <w:r>
        <w:fldChar w:fldCharType="separate"/>
      </w:r>
      <w:r>
        <w:t>35</w:t>
      </w:r>
      <w:r>
        <w:fldChar w:fldCharType="end"/>
      </w:r>
    </w:p>
    <w:p>
      <w:pPr>
        <w:pStyle w:val="TOC8"/>
        <w:rPr>
          <w:rFonts w:asciiTheme="minorHAnsi" w:eastAsiaTheme="minorEastAsia" w:hAnsiTheme="minorHAnsi" w:cstheme="minorBidi"/>
          <w:szCs w:val="22"/>
        </w:rPr>
      </w:pPr>
      <w:r>
        <w:t>62A.</w:t>
      </w:r>
      <w:r>
        <w:tab/>
        <w:t>False or misleading information or documents</w:t>
      </w:r>
      <w:r>
        <w:tab/>
      </w:r>
      <w:r>
        <w:fldChar w:fldCharType="begin"/>
      </w:r>
      <w:r>
        <w:instrText xml:space="preserve"> PAGEREF _Toc377039008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5 — Privilege against self incrimination</w:t>
      </w:r>
    </w:p>
    <w:p>
      <w:pPr>
        <w:pStyle w:val="TOC8"/>
        <w:rPr>
          <w:rFonts w:asciiTheme="minorHAnsi" w:eastAsiaTheme="minorEastAsia" w:hAnsiTheme="minorHAnsi" w:cstheme="minorBidi"/>
          <w:szCs w:val="22"/>
        </w:rPr>
      </w:pPr>
      <w:r>
        <w:t>63.</w:t>
      </w:r>
      <w:r>
        <w:tab/>
        <w:t>Privilege against self incrimination not affected</w:t>
      </w:r>
      <w:r>
        <w:tab/>
      </w:r>
      <w:r>
        <w:fldChar w:fldCharType="begin"/>
      </w:r>
      <w:r>
        <w:instrText xml:space="preserve"> PAGEREF _Toc377039010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10 — Money</w:t>
      </w:r>
    </w:p>
    <w:p>
      <w:pPr>
        <w:pStyle w:val="TOC4"/>
        <w:tabs>
          <w:tab w:val="right" w:leader="dot" w:pos="7086"/>
        </w:tabs>
        <w:rPr>
          <w:rFonts w:asciiTheme="minorHAnsi" w:eastAsiaTheme="minorEastAsia" w:hAnsiTheme="minorHAnsi" w:cstheme="minorBidi"/>
          <w:b w:val="0"/>
          <w:szCs w:val="22"/>
        </w:rPr>
      </w:pPr>
      <w:r>
        <w:t>Division 1 — The WELS Account</w:t>
      </w:r>
    </w:p>
    <w:p>
      <w:pPr>
        <w:pStyle w:val="TOC8"/>
        <w:rPr>
          <w:rFonts w:asciiTheme="minorHAnsi" w:eastAsiaTheme="minorEastAsia" w:hAnsiTheme="minorHAnsi" w:cstheme="minorBidi"/>
          <w:szCs w:val="22"/>
        </w:rPr>
      </w:pPr>
      <w:r>
        <w:t>64.</w:t>
      </w:r>
      <w:r>
        <w:tab/>
        <w:t>WELS Account</w:t>
      </w:r>
      <w:r>
        <w:tab/>
      </w:r>
      <w:r>
        <w:fldChar w:fldCharType="begin"/>
      </w:r>
      <w:r>
        <w:instrText xml:space="preserve"> PAGEREF _Toc377039013 \h </w:instrText>
      </w:r>
      <w:r>
        <w:fldChar w:fldCharType="separate"/>
      </w:r>
      <w:r>
        <w:t>38</w:t>
      </w:r>
      <w:r>
        <w:fldChar w:fldCharType="end"/>
      </w:r>
    </w:p>
    <w:p>
      <w:pPr>
        <w:pStyle w:val="TOC8"/>
        <w:rPr>
          <w:rFonts w:asciiTheme="minorHAnsi" w:eastAsiaTheme="minorEastAsia" w:hAnsiTheme="minorHAnsi" w:cstheme="minorBidi"/>
          <w:szCs w:val="22"/>
        </w:rPr>
      </w:pPr>
      <w:r>
        <w:t>65.</w:t>
      </w:r>
      <w:r>
        <w:tab/>
        <w:t>Credits to the WELS Account</w:t>
      </w:r>
      <w:r>
        <w:tab/>
      </w:r>
      <w:r>
        <w:fldChar w:fldCharType="begin"/>
      </w:r>
      <w:r>
        <w:instrText xml:space="preserve"> PAGEREF _Toc377039014 \h </w:instrText>
      </w:r>
      <w:r>
        <w:fldChar w:fldCharType="separate"/>
      </w:r>
      <w:r>
        <w:t>38</w:t>
      </w:r>
      <w:r>
        <w:fldChar w:fldCharType="end"/>
      </w:r>
    </w:p>
    <w:p>
      <w:pPr>
        <w:pStyle w:val="TOC8"/>
        <w:rPr>
          <w:rFonts w:asciiTheme="minorHAnsi" w:eastAsiaTheme="minorEastAsia" w:hAnsiTheme="minorHAnsi" w:cstheme="minorBidi"/>
          <w:szCs w:val="22"/>
        </w:rPr>
      </w:pPr>
      <w:r>
        <w:t>66.</w:t>
      </w:r>
      <w:r>
        <w:tab/>
        <w:t>Purpose of the WELS Account</w:t>
      </w:r>
      <w:r>
        <w:tab/>
      </w:r>
      <w:r>
        <w:fldChar w:fldCharType="begin"/>
      </w:r>
      <w:r>
        <w:instrText xml:space="preserve"> PAGEREF _Toc377039015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Charging fees and recovering fees and other amounts</w:t>
      </w:r>
    </w:p>
    <w:p>
      <w:pPr>
        <w:pStyle w:val="TOC8"/>
        <w:rPr>
          <w:rFonts w:asciiTheme="minorHAnsi" w:eastAsiaTheme="minorEastAsia" w:hAnsiTheme="minorHAnsi" w:cstheme="minorBidi"/>
          <w:szCs w:val="22"/>
        </w:rPr>
      </w:pPr>
      <w:r>
        <w:t>67.</w:t>
      </w:r>
      <w:r>
        <w:tab/>
        <w:t>Regulator may charge for services</w:t>
      </w:r>
      <w:r>
        <w:tab/>
      </w:r>
      <w:r>
        <w:fldChar w:fldCharType="begin"/>
      </w:r>
      <w:r>
        <w:instrText xml:space="preserve"> PAGEREF _Toc377039017 \h </w:instrText>
      </w:r>
      <w:r>
        <w:fldChar w:fldCharType="separate"/>
      </w:r>
      <w:r>
        <w:t>39</w:t>
      </w:r>
      <w:r>
        <w:fldChar w:fldCharType="end"/>
      </w:r>
    </w:p>
    <w:p>
      <w:pPr>
        <w:pStyle w:val="TOC8"/>
        <w:rPr>
          <w:rFonts w:asciiTheme="minorHAnsi" w:eastAsiaTheme="minorEastAsia" w:hAnsiTheme="minorHAnsi" w:cstheme="minorBidi"/>
          <w:szCs w:val="22"/>
        </w:rPr>
      </w:pPr>
      <w:r>
        <w:t>68.</w:t>
      </w:r>
      <w:r>
        <w:tab/>
        <w:t>Recovery of amounts</w:t>
      </w:r>
      <w:r>
        <w:tab/>
      </w:r>
      <w:r>
        <w:fldChar w:fldCharType="begin"/>
      </w:r>
      <w:r>
        <w:instrText xml:space="preserve"> PAGEREF _Toc377039018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11 — Review of decisions</w:t>
      </w:r>
    </w:p>
    <w:p>
      <w:pPr>
        <w:pStyle w:val="TOC8"/>
        <w:rPr>
          <w:rFonts w:asciiTheme="minorHAnsi" w:eastAsiaTheme="minorEastAsia" w:hAnsiTheme="minorHAnsi" w:cstheme="minorBidi"/>
          <w:szCs w:val="22"/>
        </w:rPr>
      </w:pPr>
      <w:r>
        <w:t>69.</w:t>
      </w:r>
      <w:r>
        <w:tab/>
        <w:t>Meaning of reviewable decision and affected person</w:t>
      </w:r>
      <w:r>
        <w:tab/>
      </w:r>
      <w:r>
        <w:fldChar w:fldCharType="begin"/>
      </w:r>
      <w:r>
        <w:instrText xml:space="preserve"> PAGEREF _Toc377039020 \h </w:instrText>
      </w:r>
      <w:r>
        <w:fldChar w:fldCharType="separate"/>
      </w:r>
      <w:r>
        <w:t>40</w:t>
      </w:r>
      <w:r>
        <w:fldChar w:fldCharType="end"/>
      </w:r>
    </w:p>
    <w:p>
      <w:pPr>
        <w:pStyle w:val="TOC8"/>
        <w:rPr>
          <w:rFonts w:asciiTheme="minorHAnsi" w:eastAsiaTheme="minorEastAsia" w:hAnsiTheme="minorHAnsi" w:cstheme="minorBidi"/>
          <w:szCs w:val="22"/>
        </w:rPr>
      </w:pPr>
      <w:r>
        <w:t>70.</w:t>
      </w:r>
      <w:r>
        <w:tab/>
        <w:t>Notification of decisions and review rights</w:t>
      </w:r>
      <w:r>
        <w:tab/>
      </w:r>
      <w:r>
        <w:fldChar w:fldCharType="begin"/>
      </w:r>
      <w:r>
        <w:instrText xml:space="preserve"> PAGEREF _Toc377039021 \h </w:instrText>
      </w:r>
      <w:r>
        <w:fldChar w:fldCharType="separate"/>
      </w:r>
      <w:r>
        <w:t>40</w:t>
      </w:r>
      <w:r>
        <w:fldChar w:fldCharType="end"/>
      </w:r>
    </w:p>
    <w:p>
      <w:pPr>
        <w:pStyle w:val="TOC8"/>
        <w:rPr>
          <w:rFonts w:asciiTheme="minorHAnsi" w:eastAsiaTheme="minorEastAsia" w:hAnsiTheme="minorHAnsi" w:cstheme="minorBidi"/>
          <w:szCs w:val="22"/>
        </w:rPr>
      </w:pPr>
      <w:r>
        <w:t>71.</w:t>
      </w:r>
      <w:r>
        <w:tab/>
        <w:t>Internal review</w:t>
      </w:r>
      <w:r>
        <w:tab/>
      </w:r>
      <w:r>
        <w:fldChar w:fldCharType="begin"/>
      </w:r>
      <w:r>
        <w:instrText xml:space="preserve"> PAGEREF _Toc377039022 \h </w:instrText>
      </w:r>
      <w:r>
        <w:fldChar w:fldCharType="separate"/>
      </w:r>
      <w:r>
        <w:t>40</w:t>
      </w:r>
      <w:r>
        <w:fldChar w:fldCharType="end"/>
      </w:r>
    </w:p>
    <w:p>
      <w:pPr>
        <w:pStyle w:val="TOC8"/>
        <w:rPr>
          <w:rFonts w:asciiTheme="minorHAnsi" w:eastAsiaTheme="minorEastAsia" w:hAnsiTheme="minorHAnsi" w:cstheme="minorBidi"/>
          <w:szCs w:val="22"/>
        </w:rPr>
      </w:pPr>
      <w:r>
        <w:t>72.</w:t>
      </w:r>
      <w:r>
        <w:tab/>
        <w:t>Review of decisions by AAT</w:t>
      </w:r>
      <w:r>
        <w:tab/>
      </w:r>
      <w:r>
        <w:fldChar w:fldCharType="begin"/>
      </w:r>
      <w:r>
        <w:instrText xml:space="preserve"> PAGEREF _Toc377039023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73.</w:t>
      </w:r>
      <w:r>
        <w:tab/>
        <w:t>Compensation for damage to electronic equipment</w:t>
      </w:r>
      <w:r>
        <w:tab/>
      </w:r>
      <w:r>
        <w:fldChar w:fldCharType="begin"/>
      </w:r>
      <w:r>
        <w:instrText xml:space="preserve"> PAGEREF _Toc377039025 \h </w:instrText>
      </w:r>
      <w:r>
        <w:fldChar w:fldCharType="separate"/>
      </w:r>
      <w:r>
        <w:t>42</w:t>
      </w:r>
      <w:r>
        <w:fldChar w:fldCharType="end"/>
      </w:r>
    </w:p>
    <w:p>
      <w:pPr>
        <w:pStyle w:val="TOC8"/>
        <w:rPr>
          <w:rFonts w:asciiTheme="minorHAnsi" w:eastAsiaTheme="minorEastAsia" w:hAnsiTheme="minorHAnsi" w:cstheme="minorBidi"/>
          <w:szCs w:val="22"/>
        </w:rPr>
      </w:pPr>
      <w:r>
        <w:t>74.</w:t>
      </w:r>
      <w:r>
        <w:tab/>
        <w:t>Compensation for acquisition of property</w:t>
      </w:r>
      <w:r>
        <w:tab/>
      </w:r>
      <w:r>
        <w:fldChar w:fldCharType="begin"/>
      </w:r>
      <w:r>
        <w:instrText xml:space="preserve"> PAGEREF _Toc377039026 \h </w:instrText>
      </w:r>
      <w:r>
        <w:fldChar w:fldCharType="separate"/>
      </w:r>
      <w:r>
        <w:t>43</w:t>
      </w:r>
      <w:r>
        <w:fldChar w:fldCharType="end"/>
      </w:r>
    </w:p>
    <w:p>
      <w:pPr>
        <w:pStyle w:val="TOC8"/>
        <w:rPr>
          <w:rFonts w:asciiTheme="minorHAnsi" w:eastAsiaTheme="minorEastAsia" w:hAnsiTheme="minorHAnsi" w:cstheme="minorBidi"/>
          <w:szCs w:val="22"/>
        </w:rPr>
      </w:pPr>
      <w:r>
        <w:t>75.</w:t>
      </w:r>
      <w:r>
        <w:tab/>
        <w:t>Annual report</w:t>
      </w:r>
      <w:r>
        <w:tab/>
      </w:r>
      <w:r>
        <w:fldChar w:fldCharType="begin"/>
      </w:r>
      <w:r>
        <w:instrText xml:space="preserve"> PAGEREF _Toc377039027 \h </w:instrText>
      </w:r>
      <w:r>
        <w:fldChar w:fldCharType="separate"/>
      </w:r>
      <w:r>
        <w:t>43</w:t>
      </w:r>
      <w:r>
        <w:fldChar w:fldCharType="end"/>
      </w:r>
    </w:p>
    <w:p>
      <w:pPr>
        <w:pStyle w:val="TOC8"/>
        <w:rPr>
          <w:rFonts w:asciiTheme="minorHAnsi" w:eastAsiaTheme="minorEastAsia" w:hAnsiTheme="minorHAnsi" w:cstheme="minorBidi"/>
          <w:szCs w:val="22"/>
        </w:rPr>
      </w:pPr>
      <w:r>
        <w:t>76.</w:t>
      </w:r>
      <w:r>
        <w:tab/>
        <w:t>Review of operation of WELS scheme</w:t>
      </w:r>
      <w:r>
        <w:tab/>
      </w:r>
      <w:r>
        <w:fldChar w:fldCharType="begin"/>
      </w:r>
      <w:r>
        <w:instrText xml:space="preserve"> PAGEREF _Toc377039028 \h </w:instrText>
      </w:r>
      <w:r>
        <w:fldChar w:fldCharType="separate"/>
      </w:r>
      <w:r>
        <w:t>43</w:t>
      </w:r>
      <w:r>
        <w:fldChar w:fldCharType="end"/>
      </w:r>
    </w:p>
    <w:p>
      <w:pPr>
        <w:pStyle w:val="TOC8"/>
        <w:rPr>
          <w:rFonts w:asciiTheme="minorHAnsi" w:eastAsiaTheme="minorEastAsia" w:hAnsiTheme="minorHAnsi" w:cstheme="minorBidi"/>
          <w:szCs w:val="22"/>
        </w:rPr>
      </w:pPr>
      <w:r>
        <w:t>77.</w:t>
      </w:r>
      <w:r>
        <w:tab/>
        <w:t>Regulations</w:t>
      </w:r>
      <w:r>
        <w:tab/>
      </w:r>
      <w:r>
        <w:fldChar w:fldCharType="begin"/>
      </w:r>
      <w:r>
        <w:instrText xml:space="preserve"> PAGEREF _Toc377039029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_Toc377039031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An Act to provide for water efficiency labelling and for the making of water efficiency standards, and for related purposes</w:t>
      </w:r>
      <w:r>
        <w:rPr>
          <w:rFonts w:ascii="Times" w:hAnsi="Times"/>
        </w:rPr>
        <w:t>.</w:t>
      </w:r>
    </w:p>
    <w:p>
      <w:pPr>
        <w:pStyle w:val="Heading2"/>
      </w:pPr>
      <w:bookmarkStart w:id="1" w:name="_Toc377038914"/>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7038915"/>
      <w:r>
        <w:rPr>
          <w:rStyle w:val="CharSectno"/>
        </w:rPr>
        <w:t>1</w:t>
      </w:r>
      <w:r>
        <w:t>.</w:t>
      </w:r>
      <w:r>
        <w:tab/>
      </w:r>
      <w:r>
        <w:rPr>
          <w:snapToGrid w:val="0"/>
        </w:rPr>
        <w:t>Short title</w:t>
      </w:r>
      <w:bookmarkEnd w:id="2"/>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3" w:name="_Toc377038916"/>
      <w:r>
        <w:rPr>
          <w:rStyle w:val="CharSectno"/>
        </w:rPr>
        <w:t>2</w:t>
      </w:r>
      <w:r>
        <w:rPr>
          <w:snapToGrid w:val="0"/>
        </w:rPr>
        <w:t>.</w:t>
      </w:r>
      <w:r>
        <w:rPr>
          <w:snapToGrid w:val="0"/>
        </w:rPr>
        <w:tab/>
      </w:r>
      <w:r>
        <w:t>Commencement</w:t>
      </w:r>
      <w:bookmarkEnd w:id="3"/>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4" w:name="_Toc377038917"/>
      <w:r>
        <w:rPr>
          <w:rStyle w:val="CharSectno"/>
        </w:rPr>
        <w:t>3</w:t>
      </w:r>
      <w:r>
        <w:t>.</w:t>
      </w:r>
      <w:r>
        <w:tab/>
        <w:t>Objects of Act</w:t>
      </w:r>
      <w:bookmarkEnd w:id="4"/>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5" w:name="_Toc377038918"/>
      <w:r>
        <w:rPr>
          <w:rStyle w:val="CharSectno"/>
        </w:rPr>
        <w:t>4</w:t>
      </w:r>
      <w:r>
        <w:t>.</w:t>
      </w:r>
      <w:r>
        <w:tab/>
        <w:t>Act to bind the Crown</w:t>
      </w:r>
      <w:bookmarkEnd w:id="5"/>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6" w:name="_Toc377038919"/>
      <w:r>
        <w:rPr>
          <w:rStyle w:val="CharSectno"/>
        </w:rPr>
        <w:t>5</w:t>
      </w:r>
      <w:r>
        <w:t>.</w:t>
      </w:r>
      <w:r>
        <w:tab/>
        <w:t>External Territories</w:t>
      </w:r>
      <w:bookmarkEnd w:id="6"/>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7" w:name="_Toc377038920"/>
      <w:r>
        <w:rPr>
          <w:rStyle w:val="CharSectno"/>
        </w:rPr>
        <w:t>5A</w:t>
      </w:r>
      <w:r>
        <w:t>.</w:t>
      </w:r>
      <w:r>
        <w:tab/>
        <w:t>Numbering</w:t>
      </w:r>
      <w:bookmarkEnd w:id="7"/>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8" w:name="_Toc377038921"/>
      <w:r>
        <w:rPr>
          <w:rStyle w:val="CharSectno"/>
        </w:rPr>
        <w:t>5B</w:t>
      </w:r>
      <w:r>
        <w:t>.</w:t>
      </w:r>
      <w:r>
        <w:tab/>
        <w:t>Notes</w:t>
      </w:r>
      <w:bookmarkEnd w:id="8"/>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9" w:name="_Toc377038922"/>
      <w:r>
        <w:rPr>
          <w:rStyle w:val="CharPartNo"/>
        </w:rPr>
        <w:t>Part 2</w:t>
      </w:r>
      <w:r>
        <w:rPr>
          <w:rStyle w:val="CharDivNo"/>
        </w:rPr>
        <w:t> </w:t>
      </w:r>
      <w:r>
        <w:t>—</w:t>
      </w:r>
      <w:r>
        <w:rPr>
          <w:rStyle w:val="CharDivText"/>
        </w:rPr>
        <w:t> </w:t>
      </w:r>
      <w:r>
        <w:rPr>
          <w:rStyle w:val="CharPartText"/>
        </w:rPr>
        <w:t>Interpretation</w:t>
      </w:r>
      <w:bookmarkEnd w:id="9"/>
    </w:p>
    <w:p>
      <w:pPr>
        <w:pStyle w:val="Heading5"/>
      </w:pPr>
      <w:bookmarkStart w:id="10" w:name="_Toc377038923"/>
      <w:r>
        <w:rPr>
          <w:rStyle w:val="CharSectno"/>
        </w:rPr>
        <w:t>6</w:t>
      </w:r>
      <w:r>
        <w:t>.</w:t>
      </w:r>
      <w:r>
        <w:tab/>
        <w:t>Application of the Criminal Code</w:t>
      </w:r>
      <w:bookmarkEnd w:id="10"/>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11" w:name="_Toc377038924"/>
      <w:r>
        <w:rPr>
          <w:rStyle w:val="CharSectno"/>
        </w:rPr>
        <w:t>7</w:t>
      </w:r>
      <w:r>
        <w:t>.</w:t>
      </w:r>
      <w:r>
        <w:tab/>
        <w:t>Definitions</w:t>
      </w:r>
      <w:bookmarkEnd w:id="11"/>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r>
        <w:tab/>
        <w:t>Note:</w:t>
      </w:r>
      <w:r>
        <w:tab/>
        <w:t>This section differs from the Commonwealth Act section 7.</w:t>
      </w:r>
    </w:p>
    <w:p>
      <w:pPr>
        <w:pStyle w:val="Heading2"/>
      </w:pPr>
      <w:bookmarkStart w:id="12" w:name="_Toc377038925"/>
      <w:r>
        <w:rPr>
          <w:rStyle w:val="CharPartNo"/>
        </w:rPr>
        <w:t>Part 3</w:t>
      </w:r>
      <w:r>
        <w:rPr>
          <w:rStyle w:val="CharDivNo"/>
        </w:rPr>
        <w:t> </w:t>
      </w:r>
      <w:r>
        <w:t>—</w:t>
      </w:r>
      <w:r>
        <w:rPr>
          <w:rStyle w:val="CharDivText"/>
        </w:rPr>
        <w:t> </w:t>
      </w:r>
      <w:r>
        <w:rPr>
          <w:rStyle w:val="CharPartText"/>
        </w:rPr>
        <w:t>National WELS scheme</w:t>
      </w:r>
      <w:bookmarkEnd w:id="12"/>
    </w:p>
    <w:p>
      <w:pPr>
        <w:pStyle w:val="Heading5"/>
      </w:pPr>
      <w:bookmarkStart w:id="13" w:name="_Toc377038926"/>
      <w:r>
        <w:rPr>
          <w:rStyle w:val="CharSectno"/>
        </w:rPr>
        <w:t>8</w:t>
      </w:r>
      <w:r>
        <w:t>.</w:t>
      </w:r>
      <w:r>
        <w:tab/>
        <w:t>WELS scheme to be a national cooperative scheme</w:t>
      </w:r>
      <w:bookmarkEnd w:id="13"/>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14" w:name="_Toc377038927"/>
      <w:r>
        <w:rPr>
          <w:rStyle w:val="CharSectno"/>
        </w:rPr>
        <w:t>9</w:t>
      </w:r>
      <w:r>
        <w:t>.</w:t>
      </w:r>
      <w:r>
        <w:tab/>
        <w:t>Application of this Act</w:t>
      </w:r>
      <w:bookmarkEnd w:id="14"/>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15" w:name="_Toc377038928"/>
      <w:r>
        <w:rPr>
          <w:rStyle w:val="CharSectno"/>
        </w:rPr>
        <w:t>10</w:t>
      </w:r>
      <w:r>
        <w:t>.</w:t>
      </w:r>
      <w:r>
        <w:tab/>
        <w:t>Relationship to other State laws</w:t>
      </w:r>
      <w:bookmarkEnd w:id="15"/>
    </w:p>
    <w:p>
      <w:pPr>
        <w:pStyle w:val="Subsection"/>
      </w:pPr>
      <w:r>
        <w:tab/>
      </w:r>
      <w:r>
        <w:tab/>
        <w:t>The provisions of this Act are in addition to, and do not limit or derogate from, the provisions of any other written law.</w:t>
      </w:r>
    </w:p>
    <w:p>
      <w:pPr>
        <w:pStyle w:val="Heading5"/>
      </w:pPr>
      <w:bookmarkStart w:id="16" w:name="_Toc377038929"/>
      <w:r>
        <w:rPr>
          <w:rStyle w:val="CharSectno"/>
        </w:rPr>
        <w:t>11</w:t>
      </w:r>
      <w:r>
        <w:t>.</w:t>
      </w:r>
      <w:r>
        <w:tab/>
        <w:t>State and Territory laws may operate concurrently</w:t>
      </w:r>
      <w:bookmarkEnd w:id="16"/>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17" w:name="_Toc377038930"/>
      <w:r>
        <w:rPr>
          <w:rStyle w:val="CharSectno"/>
        </w:rPr>
        <w:t>12</w:t>
      </w:r>
      <w:r>
        <w:t>.</w:t>
      </w:r>
      <w:r>
        <w:tab/>
        <w:t>Meaning of “corresponding law”</w:t>
      </w:r>
      <w:bookmarkEnd w:id="17"/>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18" w:name="_Toc377038931"/>
      <w:r>
        <w:rPr>
          <w:rStyle w:val="CharSectno"/>
        </w:rPr>
        <w:t>13</w:t>
      </w:r>
      <w:r>
        <w:t>.</w:t>
      </w:r>
      <w:r>
        <w:tab/>
        <w:t>Commonwealth consent to conferral of functions etc. on the Regulator or inspectors by corresponding laws</w:t>
      </w:r>
      <w:bookmarkEnd w:id="18"/>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19" w:name="_Toc377038932"/>
      <w:r>
        <w:rPr>
          <w:rStyle w:val="CharSectno"/>
        </w:rPr>
        <w:t>14</w:t>
      </w:r>
      <w:r>
        <w:t>.</w:t>
      </w:r>
      <w:r>
        <w:tab/>
        <w:t>How duty is imposed by corresponding laws</w:t>
      </w:r>
      <w:bookmarkEnd w:id="19"/>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20" w:name="_Toc377038933"/>
      <w:r>
        <w:rPr>
          <w:rStyle w:val="CharSectno"/>
        </w:rPr>
        <w:t>15</w:t>
      </w:r>
      <w:r>
        <w:t>.</w:t>
      </w:r>
      <w:r>
        <w:tab/>
        <w:t>When a corresponding State</w:t>
      </w:r>
      <w:r>
        <w:noBreakHyphen/>
        <w:t>Territory law imposes a duty</w:t>
      </w:r>
      <w:bookmarkEnd w:id="20"/>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21" w:name="_Toc377038934"/>
      <w:r>
        <w:rPr>
          <w:rStyle w:val="CharSectno"/>
        </w:rPr>
        <w:t>16</w:t>
      </w:r>
      <w:r>
        <w:t>.</w:t>
      </w:r>
      <w:r>
        <w:tab/>
        <w:t>No doubling up of liabilities</w:t>
      </w:r>
      <w:bookmarkEnd w:id="21"/>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22" w:name="_Toc377038935"/>
      <w:r>
        <w:rPr>
          <w:rStyle w:val="CharSectno"/>
        </w:rPr>
        <w:t>17</w:t>
      </w:r>
      <w:r>
        <w:t>.</w:t>
      </w:r>
      <w:r>
        <w:tab/>
        <w:t>Review of decisions under this Act</w:t>
      </w:r>
      <w:bookmarkEnd w:id="22"/>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23" w:name="_Toc377038936"/>
      <w:r>
        <w:rPr>
          <w:rStyle w:val="CharPartNo"/>
        </w:rPr>
        <w:t>Part 4</w:t>
      </w:r>
      <w:r>
        <w:rPr>
          <w:rStyle w:val="CharDivNo"/>
        </w:rPr>
        <w:t> </w:t>
      </w:r>
      <w:r>
        <w:t>—</w:t>
      </w:r>
      <w:r>
        <w:rPr>
          <w:rStyle w:val="CharDivText"/>
        </w:rPr>
        <w:t> </w:t>
      </w:r>
      <w:r>
        <w:rPr>
          <w:rStyle w:val="CharPartText"/>
        </w:rPr>
        <w:t>WELS products and WELS standards</w:t>
      </w:r>
      <w:bookmarkEnd w:id="23"/>
    </w:p>
    <w:p>
      <w:pPr>
        <w:pStyle w:val="Heading5"/>
      </w:pPr>
      <w:bookmarkStart w:id="24" w:name="_Toc377038937"/>
      <w:r>
        <w:rPr>
          <w:rStyle w:val="CharSectno"/>
        </w:rPr>
        <w:t>18</w:t>
      </w:r>
      <w:r>
        <w:t>.</w:t>
      </w:r>
      <w:r>
        <w:tab/>
        <w:t>WELS products</w:t>
      </w:r>
      <w:bookmarkEnd w:id="24"/>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25" w:name="_Toc377038938"/>
      <w:r>
        <w:rPr>
          <w:rStyle w:val="CharSectno"/>
        </w:rPr>
        <w:t>19</w:t>
      </w:r>
      <w:r>
        <w:t>.</w:t>
      </w:r>
      <w:r>
        <w:tab/>
        <w:t>WELS standards</w:t>
      </w:r>
      <w:bookmarkEnd w:id="25"/>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26" w:name="_Toc377038939"/>
      <w:r>
        <w:rPr>
          <w:rStyle w:val="CharSectno"/>
        </w:rPr>
        <w:t>20</w:t>
      </w:r>
      <w:r>
        <w:t>.</w:t>
      </w:r>
      <w:r>
        <w:tab/>
        <w:t>Meaning of WELS labelled</w:t>
      </w:r>
      <w:bookmarkEnd w:id="26"/>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27" w:name="_Toc377038940"/>
      <w:r>
        <w:rPr>
          <w:rStyle w:val="CharPartNo"/>
        </w:rPr>
        <w:t>Part 5</w:t>
      </w:r>
      <w:r>
        <w:rPr>
          <w:rStyle w:val="CharDivNo"/>
        </w:rPr>
        <w:t> </w:t>
      </w:r>
      <w:r>
        <w:t>—</w:t>
      </w:r>
      <w:r>
        <w:rPr>
          <w:rStyle w:val="CharDivText"/>
        </w:rPr>
        <w:t> </w:t>
      </w:r>
      <w:r>
        <w:rPr>
          <w:rStyle w:val="CharPartText"/>
        </w:rPr>
        <w:t>The WELS Regulator</w:t>
      </w:r>
      <w:bookmarkEnd w:id="27"/>
    </w:p>
    <w:p>
      <w:pPr>
        <w:pStyle w:val="Heading5"/>
      </w:pPr>
      <w:bookmarkStart w:id="28" w:name="_Toc377038941"/>
      <w:r>
        <w:rPr>
          <w:rStyle w:val="CharSectno"/>
        </w:rPr>
        <w:t>21</w:t>
      </w:r>
      <w:r>
        <w:t>.</w:t>
      </w:r>
      <w:r>
        <w:tab/>
        <w:t>The Regulator</w:t>
      </w:r>
      <w:bookmarkEnd w:id="28"/>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29" w:name="_Toc377038942"/>
      <w:r>
        <w:rPr>
          <w:rStyle w:val="CharSectno"/>
        </w:rPr>
        <w:t>22</w:t>
      </w:r>
      <w:r>
        <w:t>.</w:t>
      </w:r>
      <w:r>
        <w:tab/>
        <w:t>Functions of the Regulator</w:t>
      </w:r>
      <w:bookmarkEnd w:id="29"/>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30" w:name="_Toc377038943"/>
      <w:r>
        <w:rPr>
          <w:rStyle w:val="CharSectno"/>
        </w:rPr>
        <w:t>23</w:t>
      </w:r>
      <w:r>
        <w:t>.</w:t>
      </w:r>
      <w:r>
        <w:tab/>
        <w:t>Powers of the Regulator</w:t>
      </w:r>
      <w:bookmarkEnd w:id="30"/>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31" w:name="_Toc377038944"/>
      <w:r>
        <w:rPr>
          <w:rStyle w:val="CharSectno"/>
        </w:rPr>
        <w:t>24</w:t>
      </w:r>
      <w:r>
        <w:t>.</w:t>
      </w:r>
      <w:r>
        <w:tab/>
        <w:t>Arrangements with other agencies</w:t>
      </w:r>
      <w:bookmarkEnd w:id="31"/>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32" w:name="_Toc377038945"/>
      <w:r>
        <w:rPr>
          <w:rStyle w:val="CharSectno"/>
        </w:rPr>
        <w:t>25</w:t>
      </w:r>
      <w:r>
        <w:t>.</w:t>
      </w:r>
      <w:r>
        <w:tab/>
        <w:t>Delegation</w:t>
      </w:r>
      <w:bookmarkEnd w:id="32"/>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33" w:name="_Toc377038946"/>
      <w:r>
        <w:rPr>
          <w:rStyle w:val="CharPartNo"/>
        </w:rPr>
        <w:t>Part 6</w:t>
      </w:r>
      <w:r>
        <w:rPr>
          <w:rStyle w:val="CharDivNo"/>
        </w:rPr>
        <w:t> </w:t>
      </w:r>
      <w:r>
        <w:t>—</w:t>
      </w:r>
      <w:r>
        <w:rPr>
          <w:rStyle w:val="CharDivText"/>
        </w:rPr>
        <w:t> </w:t>
      </w:r>
      <w:r>
        <w:rPr>
          <w:rStyle w:val="CharPartText"/>
        </w:rPr>
        <w:t>Registration of WELS products</w:t>
      </w:r>
      <w:bookmarkEnd w:id="33"/>
    </w:p>
    <w:p>
      <w:pPr>
        <w:pStyle w:val="Heading5"/>
      </w:pPr>
      <w:bookmarkStart w:id="34" w:name="_Toc377038947"/>
      <w:r>
        <w:rPr>
          <w:rStyle w:val="CharSectno"/>
        </w:rPr>
        <w:t>26</w:t>
      </w:r>
      <w:r>
        <w:t>.</w:t>
      </w:r>
      <w:r>
        <w:tab/>
        <w:t>Applying for registration</w:t>
      </w:r>
      <w:bookmarkEnd w:id="34"/>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35" w:name="_Toc377038948"/>
      <w:r>
        <w:rPr>
          <w:rStyle w:val="CharSectno"/>
        </w:rPr>
        <w:t>27</w:t>
      </w:r>
      <w:r>
        <w:t>.</w:t>
      </w:r>
      <w:r>
        <w:tab/>
        <w:t>Documentation etc. to be provided with application for registration</w:t>
      </w:r>
      <w:bookmarkEnd w:id="35"/>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36" w:name="_Toc377038949"/>
      <w:r>
        <w:rPr>
          <w:rStyle w:val="CharSectno"/>
        </w:rPr>
        <w:t>28</w:t>
      </w:r>
      <w:r>
        <w:t>.</w:t>
      </w:r>
      <w:r>
        <w:tab/>
        <w:t>Registration of products</w:t>
      </w:r>
      <w:bookmarkEnd w:id="36"/>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37" w:name="_Toc377038950"/>
      <w:r>
        <w:rPr>
          <w:rStyle w:val="CharSectno"/>
        </w:rPr>
        <w:t>29</w:t>
      </w:r>
      <w:r>
        <w:t>.</w:t>
      </w:r>
      <w:r>
        <w:tab/>
        <w:t>Grounds for refusing to register</w:t>
      </w:r>
      <w:bookmarkEnd w:id="37"/>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38" w:name="_Toc377038951"/>
      <w:r>
        <w:rPr>
          <w:rStyle w:val="CharSectno"/>
        </w:rPr>
        <w:t>30</w:t>
      </w:r>
      <w:r>
        <w:t>.</w:t>
      </w:r>
      <w:r>
        <w:tab/>
        <w:t>Period of registration</w:t>
      </w:r>
      <w:bookmarkEnd w:id="38"/>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39" w:name="_Toc377038952"/>
      <w:r>
        <w:rPr>
          <w:rStyle w:val="CharSectno"/>
        </w:rPr>
        <w:t>31</w:t>
      </w:r>
      <w:r>
        <w:t>.</w:t>
      </w:r>
      <w:r>
        <w:tab/>
        <w:t>Cancelling or suspending registration</w:t>
      </w:r>
      <w:bookmarkEnd w:id="39"/>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40" w:name="_Toc377038953"/>
      <w:r>
        <w:rPr>
          <w:rStyle w:val="CharPartNo"/>
        </w:rPr>
        <w:t>Part 7</w:t>
      </w:r>
      <w:r>
        <w:t> — </w:t>
      </w:r>
      <w:r>
        <w:rPr>
          <w:rStyle w:val="CharPartText"/>
        </w:rPr>
        <w:t>Offences relating to the supply of WELS products</w:t>
      </w:r>
      <w:bookmarkEnd w:id="40"/>
    </w:p>
    <w:p>
      <w:pPr>
        <w:pStyle w:val="Heading3"/>
        <w:spacing w:before="120"/>
      </w:pPr>
      <w:bookmarkStart w:id="41" w:name="_Toc377038954"/>
      <w:r>
        <w:rPr>
          <w:rStyle w:val="CharDivNo"/>
        </w:rPr>
        <w:t>Division 1</w:t>
      </w:r>
      <w:r>
        <w:t> — </w:t>
      </w:r>
      <w:r>
        <w:rPr>
          <w:rStyle w:val="CharDivText"/>
        </w:rPr>
        <w:t>Applicable WELS standards</w:t>
      </w:r>
      <w:bookmarkEnd w:id="41"/>
    </w:p>
    <w:p>
      <w:pPr>
        <w:pStyle w:val="Heading5"/>
      </w:pPr>
      <w:bookmarkStart w:id="42" w:name="_Toc377038955"/>
      <w:r>
        <w:rPr>
          <w:rStyle w:val="CharSectno"/>
        </w:rPr>
        <w:t>32</w:t>
      </w:r>
      <w:r>
        <w:t>.</w:t>
      </w:r>
      <w:r>
        <w:tab/>
        <w:t>Meaning of applicable WELS standard</w:t>
      </w:r>
      <w:bookmarkEnd w:id="42"/>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43" w:name="_Toc377038956"/>
      <w:r>
        <w:rPr>
          <w:rStyle w:val="CharDivNo"/>
        </w:rPr>
        <w:t>Division 2</w:t>
      </w:r>
      <w:r>
        <w:t> — </w:t>
      </w:r>
      <w:r>
        <w:rPr>
          <w:rStyle w:val="CharDivText"/>
        </w:rPr>
        <w:t>Registration and labelling</w:t>
      </w:r>
      <w:bookmarkEnd w:id="43"/>
    </w:p>
    <w:p>
      <w:pPr>
        <w:pStyle w:val="Heading5"/>
      </w:pPr>
      <w:bookmarkStart w:id="44" w:name="_Toc377038957"/>
      <w:r>
        <w:rPr>
          <w:rStyle w:val="CharSectno"/>
        </w:rPr>
        <w:t>33</w:t>
      </w:r>
      <w:r>
        <w:t>.</w:t>
      </w:r>
      <w:r>
        <w:tab/>
        <w:t>Registration requirement</w:t>
      </w:r>
      <w:bookmarkEnd w:id="44"/>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45" w:name="_Toc377038958"/>
      <w:r>
        <w:rPr>
          <w:rStyle w:val="CharSectno"/>
        </w:rPr>
        <w:t>34</w:t>
      </w:r>
      <w:r>
        <w:t>.</w:t>
      </w:r>
      <w:r>
        <w:tab/>
        <w:t>Labelling registered products</w:t>
      </w:r>
      <w:bookmarkEnd w:id="45"/>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46" w:name="_Toc377038959"/>
      <w:r>
        <w:rPr>
          <w:rStyle w:val="CharDivNo"/>
        </w:rPr>
        <w:t>Division 3</w:t>
      </w:r>
      <w:r>
        <w:t> — </w:t>
      </w:r>
      <w:r>
        <w:rPr>
          <w:rStyle w:val="CharDivText"/>
        </w:rPr>
        <w:t>Minimum efficiency and performance requirements</w:t>
      </w:r>
      <w:bookmarkEnd w:id="46"/>
    </w:p>
    <w:p>
      <w:pPr>
        <w:pStyle w:val="Heading5"/>
      </w:pPr>
      <w:bookmarkStart w:id="47" w:name="_Toc377038960"/>
      <w:r>
        <w:rPr>
          <w:rStyle w:val="CharSectno"/>
        </w:rPr>
        <w:t>35</w:t>
      </w:r>
      <w:r>
        <w:t>.</w:t>
      </w:r>
      <w:r>
        <w:tab/>
        <w:t>Minimum water efficiency — products required to be registered</w:t>
      </w:r>
      <w:bookmarkEnd w:id="47"/>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48" w:name="_Toc377038961"/>
      <w:r>
        <w:rPr>
          <w:rStyle w:val="CharSectno"/>
        </w:rPr>
        <w:t>36</w:t>
      </w:r>
      <w:r>
        <w:t>.</w:t>
      </w:r>
      <w:r>
        <w:tab/>
        <w:t>Minimum general performance — products required to be registered</w:t>
      </w:r>
      <w:bookmarkEnd w:id="4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49" w:name="_Toc377038962"/>
      <w:r>
        <w:rPr>
          <w:rStyle w:val="CharDivNo"/>
        </w:rPr>
        <w:t>Division 4</w:t>
      </w:r>
      <w:r>
        <w:t> — </w:t>
      </w:r>
      <w:r>
        <w:rPr>
          <w:rStyle w:val="CharDivText"/>
        </w:rPr>
        <w:t>Misuse of WELS standards etc.</w:t>
      </w:r>
      <w:bookmarkEnd w:id="49"/>
    </w:p>
    <w:p>
      <w:pPr>
        <w:pStyle w:val="Heading5"/>
      </w:pPr>
      <w:bookmarkStart w:id="50" w:name="_Toc377038963"/>
      <w:r>
        <w:rPr>
          <w:rStyle w:val="CharSectno"/>
        </w:rPr>
        <w:t>37</w:t>
      </w:r>
      <w:r>
        <w:t>.</w:t>
      </w:r>
      <w:r>
        <w:tab/>
        <w:t>Misuse of WELS standards and information</w:t>
      </w:r>
      <w:bookmarkEnd w:id="50"/>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51" w:name="_Toc377038964"/>
      <w:r>
        <w:rPr>
          <w:rStyle w:val="CharSectno"/>
        </w:rPr>
        <w:t>38</w:t>
      </w:r>
      <w:r>
        <w:t>.</w:t>
      </w:r>
      <w:r>
        <w:tab/>
        <w:t>Information inconsistent with WELS standards</w:t>
      </w:r>
      <w:bookmarkEnd w:id="51"/>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52" w:name="_Toc377038965"/>
      <w:r>
        <w:rPr>
          <w:rStyle w:val="CharSectno"/>
        </w:rPr>
        <w:t>39</w:t>
      </w:r>
      <w:r>
        <w:t>.</w:t>
      </w:r>
      <w:r>
        <w:tab/>
        <w:t>Using information in the supply of products</w:t>
      </w:r>
      <w:bookmarkEnd w:id="52"/>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53" w:name="_Toc377038966"/>
      <w:r>
        <w:rPr>
          <w:rStyle w:val="CharDivNo"/>
        </w:rPr>
        <w:t>Division 5</w:t>
      </w:r>
      <w:r>
        <w:t> — </w:t>
      </w:r>
      <w:r>
        <w:rPr>
          <w:rStyle w:val="CharDivText"/>
        </w:rPr>
        <w:t>False or misleading information or document</w:t>
      </w:r>
      <w:bookmarkEnd w:id="53"/>
    </w:p>
    <w:p>
      <w:pPr>
        <w:pStyle w:val="Heading5"/>
      </w:pPr>
      <w:bookmarkStart w:id="54" w:name="_Toc377038967"/>
      <w:r>
        <w:rPr>
          <w:rStyle w:val="CharSectno"/>
        </w:rPr>
        <w:t>39A</w:t>
      </w:r>
      <w:r>
        <w:t>.</w:t>
      </w:r>
      <w:r>
        <w:tab/>
        <w:t>False or misleading information or document</w:t>
      </w:r>
      <w:bookmarkEnd w:id="54"/>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55" w:name="_Toc377038968"/>
      <w:r>
        <w:rPr>
          <w:rStyle w:val="CharPartNo"/>
        </w:rPr>
        <w:t>Part 8</w:t>
      </w:r>
      <w:r>
        <w:t> — </w:t>
      </w:r>
      <w:r>
        <w:rPr>
          <w:rStyle w:val="CharPartText"/>
        </w:rPr>
        <w:t>Other enforcement</w:t>
      </w:r>
      <w:bookmarkEnd w:id="55"/>
    </w:p>
    <w:p>
      <w:pPr>
        <w:pStyle w:val="Heading3"/>
        <w:spacing w:before="120"/>
      </w:pPr>
      <w:bookmarkStart w:id="56" w:name="_Toc377038969"/>
      <w:r>
        <w:rPr>
          <w:rStyle w:val="CharDivNo"/>
        </w:rPr>
        <w:t>Division 1</w:t>
      </w:r>
      <w:r>
        <w:t> —</w:t>
      </w:r>
      <w:r>
        <w:rPr>
          <w:rStyle w:val="CharDivText"/>
        </w:rPr>
        <w:t> Infringement notices</w:t>
      </w:r>
      <w:bookmarkEnd w:id="56"/>
    </w:p>
    <w:p>
      <w:pPr>
        <w:pStyle w:val="Heading5"/>
        <w:spacing w:before="120"/>
      </w:pPr>
      <w:bookmarkStart w:id="57" w:name="_Toc377038970"/>
      <w:r>
        <w:rPr>
          <w:rStyle w:val="CharSectno"/>
        </w:rPr>
        <w:t>40</w:t>
      </w:r>
      <w:r>
        <w:t>.</w:t>
      </w:r>
      <w:r>
        <w:tab/>
        <w:t>Infringement notices</w:t>
      </w:r>
      <w:bookmarkEnd w:id="57"/>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r>
        <w:tab/>
        <w:t>Note:</w:t>
      </w:r>
      <w:r>
        <w:tab/>
        <w:t>This section differs from the Commonwealth Act section 40.</w:t>
      </w:r>
    </w:p>
    <w:p>
      <w:pPr>
        <w:pStyle w:val="Heading5"/>
        <w:spacing w:before="120"/>
      </w:pPr>
      <w:bookmarkStart w:id="58" w:name="_Toc377038971"/>
      <w:r>
        <w:rPr>
          <w:rStyle w:val="CharSectno"/>
        </w:rPr>
        <w:t>40A</w:t>
      </w:r>
      <w:r>
        <w:t>.</w:t>
      </w:r>
      <w:r>
        <w:tab/>
        <w:t>Content of notice</w:t>
      </w:r>
      <w:bookmarkEnd w:id="58"/>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r>
        <w:tab/>
        <w:t>Note:</w:t>
      </w:r>
      <w:r>
        <w:tab/>
        <w:t>This section does not appear in the Commonwealth Act.</w:t>
      </w:r>
    </w:p>
    <w:p>
      <w:pPr>
        <w:pStyle w:val="Heading5"/>
      </w:pPr>
      <w:bookmarkStart w:id="59" w:name="_Toc377038972"/>
      <w:r>
        <w:rPr>
          <w:rStyle w:val="CharSectno"/>
        </w:rPr>
        <w:t>40B</w:t>
      </w:r>
      <w:r>
        <w:t>.</w:t>
      </w:r>
      <w:r>
        <w:tab/>
        <w:t>Extension of time</w:t>
      </w:r>
      <w:bookmarkEnd w:id="59"/>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60" w:name="_Toc377038973"/>
      <w:r>
        <w:rPr>
          <w:rStyle w:val="CharSectno"/>
        </w:rPr>
        <w:t>40C</w:t>
      </w:r>
      <w:r>
        <w:t>.</w:t>
      </w:r>
      <w:r>
        <w:tab/>
        <w:t>Withdrawal of notice</w:t>
      </w:r>
      <w:bookmarkEnd w:id="60"/>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61" w:name="_Toc377038974"/>
      <w:r>
        <w:rPr>
          <w:rStyle w:val="CharSectno"/>
        </w:rPr>
        <w:t>40D</w:t>
      </w:r>
      <w:r>
        <w:t>.</w:t>
      </w:r>
      <w:r>
        <w:tab/>
        <w:t>Benefit of paying modified penalty</w:t>
      </w:r>
      <w:bookmarkEnd w:id="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62" w:name="_Toc377038975"/>
      <w:r>
        <w:rPr>
          <w:rStyle w:val="CharSectno"/>
        </w:rPr>
        <w:t>40E</w:t>
      </w:r>
      <w:r>
        <w:t>.</w:t>
      </w:r>
      <w:r>
        <w:tab/>
        <w:t>Application of penalties collected</w:t>
      </w:r>
      <w:bookmarkEnd w:id="62"/>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63" w:name="_Toc377038976"/>
      <w:r>
        <w:rPr>
          <w:rStyle w:val="CharSectno"/>
        </w:rPr>
        <w:t>40F</w:t>
      </w:r>
      <w:r>
        <w:t>.</w:t>
      </w:r>
      <w:r>
        <w:tab/>
        <w:t>Production of identity card</w:t>
      </w:r>
      <w:bookmarkEnd w:id="63"/>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64" w:name="_Toc377038977"/>
      <w:r>
        <w:rPr>
          <w:rStyle w:val="CharDivNo"/>
        </w:rPr>
        <w:t>Division 2</w:t>
      </w:r>
      <w:r>
        <w:t> — </w:t>
      </w:r>
      <w:r>
        <w:rPr>
          <w:rStyle w:val="CharDivText"/>
        </w:rPr>
        <w:t>Publicising offences</w:t>
      </w:r>
      <w:bookmarkEnd w:id="64"/>
    </w:p>
    <w:p>
      <w:pPr>
        <w:pStyle w:val="Heading5"/>
      </w:pPr>
      <w:bookmarkStart w:id="65" w:name="_Toc377038978"/>
      <w:r>
        <w:rPr>
          <w:rStyle w:val="CharSectno"/>
        </w:rPr>
        <w:t>41</w:t>
      </w:r>
      <w:r>
        <w:t>.</w:t>
      </w:r>
      <w:r>
        <w:tab/>
        <w:t>Regulator may publicise offences</w:t>
      </w:r>
      <w:bookmarkEnd w:id="65"/>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66" w:name="_Toc377038979"/>
      <w:r>
        <w:rPr>
          <w:rStyle w:val="CharDivNo"/>
        </w:rPr>
        <w:t>Division 3</w:t>
      </w:r>
      <w:r>
        <w:t> — </w:t>
      </w:r>
      <w:r>
        <w:rPr>
          <w:rStyle w:val="CharDivText"/>
        </w:rPr>
        <w:t>Enforceable undertakings</w:t>
      </w:r>
      <w:bookmarkEnd w:id="66"/>
    </w:p>
    <w:p>
      <w:pPr>
        <w:pStyle w:val="Heading5"/>
      </w:pPr>
      <w:bookmarkStart w:id="67" w:name="_Toc377038980"/>
      <w:r>
        <w:rPr>
          <w:rStyle w:val="CharSectno"/>
        </w:rPr>
        <w:t>42</w:t>
      </w:r>
      <w:r>
        <w:t>.</w:t>
      </w:r>
      <w:r>
        <w:tab/>
        <w:t>Acceptance of undertakings</w:t>
      </w:r>
      <w:bookmarkEnd w:id="67"/>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68" w:name="_Toc377038981"/>
      <w:r>
        <w:rPr>
          <w:rStyle w:val="CharSectno"/>
        </w:rPr>
        <w:t>43</w:t>
      </w:r>
      <w:r>
        <w:t>.</w:t>
      </w:r>
      <w:r>
        <w:tab/>
        <w:t>Enforcement of undertakings</w:t>
      </w:r>
      <w:bookmarkEnd w:id="68"/>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69" w:name="_Toc377038982"/>
      <w:r>
        <w:rPr>
          <w:rStyle w:val="CharDivNo"/>
        </w:rPr>
        <w:t>Division 4</w:t>
      </w:r>
      <w:r>
        <w:t> — </w:t>
      </w:r>
      <w:r>
        <w:rPr>
          <w:rStyle w:val="CharDivText"/>
        </w:rPr>
        <w:t>Injunctions</w:t>
      </w:r>
      <w:bookmarkEnd w:id="69"/>
    </w:p>
    <w:p>
      <w:pPr>
        <w:pStyle w:val="Heading5"/>
      </w:pPr>
      <w:bookmarkStart w:id="70" w:name="_Toc377038983"/>
      <w:r>
        <w:rPr>
          <w:rStyle w:val="CharSectno"/>
        </w:rPr>
        <w:t>44</w:t>
      </w:r>
      <w:r>
        <w:t>.</w:t>
      </w:r>
      <w:r>
        <w:tab/>
        <w:t>Injunctions</w:t>
      </w:r>
      <w:bookmarkEnd w:id="70"/>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71" w:name="_Toc377038984"/>
      <w:r>
        <w:rPr>
          <w:rStyle w:val="CharPartNo"/>
        </w:rPr>
        <w:t>Part 9</w:t>
      </w:r>
      <w:r>
        <w:t> — </w:t>
      </w:r>
      <w:r>
        <w:rPr>
          <w:rStyle w:val="CharPartText"/>
        </w:rPr>
        <w:t>WELS inspectors</w:t>
      </w:r>
      <w:bookmarkEnd w:id="71"/>
    </w:p>
    <w:p>
      <w:pPr>
        <w:pStyle w:val="Heading3"/>
      </w:pPr>
      <w:bookmarkStart w:id="72" w:name="_Toc377038985"/>
      <w:r>
        <w:rPr>
          <w:rStyle w:val="CharDivNo"/>
        </w:rPr>
        <w:t>Division 1</w:t>
      </w:r>
      <w:r>
        <w:t> — </w:t>
      </w:r>
      <w:r>
        <w:rPr>
          <w:rStyle w:val="CharDivText"/>
        </w:rPr>
        <w:t>Appointment of WELS inspectors</w:t>
      </w:r>
      <w:bookmarkEnd w:id="72"/>
    </w:p>
    <w:p>
      <w:pPr>
        <w:pStyle w:val="Heading5"/>
      </w:pPr>
      <w:bookmarkStart w:id="73" w:name="_Toc377038986"/>
      <w:r>
        <w:rPr>
          <w:rStyle w:val="CharSectno"/>
        </w:rPr>
        <w:t>45</w:t>
      </w:r>
      <w:r>
        <w:t>.</w:t>
      </w:r>
      <w:r>
        <w:tab/>
        <w:t>Regulator may appoint WELS inspectors</w:t>
      </w:r>
      <w:bookmarkEnd w:id="73"/>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74" w:name="_Toc377038987"/>
      <w:r>
        <w:rPr>
          <w:rStyle w:val="CharSectno"/>
        </w:rPr>
        <w:t>46</w:t>
      </w:r>
      <w:r>
        <w:t>.</w:t>
      </w:r>
      <w:r>
        <w:tab/>
        <w:t>Identity cards</w:t>
      </w:r>
      <w:bookmarkEnd w:id="74"/>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75" w:name="_Toc377038988"/>
      <w:r>
        <w:rPr>
          <w:rStyle w:val="CharSectno"/>
        </w:rPr>
        <w:t>46A</w:t>
      </w:r>
      <w:r>
        <w:t>.</w:t>
      </w:r>
      <w:r>
        <w:tab/>
        <w:t>Offences in relation to WELS inspectors</w:t>
      </w:r>
      <w:bookmarkEnd w:id="75"/>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76" w:name="_Toc377038989"/>
      <w:r>
        <w:rPr>
          <w:rStyle w:val="CharDivNo"/>
        </w:rPr>
        <w:t>Division 2</w:t>
      </w:r>
      <w:r>
        <w:t> — </w:t>
      </w:r>
      <w:r>
        <w:rPr>
          <w:rStyle w:val="CharDivText"/>
        </w:rPr>
        <w:t>Powers of WELS inspectors</w:t>
      </w:r>
      <w:bookmarkEnd w:id="76"/>
    </w:p>
    <w:p>
      <w:pPr>
        <w:pStyle w:val="Heading5"/>
      </w:pPr>
      <w:bookmarkStart w:id="77" w:name="_Toc377038990"/>
      <w:r>
        <w:rPr>
          <w:rStyle w:val="CharSectno"/>
        </w:rPr>
        <w:t>47</w:t>
      </w:r>
      <w:r>
        <w:t>.</w:t>
      </w:r>
      <w:r>
        <w:tab/>
        <w:t>Purposes for which powers can be used</w:t>
      </w:r>
      <w:bookmarkEnd w:id="77"/>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78" w:name="_Toc377038991"/>
      <w:r>
        <w:rPr>
          <w:rStyle w:val="CharSectno"/>
        </w:rPr>
        <w:t>48</w:t>
      </w:r>
      <w:r>
        <w:t>.</w:t>
      </w:r>
      <w:r>
        <w:tab/>
        <w:t>Inspection powers — public areas of WELS business premises</w:t>
      </w:r>
      <w:bookmarkEnd w:id="78"/>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79" w:name="_Toc377038992"/>
      <w:r>
        <w:rPr>
          <w:rStyle w:val="CharSectno"/>
        </w:rPr>
        <w:t>49</w:t>
      </w:r>
      <w:r>
        <w:t>.</w:t>
      </w:r>
      <w:r>
        <w:tab/>
        <w:t>Inspection powers — with consent</w:t>
      </w:r>
      <w:bookmarkEnd w:id="79"/>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80" w:name="_Toc377038993"/>
      <w:r>
        <w:rPr>
          <w:rStyle w:val="CharSectno"/>
        </w:rPr>
        <w:t>50</w:t>
      </w:r>
      <w:r>
        <w:t>.</w:t>
      </w:r>
      <w:r>
        <w:tab/>
        <w:t>Refusing consent is not an offence</w:t>
      </w:r>
      <w:bookmarkEnd w:id="80"/>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81" w:name="_Toc377038994"/>
      <w:r>
        <w:rPr>
          <w:rStyle w:val="CharSectno"/>
        </w:rPr>
        <w:t>51</w:t>
      </w:r>
      <w:r>
        <w:t>.</w:t>
      </w:r>
      <w:r>
        <w:tab/>
        <w:t>Inspection powers — with warrant</w:t>
      </w:r>
      <w:bookmarkEnd w:id="81"/>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82" w:name="_Toc377038995"/>
      <w:r>
        <w:rPr>
          <w:rStyle w:val="CharSectno"/>
        </w:rPr>
        <w:t>52</w:t>
      </w:r>
      <w:r>
        <w:t>.</w:t>
      </w:r>
      <w:r>
        <w:tab/>
        <w:t>Announcement before entry under warrant</w:t>
      </w:r>
      <w:bookmarkEnd w:id="82"/>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83" w:name="_Toc377038996"/>
      <w:r>
        <w:rPr>
          <w:rStyle w:val="CharSectno"/>
        </w:rPr>
        <w:t>53</w:t>
      </w:r>
      <w:r>
        <w:t>.</w:t>
      </w:r>
      <w:r>
        <w:tab/>
        <w:t>Copy of warrant to be given to occupier</w:t>
      </w:r>
      <w:bookmarkEnd w:id="83"/>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84" w:name="_Toc377038997"/>
      <w:r>
        <w:rPr>
          <w:rStyle w:val="CharSectno"/>
        </w:rPr>
        <w:t>54</w:t>
      </w:r>
      <w:r>
        <w:t>.</w:t>
      </w:r>
      <w:r>
        <w:tab/>
        <w:t>Occupier must provide inspector with facilities and assistance</w:t>
      </w:r>
      <w:bookmarkEnd w:id="84"/>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85" w:name="_Toc377038998"/>
      <w:r>
        <w:rPr>
          <w:rStyle w:val="CharSectno"/>
        </w:rPr>
        <w:t>55</w:t>
      </w:r>
      <w:r>
        <w:t>.</w:t>
      </w:r>
      <w:r>
        <w:tab/>
        <w:t>Seizing or securing evidential material</w:t>
      </w:r>
      <w:bookmarkEnd w:id="85"/>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86" w:name="_Toc377038999"/>
      <w:r>
        <w:rPr>
          <w:rStyle w:val="CharSectno"/>
        </w:rPr>
        <w:t>56</w:t>
      </w:r>
      <w:r>
        <w:t>.</w:t>
      </w:r>
      <w:r>
        <w:tab/>
        <w:t>Holding evidential material for more than 90 days</w:t>
      </w:r>
      <w:bookmarkEnd w:id="86"/>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87" w:name="_Toc377039000"/>
      <w:r>
        <w:rPr>
          <w:rStyle w:val="CharSectno"/>
        </w:rPr>
        <w:t>57</w:t>
      </w:r>
      <w:r>
        <w:t>.</w:t>
      </w:r>
      <w:r>
        <w:tab/>
        <w:t>Returning evidential material</w:t>
      </w:r>
      <w:bookmarkEnd w:id="87"/>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88" w:name="_Toc377039001"/>
      <w:r>
        <w:rPr>
          <w:rStyle w:val="CharDivNo"/>
        </w:rPr>
        <w:t>Division 3</w:t>
      </w:r>
      <w:r>
        <w:t> — </w:t>
      </w:r>
      <w:r>
        <w:rPr>
          <w:rStyle w:val="CharDivText"/>
        </w:rPr>
        <w:t>Applying for warrants to enter WELS premises</w:t>
      </w:r>
      <w:bookmarkEnd w:id="88"/>
    </w:p>
    <w:p>
      <w:pPr>
        <w:pStyle w:val="Heading5"/>
      </w:pPr>
      <w:bookmarkStart w:id="89" w:name="_Toc377039002"/>
      <w:r>
        <w:rPr>
          <w:rStyle w:val="CharSectno"/>
        </w:rPr>
        <w:t>58</w:t>
      </w:r>
      <w:r>
        <w:t>.</w:t>
      </w:r>
      <w:r>
        <w:tab/>
        <w:t>Ordinary warrants</w:t>
      </w:r>
      <w:bookmarkEnd w:id="89"/>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90" w:name="_Toc377039003"/>
      <w:r>
        <w:rPr>
          <w:rStyle w:val="CharSectno"/>
        </w:rPr>
        <w:t>59</w:t>
      </w:r>
      <w:r>
        <w:t>.</w:t>
      </w:r>
      <w:r>
        <w:tab/>
        <w:t>Warrants by telephone, fax or other electronic means</w:t>
      </w:r>
      <w:bookmarkEnd w:id="90"/>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91" w:name="_Toc377039004"/>
      <w:r>
        <w:rPr>
          <w:rStyle w:val="CharDivNo"/>
        </w:rPr>
        <w:t>Division 4</w:t>
      </w:r>
      <w:r>
        <w:t> — </w:t>
      </w:r>
      <w:r>
        <w:rPr>
          <w:rStyle w:val="CharDivText"/>
        </w:rPr>
        <w:t>Giving WELS information to WELS inspectors</w:t>
      </w:r>
      <w:bookmarkEnd w:id="91"/>
    </w:p>
    <w:p>
      <w:pPr>
        <w:pStyle w:val="Heading5"/>
      </w:pPr>
      <w:bookmarkStart w:id="92" w:name="_Toc377039005"/>
      <w:r>
        <w:rPr>
          <w:rStyle w:val="CharSectno"/>
        </w:rPr>
        <w:t>60</w:t>
      </w:r>
      <w:r>
        <w:t>.</w:t>
      </w:r>
      <w:r>
        <w:tab/>
        <w:t>Meaning of person who has WELS information</w:t>
      </w:r>
      <w:bookmarkEnd w:id="92"/>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93" w:name="_Toc377039006"/>
      <w:r>
        <w:rPr>
          <w:rStyle w:val="CharSectno"/>
        </w:rPr>
        <w:t>61</w:t>
      </w:r>
      <w:r>
        <w:t>.</w:t>
      </w:r>
      <w:r>
        <w:tab/>
        <w:t>Regulator may require a person to provide information</w:t>
      </w:r>
      <w:bookmarkEnd w:id="93"/>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94" w:name="_Toc377039007"/>
      <w:r>
        <w:rPr>
          <w:rStyle w:val="CharSectno"/>
        </w:rPr>
        <w:t>62</w:t>
      </w:r>
      <w:r>
        <w:t>.</w:t>
      </w:r>
      <w:r>
        <w:tab/>
        <w:t>Regulator may require a person to appear before a WELS inspector</w:t>
      </w:r>
      <w:bookmarkEnd w:id="94"/>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95" w:name="_Toc377039008"/>
      <w:r>
        <w:rPr>
          <w:rStyle w:val="CharSectno"/>
        </w:rPr>
        <w:t>62A</w:t>
      </w:r>
      <w:r>
        <w:t>.</w:t>
      </w:r>
      <w:r>
        <w:tab/>
        <w:t>False or misleading information or documents</w:t>
      </w:r>
      <w:bookmarkEnd w:id="95"/>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96" w:name="_Toc377039009"/>
      <w:r>
        <w:rPr>
          <w:rStyle w:val="CharDivNo"/>
        </w:rPr>
        <w:t>Division 5</w:t>
      </w:r>
      <w:r>
        <w:t> — </w:t>
      </w:r>
      <w:r>
        <w:rPr>
          <w:rStyle w:val="CharDivText"/>
        </w:rPr>
        <w:t>Privilege against self incrimination</w:t>
      </w:r>
      <w:bookmarkEnd w:id="96"/>
    </w:p>
    <w:p>
      <w:pPr>
        <w:pStyle w:val="Heading5"/>
      </w:pPr>
      <w:bookmarkStart w:id="97" w:name="_Toc377039010"/>
      <w:r>
        <w:rPr>
          <w:rStyle w:val="CharSectno"/>
        </w:rPr>
        <w:t>63</w:t>
      </w:r>
      <w:r>
        <w:t>.</w:t>
      </w:r>
      <w:r>
        <w:tab/>
        <w:t>Privilege against self incrimination not affected</w:t>
      </w:r>
      <w:bookmarkEnd w:id="97"/>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r>
        <w:tab/>
        <w:t>Note:</w:t>
      </w:r>
      <w:r>
        <w:tab/>
        <w:t>This section differs from the Commonwealth Act section 63.</w:t>
      </w:r>
    </w:p>
    <w:p>
      <w:pPr>
        <w:pStyle w:val="Heading2"/>
      </w:pPr>
      <w:bookmarkStart w:id="98" w:name="_Toc377039011"/>
      <w:r>
        <w:rPr>
          <w:rStyle w:val="CharPartNo"/>
        </w:rPr>
        <w:t>Part 10</w:t>
      </w:r>
      <w:r>
        <w:t> — </w:t>
      </w:r>
      <w:r>
        <w:rPr>
          <w:rStyle w:val="CharPartText"/>
        </w:rPr>
        <w:t>Money</w:t>
      </w:r>
      <w:bookmarkEnd w:id="98"/>
    </w:p>
    <w:p>
      <w:pPr>
        <w:pStyle w:val="Heading3"/>
      </w:pPr>
      <w:bookmarkStart w:id="99" w:name="_Toc377039012"/>
      <w:r>
        <w:rPr>
          <w:rStyle w:val="CharDivNo"/>
        </w:rPr>
        <w:t>Division 1</w:t>
      </w:r>
      <w:r>
        <w:t> — </w:t>
      </w:r>
      <w:r>
        <w:rPr>
          <w:rStyle w:val="CharDivText"/>
        </w:rPr>
        <w:t>The WELS Account</w:t>
      </w:r>
      <w:bookmarkEnd w:id="99"/>
    </w:p>
    <w:p>
      <w:pPr>
        <w:pStyle w:val="Heading5"/>
      </w:pPr>
      <w:bookmarkStart w:id="100" w:name="_Toc377039013"/>
      <w:r>
        <w:rPr>
          <w:rStyle w:val="CharSectno"/>
        </w:rPr>
        <w:t>64</w:t>
      </w:r>
      <w:r>
        <w:t>.</w:t>
      </w:r>
      <w:r>
        <w:tab/>
        <w:t>WELS Account</w:t>
      </w:r>
      <w:bookmarkEnd w:id="100"/>
    </w:p>
    <w:p>
      <w:pPr>
        <w:pStyle w:val="NotesPerm"/>
      </w:pPr>
      <w:r>
        <w:tab/>
        <w:t>Note:  The Commonwealth Act section 64 establishes the WELS Account.</w:t>
      </w:r>
    </w:p>
    <w:p>
      <w:pPr>
        <w:pStyle w:val="Heading5"/>
      </w:pPr>
      <w:bookmarkStart w:id="101" w:name="_Toc377039014"/>
      <w:r>
        <w:rPr>
          <w:rStyle w:val="CharSectno"/>
        </w:rPr>
        <w:t>65</w:t>
      </w:r>
      <w:r>
        <w:t>.</w:t>
      </w:r>
      <w:r>
        <w:tab/>
        <w:t>Credits to the WELS Account</w:t>
      </w:r>
      <w:bookmarkEnd w:id="101"/>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Account.</w:t>
      </w:r>
    </w:p>
    <w:p>
      <w:pPr>
        <w:pStyle w:val="Subsection"/>
      </w:pPr>
      <w:r>
        <w:tab/>
        <w:t>(2)</w:t>
      </w:r>
      <w:r>
        <w:tab/>
        <w:t>The Treasurer must pay amounts equal to money paid into the Consolidated Account under subsection (1) to the Commonwealth for crediting to the WELS Account.</w:t>
      </w:r>
    </w:p>
    <w:p>
      <w:pPr>
        <w:pStyle w:val="Subsection"/>
      </w:pPr>
      <w:r>
        <w:tab/>
        <w:t>(3)</w:t>
      </w:r>
      <w:r>
        <w:tab/>
        <w:t>The Consolidated Account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Footnotesection"/>
      </w:pPr>
      <w:r>
        <w:tab/>
        <w:t xml:space="preserve">[Section 65 amended by No. 46 of 2009 s. 17.] </w:t>
      </w:r>
    </w:p>
    <w:p>
      <w:pPr>
        <w:pStyle w:val="Heading5"/>
      </w:pPr>
      <w:bookmarkStart w:id="102" w:name="_Toc377039015"/>
      <w:r>
        <w:rPr>
          <w:rStyle w:val="CharSectno"/>
        </w:rPr>
        <w:t>66</w:t>
      </w:r>
      <w:r>
        <w:t>.</w:t>
      </w:r>
      <w:r>
        <w:tab/>
        <w:t>Purpose of the WELS Account</w:t>
      </w:r>
      <w:bookmarkEnd w:id="102"/>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103" w:name="_Toc377039016"/>
      <w:r>
        <w:rPr>
          <w:rStyle w:val="CharDivNo"/>
        </w:rPr>
        <w:t>Division 2</w:t>
      </w:r>
      <w:r>
        <w:t> — </w:t>
      </w:r>
      <w:r>
        <w:rPr>
          <w:rStyle w:val="CharDivText"/>
        </w:rPr>
        <w:t>Charging fees and recovering fees and other amounts</w:t>
      </w:r>
      <w:bookmarkEnd w:id="103"/>
    </w:p>
    <w:p>
      <w:pPr>
        <w:pStyle w:val="Heading5"/>
      </w:pPr>
      <w:bookmarkStart w:id="104" w:name="_Toc377039017"/>
      <w:r>
        <w:rPr>
          <w:rStyle w:val="CharSectno"/>
        </w:rPr>
        <w:t>67</w:t>
      </w:r>
      <w:r>
        <w:t>.</w:t>
      </w:r>
      <w:r>
        <w:tab/>
        <w:t>Regulator may charge for services</w:t>
      </w:r>
      <w:bookmarkEnd w:id="104"/>
    </w:p>
    <w:p>
      <w:pPr>
        <w:pStyle w:val="Subsection"/>
      </w:pPr>
      <w:r>
        <w:tab/>
      </w:r>
      <w:r>
        <w:tab/>
        <w:t>The Regulator may charge fees for services provided by, or on behalf of, the Regulator in the performance of the Regulator’s functions under this Act.</w:t>
      </w:r>
    </w:p>
    <w:p>
      <w:pPr>
        <w:pStyle w:val="Heading5"/>
      </w:pPr>
      <w:bookmarkStart w:id="105" w:name="_Toc377039018"/>
      <w:r>
        <w:rPr>
          <w:rStyle w:val="CharSectno"/>
        </w:rPr>
        <w:t>68</w:t>
      </w:r>
      <w:r>
        <w:t>.</w:t>
      </w:r>
      <w:r>
        <w:tab/>
        <w:t>Recovery of amounts</w:t>
      </w:r>
      <w:bookmarkEnd w:id="105"/>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106" w:name="_Toc377039019"/>
      <w:r>
        <w:rPr>
          <w:rStyle w:val="CharPartNo"/>
        </w:rPr>
        <w:t>Part 11</w:t>
      </w:r>
      <w:r>
        <w:rPr>
          <w:rStyle w:val="CharDivNo"/>
        </w:rPr>
        <w:t> </w:t>
      </w:r>
      <w:r>
        <w:t>—</w:t>
      </w:r>
      <w:r>
        <w:rPr>
          <w:rStyle w:val="CharDivText"/>
        </w:rPr>
        <w:t> </w:t>
      </w:r>
      <w:r>
        <w:rPr>
          <w:rStyle w:val="CharPartText"/>
        </w:rPr>
        <w:t>Review of decisions</w:t>
      </w:r>
      <w:bookmarkEnd w:id="106"/>
    </w:p>
    <w:p>
      <w:pPr>
        <w:pStyle w:val="Heading5"/>
      </w:pPr>
      <w:bookmarkStart w:id="107" w:name="_Toc377039020"/>
      <w:r>
        <w:rPr>
          <w:rStyle w:val="CharSectno"/>
        </w:rPr>
        <w:t>69</w:t>
      </w:r>
      <w:r>
        <w:t>.</w:t>
      </w:r>
      <w:r>
        <w:tab/>
        <w:t>Meaning of reviewable decision and affected person</w:t>
      </w:r>
      <w:bookmarkEnd w:id="107"/>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108" w:name="_Toc377039021"/>
      <w:r>
        <w:rPr>
          <w:rStyle w:val="CharSectno"/>
        </w:rPr>
        <w:t>70</w:t>
      </w:r>
      <w:r>
        <w:t>.</w:t>
      </w:r>
      <w:r>
        <w:tab/>
        <w:t>Notification of decisions and review rights</w:t>
      </w:r>
      <w:bookmarkEnd w:id="108"/>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109" w:name="_Toc377039022"/>
      <w:r>
        <w:rPr>
          <w:rStyle w:val="CharSectno"/>
        </w:rPr>
        <w:t>71</w:t>
      </w:r>
      <w:r>
        <w:t>.</w:t>
      </w:r>
      <w:r>
        <w:tab/>
        <w:t>Internal review</w:t>
      </w:r>
      <w:bookmarkEnd w:id="109"/>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110" w:name="_Toc377039023"/>
      <w:r>
        <w:rPr>
          <w:rStyle w:val="CharSectno"/>
        </w:rPr>
        <w:t>72</w:t>
      </w:r>
      <w:r>
        <w:t>.</w:t>
      </w:r>
      <w:r>
        <w:tab/>
        <w:t>Review of decisions by AAT</w:t>
      </w:r>
      <w:bookmarkEnd w:id="110"/>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111" w:name="_Toc377039024"/>
      <w:r>
        <w:rPr>
          <w:rStyle w:val="CharPartNo"/>
        </w:rPr>
        <w:t>Part 12</w:t>
      </w:r>
      <w:r>
        <w:rPr>
          <w:rStyle w:val="CharDivNo"/>
        </w:rPr>
        <w:t> </w:t>
      </w:r>
      <w:r>
        <w:t>—</w:t>
      </w:r>
      <w:r>
        <w:rPr>
          <w:rStyle w:val="CharDivText"/>
        </w:rPr>
        <w:t> </w:t>
      </w:r>
      <w:r>
        <w:rPr>
          <w:rStyle w:val="CharPartText"/>
        </w:rPr>
        <w:t>Miscellaneous</w:t>
      </w:r>
      <w:bookmarkEnd w:id="111"/>
    </w:p>
    <w:p>
      <w:pPr>
        <w:pStyle w:val="Heading5"/>
      </w:pPr>
      <w:bookmarkStart w:id="112" w:name="_Toc377039025"/>
      <w:r>
        <w:rPr>
          <w:rStyle w:val="CharSectno"/>
        </w:rPr>
        <w:t>73</w:t>
      </w:r>
      <w:r>
        <w:t>.</w:t>
      </w:r>
      <w:r>
        <w:tab/>
        <w:t>Compensation for damage to electronic equipment</w:t>
      </w:r>
      <w:bookmarkEnd w:id="112"/>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113" w:name="_Toc377039026"/>
      <w:r>
        <w:rPr>
          <w:rStyle w:val="CharSectno"/>
        </w:rPr>
        <w:t>74</w:t>
      </w:r>
      <w:r>
        <w:t>.</w:t>
      </w:r>
      <w:r>
        <w:tab/>
        <w:t>Compensation for acquisition of property</w:t>
      </w:r>
      <w:bookmarkEnd w:id="113"/>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114" w:name="_Toc377039027"/>
      <w:r>
        <w:rPr>
          <w:rStyle w:val="CharSectno"/>
        </w:rPr>
        <w:t>75</w:t>
      </w:r>
      <w:r>
        <w:t>.</w:t>
      </w:r>
      <w:r>
        <w:tab/>
        <w:t>Annual report</w:t>
      </w:r>
      <w:bookmarkEnd w:id="114"/>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115" w:name="_Toc377039028"/>
      <w:r>
        <w:rPr>
          <w:rStyle w:val="CharSectno"/>
        </w:rPr>
        <w:t>76</w:t>
      </w:r>
      <w:r>
        <w:t>.</w:t>
      </w:r>
      <w:r>
        <w:tab/>
        <w:t>Review of operation of WELS scheme</w:t>
      </w:r>
      <w:bookmarkEnd w:id="115"/>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116" w:name="_Toc377039029"/>
      <w:r>
        <w:rPr>
          <w:rStyle w:val="CharSectno"/>
        </w:rPr>
        <w:t>77</w:t>
      </w:r>
      <w:r>
        <w:t>.</w:t>
      </w:r>
      <w:r>
        <w:tab/>
        <w:t>Regulations</w:t>
      </w:r>
      <w:bookmarkEnd w:id="11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17" w:name="_Toc377039030"/>
      <w:r>
        <w:t>Notes</w:t>
      </w:r>
      <w:bookmarkEnd w:id="117"/>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xml:space="preserve"> and includes the amendments made by the other written laws referred to in the following table.</w:t>
      </w:r>
    </w:p>
    <w:p>
      <w:pPr>
        <w:pStyle w:val="nHeading3"/>
        <w:rPr>
          <w:snapToGrid w:val="0"/>
        </w:rPr>
      </w:pPr>
      <w:bookmarkStart w:id="118" w:name="_Toc377039031"/>
      <w:r>
        <w:rPr>
          <w:snapToGrid w:val="0"/>
        </w:rPr>
        <w:t>Compilation table</w:t>
      </w:r>
      <w:bookmarkEnd w:id="1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Water Efficiency Labelling and Standards Act 2006</w:t>
            </w:r>
            <w:r>
              <w:rPr>
                <w:iCs/>
                <w:snapToGrid w:val="0"/>
                <w:sz w:val="19"/>
              </w:rPr>
              <w:t xml:space="preserve"> </w:t>
            </w:r>
          </w:p>
        </w:tc>
        <w:tc>
          <w:tcPr>
            <w:tcW w:w="1134" w:type="dxa"/>
            <w:tcBorders>
              <w:bottom w:val="nil"/>
            </w:tcBorders>
          </w:tcPr>
          <w:p>
            <w:pPr>
              <w:pStyle w:val="nTable"/>
              <w:spacing w:after="40"/>
              <w:rPr>
                <w:sz w:val="19"/>
              </w:rPr>
            </w:pPr>
            <w:r>
              <w:rPr>
                <w:sz w:val="19"/>
              </w:rPr>
              <w:t>74 of 2006</w:t>
            </w:r>
          </w:p>
        </w:tc>
        <w:tc>
          <w:tcPr>
            <w:tcW w:w="1134" w:type="dxa"/>
            <w:tcBorders>
              <w:bottom w:val="nil"/>
            </w:tcBorders>
          </w:tcPr>
          <w:p>
            <w:pPr>
              <w:pStyle w:val="nTable"/>
              <w:spacing w:after="40"/>
              <w:rPr>
                <w:sz w:val="19"/>
              </w:rPr>
            </w:pPr>
            <w:r>
              <w:rPr>
                <w:sz w:val="19"/>
              </w:rPr>
              <w:t>20 Dec 2006</w:t>
            </w:r>
          </w:p>
        </w:tc>
        <w:tc>
          <w:tcPr>
            <w:tcW w:w="2552" w:type="dxa"/>
            <w:tcBorders>
              <w:bottom w:val="nil"/>
            </w:tcBorders>
          </w:tcPr>
          <w:p>
            <w:pPr>
              <w:pStyle w:val="nTable"/>
              <w:spacing w:after="40"/>
              <w:rPr>
                <w:sz w:val="19"/>
              </w:rPr>
            </w:pPr>
            <w:r>
              <w:rPr>
                <w:sz w:val="19"/>
              </w:rPr>
              <w:t>s. 1 and 2: 20 Dec 2006;</w:t>
            </w:r>
            <w:r>
              <w:rPr>
                <w:sz w:val="19"/>
              </w:rPr>
              <w:br/>
              <w:t xml:space="preserve">Act other than s. 1 and 2: 29 Apr 2009 (see s. 2 and </w:t>
            </w:r>
            <w:r>
              <w:rPr>
                <w:i/>
                <w:iCs/>
                <w:sz w:val="19"/>
              </w:rPr>
              <w:t>Gazette</w:t>
            </w:r>
            <w:r>
              <w:rPr>
                <w:sz w:val="19"/>
              </w:rPr>
              <w:t xml:space="preserve"> 28 Apr 2009 p. 1417)</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9" w:name="_Toc377039032"/>
      <w:r>
        <w:rPr>
          <w:sz w:val="28"/>
        </w:rPr>
        <w:t>Defined Terms</w:t>
      </w:r>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 w:name="DefinedTerms"/>
      <w:bookmarkEnd w:id="120"/>
      <w:r>
        <w:t>AAT</w:t>
      </w:r>
      <w:r>
        <w:tab/>
        <w:t>7(1)</w:t>
      </w:r>
    </w:p>
    <w:p>
      <w:pPr>
        <w:pStyle w:val="DefinedTerms"/>
      </w:pPr>
      <w:r>
        <w:t>AAT Act</w:t>
      </w:r>
      <w:r>
        <w:tab/>
        <w:t>7(1)</w:t>
      </w:r>
    </w:p>
    <w:p>
      <w:pPr>
        <w:pStyle w:val="DefinedTerms"/>
      </w:pPr>
      <w:r>
        <w:t>affected person</w:t>
      </w:r>
      <w:r>
        <w:tab/>
        <w:t>7(1)</w:t>
      </w:r>
    </w:p>
    <w:p>
      <w:pPr>
        <w:pStyle w:val="DefinedTerms"/>
      </w:pPr>
      <w:r>
        <w:t>agency</w:t>
      </w:r>
      <w:r>
        <w:tab/>
        <w:t>7(1)</w:t>
      </w:r>
    </w:p>
    <w:p>
      <w:pPr>
        <w:pStyle w:val="DefinedTerms"/>
      </w:pPr>
      <w:r>
        <w:t>applicable WELS standard</w:t>
      </w:r>
      <w:r>
        <w:tab/>
        <w:t>7(1)</w:t>
      </w:r>
    </w:p>
    <w:p>
      <w:pPr>
        <w:pStyle w:val="DefinedTerms"/>
      </w:pPr>
      <w:r>
        <w:t>Commonwealth Act</w:t>
      </w:r>
      <w:r>
        <w:tab/>
        <w:t>7(1)</w:t>
      </w:r>
    </w:p>
    <w:p>
      <w:pPr>
        <w:pStyle w:val="DefinedTerms"/>
      </w:pPr>
      <w:r>
        <w:t>Commonwealth Minister</w:t>
      </w:r>
      <w:r>
        <w:tab/>
        <w:t>7(1)</w:t>
      </w:r>
    </w:p>
    <w:p>
      <w:pPr>
        <w:pStyle w:val="DefinedTerms"/>
      </w:pPr>
      <w:r>
        <w:t>corresponding law</w:t>
      </w:r>
      <w:r>
        <w:tab/>
        <w:t>7(1), 12</w:t>
      </w:r>
    </w:p>
    <w:p>
      <w:pPr>
        <w:pStyle w:val="DefinedTerms"/>
      </w:pPr>
      <w:r>
        <w:t>damage</w:t>
      </w:r>
      <w:r>
        <w:tab/>
        <w:t>7(1)</w:t>
      </w:r>
    </w:p>
    <w:p>
      <w:pPr>
        <w:pStyle w:val="DefinedTerms"/>
      </w:pPr>
      <w:r>
        <w:t>evidential material</w:t>
      </w:r>
      <w:r>
        <w:tab/>
        <w:t>7(1)</w:t>
      </w:r>
    </w:p>
    <w:p>
      <w:pPr>
        <w:pStyle w:val="DefinedTerms"/>
      </w:pPr>
      <w:r>
        <w:t>occupier</w:t>
      </w:r>
      <w:r>
        <w:tab/>
        <w:t>7(1)</w:t>
      </w:r>
    </w:p>
    <w:p>
      <w:pPr>
        <w:pStyle w:val="DefinedTerms"/>
      </w:pPr>
      <w:r>
        <w:t>person who has WELS information</w:t>
      </w:r>
      <w:r>
        <w:tab/>
        <w:t>7(1)</w:t>
      </w:r>
    </w:p>
    <w:p>
      <w:pPr>
        <w:pStyle w:val="DefinedTerms"/>
      </w:pPr>
      <w:r>
        <w:t>registered</w:t>
      </w:r>
      <w:r>
        <w:tab/>
        <w:t>7(1)</w:t>
      </w:r>
    </w:p>
    <w:p>
      <w:pPr>
        <w:pStyle w:val="DefinedTerms"/>
      </w:pPr>
      <w:r>
        <w:t>Regulator</w:t>
      </w:r>
      <w:r>
        <w:tab/>
        <w:t>7(1)</w:t>
      </w:r>
    </w:p>
    <w:p>
      <w:pPr>
        <w:pStyle w:val="DefinedTerms"/>
      </w:pPr>
      <w:r>
        <w:t>reviewable decision</w:t>
      </w:r>
      <w:r>
        <w:tab/>
        <w:t>7(1)</w:t>
      </w:r>
    </w:p>
    <w:p>
      <w:pPr>
        <w:pStyle w:val="DefinedTerms"/>
      </w:pPr>
      <w:r>
        <w:t>supply</w:t>
      </w:r>
      <w:r>
        <w:tab/>
        <w:t>7(1)</w:t>
      </w:r>
    </w:p>
    <w:p>
      <w:pPr>
        <w:pStyle w:val="DefinedTerms"/>
      </w:pPr>
      <w:r>
        <w:t>the first WELS standard</w:t>
      </w:r>
      <w:r>
        <w:tab/>
        <w:t>30(2)</w:t>
      </w:r>
    </w:p>
    <w:p>
      <w:pPr>
        <w:pStyle w:val="DefinedTerms"/>
      </w:pPr>
      <w:r>
        <w:t>water saving product</w:t>
      </w:r>
      <w:r>
        <w:tab/>
        <w:t>7(1)</w:t>
      </w:r>
    </w:p>
    <w:p>
      <w:pPr>
        <w:pStyle w:val="DefinedTerms"/>
      </w:pPr>
      <w:r>
        <w:t>water use product</w:t>
      </w:r>
      <w:r>
        <w:tab/>
        <w:t>7(1)</w:t>
      </w:r>
    </w:p>
    <w:p>
      <w:pPr>
        <w:pStyle w:val="DefinedTerms"/>
      </w:pPr>
      <w:r>
        <w:t>WELS account</w:t>
      </w:r>
      <w:r>
        <w:tab/>
        <w:t>7(1)</w:t>
      </w:r>
    </w:p>
    <w:p>
      <w:pPr>
        <w:pStyle w:val="DefinedTerms"/>
      </w:pPr>
      <w:r>
        <w:t>WELS business premises</w:t>
      </w:r>
      <w:r>
        <w:tab/>
        <w:t>7(1)</w:t>
      </w:r>
    </w:p>
    <w:p>
      <w:pPr>
        <w:pStyle w:val="DefinedTerms"/>
      </w:pPr>
      <w:r>
        <w:t>WELS inspector</w:t>
      </w:r>
      <w:r>
        <w:tab/>
        <w:t>7(1)</w:t>
      </w:r>
    </w:p>
    <w:p>
      <w:pPr>
        <w:pStyle w:val="DefinedTerms"/>
      </w:pPr>
      <w:r>
        <w:t>WELS labelled</w:t>
      </w:r>
      <w:r>
        <w:tab/>
        <w:t>7(1)</w:t>
      </w:r>
    </w:p>
    <w:p>
      <w:pPr>
        <w:pStyle w:val="DefinedTerms"/>
      </w:pPr>
      <w:r>
        <w:t>WELS premises</w:t>
      </w:r>
      <w:r>
        <w:tab/>
        <w:t>7(1)</w:t>
      </w:r>
    </w:p>
    <w:p>
      <w:pPr>
        <w:pStyle w:val="DefinedTerms"/>
      </w:pPr>
      <w:r>
        <w:t>WELS product</w:t>
      </w:r>
      <w:r>
        <w:tab/>
        <w:t>7(1)</w:t>
      </w:r>
    </w:p>
    <w:p>
      <w:pPr>
        <w:pStyle w:val="DefinedTerms"/>
      </w:pPr>
      <w:r>
        <w:t>WELS scheme</w:t>
      </w:r>
      <w:r>
        <w:tab/>
        <w:t>7(1)</w:t>
      </w:r>
    </w:p>
    <w:p>
      <w:pPr>
        <w:pStyle w:val="DefinedTerms"/>
      </w:pPr>
      <w:r>
        <w:t>WELS standard</w:t>
      </w:r>
      <w:r>
        <w:tab/>
        <w:t>7(1)</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09135137"/>
    <w:docVar w:name="WAFER_20140109134612" w:val="RemoveTocBookmarks,RemoveUnusedBookmarks,RemoveLanguageTags,UsedStyles,ResetPageSize,UpdateArrangement"/>
    <w:docVar w:name="WAFER_20140109134612_GUID" w:val="79c80014-4e31-463b-aedb-eb3a80183cdc"/>
    <w:docVar w:name="WAFER_20140109135137" w:val="RemoveTocBookmarks,RunningHeaders"/>
    <w:docVar w:name="WAFER_20140109135137_GUID" w:val="7af41d3a-26ad-4b0e-b65d-6bc0ef28e3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aliases w:val="sd"/>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aliases w:val="as"/>
    <w:next w:val="Normal"/>
    <w:qFormat/>
    <w:pPr>
      <w:keepNext/>
      <w:spacing w:before="240"/>
      <w:jc w:val="center"/>
      <w:outlineLvl w:val="5"/>
    </w:pPr>
    <w:rPr>
      <w:rFonts w:ascii="Times New Roman" w:hAnsi="Times New Roman"/>
      <w:i/>
      <w:noProof/>
      <w:sz w:val="24"/>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10914</Words>
  <Characters>53371</Characters>
  <Application>Microsoft Office Word</Application>
  <DocSecurity>0</DocSecurity>
  <Lines>1482</Lines>
  <Paragraphs>988</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 (Bills)</vt:lpstr>
      <vt:lpstr>    Part 1 — Preliminary</vt:lpstr>
      <vt:lpstr>    Part 2 — Interpretation</vt:lpstr>
      <vt:lpstr>    Part 3 — National WELS scheme</vt:lpstr>
      <vt:lpstr>    Part 4 — WELS products and WELS standards</vt:lpstr>
      <vt:lpstr>    Part 5 — The WELS Regulator</vt:lpstr>
      <vt:lpstr>    Part 6 — Registration of WELS products</vt:lpstr>
      <vt:lpstr>    Part 7 — Offences relating to the supply of WELS products</vt:lpstr>
      <vt:lpstr>        Division 1 — Applicable WELS standards</vt:lpstr>
      <vt:lpstr>        Division 2 — Registration and labelling</vt:lpstr>
      <vt:lpstr>        Division 3 — Minimum efficiency and performance requirements</vt:lpstr>
      <vt:lpstr>        Division 4 — Misuse of WELS standards etc.</vt:lpstr>
      <vt:lpstr>        Division 5 — False or misleading information or document</vt:lpstr>
      <vt:lpstr>    Part 8 — Other enforcement</vt:lpstr>
      <vt:lpstr>        Division 1 — Infringement notices</vt:lpstr>
      <vt:lpstr>        Division 2 — Publicising offences</vt:lpstr>
      <vt:lpstr>        Division 3 — Enforceable undertakings</vt:lpstr>
      <vt:lpstr>        Division 4 — Injunctions</vt:lpstr>
      <vt:lpstr>    Part 9 — WELS inspectors</vt:lpstr>
      <vt:lpstr>        Division 1 — Appointment of WELS inspectors</vt:lpstr>
      <vt:lpstr>        Division 2 — Powers of WELS inspectors</vt:lpstr>
      <vt:lpstr>        Division 3 — Applying for warrants to enter WELS premises</vt:lpstr>
      <vt:lpstr>        Division 4 — Giving WELS information to WELS inspectors</vt:lpstr>
      <vt:lpstr>        Division 5 — Privilege against self incrimination</vt:lpstr>
      <vt:lpstr>    Part 10 — Money</vt:lpstr>
      <vt:lpstr>        Division 1 — The WELS Account</vt:lpstr>
      <vt:lpstr>        Division 2 — Charging fees and recovering fees and other amounts</vt:lpstr>
      <vt:lpstr>    Part 11 — Review of decisions</vt:lpstr>
      <vt:lpstr>    Part 12 — Miscellaneous</vt:lpstr>
      <vt:lpstr>    Notes</vt:lpstr>
      <vt:lpstr>    Defined Terms</vt:lpstr>
    </vt:vector>
  </TitlesOfParts>
  <Manager/>
  <Company/>
  <LinksUpToDate>false</LinksUpToDate>
  <CharactersWithSpaces>63297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2006 - 00-c0-02</dc:title>
  <dc:subject/>
  <dc:creator/>
  <cp:keywords/>
  <dc:description/>
  <cp:lastModifiedBy>svcMRProcess</cp:lastModifiedBy>
  <cp:revision>4</cp:revision>
  <cp:lastPrinted>2006-12-21T05:52:00Z</cp:lastPrinted>
  <dcterms:created xsi:type="dcterms:W3CDTF">2020-02-18T07:54:00Z</dcterms:created>
  <dcterms:modified xsi:type="dcterms:W3CDTF">2020-02-18T07:54:00Z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146604</vt:i4>
  </property>
  <property fmtid="{D5CDD505-2E9C-101B-9397-08002B2CF9AE}" pid="6" name="AsAtDate">
    <vt:lpwstr>04 Dec 2009</vt:lpwstr>
  </property>
  <property fmtid="{D5CDD505-2E9C-101B-9397-08002B2CF9AE}" pid="7" name="Suffix">
    <vt:lpwstr>00-c0-02</vt:lpwstr>
  </property>
</Properties>
</file>