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(Transitional Provisions)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(Transitional Provisions)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_Toc418158956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_Toc418158957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Repeal and amendment of legislation</w:t>
      </w:r>
    </w:p>
    <w:p>
      <w:pPr>
        <w:pStyle w:val="TOC4"/>
        <w:tabs>
          <w:tab w:val="right" w:leader="dot" w:pos="7077"/>
        </w:tabs>
        <w:rPr>
          <w:rFonts w:asciiTheme="minorHAnsi" w:eastAsiaTheme="minorEastAsia" w:hAnsiTheme="minorHAnsi" w:cstheme="minorBidi"/>
          <w:b w:val="0"/>
          <w:szCs w:val="22"/>
        </w:rPr>
      </w:pPr>
      <w:r>
        <w:t>Division 1 — </w:t>
      </w:r>
      <w:r>
        <w:rPr>
          <w:i/>
        </w:rPr>
        <w:t>Financial Administration and Audit Act 1985 </w:t>
      </w:r>
      <w:r>
        <w:t>repealed</w:t>
      </w:r>
    </w:p>
    <w:p>
      <w:pPr>
        <w:pStyle w:val="TOC8"/>
        <w:rPr>
          <w:rFonts w:asciiTheme="minorHAnsi" w:eastAsiaTheme="minorEastAsia" w:hAnsiTheme="minorHAnsi" w:cstheme="minorBidi"/>
          <w:szCs w:val="22"/>
        </w:rPr>
      </w:pPr>
      <w:r>
        <w:t>3.</w:t>
      </w:r>
      <w:r>
        <w:tab/>
      </w:r>
      <w:r>
        <w:rPr>
          <w:i/>
        </w:rPr>
        <w:t>Financial Administration and Audit Act 1985</w:t>
      </w:r>
      <w:r>
        <w:t xml:space="preserve"> repealed</w:t>
      </w:r>
      <w:r>
        <w:tab/>
      </w:r>
      <w:r>
        <w:fldChar w:fldCharType="begin"/>
      </w:r>
      <w:r>
        <w:instrText xml:space="preserve"> PAGEREF _Toc418158960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6 — Transitional provisions</w:t>
      </w:r>
    </w:p>
    <w:p>
      <w:pPr>
        <w:pStyle w:val="TOC8"/>
        <w:rPr>
          <w:rFonts w:asciiTheme="minorHAnsi" w:eastAsiaTheme="minorEastAsia" w:hAnsiTheme="minorHAnsi" w:cstheme="minorBidi"/>
          <w:szCs w:val="22"/>
        </w:rPr>
      </w:pPr>
      <w:r>
        <w:t>19.</w:t>
      </w:r>
      <w:r>
        <w:tab/>
        <w:t>Transitional provisions</w:t>
      </w:r>
      <w:r>
        <w:tab/>
      </w:r>
      <w:r>
        <w:fldChar w:fldCharType="begin"/>
      </w:r>
      <w:r>
        <w:instrText xml:space="preserve"> PAGEREF _Toc418158962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Arial Unicode MS"/>
        </w:rPr>
        <w:t>Schedule 2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_Toc418158965 \h </w:instrText>
      </w:r>
      <w:r>
        <w:fldChar w:fldCharType="separate"/>
      </w:r>
      <w:r>
        <w:t>4</w:t>
      </w:r>
      <w:r>
        <w:fldChar w:fldCharType="end"/>
      </w:r>
    </w:p>
    <w:p>
      <w:pPr>
        <w:pStyle w:val="TOC8"/>
        <w:rPr>
          <w:rFonts w:asciiTheme="minorHAnsi" w:eastAsiaTheme="minorEastAsia" w:hAnsiTheme="minorHAnsi" w:cstheme="minorBidi"/>
          <w:szCs w:val="22"/>
        </w:rPr>
      </w:pPr>
      <w:r>
        <w:t>2.</w:t>
      </w:r>
      <w:r>
        <w:tab/>
        <w:t xml:space="preserve">Application of </w:t>
      </w:r>
      <w:r>
        <w:rPr>
          <w:i/>
        </w:rPr>
        <w:t>Interpretation Act 1984</w:t>
      </w:r>
      <w:r>
        <w:tab/>
      </w:r>
      <w:r>
        <w:fldChar w:fldCharType="begin"/>
      </w:r>
      <w:r>
        <w:instrText xml:space="preserve"> PAGEREF _Toc418158966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Financial Administration and Audit Act 1985</w:t>
      </w:r>
    </w:p>
    <w:p>
      <w:pPr>
        <w:pStyle w:val="TOC8"/>
        <w:rPr>
          <w:rFonts w:asciiTheme="minorHAnsi" w:eastAsiaTheme="minorEastAsia" w:hAnsiTheme="minorHAnsi" w:cstheme="minorBidi"/>
          <w:szCs w:val="22"/>
        </w:rPr>
      </w:pPr>
      <w:r>
        <w:t>3.</w:t>
      </w:r>
      <w:r>
        <w:tab/>
      </w:r>
      <w:r>
        <w:rPr>
          <w:i/>
        </w:rPr>
        <w:t>Financial Administration and Audit Act 1985</w:t>
      </w:r>
      <w:r>
        <w:t xml:space="preserve"> section 6 (Consolidated Fund)</w:t>
      </w:r>
      <w:r>
        <w:tab/>
      </w:r>
      <w:r>
        <w:fldChar w:fldCharType="begin"/>
      </w:r>
      <w:r>
        <w:instrText xml:space="preserve"> PAGEREF _Toc418158968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i/>
        </w:rPr>
        <w:t>Financial Administration and Audit Act 1985</w:t>
      </w:r>
      <w:r>
        <w:t xml:space="preserve"> section 9 (trust accounts)</w:t>
      </w:r>
      <w:r>
        <w:tab/>
      </w:r>
      <w:r>
        <w:fldChar w:fldCharType="begin"/>
      </w:r>
      <w:r>
        <w:instrText xml:space="preserve"> PAGEREF _Toc418158969 \h </w:instrText>
      </w:r>
      <w:r>
        <w:fldChar w:fldCharType="separate"/>
      </w:r>
      <w:r>
        <w:t>5</w:t>
      </w:r>
      <w:r>
        <w:fldChar w:fldCharType="end"/>
      </w:r>
    </w:p>
    <w:p>
      <w:pPr>
        <w:pStyle w:val="TOC8"/>
        <w:rPr>
          <w:rFonts w:asciiTheme="minorHAnsi" w:eastAsiaTheme="minorEastAsia" w:hAnsiTheme="minorHAnsi" w:cstheme="minorBidi"/>
          <w:szCs w:val="22"/>
        </w:rPr>
      </w:pPr>
      <w:r>
        <w:t>5.</w:t>
      </w:r>
      <w:r>
        <w:tab/>
      </w:r>
      <w:r>
        <w:rPr>
          <w:i/>
        </w:rPr>
        <w:t>Financial Administration and Audit Act 1985</w:t>
      </w:r>
      <w:r>
        <w:t xml:space="preserve"> section 10 (trust statements)</w:t>
      </w:r>
      <w:r>
        <w:tab/>
      </w:r>
      <w:r>
        <w:fldChar w:fldCharType="begin"/>
      </w:r>
      <w:r>
        <w:instrText xml:space="preserve"> PAGEREF _Toc418158970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i/>
        </w:rPr>
        <w:t>Financial Administration and Audit Act 1985</w:t>
      </w:r>
      <w:r>
        <w:t xml:space="preserve"> section 15B (operating accounts)</w:t>
      </w:r>
      <w:r>
        <w:tab/>
      </w:r>
      <w:r>
        <w:fldChar w:fldCharType="begin"/>
      </w:r>
      <w:r>
        <w:instrText xml:space="preserve"> PAGEREF _Toc418158971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i/>
        </w:rPr>
        <w:t>Financial Administration and Audit Act 1985</w:t>
      </w:r>
      <w:r>
        <w:t xml:space="preserve"> section 21 (bank accounts)</w:t>
      </w:r>
      <w:r>
        <w:tab/>
      </w:r>
      <w:r>
        <w:fldChar w:fldCharType="begin"/>
      </w:r>
      <w:r>
        <w:instrText xml:space="preserve"> PAGEREF _Toc418158972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i/>
        </w:rPr>
        <w:t>Financial Administration and Audit Act 1985</w:t>
      </w:r>
      <w:r>
        <w:t xml:space="preserve"> section 23A (prescribed revenue)</w:t>
      </w:r>
      <w:r>
        <w:tab/>
      </w:r>
      <w:r>
        <w:fldChar w:fldCharType="begin"/>
      </w:r>
      <w:r>
        <w:instrText xml:space="preserve"> PAGEREF _Toc418158973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i/>
        </w:rPr>
        <w:t>Financial Administration and Audit Act 1985</w:t>
      </w:r>
      <w:r>
        <w:t xml:space="preserve"> section 39 (investment income)</w:t>
      </w:r>
      <w:r>
        <w:tab/>
      </w:r>
      <w:r>
        <w:fldChar w:fldCharType="begin"/>
      </w:r>
      <w:r>
        <w:instrText xml:space="preserve"> PAGEREF _Toc418158974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i/>
        </w:rPr>
        <w:t>Financial Administration and Audit Act 1985</w:t>
      </w:r>
      <w:r>
        <w:t xml:space="preserve"> section 58 (Treasurer’s Instructions)</w:t>
      </w:r>
      <w:r>
        <w:tab/>
      </w:r>
      <w:r>
        <w:fldChar w:fldCharType="begin"/>
      </w:r>
      <w:r>
        <w:instrText xml:space="preserve"> PAGEREF _Toc418158975 \h </w:instrText>
      </w:r>
      <w:r>
        <w:fldChar w:fldCharType="separate"/>
      </w:r>
      <w:r>
        <w:t>7</w:t>
      </w:r>
      <w:r>
        <w:fldChar w:fldCharType="end"/>
      </w:r>
    </w:p>
    <w:p>
      <w:pPr>
        <w:pStyle w:val="TOC8"/>
        <w:rPr>
          <w:rFonts w:asciiTheme="minorHAnsi" w:eastAsiaTheme="minorEastAsia" w:hAnsiTheme="minorHAnsi" w:cstheme="minorBidi"/>
          <w:szCs w:val="22"/>
        </w:rPr>
      </w:pPr>
      <w:r>
        <w:t>11.</w:t>
      </w:r>
      <w:r>
        <w:tab/>
        <w:t xml:space="preserve">References to the </w:t>
      </w:r>
      <w:r>
        <w:rPr>
          <w:i/>
        </w:rPr>
        <w:t>Financial Administration and Audit Act 1985</w:t>
      </w:r>
      <w:r>
        <w:tab/>
      </w:r>
      <w:r>
        <w:fldChar w:fldCharType="begin"/>
      </w:r>
      <w:r>
        <w:instrText xml:space="preserve"> PAGEREF _Toc418158976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Other transitional provisions</w:t>
      </w:r>
    </w:p>
    <w:p>
      <w:pPr>
        <w:pStyle w:val="TOC8"/>
        <w:rPr>
          <w:rFonts w:asciiTheme="minorHAnsi" w:eastAsiaTheme="minorEastAsia" w:hAnsiTheme="minorHAnsi" w:cstheme="minorBidi"/>
          <w:szCs w:val="22"/>
        </w:rPr>
      </w:pPr>
      <w:r>
        <w:t>12.</w:t>
      </w:r>
      <w:r>
        <w:tab/>
        <w:t>Treasurer’s Advance Authorisation Act payments and advances</w:t>
      </w:r>
      <w:r>
        <w:tab/>
      </w:r>
      <w:r>
        <w:fldChar w:fldCharType="begin"/>
      </w:r>
      <w:r>
        <w:instrText xml:space="preserve"> PAGEREF _Toc418158978 \h </w:instrText>
      </w:r>
      <w:r>
        <w:fldChar w:fldCharType="separate"/>
      </w:r>
      <w:r>
        <w:t>7</w:t>
      </w:r>
      <w:r>
        <w:fldChar w:fldCharType="end"/>
      </w:r>
    </w:p>
    <w:p>
      <w:pPr>
        <w:pStyle w:val="TOC8"/>
        <w:rPr>
          <w:rFonts w:asciiTheme="minorHAnsi" w:eastAsiaTheme="minorEastAsia" w:hAnsiTheme="minorHAnsi" w:cstheme="minorBidi"/>
          <w:szCs w:val="22"/>
        </w:rPr>
      </w:pPr>
      <w:r>
        <w:t>13.</w:t>
      </w:r>
      <w:r>
        <w:tab/>
        <w:t>References to the Consolidated Fund</w:t>
      </w:r>
      <w:r>
        <w:tab/>
      </w:r>
      <w:r>
        <w:fldChar w:fldCharType="begin"/>
      </w:r>
      <w:r>
        <w:instrText xml:space="preserve"> PAGEREF _Toc418158979 \h </w:instrText>
      </w:r>
      <w:r>
        <w:fldChar w:fldCharType="separate"/>
      </w:r>
      <w:r>
        <w:t>8</w:t>
      </w:r>
      <w:r>
        <w:fldChar w:fldCharType="end"/>
      </w:r>
    </w:p>
    <w:p>
      <w:pPr>
        <w:pStyle w:val="TOC8"/>
        <w:rPr>
          <w:rFonts w:asciiTheme="minorHAnsi" w:eastAsiaTheme="minorEastAsia" w:hAnsiTheme="minorHAnsi" w:cstheme="minorBidi"/>
          <w:szCs w:val="22"/>
        </w:rPr>
      </w:pPr>
      <w:r>
        <w:t>14.</w:t>
      </w:r>
      <w:r>
        <w:tab/>
        <w:t>Transitional regulations</w:t>
      </w:r>
      <w:r>
        <w:tab/>
      </w:r>
      <w:r>
        <w:fldChar w:fldCharType="begin"/>
      </w:r>
      <w:r>
        <w:instrText xml:space="preserve"> PAGEREF _Toc418158980 \h </w:instrText>
      </w:r>
      <w:r>
        <w:fldChar w:fldCharType="separate"/>
      </w:r>
      <w:r>
        <w:t>8</w:t>
      </w:r>
      <w:r>
        <w:fldChar w:fldCharType="end"/>
      </w:r>
    </w:p>
    <w:p>
      <w:pPr>
        <w:pStyle w:val="TOC8"/>
        <w:rPr>
          <w:rFonts w:asciiTheme="minorHAnsi" w:eastAsiaTheme="minorEastAsia" w:hAnsiTheme="minorHAnsi" w:cstheme="minorBidi"/>
          <w:szCs w:val="22"/>
        </w:rPr>
      </w:pPr>
      <w:r>
        <w:t>15.</w:t>
      </w:r>
      <w:r>
        <w:tab/>
        <w:t>Power to amend subsidiary legislation</w:t>
      </w:r>
      <w:r>
        <w:tab/>
      </w:r>
      <w:r>
        <w:fldChar w:fldCharType="begin"/>
      </w:r>
      <w:r>
        <w:instrText xml:space="preserve"> PAGEREF _Toc418158981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_Toc418158983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ind w:right="284"/>
      </w:pPr>
      <w:r>
        <w:t>Financial Management (Transitional Provisions) Act 2006</w:t>
      </w:r>
    </w:p>
    <w:p>
      <w:pPr>
        <w:pStyle w:val="LongTitle"/>
        <w:suppressLineNumbers/>
        <w:spacing w:before="240"/>
        <w:rPr>
          <w:snapToGrid w:val="0"/>
        </w:rPr>
      </w:pPr>
      <w:r>
        <w:rPr>
          <w:snapToGrid w:val="0"/>
        </w:rPr>
        <w:t xml:space="preserve">An Act — </w:t>
      </w:r>
    </w:p>
    <w:p>
      <w:pPr>
        <w:pStyle w:val="LongTitle"/>
        <w:numPr>
          <w:ilvl w:val="0"/>
          <w:numId w:val="1"/>
        </w:numPr>
        <w:suppressLineNumbers/>
        <w:tabs>
          <w:tab w:val="clear" w:pos="720"/>
          <w:tab w:val="num" w:pos="426"/>
        </w:tabs>
        <w:ind w:hanging="720"/>
        <w:rPr>
          <w:snapToGrid w:val="0"/>
        </w:rPr>
      </w:pPr>
      <w:r>
        <w:rPr>
          <w:snapToGrid w:val="0"/>
        </w:rPr>
        <w:t xml:space="preserve">to repeal the </w:t>
      </w:r>
      <w:r>
        <w:rPr>
          <w:i/>
          <w:snapToGrid w:val="0"/>
        </w:rPr>
        <w:t>Financial Administration and Audit Act 1985</w:t>
      </w:r>
      <w:r>
        <w:rPr>
          <w:snapToGrid w:val="0"/>
        </w:rPr>
        <w:t>;</w:t>
      </w:r>
    </w:p>
    <w:p>
      <w:pPr>
        <w:pStyle w:val="LongTitle"/>
        <w:numPr>
          <w:ilvl w:val="0"/>
          <w:numId w:val="1"/>
        </w:numPr>
        <w:suppressLineNumbers/>
        <w:tabs>
          <w:tab w:val="clear" w:pos="720"/>
          <w:tab w:val="num" w:pos="426"/>
        </w:tabs>
        <w:ind w:hanging="720"/>
        <w:rPr>
          <w:snapToGrid w:val="0"/>
        </w:rPr>
      </w:pPr>
      <w:r>
        <w:rPr>
          <w:snapToGrid w:val="0"/>
        </w:rPr>
        <w:t>to amend various Acts</w:t>
      </w:r>
      <w:r>
        <w:rPr>
          <w:b w:val="0"/>
          <w:snapToGrid w:val="0"/>
          <w:vertAlign w:val="superscript"/>
        </w:rPr>
        <w:t> 2</w:t>
      </w:r>
      <w:r>
        <w:rPr>
          <w:snapToGrid w:val="0"/>
        </w:rPr>
        <w:t>; and</w:t>
      </w:r>
    </w:p>
    <w:p>
      <w:pPr>
        <w:pStyle w:val="LongTitle"/>
        <w:numPr>
          <w:ilvl w:val="0"/>
          <w:numId w:val="1"/>
        </w:numPr>
        <w:suppressLineNumbers/>
        <w:tabs>
          <w:tab w:val="clear" w:pos="720"/>
          <w:tab w:val="num" w:pos="426"/>
        </w:tabs>
        <w:ind w:hanging="720"/>
        <w:rPr>
          <w:snapToGrid w:val="0"/>
        </w:rPr>
      </w:pPr>
      <w:r>
        <w:rPr>
          <w:snapToGrid w:val="0"/>
        </w:rPr>
        <w:t>to enact transitional provisions,</w:t>
      </w:r>
    </w:p>
    <w:p>
      <w:pPr>
        <w:pStyle w:val="LongTitle"/>
        <w:suppressLineNumbers/>
        <w:rPr>
          <w:snapToGrid w:val="0"/>
        </w:rPr>
      </w:pPr>
      <w:r>
        <w:rPr>
          <w:snapToGrid w:val="0"/>
        </w:rPr>
        <w:t xml:space="preserve">as a consequence of, and in connection with, the enactment of — </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Auditor General Act 2006</w:t>
      </w:r>
      <w:r>
        <w:rPr>
          <w:snapToGrid w:val="0"/>
        </w:rPr>
        <w:t>; and</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Financial Management Act 2006</w:t>
      </w:r>
      <w:r>
        <w:rPr>
          <w:snapToGrid w:val="0"/>
        </w:rPr>
        <w:t>,</w:t>
      </w:r>
    </w:p>
    <w:p>
      <w:pPr>
        <w:pStyle w:val="LongTitle"/>
        <w:suppressLineNumbers/>
      </w:pPr>
      <w:r>
        <w:rPr>
          <w:snapToGrid w:val="0"/>
        </w:rPr>
        <w:t>and for related purposes.</w:t>
      </w:r>
    </w:p>
    <w:p>
      <w:pPr>
        <w:pStyle w:val="Heading2"/>
      </w:pPr>
      <w:bookmarkStart w:id="3" w:name="_Toc375143262"/>
      <w:bookmarkStart w:id="4" w:name="_Toc418158955"/>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5143263"/>
      <w:bookmarkStart w:id="6" w:name="_Toc418158956"/>
      <w:r>
        <w:rPr>
          <w:rStyle w:val="CharSectno"/>
        </w:rPr>
        <w:t>1</w:t>
      </w:r>
      <w:r>
        <w:t>.</w:t>
      </w:r>
      <w:r>
        <w:tab/>
        <w:t>Short title</w:t>
      </w:r>
      <w:bookmarkEnd w:id="5"/>
      <w:bookmarkEnd w:id="6"/>
    </w:p>
    <w:p>
      <w:pPr>
        <w:pStyle w:val="Subsection"/>
        <w:ind w:right="566"/>
        <w:rPr>
          <w:snapToGrid w:val="0"/>
        </w:rPr>
      </w:pPr>
      <w:r>
        <w:tab/>
      </w:r>
      <w:r>
        <w:tab/>
        <w:t>This</w:t>
      </w:r>
      <w:r>
        <w:rPr>
          <w:snapToGrid w:val="0"/>
        </w:rPr>
        <w:t xml:space="preserve"> is the</w:t>
      </w:r>
      <w:r>
        <w:rPr>
          <w:i/>
          <w:snapToGrid w:val="0"/>
        </w:rPr>
        <w:t xml:space="preserve"> Financial </w:t>
      </w:r>
      <w:r>
        <w:rPr>
          <w:i/>
        </w:rPr>
        <w:t>Management (Transitional Provisions)</w:t>
      </w:r>
      <w:r>
        <w:t xml:space="preserve"> </w:t>
      </w:r>
      <w:r>
        <w:rPr>
          <w:i/>
          <w:snapToGrid w:val="0"/>
        </w:rPr>
        <w:t>Act 2006</w:t>
      </w:r>
      <w:r>
        <w:rPr>
          <w:snapToGrid w:val="0"/>
          <w:vertAlign w:val="superscript"/>
        </w:rPr>
        <w:t> 1</w:t>
      </w:r>
      <w:r>
        <w:rPr>
          <w:snapToGrid w:val="0"/>
        </w:rPr>
        <w:t>.</w:t>
      </w:r>
    </w:p>
    <w:p>
      <w:pPr>
        <w:pStyle w:val="Footnotesection"/>
      </w:pPr>
      <w:r>
        <w:tab/>
        <w:t>[Section 1 amended: No. 77 of 2006 s. 18</w:t>
      </w:r>
      <w:r>
        <w:rPr>
          <w:i w:val="0"/>
        </w:rPr>
        <w:t> </w:t>
      </w:r>
      <w:r>
        <w:rPr>
          <w:i w:val="0"/>
          <w:vertAlign w:val="superscript"/>
        </w:rPr>
        <w:t>3</w:t>
      </w:r>
      <w:r>
        <w:t>.]</w:t>
      </w:r>
    </w:p>
    <w:p>
      <w:pPr>
        <w:pStyle w:val="Heading5"/>
      </w:pPr>
      <w:bookmarkStart w:id="7" w:name="_Toc375143264"/>
      <w:bookmarkStart w:id="8" w:name="_Toc418158957"/>
      <w:r>
        <w:rPr>
          <w:rStyle w:val="CharSectno"/>
        </w:rPr>
        <w:t>2</w:t>
      </w:r>
      <w:r>
        <w:t>.</w:t>
      </w:r>
      <w:r>
        <w:tab/>
        <w:t>Commencement</w:t>
      </w:r>
      <w:bookmarkEnd w:id="7"/>
      <w:bookmarkEnd w:id="8"/>
    </w:p>
    <w:p>
      <w:pPr>
        <w:pStyle w:val="Subsection"/>
      </w:pPr>
      <w:r>
        <w:tab/>
        <w:t>(1)</w:t>
      </w:r>
      <w:r>
        <w:tab/>
        <w:t>Subject to subsection (3),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Sections 3 and 19 and Schedule 2 come into operation on the day on which the </w:t>
      </w:r>
      <w:r>
        <w:rPr>
          <w:i/>
        </w:rPr>
        <w:t>Financial Management Act 2006</w:t>
      </w:r>
      <w:r>
        <w:t xml:space="preserve"> comes into operation</w:t>
      </w:r>
      <w:r>
        <w:rPr>
          <w:vertAlign w:val="superscript"/>
        </w:rPr>
        <w:t> 1</w:t>
      </w:r>
      <w:r>
        <w:t>.</w:t>
      </w:r>
    </w:p>
    <w:p>
      <w:pPr>
        <w:pStyle w:val="Heading2"/>
      </w:pPr>
      <w:bookmarkStart w:id="9" w:name="_Toc375143265"/>
      <w:bookmarkStart w:id="10" w:name="_Toc418158958"/>
      <w:r>
        <w:rPr>
          <w:rStyle w:val="CharPartNo"/>
        </w:rPr>
        <w:t>Part 2</w:t>
      </w:r>
      <w:r>
        <w:t> — </w:t>
      </w:r>
      <w:r>
        <w:rPr>
          <w:rStyle w:val="CharPartText"/>
        </w:rPr>
        <w:t>Repeal and amendment of legislation</w:t>
      </w:r>
      <w:bookmarkEnd w:id="9"/>
      <w:bookmarkEnd w:id="10"/>
    </w:p>
    <w:p>
      <w:pPr>
        <w:pStyle w:val="Heading3"/>
      </w:pPr>
      <w:bookmarkStart w:id="11" w:name="_Toc375143266"/>
      <w:bookmarkStart w:id="12" w:name="_Toc418158959"/>
      <w:r>
        <w:rPr>
          <w:rStyle w:val="CharDivNo"/>
        </w:rPr>
        <w:t>Division 1</w:t>
      </w:r>
      <w:r>
        <w:t> — </w:t>
      </w:r>
      <w:r>
        <w:rPr>
          <w:rStyle w:val="CharDivText"/>
          <w:i/>
        </w:rPr>
        <w:t>Financial Administration and Audit Act 1985 </w:t>
      </w:r>
      <w:r>
        <w:rPr>
          <w:rStyle w:val="CharDivText"/>
        </w:rPr>
        <w:t>repealed</w:t>
      </w:r>
      <w:bookmarkEnd w:id="11"/>
      <w:bookmarkEnd w:id="12"/>
    </w:p>
    <w:p>
      <w:pPr>
        <w:pStyle w:val="Heading5"/>
      </w:pPr>
      <w:bookmarkStart w:id="13" w:name="_Toc375143267"/>
      <w:bookmarkStart w:id="14" w:name="_Toc418158960"/>
      <w:r>
        <w:rPr>
          <w:rStyle w:val="CharSectno"/>
        </w:rPr>
        <w:t>3</w:t>
      </w:r>
      <w:r>
        <w:t>.</w:t>
      </w:r>
      <w:r>
        <w:tab/>
      </w:r>
      <w:r>
        <w:rPr>
          <w:i/>
        </w:rPr>
        <w:t>Financial Administration and Audit Act 1985</w:t>
      </w:r>
      <w:r>
        <w:t xml:space="preserve"> repealed</w:t>
      </w:r>
      <w:bookmarkEnd w:id="13"/>
      <w:bookmarkEnd w:id="14"/>
    </w:p>
    <w:p>
      <w:pPr>
        <w:pStyle w:val="Subsection"/>
      </w:pPr>
      <w:r>
        <w:tab/>
      </w:r>
      <w:r>
        <w:tab/>
        <w:t xml:space="preserve">The </w:t>
      </w:r>
      <w:r>
        <w:rPr>
          <w:i/>
        </w:rPr>
        <w:t>Financial Administration and Audit Act 1985</w:t>
      </w:r>
      <w:r>
        <w:t xml:space="preserve"> is repealed.</w:t>
      </w:r>
    </w:p>
    <w:p>
      <w:pPr>
        <w:pStyle w:val="Ednotedivision"/>
      </w:pPr>
      <w:r>
        <w:t>[Divisions 2-5 omitted under the Reprints Act 1984 s. 7(4)(e)</w:t>
      </w:r>
      <w:r>
        <w:rPr>
          <w:i w:val="0"/>
          <w:vertAlign w:val="superscript"/>
        </w:rPr>
        <w:t> 2</w:t>
      </w:r>
      <w:r>
        <w:rPr>
          <w:i w:val="0"/>
        </w:rPr>
        <w:t>.</w:t>
      </w:r>
      <w:r>
        <w:t>]</w:t>
      </w:r>
    </w:p>
    <w:p>
      <w:pPr>
        <w:pStyle w:val="Heading3"/>
      </w:pPr>
      <w:bookmarkStart w:id="15" w:name="_Toc375143268"/>
      <w:bookmarkStart w:id="16" w:name="_Toc418158961"/>
      <w:r>
        <w:rPr>
          <w:rStyle w:val="CharDivNo"/>
        </w:rPr>
        <w:t>Division 6</w:t>
      </w:r>
      <w:r>
        <w:t> — </w:t>
      </w:r>
      <w:r>
        <w:rPr>
          <w:rStyle w:val="CharDivText"/>
        </w:rPr>
        <w:t>Transitional provisions</w:t>
      </w:r>
      <w:bookmarkEnd w:id="15"/>
      <w:bookmarkEnd w:id="16"/>
    </w:p>
    <w:p>
      <w:pPr>
        <w:pStyle w:val="Heading5"/>
      </w:pPr>
      <w:bookmarkStart w:id="17" w:name="_Toc375143269"/>
      <w:bookmarkStart w:id="18" w:name="_Toc418158962"/>
      <w:r>
        <w:rPr>
          <w:rStyle w:val="CharSectno"/>
        </w:rPr>
        <w:t>19</w:t>
      </w:r>
      <w:r>
        <w:t>.</w:t>
      </w:r>
      <w:r>
        <w:tab/>
        <w:t>Transitional provisions</w:t>
      </w:r>
      <w:bookmarkEnd w:id="17"/>
      <w:bookmarkEnd w:id="18"/>
    </w:p>
    <w:p>
      <w:pPr>
        <w:pStyle w:val="Subsection"/>
      </w:pPr>
      <w:r>
        <w:tab/>
      </w:r>
      <w:r>
        <w:tab/>
        <w:t>Schedule 2 sets out transitional provisions.</w:t>
      </w:r>
    </w:p>
    <w:p>
      <w:pPr>
        <w:pStyle w:val="Ednotedivision"/>
      </w:pPr>
      <w:r>
        <w:t>[Schedule 1 omitted under the Reprints Act 1984 s. 7(4)(e)</w:t>
      </w:r>
      <w:r>
        <w:rPr>
          <w:i w:val="0"/>
          <w:vertAlign w:val="superscript"/>
        </w:rPr>
        <w:t> 2</w:t>
      </w:r>
      <w:r>
        <w:rPr>
          <w:i w:val="0"/>
        </w:rPr>
        <w:t>.</w:t>
      </w:r>
      <w:r>
        <w:t>]</w:t>
      </w:r>
    </w:p>
    <w:p>
      <w:pPr>
        <w:pStyle w:val="Sub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rFonts w:eastAsia="Arial Unicode MS"/>
        </w:rPr>
      </w:pPr>
      <w:bookmarkStart w:id="19" w:name="_Toc375143270"/>
      <w:bookmarkStart w:id="20" w:name="_Toc418158963"/>
      <w:r>
        <w:rPr>
          <w:rStyle w:val="CharSchNo"/>
          <w:rFonts w:eastAsia="Arial Unicode MS"/>
        </w:rPr>
        <w:t>Schedule 2</w:t>
      </w:r>
      <w:r>
        <w:rPr>
          <w:rFonts w:eastAsia="Arial Unicode MS"/>
        </w:rPr>
        <w:t> — </w:t>
      </w:r>
      <w:r>
        <w:rPr>
          <w:rStyle w:val="CharSchText"/>
          <w:rFonts w:eastAsia="Arial Unicode MS"/>
        </w:rPr>
        <w:t>Transitional provisions</w:t>
      </w:r>
      <w:bookmarkEnd w:id="19"/>
      <w:bookmarkEnd w:id="20"/>
    </w:p>
    <w:p>
      <w:pPr>
        <w:pStyle w:val="yShoulderClause"/>
        <w:rPr>
          <w:rFonts w:eastAsia="Arial Unicode MS"/>
        </w:rPr>
      </w:pPr>
      <w:r>
        <w:rPr>
          <w:rFonts w:eastAsia="Arial Unicode MS"/>
        </w:rPr>
        <w:t>[s. 19]</w:t>
      </w:r>
    </w:p>
    <w:p>
      <w:pPr>
        <w:pStyle w:val="yHeading3"/>
      </w:pPr>
      <w:bookmarkStart w:id="21" w:name="_Toc375143271"/>
      <w:bookmarkStart w:id="22" w:name="_Toc418158964"/>
      <w:r>
        <w:rPr>
          <w:rStyle w:val="CharSDivNo"/>
        </w:rPr>
        <w:t>Division 1</w:t>
      </w:r>
      <w:r>
        <w:t> — </w:t>
      </w:r>
      <w:r>
        <w:rPr>
          <w:rStyle w:val="CharSDivText"/>
        </w:rPr>
        <w:t>Preliminary</w:t>
      </w:r>
      <w:bookmarkEnd w:id="21"/>
      <w:bookmarkEnd w:id="22"/>
    </w:p>
    <w:p>
      <w:pPr>
        <w:pStyle w:val="yHeading5"/>
      </w:pPr>
      <w:bookmarkStart w:id="23" w:name="_Toc375143272"/>
      <w:bookmarkStart w:id="24" w:name="_Toc418158965"/>
      <w:r>
        <w:rPr>
          <w:rStyle w:val="CharSClsNo"/>
        </w:rPr>
        <w:t>1</w:t>
      </w:r>
      <w:r>
        <w:t>.</w:t>
      </w:r>
      <w:r>
        <w:tab/>
        <w:t>Terms used in this Schedule</w:t>
      </w:r>
      <w:bookmarkEnd w:id="23"/>
      <w:bookmarkEnd w:id="24"/>
    </w:p>
    <w:p>
      <w:pPr>
        <w:pStyle w:val="ySubsection"/>
      </w:pPr>
      <w:r>
        <w:tab/>
        <w:t>(1)</w:t>
      </w:r>
      <w:r>
        <w:tab/>
        <w:t xml:space="preserve">In this Schedule — </w:t>
      </w:r>
    </w:p>
    <w:p>
      <w:pPr>
        <w:pStyle w:val="yDefstart"/>
      </w:pPr>
      <w:r>
        <w:rPr>
          <w:b/>
        </w:rPr>
        <w:tab/>
      </w:r>
      <w:r>
        <w:rPr>
          <w:rStyle w:val="CharDefText"/>
        </w:rPr>
        <w:t>commencement day</w:t>
      </w:r>
      <w:r>
        <w:t xml:space="preserve"> means the day on which this Schedule comes into operation;</w:t>
      </w:r>
    </w:p>
    <w:p>
      <w:pPr>
        <w:pStyle w:val="yDefstart"/>
      </w:pPr>
      <w:r>
        <w:rPr>
          <w:b/>
        </w:rPr>
        <w:tab/>
      </w:r>
      <w:r>
        <w:rPr>
          <w:rStyle w:val="CharDefText"/>
        </w:rPr>
        <w:t>FAA Act</w:t>
      </w:r>
      <w:r>
        <w:t xml:space="preserve"> means the </w:t>
      </w:r>
      <w:r>
        <w:rPr>
          <w:i/>
        </w:rPr>
        <w:t>Financial Administration and Audit Act 1985</w:t>
      </w:r>
      <w:r>
        <w:t>;</w:t>
      </w:r>
    </w:p>
    <w:p>
      <w:pPr>
        <w:pStyle w:val="yDefstart"/>
      </w:pPr>
      <w:r>
        <w:rPr>
          <w:b/>
        </w:rPr>
        <w:tab/>
      </w:r>
      <w:r>
        <w:rPr>
          <w:rStyle w:val="CharDefText"/>
        </w:rPr>
        <w:t>FM Act</w:t>
      </w:r>
      <w:r>
        <w:t xml:space="preserve"> means the </w:t>
      </w:r>
      <w:r>
        <w:rPr>
          <w:i/>
        </w:rPr>
        <w:t>Financial Management Act 2006</w:t>
      </w:r>
      <w:r>
        <w:t>.</w:t>
      </w:r>
    </w:p>
    <w:p>
      <w:pPr>
        <w:pStyle w:val="ySubsection"/>
      </w:pPr>
      <w:r>
        <w:tab/>
        <w:t>(2)</w:t>
      </w:r>
      <w:r>
        <w:tab/>
        <w:t>Unless the contrary intention appears, words and expressions used in this Schedule have the same respective meaning as they have in the FAA Act or the FM Act, as the case requires.</w:t>
      </w:r>
    </w:p>
    <w:p>
      <w:pPr>
        <w:pStyle w:val="yHeading5"/>
      </w:pPr>
      <w:bookmarkStart w:id="25" w:name="_Toc375143273"/>
      <w:bookmarkStart w:id="26" w:name="_Toc418158966"/>
      <w:r>
        <w:rPr>
          <w:rStyle w:val="CharSClsNo"/>
        </w:rPr>
        <w:t>2</w:t>
      </w:r>
      <w:r>
        <w:t>.</w:t>
      </w:r>
      <w:r>
        <w:tab/>
        <w:t xml:space="preserve">Application of </w:t>
      </w:r>
      <w:r>
        <w:rPr>
          <w:i/>
        </w:rPr>
        <w:t>Interpretation Act 1984</w:t>
      </w:r>
      <w:bookmarkEnd w:id="25"/>
      <w:bookmarkEnd w:id="26"/>
    </w:p>
    <w:p>
      <w:pPr>
        <w:pStyle w:val="ySubsection"/>
      </w:pPr>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rPr>
        <w:t>Financial Administration and Audit Act 1985</w:t>
      </w:r>
      <w:r>
        <w:t xml:space="preserve"> as if — </w:t>
      </w:r>
    </w:p>
    <w:p>
      <w:pPr>
        <w:pStyle w:val="yIndenta"/>
      </w:pPr>
      <w:r>
        <w:tab/>
        <w:t>(a)</w:t>
      </w:r>
      <w:r>
        <w:tab/>
        <w:t>Part II of that Act were repealed and re</w:t>
      </w:r>
      <w:r>
        <w:noBreakHyphen/>
        <w:t xml:space="preserve">enacted by the </w:t>
      </w:r>
      <w:r>
        <w:rPr>
          <w:i/>
        </w:rPr>
        <w:t>Financial Management Act 2006</w:t>
      </w:r>
      <w:r>
        <w:t>; and</w:t>
      </w:r>
    </w:p>
    <w:p>
      <w:pPr>
        <w:pStyle w:val="yIndenta"/>
      </w:pPr>
      <w:r>
        <w:tab/>
        <w:t>(b)</w:t>
      </w:r>
      <w:r>
        <w:tab/>
        <w:t>Part III of that Act were repealed and re</w:t>
      </w:r>
      <w:r>
        <w:noBreakHyphen/>
        <w:t xml:space="preserve">enacted by the </w:t>
      </w:r>
      <w:r>
        <w:rPr>
          <w:i/>
        </w:rPr>
        <w:t>Auditor General Act 2006</w:t>
      </w:r>
      <w:r>
        <w:t>.</w:t>
      </w:r>
    </w:p>
    <w:p>
      <w:pPr>
        <w:pStyle w:val="ySubsection"/>
      </w:pPr>
      <w:r>
        <w:tab/>
        <w:t>(2)</w:t>
      </w:r>
      <w:r>
        <w:tab/>
        <w:t>The other provisions of this Schedule are additional to the provisions applied by subclause (1) and do not affect the operation of the provisions applied by that subclause.</w:t>
      </w:r>
    </w:p>
    <w:p>
      <w:pPr>
        <w:pStyle w:val="yHeading3"/>
      </w:pPr>
      <w:bookmarkStart w:id="27" w:name="_Toc375143274"/>
      <w:bookmarkStart w:id="28" w:name="_Toc418158967"/>
      <w:r>
        <w:rPr>
          <w:rStyle w:val="CharSDivNo"/>
        </w:rPr>
        <w:t>Division 2</w:t>
      </w:r>
      <w:r>
        <w:t> — </w:t>
      </w:r>
      <w:r>
        <w:rPr>
          <w:rStyle w:val="CharSDivText"/>
        </w:rPr>
        <w:t xml:space="preserve">Transitional provisions for the </w:t>
      </w:r>
      <w:r>
        <w:rPr>
          <w:rStyle w:val="CharSDivText"/>
          <w:i/>
        </w:rPr>
        <w:t>Financial Administration and Audit Act 1985</w:t>
      </w:r>
      <w:bookmarkEnd w:id="27"/>
      <w:bookmarkEnd w:id="28"/>
    </w:p>
    <w:p>
      <w:pPr>
        <w:pStyle w:val="yHeading5"/>
      </w:pPr>
      <w:bookmarkStart w:id="29" w:name="_Toc375143275"/>
      <w:bookmarkStart w:id="30" w:name="_Toc418158968"/>
      <w:r>
        <w:rPr>
          <w:rStyle w:val="CharSClsNo"/>
        </w:rPr>
        <w:t>3</w:t>
      </w:r>
      <w:r>
        <w:t>.</w:t>
      </w:r>
      <w:r>
        <w:tab/>
      </w:r>
      <w:r>
        <w:rPr>
          <w:i/>
        </w:rPr>
        <w:t>Financial Administration and Audit Act 1985</w:t>
      </w:r>
      <w:r>
        <w:t xml:space="preserve"> section 6 (Consolidated Fund)</w:t>
      </w:r>
      <w:bookmarkEnd w:id="29"/>
      <w:bookmarkEnd w:id="30"/>
    </w:p>
    <w:p>
      <w:pPr>
        <w:pStyle w:val="ySubsection"/>
      </w:pPr>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p>
    <w:p>
      <w:pPr>
        <w:pStyle w:val="yHeading5"/>
      </w:pPr>
      <w:bookmarkStart w:id="31" w:name="_Toc375143276"/>
      <w:bookmarkStart w:id="32" w:name="_Toc418158969"/>
      <w:r>
        <w:rPr>
          <w:rStyle w:val="CharSClsNo"/>
        </w:rPr>
        <w:t>4</w:t>
      </w:r>
      <w:r>
        <w:t>.</w:t>
      </w:r>
      <w:r>
        <w:tab/>
      </w:r>
      <w:r>
        <w:rPr>
          <w:i/>
        </w:rPr>
        <w:t>Financial Administration and Audit Act 1985</w:t>
      </w:r>
      <w:r>
        <w:t xml:space="preserve"> section 9 (trust accounts)</w:t>
      </w:r>
      <w:bookmarkEnd w:id="31"/>
      <w:bookmarkEnd w:id="32"/>
    </w:p>
    <w:p>
      <w:pPr>
        <w:pStyle w:val="ySubsection"/>
      </w:pPr>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p>
    <w:p>
      <w:pPr>
        <w:pStyle w:val="yIndenta"/>
      </w:pPr>
      <w:r>
        <w:tab/>
        <w:t>(a)</w:t>
      </w:r>
      <w:r>
        <w:tab/>
        <w:t>a Treasurer’s special purpose account under the FM Act section 10(a) or (f); or</w:t>
      </w:r>
    </w:p>
    <w:p>
      <w:pPr>
        <w:pStyle w:val="yIndenta"/>
      </w:pPr>
      <w:r>
        <w:tab/>
        <w:t>(b)</w:t>
      </w:r>
      <w:r>
        <w:tab/>
        <w:t>an agency special purpose account under the FM Act section 16(1)(c) or (d),</w:t>
      </w:r>
    </w:p>
    <w:p>
      <w:pPr>
        <w:pStyle w:val="ySubsection"/>
      </w:pPr>
      <w:r>
        <w:tab/>
      </w:r>
      <w:r>
        <w:tab/>
        <w:t>as the case requires.</w:t>
      </w:r>
    </w:p>
    <w:p>
      <w:pPr>
        <w:pStyle w:val="yHeading5"/>
      </w:pPr>
      <w:bookmarkStart w:id="33" w:name="_Toc375143277"/>
      <w:bookmarkStart w:id="34" w:name="_Toc418158970"/>
      <w:r>
        <w:rPr>
          <w:rStyle w:val="CharSClsNo"/>
        </w:rPr>
        <w:t>5</w:t>
      </w:r>
      <w:r>
        <w:t>.</w:t>
      </w:r>
      <w:r>
        <w:tab/>
      </w:r>
      <w:r>
        <w:rPr>
          <w:i/>
        </w:rPr>
        <w:t>Financial Administration and Audit Act 1985</w:t>
      </w:r>
      <w:r>
        <w:t xml:space="preserve"> section 10 (trust statements)</w:t>
      </w:r>
      <w:bookmarkEnd w:id="33"/>
      <w:bookmarkEnd w:id="34"/>
    </w:p>
    <w:p>
      <w:pPr>
        <w:pStyle w:val="ySubsection"/>
      </w:pPr>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p>
    <w:p>
      <w:pPr>
        <w:pStyle w:val="ySubsection"/>
      </w:pPr>
      <w:r>
        <w:tab/>
        <w:t>(2)</w:t>
      </w:r>
      <w:r>
        <w:tab/>
        <w:t xml:space="preserve">A trust statement prepared for the Hospital Fund established under the </w:t>
      </w:r>
      <w:r>
        <w:rPr>
          <w:i/>
        </w:rPr>
        <w:t>Hospital Fund Act 1930</w:t>
      </w:r>
      <w:r>
        <w:t xml:space="preserve"> section 3 that — </w:t>
      </w:r>
    </w:p>
    <w:p>
      <w:pPr>
        <w:pStyle w:val="yIndenta"/>
      </w:pPr>
      <w:r>
        <w:tab/>
        <w:t>(a)</w:t>
      </w:r>
      <w:r>
        <w:tab/>
        <w:t>is approved by the Treasurer under the FAA Act section 10; and</w:t>
      </w:r>
    </w:p>
    <w:p>
      <w:pPr>
        <w:pStyle w:val="yIndenta"/>
      </w:pPr>
      <w:r>
        <w:tab/>
        <w:t>(b)</w:t>
      </w:r>
      <w:r>
        <w:tab/>
        <w:t>has effect immediately before the commencement day,</w:t>
      </w:r>
    </w:p>
    <w:p>
      <w:pPr>
        <w:pStyle w:val="ySubsection"/>
      </w:pPr>
      <w:r>
        <w:tab/>
      </w:r>
      <w:r>
        <w:tab/>
        <w:t xml:space="preserve">continues to have effect, on and after that day, as if — </w:t>
      </w:r>
    </w:p>
    <w:p>
      <w:pPr>
        <w:pStyle w:val="yIndenta"/>
      </w:pPr>
      <w:r>
        <w:tab/>
        <w:t>(c)</w:t>
      </w:r>
      <w:r>
        <w:tab/>
        <w:t>it were a special purpose statement approved by the Treasurer under the FM Act section 17; and</w:t>
      </w:r>
    </w:p>
    <w:p>
      <w:pPr>
        <w:pStyle w:val="yIndenta"/>
        <w:keepNext/>
        <w:keepLines/>
      </w:pPr>
      <w:r>
        <w:tab/>
        <w:t>(d)</w:t>
      </w:r>
      <w:r>
        <w:tab/>
        <w:t xml:space="preserve">the FM Act section 17(1)(a) were amended to read as follows — </w:t>
      </w:r>
    </w:p>
    <w:p>
      <w:pPr>
        <w:pStyle w:val="MiscOpen"/>
        <w:ind w:left="1340"/>
      </w:pPr>
      <w:r>
        <w:t xml:space="preserve">“    </w:t>
      </w:r>
    </w:p>
    <w:p>
      <w:pPr>
        <w:pStyle w:val="yIndenti0"/>
      </w:pPr>
      <w:r>
        <w:tab/>
        <w:t>(a)</w:t>
      </w:r>
      <w:r>
        <w:tab/>
        <w:t>a special purpose statement for an agency special purpose account operated by the agency that is referred to in section 16(1)(a);</w:t>
      </w:r>
    </w:p>
    <w:p>
      <w:pPr>
        <w:pStyle w:val="MiscClose"/>
      </w:pPr>
      <w:r>
        <w:t xml:space="preserve">    ”.</w:t>
      </w:r>
    </w:p>
    <w:p>
      <w:pPr>
        <w:pStyle w:val="yHeading5"/>
      </w:pPr>
      <w:bookmarkStart w:id="35" w:name="_Toc375143278"/>
      <w:bookmarkStart w:id="36" w:name="_Toc418158971"/>
      <w:r>
        <w:rPr>
          <w:rStyle w:val="CharSClsNo"/>
        </w:rPr>
        <w:t>6</w:t>
      </w:r>
      <w:r>
        <w:t>.</w:t>
      </w:r>
      <w:r>
        <w:tab/>
      </w:r>
      <w:r>
        <w:rPr>
          <w:i/>
        </w:rPr>
        <w:t>Financial Administration and Audit Act 1985</w:t>
      </w:r>
      <w:r>
        <w:t xml:space="preserve"> section 15B (operating accounts)</w:t>
      </w:r>
      <w:bookmarkEnd w:id="35"/>
      <w:bookmarkEnd w:id="36"/>
    </w:p>
    <w:p>
      <w:pPr>
        <w:pStyle w:val="ySubsection"/>
      </w:pPr>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p>
    <w:p>
      <w:pPr>
        <w:pStyle w:val="yHeading5"/>
      </w:pPr>
      <w:bookmarkStart w:id="37" w:name="_Toc375143279"/>
      <w:bookmarkStart w:id="38" w:name="_Toc418158972"/>
      <w:r>
        <w:rPr>
          <w:rStyle w:val="CharSClsNo"/>
        </w:rPr>
        <w:t>7</w:t>
      </w:r>
      <w:r>
        <w:t>.</w:t>
      </w:r>
      <w:r>
        <w:tab/>
      </w:r>
      <w:r>
        <w:rPr>
          <w:i/>
        </w:rPr>
        <w:t>Financial Administration and Audit Act 1985</w:t>
      </w:r>
      <w:r>
        <w:t xml:space="preserve"> section 21 (bank accounts)</w:t>
      </w:r>
      <w:bookmarkEnd w:id="37"/>
      <w:bookmarkEnd w:id="38"/>
    </w:p>
    <w:p>
      <w:pPr>
        <w:pStyle w:val="ySubsection"/>
      </w:pPr>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p>
    <w:p>
      <w:pPr>
        <w:pStyle w:val="ySubsection"/>
      </w:pPr>
      <w:r>
        <w:tab/>
        <w:t>(2)</w:t>
      </w:r>
      <w:r>
        <w:tab/>
        <w:t>Despite the FM Act section 13, a bank account to which subclause (1) applies that, immediately before the commencement day, does not form part of the Public Bank Account continues, on and after that day, not to form part of the Public Bank Account.</w:t>
      </w:r>
    </w:p>
    <w:p>
      <w:pPr>
        <w:pStyle w:val="yHeading5"/>
      </w:pPr>
      <w:bookmarkStart w:id="39" w:name="_Toc375143280"/>
      <w:bookmarkStart w:id="40" w:name="_Toc418158973"/>
      <w:r>
        <w:rPr>
          <w:rStyle w:val="CharSClsNo"/>
        </w:rPr>
        <w:t>8</w:t>
      </w:r>
      <w:r>
        <w:t>.</w:t>
      </w:r>
      <w:r>
        <w:tab/>
      </w:r>
      <w:r>
        <w:rPr>
          <w:i/>
        </w:rPr>
        <w:t>Financial Administration and Audit Act 1985</w:t>
      </w:r>
      <w:r>
        <w:t xml:space="preserve"> section 23A (prescribed revenue)</w:t>
      </w:r>
      <w:bookmarkEnd w:id="39"/>
      <w:bookmarkEnd w:id="40"/>
    </w:p>
    <w:p>
      <w:pPr>
        <w:pStyle w:val="ySubsection"/>
      </w:pPr>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p>
    <w:p>
      <w:pPr>
        <w:pStyle w:val="yHeading5"/>
      </w:pPr>
      <w:bookmarkStart w:id="41" w:name="_Toc375143281"/>
      <w:bookmarkStart w:id="42" w:name="_Toc418158974"/>
      <w:r>
        <w:rPr>
          <w:rStyle w:val="CharSClsNo"/>
        </w:rPr>
        <w:t>9</w:t>
      </w:r>
      <w:r>
        <w:t>.</w:t>
      </w:r>
      <w:r>
        <w:tab/>
      </w:r>
      <w:r>
        <w:rPr>
          <w:i/>
        </w:rPr>
        <w:t>Financial Administration and Audit Act 1985</w:t>
      </w:r>
      <w:r>
        <w:t xml:space="preserve"> section 39 (investment income)</w:t>
      </w:r>
      <w:bookmarkEnd w:id="41"/>
      <w:bookmarkEnd w:id="42"/>
    </w:p>
    <w:p>
      <w:pPr>
        <w:pStyle w:val="ySubsection"/>
      </w:pPr>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p>
    <w:p>
      <w:pPr>
        <w:pStyle w:val="yHeading5"/>
      </w:pPr>
      <w:bookmarkStart w:id="43" w:name="_Toc375143282"/>
      <w:bookmarkStart w:id="44" w:name="_Toc418158975"/>
      <w:r>
        <w:rPr>
          <w:rStyle w:val="CharSClsNo"/>
        </w:rPr>
        <w:t>10</w:t>
      </w:r>
      <w:r>
        <w:t>.</w:t>
      </w:r>
      <w:r>
        <w:tab/>
      </w:r>
      <w:r>
        <w:rPr>
          <w:i/>
        </w:rPr>
        <w:t>Financial Administration and Audit Act 1985</w:t>
      </w:r>
      <w:r>
        <w:t xml:space="preserve"> section 58 (Treasurer’s Instructions)</w:t>
      </w:r>
      <w:bookmarkEnd w:id="43"/>
      <w:bookmarkEnd w:id="44"/>
    </w:p>
    <w:p>
      <w:pPr>
        <w:pStyle w:val="ySubsection"/>
      </w:pPr>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p>
    <w:p>
      <w:pPr>
        <w:pStyle w:val="ySubsection"/>
      </w:pPr>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p>
    <w:p>
      <w:pPr>
        <w:pStyle w:val="ySubsection"/>
      </w:pPr>
      <w:r>
        <w:tab/>
        <w:t>(3)</w:t>
      </w:r>
      <w:r>
        <w:tab/>
        <w:t>A Treasurer’s Instruction or exemption that continues to have effect under this clause does not have effect to the extent of any inconsistency with the FM Act.</w:t>
      </w:r>
    </w:p>
    <w:p>
      <w:pPr>
        <w:pStyle w:val="yHeading5"/>
      </w:pPr>
      <w:bookmarkStart w:id="45" w:name="_Toc375143283"/>
      <w:bookmarkStart w:id="46" w:name="_Toc418158976"/>
      <w:r>
        <w:rPr>
          <w:rStyle w:val="CharSClsNo"/>
        </w:rPr>
        <w:t>11</w:t>
      </w:r>
      <w:r>
        <w:t>.</w:t>
      </w:r>
      <w:r>
        <w:tab/>
        <w:t xml:space="preserve">References to the </w:t>
      </w:r>
      <w:r>
        <w:rPr>
          <w:i/>
        </w:rPr>
        <w:t>Financial Administration and Audit Act 1985</w:t>
      </w:r>
      <w:bookmarkEnd w:id="45"/>
      <w:bookmarkEnd w:id="46"/>
    </w:p>
    <w:p>
      <w:pPr>
        <w:pStyle w:val="ySubsection"/>
      </w:pPr>
      <w:r>
        <w:tab/>
      </w:r>
      <w:r>
        <w:tab/>
        <w:t xml:space="preserve">A reference in a written law or other document or instrument to the </w:t>
      </w:r>
      <w:r>
        <w:rPr>
          <w:i/>
        </w:rPr>
        <w:t>Financial Administration and Audit Act 1985</w:t>
      </w:r>
      <w:r>
        <w:t xml:space="preserve"> may, where the context so requires, be read as if it had been amended to be a reference to the </w:t>
      </w:r>
      <w:r>
        <w:rPr>
          <w:i/>
        </w:rPr>
        <w:t>Financial Management Act 2006</w:t>
      </w:r>
      <w:r>
        <w:t xml:space="preserve"> or to the </w:t>
      </w:r>
      <w:r>
        <w:rPr>
          <w:i/>
        </w:rPr>
        <w:t>Auditor General Act 2006</w:t>
      </w:r>
      <w:r>
        <w:t>, or to both those Acts, as the case requires.</w:t>
      </w:r>
    </w:p>
    <w:p>
      <w:pPr>
        <w:pStyle w:val="yHeading3"/>
      </w:pPr>
      <w:bookmarkStart w:id="47" w:name="_Toc375143284"/>
      <w:bookmarkStart w:id="48" w:name="_Toc418158977"/>
      <w:r>
        <w:rPr>
          <w:rStyle w:val="CharSDivNo"/>
        </w:rPr>
        <w:t>Division 3</w:t>
      </w:r>
      <w:r>
        <w:t> — </w:t>
      </w:r>
      <w:r>
        <w:rPr>
          <w:rStyle w:val="CharSDivText"/>
        </w:rPr>
        <w:t>Other transitional provisions</w:t>
      </w:r>
      <w:bookmarkEnd w:id="47"/>
      <w:bookmarkEnd w:id="48"/>
    </w:p>
    <w:p>
      <w:pPr>
        <w:pStyle w:val="yHeading5"/>
      </w:pPr>
      <w:bookmarkStart w:id="49" w:name="_Toc375143285"/>
      <w:bookmarkStart w:id="50" w:name="_Toc418158978"/>
      <w:r>
        <w:rPr>
          <w:rStyle w:val="CharSClsNo"/>
        </w:rPr>
        <w:t>12</w:t>
      </w:r>
      <w:r>
        <w:t>.</w:t>
      </w:r>
      <w:r>
        <w:tab/>
        <w:t>Treasurer’s Advance Authorisation Act payments and advances</w:t>
      </w:r>
      <w:bookmarkEnd w:id="49"/>
      <w:bookmarkEnd w:id="50"/>
    </w:p>
    <w:p>
      <w:pPr>
        <w:pStyle w:val="ySubsection"/>
      </w:pPr>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p>
    <w:p>
      <w:pPr>
        <w:pStyle w:val="yIndenta"/>
      </w:pPr>
      <w:r>
        <w:tab/>
        <w:t>(a)</w:t>
      </w:r>
      <w:r>
        <w:tab/>
        <w:t xml:space="preserve">to make payments in that financial year under the </w:t>
      </w:r>
      <w:r>
        <w:rPr>
          <w:i/>
        </w:rPr>
        <w:t>Financial Management Act 2006</w:t>
      </w:r>
      <w:r>
        <w:t xml:space="preserve"> section 27; or</w:t>
      </w:r>
    </w:p>
    <w:p>
      <w:pPr>
        <w:pStyle w:val="yIndenta"/>
      </w:pPr>
      <w:r>
        <w:tab/>
        <w:t>(b)</w:t>
      </w:r>
      <w:r>
        <w:tab/>
        <w:t xml:space="preserve">to make advances in that financial year under the </w:t>
      </w:r>
      <w:r>
        <w:rPr>
          <w:i/>
        </w:rPr>
        <w:t>Financial Management Act 2006</w:t>
      </w:r>
      <w:r>
        <w:t xml:space="preserve"> section 28,</w:t>
      </w:r>
    </w:p>
    <w:p>
      <w:pPr>
        <w:pStyle w:val="ySubsection"/>
      </w:pPr>
      <w:r>
        <w:tab/>
      </w:r>
      <w:r>
        <w:tab/>
        <w:t>as the case requires.</w:t>
      </w:r>
    </w:p>
    <w:p>
      <w:pPr>
        <w:pStyle w:val="yHeading5"/>
      </w:pPr>
      <w:bookmarkStart w:id="51" w:name="_Toc375143286"/>
      <w:bookmarkStart w:id="52" w:name="_Toc418158979"/>
      <w:r>
        <w:rPr>
          <w:rStyle w:val="CharSClsNo"/>
        </w:rPr>
        <w:t>13</w:t>
      </w:r>
      <w:r>
        <w:t>.</w:t>
      </w:r>
      <w:r>
        <w:tab/>
        <w:t>References to the Consolidated Fund</w:t>
      </w:r>
      <w:bookmarkEnd w:id="51"/>
      <w:bookmarkEnd w:id="52"/>
    </w:p>
    <w:p>
      <w:pPr>
        <w:pStyle w:val="ySubsection"/>
      </w:pPr>
      <w:r>
        <w:tab/>
        <w:t>(1)</w:t>
      </w:r>
      <w:r>
        <w:tab/>
        <w:t xml:space="preserve">In this clause — </w:t>
      </w:r>
    </w:p>
    <w:p>
      <w:pPr>
        <w:pStyle w:val="yDefstart"/>
      </w:pPr>
      <w:r>
        <w:rPr>
          <w:b/>
        </w:rPr>
        <w:tab/>
      </w:r>
      <w:r>
        <w:rPr>
          <w:rStyle w:val="CharDefText"/>
        </w:rPr>
        <w:t>Consolidated Account</w:t>
      </w:r>
      <w:r>
        <w:t xml:space="preserve"> means the account of that name established by the </w:t>
      </w:r>
      <w:r>
        <w:rPr>
          <w:i/>
        </w:rPr>
        <w:t>Constitution Act 1889</w:t>
      </w:r>
      <w:r>
        <w:t xml:space="preserve"> section 64 as amended under Part 2;</w:t>
      </w:r>
    </w:p>
    <w:p>
      <w:pPr>
        <w:pStyle w:val="yDefstart"/>
      </w:pPr>
      <w:r>
        <w:rPr>
          <w:b/>
        </w:rPr>
        <w:tab/>
      </w:r>
      <w:r>
        <w:rPr>
          <w:rStyle w:val="CharDefText"/>
        </w:rPr>
        <w:t>Consolidated Fund</w:t>
      </w:r>
      <w:r>
        <w:t xml:space="preserve"> means the fund of that name established by the </w:t>
      </w:r>
      <w:r>
        <w:rPr>
          <w:i/>
        </w:rPr>
        <w:t>Constitution Act 1889</w:t>
      </w:r>
      <w:r>
        <w:t xml:space="preserve"> section 64 before the commencement of Part 2.</w:t>
      </w:r>
    </w:p>
    <w:p>
      <w:pPr>
        <w:pStyle w:val="ySubsection"/>
      </w:pPr>
      <w:r>
        <w:tab/>
        <w:t>(2)</w:t>
      </w:r>
      <w:r>
        <w:tab/>
        <w:t>A reference in a written law or other document or instrument to the Consolidated Fund may, where the context so requires, be read as if it had been amended to be a reference to the Consolidated Account.</w:t>
      </w:r>
    </w:p>
    <w:p>
      <w:pPr>
        <w:pStyle w:val="yHeading5"/>
      </w:pPr>
      <w:bookmarkStart w:id="53" w:name="_Toc375143287"/>
      <w:bookmarkStart w:id="54" w:name="_Toc418158980"/>
      <w:r>
        <w:rPr>
          <w:rStyle w:val="CharSClsNo"/>
        </w:rPr>
        <w:t>14</w:t>
      </w:r>
      <w:r>
        <w:t>.</w:t>
      </w:r>
      <w:r>
        <w:tab/>
        <w:t>Transitional regulations</w:t>
      </w:r>
      <w:bookmarkEnd w:id="53"/>
      <w:bookmarkEnd w:id="54"/>
    </w:p>
    <w:p>
      <w:pPr>
        <w:pStyle w:val="ySubsection"/>
      </w:pPr>
      <w:r>
        <w:tab/>
        <w:t>(1)</w:t>
      </w:r>
      <w:r>
        <w:tab/>
        <w:t xml:space="preserve">If this Schedule does not provide sufficiently for a matter or issue of a transitional nature that arises as a result of — </w:t>
      </w:r>
    </w:p>
    <w:p>
      <w:pPr>
        <w:pStyle w:val="yIndenta"/>
      </w:pPr>
      <w:r>
        <w:tab/>
        <w:t>(a)</w:t>
      </w:r>
      <w:r>
        <w:tab/>
        <w:t xml:space="preserve">the repeal of the </w:t>
      </w:r>
      <w:r>
        <w:rPr>
          <w:i/>
        </w:rPr>
        <w:t>Financial Administration and Audit Act 1985</w:t>
      </w:r>
      <w:r>
        <w:t xml:space="preserve"> and the enactment of the </w:t>
      </w:r>
      <w:r>
        <w:rPr>
          <w:i/>
        </w:rPr>
        <w:t>Financial Management Act 2006</w:t>
      </w:r>
      <w:r>
        <w:t xml:space="preserve"> or the </w:t>
      </w:r>
      <w:r>
        <w:rPr>
          <w:i/>
        </w:rPr>
        <w:t>Auditor General Act 2006</w:t>
      </w:r>
      <w:r>
        <w:t>;</w:t>
      </w:r>
      <w:r>
        <w:rPr>
          <w:i/>
        </w:rPr>
        <w:t xml:space="preserve"> </w:t>
      </w:r>
      <w:r>
        <w:t>or</w:t>
      </w:r>
    </w:p>
    <w:p>
      <w:pPr>
        <w:pStyle w:val="yIndenta"/>
      </w:pPr>
      <w:r>
        <w:tab/>
        <w:t>(b)</w:t>
      </w:r>
      <w:r>
        <w:tab/>
        <w:t>the amendments effected by this Act,</w:t>
      </w:r>
    </w:p>
    <w:p>
      <w:pPr>
        <w:pStyle w:val="ySubsection"/>
      </w:pPr>
      <w:r>
        <w:tab/>
      </w:r>
      <w:r>
        <w:tab/>
        <w:t>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Heading5"/>
      </w:pPr>
      <w:bookmarkStart w:id="55" w:name="_Toc375143288"/>
      <w:bookmarkStart w:id="56" w:name="_Toc418158981"/>
      <w:r>
        <w:rPr>
          <w:rStyle w:val="CharSClsNo"/>
        </w:rPr>
        <w:t>15</w:t>
      </w:r>
      <w:r>
        <w:t>.</w:t>
      </w:r>
      <w:r>
        <w:tab/>
        <w:t>Power to amend subsidiary legislation</w:t>
      </w:r>
      <w:bookmarkEnd w:id="55"/>
      <w:bookmarkEnd w:id="56"/>
    </w:p>
    <w:p>
      <w:pPr>
        <w:pStyle w:val="ySubsection"/>
      </w:pPr>
      <w:r>
        <w:tab/>
        <w:t>(1)</w:t>
      </w:r>
      <w:r>
        <w:tab/>
        <w:t>The Governor, on the recommendation of the Treasurer, may make regulations amending subsidiary legislation made under any Act.</w:t>
      </w:r>
    </w:p>
    <w:p>
      <w:pPr>
        <w:pStyle w:val="ySubsection"/>
      </w:pPr>
      <w:r>
        <w:tab/>
        <w:t>(2)</w:t>
      </w:r>
      <w:r>
        <w:tab/>
        <w:t xml:space="preserve">The Treasurer may make a recommendation under subclause (1) only if the Treasurer considers that each amendment proposed to be made by the regulations is necessary or desirable as a consequence of the enactment of the </w:t>
      </w:r>
      <w:r>
        <w:rPr>
          <w:i/>
        </w:rPr>
        <w:t>Financial Management Act 2006</w:t>
      </w:r>
      <w:r>
        <w:t>, the</w:t>
      </w:r>
      <w:r>
        <w:rPr>
          <w:i/>
        </w:rPr>
        <w:t xml:space="preserve"> Auditor General Act 2006</w:t>
      </w:r>
      <w:r>
        <w:t xml:space="preserve"> or this Act.</w:t>
      </w:r>
    </w:p>
    <w:p>
      <w:pPr>
        <w:pStyle w:val="ySubsection"/>
      </w:pPr>
      <w:r>
        <w:tab/>
        <w:t>(3)</w:t>
      </w:r>
      <w:r>
        <w:tab/>
        <w:t>Nothing in this clause prevents subsidiary legislation from being amended in accordance with the Act under which it was made.</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58" w:name="_Toc375143289"/>
      <w:bookmarkStart w:id="59" w:name="_Toc418158982"/>
      <w:r>
        <w:t>Notes</w:t>
      </w:r>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(Transitional Provisions) Act 2006</w:t>
      </w:r>
      <w:r>
        <w:rPr>
          <w:snapToGrid w:val="0"/>
        </w:rPr>
        <w:t xml:space="preserve">.  The following table contains information about that Act and any reprint. </w:t>
      </w:r>
    </w:p>
    <w:p>
      <w:pPr>
        <w:pStyle w:val="nHeading3"/>
        <w:rPr>
          <w:snapToGrid w:val="0"/>
        </w:rPr>
      </w:pPr>
      <w:bookmarkStart w:id="60" w:name="_Toc375143290"/>
      <w:bookmarkStart w:id="61" w:name="_Toc418158983"/>
      <w:r>
        <w:rPr>
          <w:snapToGrid w:val="0"/>
        </w:rPr>
        <w:t>Compilation table</w:t>
      </w:r>
      <w:bookmarkEnd w:id="60"/>
      <w:bookmarkEnd w:id="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Financial Legislation Amendment and Repeal Act 2006</w:t>
            </w:r>
            <w:r>
              <w:rPr>
                <w:i/>
                <w:vertAlign w:val="superscript"/>
              </w:rPr>
              <w:t> </w:t>
            </w:r>
            <w:r>
              <w:rPr>
                <w:iCs/>
                <w:vertAlign w:val="superscript"/>
              </w:rPr>
              <w:t>3,</w:t>
            </w:r>
            <w:r>
              <w:t> </w:t>
            </w:r>
            <w:r>
              <w:rPr>
                <w:iCs/>
                <w:vertAlign w:val="superscript"/>
              </w:rPr>
              <w:t>4</w:t>
            </w:r>
          </w:p>
        </w:tc>
        <w:tc>
          <w:tcPr>
            <w:tcW w:w="1134" w:type="dxa"/>
            <w:tcBorders>
              <w:bottom w:val="nil"/>
            </w:tcBorders>
          </w:tcPr>
          <w:p>
            <w:pPr>
              <w:pStyle w:val="nTable"/>
              <w:spacing w:after="40"/>
            </w:pPr>
            <w:r>
              <w:t>77 of 2006</w:t>
            </w:r>
          </w:p>
        </w:tc>
        <w:tc>
          <w:tcPr>
            <w:tcW w:w="1134" w:type="dxa"/>
            <w:tcBorders>
              <w:bottom w:val="nil"/>
            </w:tcBorders>
          </w:tcPr>
          <w:p>
            <w:pPr>
              <w:pStyle w:val="nTable"/>
              <w:spacing w:after="40"/>
            </w:pPr>
            <w:r>
              <w:t>21 Dec 2006</w:t>
            </w:r>
          </w:p>
        </w:tc>
        <w:tc>
          <w:tcPr>
            <w:tcW w:w="2552" w:type="dxa"/>
            <w:tcBorders>
              <w:bottom w:val="nil"/>
            </w:tcBorders>
          </w:tcPr>
          <w:p>
            <w:pPr>
              <w:pStyle w:val="nTable"/>
            </w:pPr>
            <w:r>
              <w:t>s. 1 and 2: 21 Dec 2006;</w:t>
            </w:r>
          </w:p>
          <w:p>
            <w:pPr>
              <w:pStyle w:val="nTable"/>
            </w:pPr>
            <w:r>
              <w:t xml:space="preserve">Act other than s. 1, 2, 3, 19 and Sch. 1 cl. 122 and Sch. 2: 1 Feb 2007 (see s. 2(1) and </w:t>
            </w:r>
            <w:r>
              <w:rPr>
                <w:i/>
                <w:iCs/>
              </w:rPr>
              <w:t xml:space="preserve">Gazette </w:t>
            </w:r>
            <w:r>
              <w:t>19 Jan 2007 p. 137);</w:t>
            </w:r>
          </w:p>
          <w:p>
            <w:pPr>
              <w:pStyle w:val="nTable"/>
              <w:spacing w:after="40"/>
              <w:rPr>
                <w:i/>
              </w:rPr>
            </w:pPr>
            <w:r>
              <w:t>s. 3 and 19 and Sch. 2: 1 Feb 2007 (see s. 2(3) and</w:t>
            </w:r>
            <w:r>
              <w:rPr>
                <w:i/>
                <w:iCs/>
              </w:rPr>
              <w:t xml:space="preserve"> Gazette</w:t>
            </w:r>
            <w:r>
              <w:t xml:space="preserve"> 19 Jan 2007 p. 137)</w:t>
            </w:r>
          </w:p>
        </w:tc>
      </w:tr>
      <w:tr>
        <w:trPr>
          <w:cantSplit/>
        </w:trPr>
        <w:tc>
          <w:tcPr>
            <w:tcW w:w="7088" w:type="dxa"/>
            <w:gridSpan w:val="4"/>
            <w:tcBorders>
              <w:top w:val="nil"/>
              <w:bottom w:val="nil"/>
            </w:tcBorders>
          </w:tcPr>
          <w:p>
            <w:pPr>
              <w:pStyle w:val="nTable"/>
              <w:spacing w:after="40"/>
              <w:rPr>
                <w:b/>
                <w:bCs/>
              </w:rPr>
            </w:pPr>
            <w:r>
              <w:rPr>
                <w:b/>
                <w:bCs/>
              </w:rPr>
              <w:t xml:space="preserve">Reprint 1:  The </w:t>
            </w:r>
            <w:r>
              <w:rPr>
                <w:b/>
                <w:bCs/>
                <w:i/>
                <w:snapToGrid w:val="0"/>
              </w:rPr>
              <w:t xml:space="preserve">Financial </w:t>
            </w:r>
            <w:r>
              <w:rPr>
                <w:b/>
                <w:bCs/>
                <w:i/>
              </w:rPr>
              <w:t xml:space="preserve">Management (Transitional Provisions) Act 2006 </w:t>
            </w:r>
            <w:r>
              <w:rPr>
                <w:b/>
                <w:bCs/>
              </w:rPr>
              <w:t>as at 18 May 2007</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rPr>
            </w:pPr>
            <w:r>
              <w:rPr>
                <w:i/>
              </w:rPr>
              <w:t>Statutes (Repeals and Minor Amendments) Act 2009</w:t>
            </w:r>
            <w:r>
              <w:rPr>
                <w:iCs/>
              </w:rPr>
              <w:t xml:space="preserve"> s. 8</w:t>
            </w:r>
          </w:p>
        </w:tc>
        <w:tc>
          <w:tcPr>
            <w:tcW w:w="1134" w:type="dxa"/>
            <w:tcBorders>
              <w:bottom w:val="single" w:sz="8" w:space="0" w:color="auto"/>
            </w:tcBorders>
          </w:tcPr>
          <w:p>
            <w:pPr>
              <w:pStyle w:val="nTable"/>
              <w:spacing w:after="40"/>
            </w:pPr>
            <w:r>
              <w:t>46 of 2009</w:t>
            </w:r>
          </w:p>
        </w:tc>
        <w:tc>
          <w:tcPr>
            <w:tcW w:w="1134" w:type="dxa"/>
            <w:tcBorders>
              <w:bottom w:val="single" w:sz="8" w:space="0" w:color="auto"/>
            </w:tcBorders>
          </w:tcPr>
          <w:p>
            <w:pPr>
              <w:pStyle w:val="nTable"/>
              <w:spacing w:after="40"/>
            </w:pPr>
            <w:r>
              <w:t>3 Dec 2009</w:t>
            </w:r>
          </w:p>
        </w:tc>
        <w:tc>
          <w:tcPr>
            <w:tcW w:w="2551" w:type="dxa"/>
            <w:tcBorders>
              <w:bottom w:val="single" w:sz="8" w:space="0" w:color="auto"/>
            </w:tcBorders>
          </w:tcPr>
          <w:p>
            <w:pPr>
              <w:pStyle w:val="nTable"/>
              <w:spacing w:after="40"/>
            </w:pPr>
            <w:r>
              <w:t>4 Dec 2009 (see s. 2(b))</w:t>
            </w:r>
          </w:p>
        </w:tc>
      </w:tr>
    </w:tbl>
    <w:p>
      <w:pPr>
        <w:pStyle w:val="nSubsection"/>
        <w:spacing w:before="160"/>
      </w:pPr>
      <w:r>
        <w:rPr>
          <w:vertAlign w:val="superscript"/>
        </w:rPr>
        <w:t>2</w:t>
      </w:r>
      <w:r>
        <w:tab/>
        <w:t xml:space="preserve">The provisions of Divisions 2, 3, 4 and 5 of Part 2 of, and of Sch. 1 to, this Act, which amend various Acts as a consequence of the enactment of the </w:t>
      </w:r>
      <w:r>
        <w:rPr>
          <w:i/>
        </w:rPr>
        <w:t>Auditor Genera</w:t>
      </w:r>
      <w:r>
        <w:rPr>
          <w:i/>
          <w:iCs/>
        </w:rPr>
        <w:t>l</w:t>
      </w:r>
      <w:r>
        <w:rPr>
          <w:i/>
        </w:rPr>
        <w:t xml:space="preserve"> Act 2006</w:t>
      </w:r>
      <w:r>
        <w:t xml:space="preserve"> and the </w:t>
      </w:r>
      <w:r>
        <w:rPr>
          <w:i/>
        </w:rPr>
        <w:t>Financial Management Act 2006</w:t>
      </w:r>
      <w:r>
        <w:t>, have had effect and have been omitted from this reprint</w:t>
      </w:r>
      <w:r>
        <w:rPr>
          <w:snapToGrid w:val="0"/>
        </w:rPr>
        <w:t xml:space="preserve"> under the </w:t>
      </w:r>
      <w:r>
        <w:rPr>
          <w:i/>
          <w:snapToGrid w:val="0"/>
        </w:rPr>
        <w:t>Reprints Act 1984</w:t>
      </w:r>
      <w:r>
        <w:rPr>
          <w:snapToGrid w:val="0"/>
        </w:rPr>
        <w:t xml:space="preserve"> s. 7(4)(e)</w:t>
      </w:r>
      <w:r>
        <w:t>.</w:t>
      </w:r>
    </w:p>
    <w:p>
      <w:pPr>
        <w:pStyle w:val="nSubsection"/>
        <w:spacing w:before="160"/>
        <w:rPr>
          <w:i/>
          <w:iCs/>
        </w:rPr>
      </w:pPr>
      <w:r>
        <w:rPr>
          <w:vertAlign w:val="superscript"/>
        </w:rPr>
        <w:t>3</w:t>
      </w:r>
      <w:r>
        <w:tab/>
        <w:t xml:space="preserve">This Act was enacted with the short title </w:t>
      </w:r>
      <w:r>
        <w:rPr>
          <w:i/>
          <w:iCs/>
        </w:rPr>
        <w:t>Financial Legislation Amendment and Repeal Act 2006</w:t>
      </w:r>
      <w:r>
        <w:t xml:space="preserve">, which was amended by s. 18 of the Act to </w:t>
      </w:r>
      <w:r>
        <w:rPr>
          <w:i/>
          <w:iCs/>
        </w:rPr>
        <w:t>Financial Management (Transitional Provisions) Act 2006.</w:t>
      </w:r>
    </w:p>
    <w:p>
      <w:pPr>
        <w:pStyle w:val="nSubsection"/>
      </w:pPr>
      <w:r>
        <w:rPr>
          <w:vertAlign w:val="superscript"/>
        </w:rPr>
        <w:t>4</w:t>
      </w:r>
      <w:r>
        <w:tab/>
        <w:t xml:space="preserve">The </w:t>
      </w:r>
      <w:r>
        <w:rPr>
          <w:i/>
          <w:iCs/>
        </w:rPr>
        <w:t>Financial Management (Transitional Provisions) Act 2006</w:t>
      </w:r>
      <w:r>
        <w:t xml:space="preserve"> Sch. 1 cl. 122 had not come into operation when it was deleted by the </w:t>
      </w:r>
      <w:r>
        <w:rPr>
          <w:i/>
          <w:iCs/>
        </w:rPr>
        <w:t>Statutes (Repeals and Minor Amendments) Act 2009</w:t>
      </w:r>
      <w:r>
        <w:t xml:space="preserve"> s. 8.</w:t>
      </w:r>
    </w:p>
    <w:p>
      <w:pPr>
        <w:pStyle w:val="nSubsection"/>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Sch. 2 cl. 1(1)</w:t>
      </w:r>
    </w:p>
    <w:p>
      <w:pPr>
        <w:pStyle w:val="DefinedTerms"/>
      </w:pPr>
      <w:r>
        <w:t>Consolidated Account</w:t>
      </w:r>
      <w:r>
        <w:tab/>
        <w:t>Sch. 2 cl. 13(1)</w:t>
      </w:r>
    </w:p>
    <w:p>
      <w:pPr>
        <w:pStyle w:val="DefinedTerms"/>
      </w:pPr>
      <w:r>
        <w:t>Consolidated Fund</w:t>
      </w:r>
      <w:r>
        <w:tab/>
        <w:t>Sch. 2 cl. 13(1)</w:t>
      </w:r>
    </w:p>
    <w:p>
      <w:pPr>
        <w:pStyle w:val="DefinedTerms"/>
      </w:pPr>
      <w:r>
        <w:t>FAA Act</w:t>
      </w:r>
      <w:r>
        <w:tab/>
        <w:t>Sch. 2 cl. 1(1)</w:t>
      </w:r>
    </w:p>
    <w:p>
      <w:pPr>
        <w:pStyle w:val="DefinedTerms"/>
      </w:pPr>
      <w:r>
        <w:t>FM Act</w:t>
      </w:r>
      <w:r>
        <w:tab/>
        <w:t>Sch. 2 cl. 1(1)</w:t>
      </w:r>
    </w:p>
    <w:p>
      <w:pPr>
        <w:pStyle w:val="DefinedTerms"/>
      </w:pPr>
      <w:r>
        <w:t>transitional regulations</w:t>
      </w:r>
      <w:r>
        <w:tab/>
        <w:t>Sch. 2 cl. 14(1)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(Transitional Provisions)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(Transitional Provisions)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(Transitional Provisions)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(Transitional Provisions)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(Transitional Provisions)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E52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3ABE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9665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B425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2C14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66EB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F8D1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1AEA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E413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3C70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4775CE3"/>
    <w:multiLevelType w:val="hybridMultilevel"/>
    <w:tmpl w:val="94DAED1A"/>
    <w:lvl w:ilvl="0" w:tplc="2BFE2882">
      <w:start w:val="1"/>
      <w:numFmt w:val="bullet"/>
      <w:lvlText w:val=""/>
      <w:lvlJc w:val="left"/>
      <w:pPr>
        <w:tabs>
          <w:tab w:val="num" w:pos="720"/>
        </w:tabs>
        <w:ind w:left="720" w:hanging="360"/>
      </w:pPr>
      <w:rPr>
        <w:rFonts w:ascii="Symbol" w:hAnsi="Symbol" w:hint="default"/>
      </w:rPr>
    </w:lvl>
    <w:lvl w:ilvl="1" w:tplc="509CCC14" w:tentative="1">
      <w:start w:val="1"/>
      <w:numFmt w:val="bullet"/>
      <w:lvlText w:val="o"/>
      <w:lvlJc w:val="left"/>
      <w:pPr>
        <w:tabs>
          <w:tab w:val="num" w:pos="1440"/>
        </w:tabs>
        <w:ind w:left="1440" w:hanging="360"/>
      </w:pPr>
      <w:rPr>
        <w:rFonts w:ascii="Courier New" w:hAnsi="Courier New" w:hint="default"/>
      </w:rPr>
    </w:lvl>
    <w:lvl w:ilvl="2" w:tplc="B5AC2570" w:tentative="1">
      <w:start w:val="1"/>
      <w:numFmt w:val="bullet"/>
      <w:lvlText w:val=""/>
      <w:lvlJc w:val="left"/>
      <w:pPr>
        <w:tabs>
          <w:tab w:val="num" w:pos="2160"/>
        </w:tabs>
        <w:ind w:left="2160" w:hanging="360"/>
      </w:pPr>
      <w:rPr>
        <w:rFonts w:ascii="Wingdings" w:hAnsi="Wingdings" w:hint="default"/>
      </w:rPr>
    </w:lvl>
    <w:lvl w:ilvl="3" w:tplc="BA68DCBA" w:tentative="1">
      <w:start w:val="1"/>
      <w:numFmt w:val="bullet"/>
      <w:lvlText w:val=""/>
      <w:lvlJc w:val="left"/>
      <w:pPr>
        <w:tabs>
          <w:tab w:val="num" w:pos="2880"/>
        </w:tabs>
        <w:ind w:left="2880" w:hanging="360"/>
      </w:pPr>
      <w:rPr>
        <w:rFonts w:ascii="Symbol" w:hAnsi="Symbol" w:hint="default"/>
      </w:rPr>
    </w:lvl>
    <w:lvl w:ilvl="4" w:tplc="63B8218C" w:tentative="1">
      <w:start w:val="1"/>
      <w:numFmt w:val="bullet"/>
      <w:lvlText w:val="o"/>
      <w:lvlJc w:val="left"/>
      <w:pPr>
        <w:tabs>
          <w:tab w:val="num" w:pos="3600"/>
        </w:tabs>
        <w:ind w:left="3600" w:hanging="360"/>
      </w:pPr>
      <w:rPr>
        <w:rFonts w:ascii="Courier New" w:hAnsi="Courier New" w:hint="default"/>
      </w:rPr>
    </w:lvl>
    <w:lvl w:ilvl="5" w:tplc="4EAA40C0" w:tentative="1">
      <w:start w:val="1"/>
      <w:numFmt w:val="bullet"/>
      <w:lvlText w:val=""/>
      <w:lvlJc w:val="left"/>
      <w:pPr>
        <w:tabs>
          <w:tab w:val="num" w:pos="4320"/>
        </w:tabs>
        <w:ind w:left="4320" w:hanging="360"/>
      </w:pPr>
      <w:rPr>
        <w:rFonts w:ascii="Wingdings" w:hAnsi="Wingdings" w:hint="default"/>
      </w:rPr>
    </w:lvl>
    <w:lvl w:ilvl="6" w:tplc="6D76A00A" w:tentative="1">
      <w:start w:val="1"/>
      <w:numFmt w:val="bullet"/>
      <w:lvlText w:val=""/>
      <w:lvlJc w:val="left"/>
      <w:pPr>
        <w:tabs>
          <w:tab w:val="num" w:pos="5040"/>
        </w:tabs>
        <w:ind w:left="5040" w:hanging="360"/>
      </w:pPr>
      <w:rPr>
        <w:rFonts w:ascii="Symbol" w:hAnsi="Symbol" w:hint="default"/>
      </w:rPr>
    </w:lvl>
    <w:lvl w:ilvl="7" w:tplc="1ADEFF50" w:tentative="1">
      <w:start w:val="1"/>
      <w:numFmt w:val="bullet"/>
      <w:lvlText w:val="o"/>
      <w:lvlJc w:val="left"/>
      <w:pPr>
        <w:tabs>
          <w:tab w:val="num" w:pos="5760"/>
        </w:tabs>
        <w:ind w:left="5760" w:hanging="360"/>
      </w:pPr>
      <w:rPr>
        <w:rFonts w:ascii="Courier New" w:hAnsi="Courier New" w:hint="default"/>
      </w:rPr>
    </w:lvl>
    <w:lvl w:ilvl="8" w:tplc="5B787280"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654791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6B646CB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806"/>
    <w:docVar w:name="WAFER_20131218144545" w:val="RemoveTocBookmarks,RemoveUnusedBookmarks,RemoveLanguageTags,UsedStyles,ResetPageSize,UpdateArrangement"/>
    <w:docVar w:name="WAFER_20131218144545_GUID" w:val="bf8f26f9-3a95-4d72-a455-d20d4cfc90ac"/>
    <w:docVar w:name="WAFER_20150430110811" w:val="ResetPageSize,UpdateArrangement,UpdateNTable"/>
    <w:docVar w:name="WAFER_20150430110811_GUID" w:val="2ecbdd91-ba08-428e-9f1d-0dbbfaa71979"/>
    <w:docVar w:name="WAFER_20151105095017" w:val="UsedStyles"/>
    <w:docVar w:name="WAFER_20151105095017_GUID" w:val="9db1b0bc-f1d8-4140-a743-d491bd7224fa"/>
    <w:docVar w:name="WAFER_20151201120806" w:val="RemoveTrackChanges"/>
    <w:docVar w:name="WAFER_20151201120806_GUID" w:val="ebd3e5b8-641b-4c2b-b63d-a8861f66f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2534</Words>
  <Characters>12749</Characters>
  <Application>Microsoft Office Word</Application>
  <DocSecurity>0</DocSecurity>
  <Lines>354</Lines>
  <Paragraphs>209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(Transitional Provisions) Act 2006 - 01-b0-07</dc:title>
  <dc:subject/>
  <dc:creator/>
  <cp:keywords/>
  <dc:description/>
  <cp:lastModifiedBy>svcMRProcess</cp:lastModifiedBy>
  <cp:revision>4</cp:revision>
  <cp:lastPrinted>2007-06-12T06:38:00Z</cp:lastPrinted>
  <dcterms:created xsi:type="dcterms:W3CDTF">2019-01-21T04:35:00Z</dcterms:created>
  <dcterms:modified xsi:type="dcterms:W3CDTF">2019-01-21T04:35:00Z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2006</vt:lpwstr>
  </property>
  <property fmtid="{D5CDD505-2E9C-101B-9397-08002B2CF9AE}" pid="3" name="CommencementDate">
    <vt:lpwstr>20091204</vt:lpwstr>
  </property>
  <property fmtid="{D5CDD505-2E9C-101B-9397-08002B2CF9AE}" pid="4" name="OwlsUID">
    <vt:i4>146607</vt:i4>
  </property>
  <property fmtid="{D5CDD505-2E9C-101B-9397-08002B2CF9AE}" pid="5" name="ReprintedAsAt">
    <vt:filetime>2007-05-17T16:00:00Z</vt:filetime>
  </property>
  <property fmtid="{D5CDD505-2E9C-101B-9397-08002B2CF9AE}" pid="6" name="ReprintNo">
    <vt:lpwstr>1</vt:lpwstr>
  </property>
  <property fmtid="{D5CDD505-2E9C-101B-9397-08002B2CF9AE}" pid="7" name="DocumentType">
    <vt:lpwstr>Act</vt:lpwstr>
  </property>
  <property fmtid="{D5CDD505-2E9C-101B-9397-08002B2CF9AE}" pid="8" name="AsAtDate">
    <vt:lpwstr>04 Dec 2009</vt:lpwstr>
  </property>
  <property fmtid="{D5CDD505-2E9C-101B-9397-08002B2CF9AE}" pid="9" name="Suffix">
    <vt:lpwstr>01-b0-07</vt:lpwstr>
  </property>
</Properties>
</file>