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Vocational Education and Training Act 1996</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_Toc248817048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_Toc248817049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_Toc248817050 \h </w:instrText>
      </w:r>
      <w:r>
        <w:fldChar w:fldCharType="separate"/>
      </w:r>
      <w:r>
        <w:t>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Management of colleges</w:t>
      </w:r>
    </w:p>
    <w:p>
      <w:pPr>
        <w:pStyle w:val="TOC8"/>
        <w:rPr>
          <w:sz w:val="24"/>
          <w:szCs w:val="24"/>
        </w:rPr>
      </w:pPr>
      <w:r>
        <w:rPr>
          <w:szCs w:val="24"/>
        </w:rPr>
        <w:t>3A.</w:t>
      </w:r>
      <w:r>
        <w:rPr>
          <w:szCs w:val="24"/>
        </w:rPr>
        <w:tab/>
        <w:t>Strategic plan (Act s. 43)</w:t>
      </w:r>
      <w:r>
        <w:tab/>
      </w:r>
      <w:r>
        <w:fldChar w:fldCharType="begin"/>
      </w:r>
      <w:r>
        <w:instrText xml:space="preserve"> PAGEREF _Toc248817052 \h </w:instrText>
      </w:r>
      <w:r>
        <w:fldChar w:fldCharType="separate"/>
      </w:r>
      <w:r>
        <w:t>3</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_Toc248817054 \h </w:instrText>
      </w:r>
      <w:r>
        <w:fldChar w:fldCharType="separate"/>
      </w:r>
      <w:r>
        <w:t>4</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_Toc248817055 \h </w:instrText>
      </w:r>
      <w:r>
        <w:fldChar w:fldCharType="separate"/>
      </w:r>
      <w:r>
        <w:t>4</w:t>
      </w:r>
      <w:r>
        <w:fldChar w:fldCharType="end"/>
      </w:r>
    </w:p>
    <w:p>
      <w:pPr>
        <w:pStyle w:val="TOC8"/>
        <w:rPr>
          <w:sz w:val="24"/>
          <w:szCs w:val="24"/>
        </w:rPr>
      </w:pPr>
      <w:r>
        <w:rPr>
          <w:szCs w:val="24"/>
        </w:rPr>
        <w:t>4B.</w:t>
      </w:r>
      <w:r>
        <w:rPr>
          <w:szCs w:val="24"/>
        </w:rPr>
        <w:tab/>
        <w:t>Nominal duration of courses and units</w:t>
      </w:r>
      <w:r>
        <w:tab/>
      </w:r>
      <w:r>
        <w:fldChar w:fldCharType="begin"/>
      </w:r>
      <w:r>
        <w:instrText xml:space="preserve"> PAGEREF _Toc248817056 \h </w:instrText>
      </w:r>
      <w:r>
        <w:fldChar w:fldCharType="separate"/>
      </w:r>
      <w:r>
        <w:t>5</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_Toc248817059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_Toc248817060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_Toc248817061 \h </w:instrText>
      </w:r>
      <w:r>
        <w:fldChar w:fldCharType="separate"/>
      </w:r>
      <w:r>
        <w:t>6</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_Toc248817062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_Toc248817063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_Toc248817064 \h </w:instrText>
      </w:r>
      <w:r>
        <w:fldChar w:fldCharType="separate"/>
      </w:r>
      <w:r>
        <w:t>7</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_Toc248817066 \h </w:instrText>
      </w:r>
      <w:r>
        <w:fldChar w:fldCharType="separate"/>
      </w:r>
      <w:r>
        <w:t>8</w:t>
      </w:r>
      <w:r>
        <w:fldChar w:fldCharType="end"/>
      </w:r>
    </w:p>
    <w:p>
      <w:pPr>
        <w:pStyle w:val="TOC8"/>
        <w:rPr>
          <w:sz w:val="24"/>
          <w:szCs w:val="24"/>
        </w:rPr>
      </w:pPr>
      <w:r>
        <w:rPr>
          <w:szCs w:val="24"/>
        </w:rPr>
        <w:t>13.</w:t>
      </w:r>
      <w:r>
        <w:rPr>
          <w:szCs w:val="24"/>
        </w:rPr>
        <w:tab/>
        <w:t>Courses exempt from course fees</w:t>
      </w:r>
      <w:r>
        <w:tab/>
      </w:r>
      <w:r>
        <w:fldChar w:fldCharType="begin"/>
      </w:r>
      <w:r>
        <w:instrText xml:space="preserve"> PAGEREF _Toc248817067 \h </w:instrText>
      </w:r>
      <w:r>
        <w:fldChar w:fldCharType="separate"/>
      </w:r>
      <w:r>
        <w:t>8</w:t>
      </w:r>
      <w:r>
        <w:fldChar w:fldCharType="end"/>
      </w:r>
    </w:p>
    <w:p>
      <w:pPr>
        <w:pStyle w:val="TOC8"/>
        <w:rPr>
          <w:sz w:val="24"/>
          <w:szCs w:val="24"/>
        </w:rPr>
      </w:pPr>
      <w:r>
        <w:rPr>
          <w:szCs w:val="24"/>
        </w:rPr>
        <w:t>14.</w:t>
      </w:r>
      <w:r>
        <w:rPr>
          <w:szCs w:val="24"/>
        </w:rPr>
        <w:tab/>
        <w:t>Unemployed persons exempt from course fees</w:t>
      </w:r>
      <w:r>
        <w:tab/>
      </w:r>
      <w:r>
        <w:fldChar w:fldCharType="begin"/>
      </w:r>
      <w:r>
        <w:instrText xml:space="preserve"> PAGEREF _Toc248817068 \h </w:instrText>
      </w:r>
      <w:r>
        <w:fldChar w:fldCharType="separate"/>
      </w:r>
      <w:r>
        <w:t>9</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_Toc248817069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_Toc248817071 \h </w:instrText>
      </w:r>
      <w:r>
        <w:fldChar w:fldCharType="separate"/>
      </w:r>
      <w:r>
        <w:t>11</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_Toc248817073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_Toc248817074 \h </w:instrText>
      </w:r>
      <w:r>
        <w:fldChar w:fldCharType="separate"/>
      </w:r>
      <w:r>
        <w:t>12</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Fee concessions, exemptions and refunds</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_Toc248817077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_Toc248817078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_Toc248817080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_Toc248817081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_Toc248817082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_Toc248817083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_Toc248817084 \h </w:instrText>
      </w:r>
      <w:r>
        <w:fldChar w:fldCharType="separate"/>
      </w:r>
      <w:r>
        <w:t>18</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_Toc248817086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_Toc248817087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_Toc248817088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_Toc248817089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_Toc248817090 \h </w:instrText>
      </w:r>
      <w:r>
        <w:fldChar w:fldCharType="separate"/>
      </w:r>
      <w:r>
        <w:t>19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_Toc248817093 \h </w:instrText>
      </w:r>
      <w:r>
        <w:fldChar w:fldCharType="separate"/>
      </w:r>
      <w:r>
        <w:t>22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bookmarkStart w:id="14" w:name="_Toc215039807"/>
      <w:bookmarkStart w:id="15" w:name="_Toc218487663"/>
      <w:bookmarkStart w:id="16" w:name="_Toc230679669"/>
      <w:bookmarkStart w:id="17" w:name="_Toc230679726"/>
      <w:bookmarkStart w:id="18" w:name="_Toc230749098"/>
      <w:bookmarkStart w:id="19" w:name="_Toc233801735"/>
      <w:bookmarkStart w:id="20" w:name="_Toc235601728"/>
      <w:bookmarkStart w:id="21" w:name="_Toc236016084"/>
      <w:bookmarkStart w:id="22" w:name="_Toc236022766"/>
      <w:bookmarkStart w:id="23" w:name="_Toc237142888"/>
      <w:bookmarkStart w:id="24" w:name="_Toc2488170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67309253"/>
      <w:bookmarkStart w:id="26" w:name="_Toc57799421"/>
      <w:bookmarkStart w:id="27" w:name="_Toc149030468"/>
      <w:bookmarkStart w:id="28" w:name="_Toc248817048"/>
      <w:r>
        <w:rPr>
          <w:rStyle w:val="CharSectno"/>
        </w:rPr>
        <w:t>1</w:t>
      </w:r>
      <w:r>
        <w:rPr>
          <w:snapToGrid w:val="0"/>
        </w:rPr>
        <w:t>.</w:t>
      </w:r>
      <w:r>
        <w:rPr>
          <w:snapToGrid w:val="0"/>
        </w:rPr>
        <w:tab/>
        <w:t>Citation</w:t>
      </w:r>
      <w:bookmarkEnd w:id="25"/>
      <w:bookmarkEnd w:id="26"/>
      <w:bookmarkEnd w:id="27"/>
      <w:bookmarkEnd w:id="28"/>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29" w:name="_Toc467309254"/>
      <w:bookmarkStart w:id="30" w:name="_Toc57799422"/>
      <w:bookmarkStart w:id="31" w:name="_Toc149030469"/>
      <w:bookmarkStart w:id="32" w:name="_Toc248817049"/>
      <w:r>
        <w:rPr>
          <w:rStyle w:val="CharSectno"/>
        </w:rPr>
        <w:t>2</w:t>
      </w:r>
      <w:r>
        <w:rPr>
          <w:snapToGrid w:val="0"/>
        </w:rPr>
        <w:t>.</w:t>
      </w:r>
      <w:r>
        <w:rPr>
          <w:snapToGrid w:val="0"/>
        </w:rPr>
        <w:tab/>
        <w:t>Commencement</w:t>
      </w:r>
      <w:bookmarkEnd w:id="29"/>
      <w:bookmarkEnd w:id="30"/>
      <w:bookmarkEnd w:id="31"/>
      <w:bookmarkEnd w:id="32"/>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3" w:name="_Toc467309255"/>
      <w:bookmarkStart w:id="34" w:name="_Toc57799423"/>
      <w:bookmarkStart w:id="35" w:name="_Toc149030470"/>
      <w:bookmarkStart w:id="36" w:name="_Toc248817050"/>
      <w:r>
        <w:rPr>
          <w:rStyle w:val="CharSectno"/>
        </w:rPr>
        <w:t>3</w:t>
      </w:r>
      <w:r>
        <w:rPr>
          <w:snapToGrid w:val="0"/>
        </w:rPr>
        <w:t>.</w:t>
      </w:r>
      <w:r>
        <w:rPr>
          <w:snapToGrid w:val="0"/>
        </w:rPr>
        <w:tab/>
      </w:r>
      <w:bookmarkEnd w:id="33"/>
      <w:bookmarkEnd w:id="34"/>
      <w:bookmarkEnd w:id="35"/>
      <w:r>
        <w:rPr>
          <w:snapToGrid w:val="0"/>
        </w:rPr>
        <w:t>Terms used</w:t>
      </w:r>
      <w:bookmarkEnd w:id="3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37" w:name="_Toc230679673"/>
      <w:bookmarkStart w:id="38" w:name="_Toc230679730"/>
      <w:bookmarkStart w:id="39" w:name="_Toc230749102"/>
      <w:bookmarkStart w:id="40" w:name="_Toc233801739"/>
      <w:bookmarkStart w:id="41" w:name="_Toc235601732"/>
      <w:bookmarkStart w:id="42" w:name="_Toc236016088"/>
      <w:bookmarkStart w:id="43" w:name="_Toc236022770"/>
      <w:bookmarkStart w:id="44" w:name="_Toc237142892"/>
      <w:bookmarkStart w:id="45" w:name="_Toc248817051"/>
      <w:bookmarkStart w:id="46" w:name="_Toc84738975"/>
      <w:bookmarkStart w:id="47" w:name="_Toc84740210"/>
      <w:bookmarkStart w:id="48" w:name="_Toc90177039"/>
      <w:bookmarkStart w:id="49" w:name="_Toc123101457"/>
      <w:bookmarkStart w:id="50" w:name="_Toc149030471"/>
      <w:bookmarkStart w:id="51" w:name="_Toc149036904"/>
      <w:bookmarkStart w:id="52" w:name="_Toc152144617"/>
      <w:bookmarkStart w:id="53" w:name="_Toc182378659"/>
      <w:bookmarkStart w:id="54" w:name="_Toc184793093"/>
      <w:bookmarkStart w:id="55" w:name="_Toc184800840"/>
      <w:bookmarkStart w:id="56" w:name="_Toc185751212"/>
      <w:bookmarkStart w:id="57" w:name="_Toc188262380"/>
      <w:bookmarkStart w:id="58" w:name="_Toc199838234"/>
      <w:bookmarkStart w:id="59" w:name="_Toc215039811"/>
      <w:bookmarkStart w:id="60" w:name="_Toc218487667"/>
      <w:r>
        <w:rPr>
          <w:rStyle w:val="CharPartNo"/>
        </w:rPr>
        <w:t>Part 2A</w:t>
      </w:r>
      <w:r>
        <w:rPr>
          <w:b w:val="0"/>
        </w:rPr>
        <w:t> </w:t>
      </w:r>
      <w:r>
        <w:t>—</w:t>
      </w:r>
      <w:r>
        <w:rPr>
          <w:b w:val="0"/>
        </w:rPr>
        <w:t> </w:t>
      </w:r>
      <w:r>
        <w:rPr>
          <w:rStyle w:val="CharPartText"/>
        </w:rPr>
        <w:t>Management of colleges</w:t>
      </w:r>
      <w:bookmarkEnd w:id="37"/>
      <w:bookmarkEnd w:id="38"/>
      <w:bookmarkEnd w:id="39"/>
      <w:bookmarkEnd w:id="40"/>
      <w:bookmarkEnd w:id="41"/>
      <w:bookmarkEnd w:id="42"/>
      <w:bookmarkEnd w:id="43"/>
      <w:bookmarkEnd w:id="44"/>
      <w:bookmarkEnd w:id="45"/>
    </w:p>
    <w:p>
      <w:pPr>
        <w:pStyle w:val="Footnoteheading"/>
      </w:pPr>
      <w:r>
        <w:tab/>
        <w:t>[Heading inserted in Gazette 22 May 2009 p. 1694.]</w:t>
      </w:r>
    </w:p>
    <w:p>
      <w:pPr>
        <w:pStyle w:val="Heading5"/>
      </w:pPr>
      <w:bookmarkStart w:id="61" w:name="_Toc248817052"/>
      <w:r>
        <w:rPr>
          <w:rStyle w:val="CharSectno"/>
        </w:rPr>
        <w:t>3A</w:t>
      </w:r>
      <w:r>
        <w:t>.</w:t>
      </w:r>
      <w:r>
        <w:tab/>
        <w:t>Strategic plan (Act s. 43)</w:t>
      </w:r>
      <w:bookmarkEnd w:id="61"/>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62" w:name="_Toc230679675"/>
      <w:bookmarkStart w:id="63" w:name="_Toc230679732"/>
      <w:bookmarkStart w:id="64" w:name="_Toc230749104"/>
      <w:bookmarkStart w:id="65" w:name="_Toc233801741"/>
      <w:bookmarkStart w:id="66" w:name="_Toc235601734"/>
      <w:bookmarkStart w:id="67" w:name="_Toc236016090"/>
      <w:bookmarkStart w:id="68" w:name="_Toc236022772"/>
      <w:bookmarkStart w:id="69" w:name="_Toc237142894"/>
      <w:bookmarkStart w:id="70" w:name="_Toc248817053"/>
      <w:r>
        <w:rPr>
          <w:rStyle w:val="CharPartNo"/>
        </w:rPr>
        <w:t>Part 2</w:t>
      </w:r>
      <w:r>
        <w:rPr>
          <w:rStyle w:val="CharDivNo"/>
        </w:rPr>
        <w:t> </w:t>
      </w:r>
      <w:r>
        <w:t>—</w:t>
      </w:r>
      <w:r>
        <w:rPr>
          <w:rStyle w:val="CharDivText"/>
        </w:rPr>
        <w:t> </w:t>
      </w:r>
      <w:r>
        <w:rPr>
          <w:rStyle w:val="CharPartText"/>
        </w:rPr>
        <w:t>Classification of courses</w:t>
      </w:r>
      <w:bookmarkEnd w:id="46"/>
      <w:bookmarkEnd w:id="47"/>
      <w:bookmarkEnd w:id="48"/>
      <w:bookmarkEnd w:id="49"/>
      <w:bookmarkEnd w:id="50"/>
      <w:bookmarkEnd w:id="51"/>
      <w:bookmarkEnd w:id="52"/>
      <w:r>
        <w:rPr>
          <w:rStyle w:val="CharPartText"/>
        </w:rPr>
        <w:t xml:space="preserve"> and units</w:t>
      </w:r>
      <w:bookmarkEnd w:id="53"/>
      <w:bookmarkEnd w:id="54"/>
      <w:bookmarkEnd w:id="55"/>
      <w:bookmarkEnd w:id="56"/>
      <w:bookmarkEnd w:id="57"/>
      <w:bookmarkEnd w:id="58"/>
      <w:bookmarkEnd w:id="59"/>
      <w:bookmarkEnd w:id="60"/>
      <w:bookmarkEnd w:id="62"/>
      <w:bookmarkEnd w:id="63"/>
      <w:bookmarkEnd w:id="64"/>
      <w:bookmarkEnd w:id="65"/>
      <w:bookmarkEnd w:id="66"/>
      <w:bookmarkEnd w:id="67"/>
      <w:bookmarkEnd w:id="68"/>
      <w:bookmarkEnd w:id="69"/>
      <w:bookmarkEnd w:id="70"/>
    </w:p>
    <w:p>
      <w:pPr>
        <w:pStyle w:val="Footnoteheading"/>
      </w:pPr>
      <w:r>
        <w:tab/>
        <w:t>[Heading amended in Gazette 9 Nov 2007 p. 5606.]</w:t>
      </w:r>
    </w:p>
    <w:p>
      <w:pPr>
        <w:pStyle w:val="Heading5"/>
        <w:rPr>
          <w:snapToGrid w:val="0"/>
        </w:rPr>
      </w:pPr>
      <w:bookmarkStart w:id="71" w:name="_Toc467309256"/>
      <w:bookmarkStart w:id="72" w:name="_Toc57799424"/>
      <w:bookmarkStart w:id="73" w:name="_Toc149030472"/>
      <w:bookmarkStart w:id="74" w:name="_Toc248817054"/>
      <w:r>
        <w:rPr>
          <w:rStyle w:val="CharSectno"/>
        </w:rPr>
        <w:t>4</w:t>
      </w:r>
      <w:r>
        <w:rPr>
          <w:snapToGrid w:val="0"/>
        </w:rPr>
        <w:t>.</w:t>
      </w:r>
      <w:r>
        <w:rPr>
          <w:snapToGrid w:val="0"/>
        </w:rPr>
        <w:tab/>
        <w:t>Classification by Minister</w:t>
      </w:r>
      <w:bookmarkEnd w:id="71"/>
      <w:bookmarkEnd w:id="72"/>
      <w:bookmarkEnd w:id="73"/>
      <w:bookmarkEnd w:id="74"/>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Ednotepara"/>
        <w:rPr>
          <w:snapToGrid w:val="0"/>
        </w:rPr>
      </w:pPr>
      <w:r>
        <w:rPr>
          <w:snapToGrid w:val="0"/>
        </w:rPr>
        <w:tab/>
        <w:t>[(d)</w:t>
      </w:r>
      <w:r>
        <w:rPr>
          <w:snapToGrid w:val="0"/>
        </w:rPr>
        <w:tab/>
        <w:t>deleted]</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75" w:name="_Toc248817055"/>
      <w:bookmarkStart w:id="76" w:name="_Toc84738977"/>
      <w:bookmarkStart w:id="77" w:name="_Toc84740212"/>
      <w:bookmarkStart w:id="78" w:name="_Toc90177041"/>
      <w:bookmarkStart w:id="79" w:name="_Toc123101459"/>
      <w:bookmarkStart w:id="80" w:name="_Toc149030473"/>
      <w:bookmarkStart w:id="81" w:name="_Toc149036906"/>
      <w:bookmarkStart w:id="82" w:name="_Toc152144619"/>
      <w:r>
        <w:rPr>
          <w:rStyle w:val="CharSectno"/>
        </w:rPr>
        <w:t>4A</w:t>
      </w:r>
      <w:r>
        <w:t>.</w:t>
      </w:r>
      <w:r>
        <w:tab/>
        <w:t>Classification of units</w:t>
      </w:r>
      <w:bookmarkEnd w:id="75"/>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83" w:name="_Toc248817056"/>
      <w:bookmarkStart w:id="84" w:name="_Toc182378662"/>
      <w:bookmarkStart w:id="85" w:name="_Toc184793096"/>
      <w:bookmarkStart w:id="86" w:name="_Toc184800843"/>
      <w:bookmarkStart w:id="87" w:name="_Toc185751215"/>
      <w:bookmarkStart w:id="88" w:name="_Toc188262383"/>
      <w:bookmarkStart w:id="89" w:name="_Toc199838237"/>
      <w:bookmarkStart w:id="90" w:name="_Toc215039814"/>
      <w:bookmarkStart w:id="91" w:name="_Toc218487670"/>
      <w:r>
        <w:rPr>
          <w:rStyle w:val="CharSectno"/>
        </w:rPr>
        <w:t>4B</w:t>
      </w:r>
      <w:r>
        <w:t>.</w:t>
      </w:r>
      <w:r>
        <w:tab/>
        <w:t>Nominal duration of courses and units</w:t>
      </w:r>
      <w:bookmarkEnd w:id="83"/>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92" w:name="_Toc230679679"/>
      <w:bookmarkStart w:id="93" w:name="_Toc230679736"/>
      <w:bookmarkStart w:id="94" w:name="_Toc230749108"/>
      <w:bookmarkStart w:id="95" w:name="_Toc233801745"/>
      <w:bookmarkStart w:id="96" w:name="_Toc235601738"/>
      <w:bookmarkStart w:id="97" w:name="_Toc236016094"/>
      <w:bookmarkStart w:id="98" w:name="_Toc236022776"/>
      <w:bookmarkStart w:id="99" w:name="_Toc237142898"/>
      <w:bookmarkStart w:id="100" w:name="_Toc248817057"/>
      <w:r>
        <w:rPr>
          <w:rStyle w:val="CharPartNo"/>
        </w:rPr>
        <w:t>Part 3</w:t>
      </w:r>
      <w:r>
        <w:t> — </w:t>
      </w:r>
      <w:r>
        <w:rPr>
          <w:rStyle w:val="CharPartText"/>
        </w:rPr>
        <w:t>Selection and fees</w:t>
      </w:r>
      <w:bookmarkEnd w:id="76"/>
      <w:bookmarkEnd w:id="77"/>
      <w:bookmarkEnd w:id="78"/>
      <w:bookmarkEnd w:id="79"/>
      <w:bookmarkEnd w:id="80"/>
      <w:bookmarkEnd w:id="81"/>
      <w:bookmarkEnd w:id="82"/>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84738978"/>
      <w:bookmarkStart w:id="102" w:name="_Toc84740213"/>
      <w:bookmarkStart w:id="103" w:name="_Toc90177042"/>
      <w:bookmarkStart w:id="104" w:name="_Toc123101460"/>
      <w:bookmarkStart w:id="105" w:name="_Toc149030474"/>
      <w:bookmarkStart w:id="106" w:name="_Toc149036907"/>
      <w:bookmarkStart w:id="107" w:name="_Toc152144620"/>
      <w:bookmarkStart w:id="108" w:name="_Toc182378663"/>
      <w:bookmarkStart w:id="109" w:name="_Toc184793097"/>
      <w:bookmarkStart w:id="110" w:name="_Toc184800844"/>
      <w:bookmarkStart w:id="111" w:name="_Toc185751216"/>
      <w:bookmarkStart w:id="112" w:name="_Toc188262384"/>
      <w:bookmarkStart w:id="113" w:name="_Toc199838238"/>
      <w:bookmarkStart w:id="114" w:name="_Toc215039815"/>
      <w:bookmarkStart w:id="115" w:name="_Toc218487671"/>
      <w:bookmarkStart w:id="116" w:name="_Toc230679680"/>
      <w:bookmarkStart w:id="117" w:name="_Toc230679737"/>
      <w:bookmarkStart w:id="118" w:name="_Toc230749109"/>
      <w:bookmarkStart w:id="119" w:name="_Toc233801746"/>
      <w:bookmarkStart w:id="120" w:name="_Toc235601739"/>
      <w:bookmarkStart w:id="121" w:name="_Toc236016095"/>
      <w:bookmarkStart w:id="122" w:name="_Toc236022777"/>
      <w:bookmarkStart w:id="123" w:name="_Toc237142899"/>
      <w:bookmarkStart w:id="124" w:name="_Toc248817058"/>
      <w:r>
        <w:rPr>
          <w:rStyle w:val="CharDivNo"/>
        </w:rPr>
        <w:t>Division 1</w:t>
      </w:r>
      <w:r>
        <w:rPr>
          <w:snapToGrid w:val="0"/>
        </w:rPr>
        <w:t> — </w:t>
      </w:r>
      <w:r>
        <w:rPr>
          <w:rStyle w:val="CharDivText"/>
        </w:rPr>
        <w:t>Selection for category A courses, and fees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67309257"/>
      <w:bookmarkStart w:id="126" w:name="_Toc57799425"/>
      <w:bookmarkStart w:id="127" w:name="_Toc149030475"/>
      <w:bookmarkStart w:id="128" w:name="_Toc248817059"/>
      <w:r>
        <w:rPr>
          <w:rStyle w:val="CharSectno"/>
        </w:rPr>
        <w:t>5</w:t>
      </w:r>
      <w:r>
        <w:rPr>
          <w:snapToGrid w:val="0"/>
        </w:rPr>
        <w:t>.</w:t>
      </w:r>
      <w:r>
        <w:rPr>
          <w:snapToGrid w:val="0"/>
        </w:rPr>
        <w:tab/>
      </w:r>
      <w:bookmarkEnd w:id="125"/>
      <w:bookmarkEnd w:id="126"/>
      <w:bookmarkEnd w:id="127"/>
      <w:r>
        <w:rPr>
          <w:snapToGrid w:val="0"/>
        </w:rPr>
        <w:t>Terms used</w:t>
      </w:r>
      <w:bookmarkEnd w:id="128"/>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29" w:name="_Toc467309258"/>
      <w:bookmarkStart w:id="130" w:name="_Toc57799426"/>
      <w:bookmarkStart w:id="131" w:name="_Toc149030476"/>
      <w:bookmarkStart w:id="132" w:name="_Toc248817060"/>
      <w:r>
        <w:rPr>
          <w:rStyle w:val="CharSectno"/>
        </w:rPr>
        <w:t>6</w:t>
      </w:r>
      <w:r>
        <w:rPr>
          <w:snapToGrid w:val="0"/>
        </w:rPr>
        <w:t>.</w:t>
      </w:r>
      <w:r>
        <w:rPr>
          <w:snapToGrid w:val="0"/>
        </w:rPr>
        <w:tab/>
        <w:t>Application of this Division</w:t>
      </w:r>
      <w:bookmarkEnd w:id="129"/>
      <w:bookmarkEnd w:id="130"/>
      <w:bookmarkEnd w:id="131"/>
      <w:bookmarkEnd w:id="132"/>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33" w:name="_Toc467309259"/>
      <w:bookmarkStart w:id="134" w:name="_Toc57799427"/>
      <w:bookmarkStart w:id="135" w:name="_Toc149030477"/>
      <w:bookmarkStart w:id="136" w:name="_Toc248817061"/>
      <w:r>
        <w:rPr>
          <w:rStyle w:val="CharSectno"/>
        </w:rPr>
        <w:t>7</w:t>
      </w:r>
      <w:r>
        <w:rPr>
          <w:snapToGrid w:val="0"/>
        </w:rPr>
        <w:t>.</w:t>
      </w:r>
      <w:r>
        <w:rPr>
          <w:snapToGrid w:val="0"/>
        </w:rPr>
        <w:tab/>
        <w:t>Admissions Manager to perform functions on behalf of colleges</w:t>
      </w:r>
      <w:bookmarkEnd w:id="133"/>
      <w:bookmarkEnd w:id="134"/>
      <w:bookmarkEnd w:id="135"/>
      <w:bookmarkEnd w:id="13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37" w:name="_Toc467309260"/>
      <w:bookmarkStart w:id="138" w:name="_Toc57799428"/>
      <w:bookmarkStart w:id="139" w:name="_Toc149030478"/>
      <w:r>
        <w:tab/>
        <w:t>[Regulation 7 amended in Gazette 9 Nov 2007 p. 5607.]</w:t>
      </w:r>
    </w:p>
    <w:p>
      <w:pPr>
        <w:pStyle w:val="Heading5"/>
      </w:pPr>
      <w:bookmarkStart w:id="140" w:name="_Toc248817062"/>
      <w:bookmarkStart w:id="141" w:name="_Toc467309261"/>
      <w:bookmarkStart w:id="142" w:name="_Toc57799429"/>
      <w:bookmarkStart w:id="143" w:name="_Toc149030479"/>
      <w:bookmarkEnd w:id="137"/>
      <w:bookmarkEnd w:id="138"/>
      <w:bookmarkEnd w:id="139"/>
      <w:r>
        <w:rPr>
          <w:rStyle w:val="CharSectno"/>
        </w:rPr>
        <w:t>8</w:t>
      </w:r>
      <w:r>
        <w:t>.</w:t>
      </w:r>
      <w:r>
        <w:tab/>
        <w:t>Application for a selection of a course</w:t>
      </w:r>
      <w:bookmarkEnd w:id="140"/>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44" w:name="_Toc248817063"/>
      <w:r>
        <w:rPr>
          <w:rStyle w:val="CharSectno"/>
        </w:rPr>
        <w:t>9</w:t>
      </w:r>
      <w:r>
        <w:rPr>
          <w:snapToGrid w:val="0"/>
        </w:rPr>
        <w:t>.</w:t>
      </w:r>
      <w:r>
        <w:rPr>
          <w:snapToGrid w:val="0"/>
        </w:rPr>
        <w:tab/>
        <w:t>Late applications</w:t>
      </w:r>
      <w:bookmarkEnd w:id="141"/>
      <w:bookmarkEnd w:id="142"/>
      <w:bookmarkEnd w:id="143"/>
      <w:bookmarkEnd w:id="14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45" w:name="_Toc467309262"/>
      <w:bookmarkStart w:id="146" w:name="_Toc57799430"/>
      <w:bookmarkStart w:id="147"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48" w:name="_Toc248817064"/>
      <w:r>
        <w:rPr>
          <w:rStyle w:val="CharSectno"/>
        </w:rPr>
        <w:t>10</w:t>
      </w:r>
      <w:r>
        <w:rPr>
          <w:snapToGrid w:val="0"/>
        </w:rPr>
        <w:t>.</w:t>
      </w:r>
      <w:r>
        <w:rPr>
          <w:snapToGrid w:val="0"/>
        </w:rPr>
        <w:tab/>
        <w:t>Fee for assessing suitability of particular practical experience</w:t>
      </w:r>
      <w:bookmarkEnd w:id="145"/>
      <w:bookmarkEnd w:id="146"/>
      <w:bookmarkEnd w:id="147"/>
      <w:bookmarkEnd w:id="148"/>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49" w:name="_Toc467309263"/>
      <w:bookmarkStart w:id="150" w:name="_Toc57799431"/>
      <w:bookmarkStart w:id="151"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52" w:name="_Toc123101473"/>
      <w:bookmarkStart w:id="153" w:name="_Toc149030482"/>
      <w:bookmarkStart w:id="154" w:name="_Toc149036915"/>
      <w:bookmarkStart w:id="155" w:name="_Toc152144628"/>
      <w:bookmarkStart w:id="156" w:name="_Toc467309268"/>
      <w:bookmarkStart w:id="157" w:name="_Toc57799436"/>
      <w:bookmarkEnd w:id="149"/>
      <w:bookmarkEnd w:id="150"/>
      <w:bookmarkEnd w:id="151"/>
      <w:r>
        <w:t>[</w:t>
      </w:r>
      <w:r>
        <w:rPr>
          <w:b/>
          <w:bCs/>
        </w:rPr>
        <w:t>11.</w:t>
      </w:r>
      <w:r>
        <w:tab/>
        <w:t>Deleted in Gazette 9 Nov 2007 p. 5608.]</w:t>
      </w:r>
    </w:p>
    <w:p>
      <w:pPr>
        <w:pStyle w:val="Heading3"/>
        <w:keepLines/>
      </w:pPr>
      <w:bookmarkStart w:id="158" w:name="_Toc182378670"/>
      <w:bookmarkStart w:id="159" w:name="_Toc184793104"/>
      <w:bookmarkStart w:id="160" w:name="_Toc184800851"/>
      <w:bookmarkStart w:id="161" w:name="_Toc185751223"/>
      <w:bookmarkStart w:id="162" w:name="_Toc188262391"/>
      <w:bookmarkStart w:id="163" w:name="_Toc199838245"/>
      <w:bookmarkStart w:id="164" w:name="_Toc215039822"/>
      <w:bookmarkStart w:id="165" w:name="_Toc218487678"/>
      <w:bookmarkStart w:id="166" w:name="_Toc230679687"/>
      <w:bookmarkStart w:id="167" w:name="_Toc230679744"/>
      <w:bookmarkStart w:id="168" w:name="_Toc230749116"/>
      <w:bookmarkStart w:id="169" w:name="_Toc233801753"/>
      <w:bookmarkStart w:id="170" w:name="_Toc235601746"/>
      <w:bookmarkStart w:id="171" w:name="_Toc236016102"/>
      <w:bookmarkStart w:id="172" w:name="_Toc236022784"/>
      <w:bookmarkStart w:id="173" w:name="_Toc237142906"/>
      <w:bookmarkStart w:id="174" w:name="_Toc248817065"/>
      <w:r>
        <w:rPr>
          <w:rStyle w:val="CharDivNo"/>
        </w:rPr>
        <w:t>Division 2</w:t>
      </w:r>
      <w:r>
        <w:t> — </w:t>
      </w:r>
      <w:r>
        <w:rPr>
          <w:rStyle w:val="CharDivText"/>
        </w:rPr>
        <w:t>Course fees</w:t>
      </w:r>
      <w:bookmarkEnd w:id="152"/>
      <w:bookmarkEnd w:id="153"/>
      <w:bookmarkEnd w:id="154"/>
      <w:bookmarkEnd w:id="155"/>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keepNext/>
        <w:keepLines/>
      </w:pPr>
      <w:r>
        <w:tab/>
        <w:t>[Heading inserted in Gazette 23 Dec 2005 p. 6247.]</w:t>
      </w:r>
    </w:p>
    <w:p>
      <w:pPr>
        <w:pStyle w:val="Heading5"/>
      </w:pPr>
      <w:bookmarkStart w:id="175" w:name="_Toc149030483"/>
      <w:bookmarkStart w:id="176" w:name="_Toc248817066"/>
      <w:r>
        <w:rPr>
          <w:rStyle w:val="CharSectno"/>
        </w:rPr>
        <w:t>12</w:t>
      </w:r>
      <w:r>
        <w:t>.</w:t>
      </w:r>
      <w:r>
        <w:tab/>
        <w:t>Course fees</w:t>
      </w:r>
      <w:bookmarkEnd w:id="175"/>
      <w:bookmarkEnd w:id="176"/>
    </w:p>
    <w:p>
      <w:pPr>
        <w:pStyle w:val="Subsection"/>
      </w:pPr>
      <w:r>
        <w:tab/>
        <w:t>(1)</w:t>
      </w:r>
      <w:r>
        <w:tab/>
        <w:t>Subject to regulations 13, 14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Ednotepara"/>
        <w:rPr>
          <w:snapToGrid w:val="0"/>
        </w:rPr>
      </w:pPr>
      <w:r>
        <w:rPr>
          <w:snapToGrid w:val="0"/>
        </w:rPr>
        <w:tab/>
        <w:t>[(d)</w:t>
      </w:r>
      <w:r>
        <w:rPr>
          <w:snapToGrid w:val="0"/>
        </w:rPr>
        <w:tab/>
        <w:t>deleted]</w:t>
      </w:r>
    </w:p>
    <w:p>
      <w:pPr>
        <w:pStyle w:val="Ednotesubsection"/>
      </w:pPr>
      <w:r>
        <w:tab/>
        <w:t>[(2)</w:t>
      </w:r>
      <w:r>
        <w:tab/>
        <w:t>deleted]</w:t>
      </w:r>
    </w:p>
    <w:p>
      <w:pPr>
        <w:pStyle w:val="Subsection"/>
      </w:pPr>
      <w:r>
        <w:tab/>
        <w:t>(3)</w:t>
      </w:r>
      <w:r>
        <w:tab/>
        <w:t>The fee per semester payable by a person enrolled for a category A course is the sum of the fees for each unit that is a component of the course and that the person is enrolled in for the semester; but in any event not more than —</w:t>
      </w:r>
    </w:p>
    <w:p>
      <w:pPr>
        <w:pStyle w:val="Indenta"/>
      </w:pPr>
      <w:r>
        <w:tab/>
        <w:t>(a)</w:t>
      </w:r>
      <w:r>
        <w:tab/>
        <w:t>$290 for a person who is a concessional student; or</w:t>
      </w:r>
    </w:p>
    <w:p>
      <w:pPr>
        <w:pStyle w:val="Indenta"/>
      </w:pPr>
      <w:r>
        <w:tab/>
        <w:t>(b)</w:t>
      </w:r>
      <w:r>
        <w:tab/>
        <w:t>$580 for a person who is not a concessional student.</w:t>
      </w:r>
    </w:p>
    <w:p>
      <w:pPr>
        <w:pStyle w:val="Subsection"/>
      </w:pPr>
      <w:r>
        <w:tab/>
        <w:t>(4)</w:t>
      </w:r>
      <w:r>
        <w:tab/>
        <w:t>For the purposes of subregulation (3), the fee for a unit is that in Schedule 1 item 2.</w:t>
      </w:r>
    </w:p>
    <w:p>
      <w:pPr>
        <w:pStyle w:val="Footnotesection"/>
      </w:pPr>
      <w:r>
        <w:tab/>
        <w:t>[Regulation 12 inserted in Gazette 23 Dec 2005 p. 6247-8; amended in Gazette 9 Nov 2007 p. 5608; 21 Nov 2008 p. 4921; 31 Dec 2008 p. 5681; 26 Jun 2009 p. 2566; 18 Dec 2009 p. 5173.]</w:t>
      </w:r>
    </w:p>
    <w:p>
      <w:pPr>
        <w:pStyle w:val="Heading5"/>
      </w:pPr>
      <w:bookmarkStart w:id="177" w:name="_Toc248817067"/>
      <w:r>
        <w:rPr>
          <w:rStyle w:val="CharSectno"/>
        </w:rPr>
        <w:t>13</w:t>
      </w:r>
      <w:r>
        <w:t>.</w:t>
      </w:r>
      <w:r>
        <w:tab/>
        <w:t>Courses exempt from course fees</w:t>
      </w:r>
      <w:bookmarkEnd w:id="177"/>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178" w:name="_Toc248817068"/>
      <w:r>
        <w:rPr>
          <w:rStyle w:val="CharSectno"/>
        </w:rPr>
        <w:t>14</w:t>
      </w:r>
      <w:r>
        <w:t>.</w:t>
      </w:r>
      <w:r>
        <w:tab/>
        <w:t>Unemployed persons exempt from course fees</w:t>
      </w:r>
      <w:bookmarkEnd w:id="178"/>
    </w:p>
    <w:p>
      <w:pPr>
        <w:pStyle w:val="Subsection"/>
      </w:pPr>
      <w:r>
        <w:tab/>
        <w:t>(1)</w:t>
      </w:r>
      <w:r>
        <w:tab/>
        <w:t>In this regulation —</w:t>
      </w:r>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amount of a category A course fee is payable for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179" w:name="_Toc149030484"/>
      <w:bookmarkStart w:id="180" w:name="_Toc248817069"/>
      <w:r>
        <w:rPr>
          <w:rStyle w:val="CharSectno"/>
        </w:rPr>
        <w:t>15A</w:t>
      </w:r>
      <w:r>
        <w:t>.</w:t>
      </w:r>
      <w:r>
        <w:tab/>
        <w:t>Course fees for overseas students</w:t>
      </w:r>
      <w:bookmarkEnd w:id="156"/>
      <w:bookmarkEnd w:id="157"/>
      <w:bookmarkEnd w:id="179"/>
      <w:bookmarkEnd w:id="180"/>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pPr>
      <w:bookmarkStart w:id="181" w:name="_Toc84738992"/>
      <w:bookmarkStart w:id="182" w:name="_Toc84740227"/>
      <w:bookmarkStart w:id="183" w:name="_Toc90177056"/>
      <w:bookmarkStart w:id="184" w:name="_Toc123101476"/>
      <w:bookmarkStart w:id="185" w:name="_Toc149030485"/>
      <w:bookmarkStart w:id="186" w:name="_Toc149036918"/>
      <w:bookmarkStart w:id="187" w:name="_Toc152144631"/>
      <w:bookmarkStart w:id="188" w:name="_Toc182378673"/>
      <w:bookmarkStart w:id="189" w:name="_Toc184793107"/>
      <w:bookmarkStart w:id="190" w:name="_Toc184800854"/>
      <w:bookmarkStart w:id="191" w:name="_Toc185751226"/>
      <w:bookmarkStart w:id="192" w:name="_Toc188262394"/>
      <w:bookmarkStart w:id="193" w:name="_Toc199838248"/>
      <w:bookmarkStart w:id="194" w:name="_Toc215039825"/>
      <w:bookmarkStart w:id="195" w:name="_Toc218487682"/>
      <w:bookmarkStart w:id="196" w:name="_Toc230679691"/>
      <w:bookmarkStart w:id="197" w:name="_Toc230679748"/>
      <w:bookmarkStart w:id="198" w:name="_Toc230749120"/>
      <w:bookmarkStart w:id="199" w:name="_Toc233801758"/>
      <w:bookmarkStart w:id="200" w:name="_Toc235601751"/>
      <w:bookmarkStart w:id="201" w:name="_Toc236016107"/>
      <w:bookmarkStart w:id="202" w:name="_Toc236022789"/>
      <w:bookmarkStart w:id="203" w:name="_Toc237142911"/>
      <w:bookmarkStart w:id="204" w:name="_Toc248817070"/>
      <w:r>
        <w:rPr>
          <w:rStyle w:val="CharDivNo"/>
        </w:rPr>
        <w:t>Division 3</w:t>
      </w:r>
      <w:r>
        <w:rPr>
          <w:snapToGrid w:val="0"/>
        </w:rPr>
        <w:t> — </w:t>
      </w:r>
      <w:r>
        <w:rPr>
          <w:rStyle w:val="CharDivText"/>
        </w:rPr>
        <w:t>Other fees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67309269"/>
      <w:bookmarkStart w:id="206" w:name="_Toc57799437"/>
      <w:bookmarkStart w:id="207" w:name="_Toc149030486"/>
      <w:bookmarkStart w:id="208" w:name="_Toc248817071"/>
      <w:r>
        <w:rPr>
          <w:rStyle w:val="CharSectno"/>
        </w:rPr>
        <w:t>16</w:t>
      </w:r>
      <w:r>
        <w:rPr>
          <w:snapToGrid w:val="0"/>
        </w:rPr>
        <w:t>.</w:t>
      </w:r>
      <w:r>
        <w:rPr>
          <w:snapToGrid w:val="0"/>
        </w:rPr>
        <w:tab/>
        <w:t>Colleges may determine other fees</w:t>
      </w:r>
      <w:bookmarkEnd w:id="205"/>
      <w:bookmarkEnd w:id="206"/>
      <w:bookmarkEnd w:id="207"/>
      <w:bookmarkEnd w:id="208"/>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09" w:name="_Toc84738995"/>
      <w:bookmarkStart w:id="210" w:name="_Toc84740230"/>
      <w:bookmarkStart w:id="211" w:name="_Toc90177059"/>
      <w:bookmarkStart w:id="212" w:name="_Toc123101479"/>
      <w:bookmarkStart w:id="213" w:name="_Toc149030489"/>
      <w:bookmarkStart w:id="214" w:name="_Toc149036922"/>
      <w:bookmarkStart w:id="215" w:name="_Toc152144635"/>
      <w:bookmarkStart w:id="216" w:name="_Toc182378677"/>
      <w:bookmarkStart w:id="217" w:name="_Toc184793111"/>
      <w:bookmarkStart w:id="218" w:name="_Toc184800858"/>
      <w:bookmarkStart w:id="219" w:name="_Toc185751230"/>
      <w:bookmarkStart w:id="220" w:name="_Toc188262398"/>
      <w:bookmarkStart w:id="221" w:name="_Toc199838252"/>
      <w:bookmarkStart w:id="222" w:name="_Toc215039829"/>
      <w:bookmarkStart w:id="223" w:name="_Toc218487686"/>
      <w:bookmarkStart w:id="224" w:name="_Toc230679695"/>
      <w:bookmarkStart w:id="225" w:name="_Toc230679752"/>
      <w:bookmarkStart w:id="226" w:name="_Toc230749122"/>
      <w:bookmarkStart w:id="227" w:name="_Toc233801760"/>
      <w:bookmarkStart w:id="228" w:name="_Toc235601753"/>
      <w:bookmarkStart w:id="229" w:name="_Toc236016109"/>
      <w:bookmarkStart w:id="230" w:name="_Toc236022791"/>
      <w:bookmarkStart w:id="231" w:name="_Toc237142913"/>
      <w:bookmarkStart w:id="232" w:name="_Toc248817072"/>
      <w:r>
        <w:rPr>
          <w:rStyle w:val="CharPartNo"/>
        </w:rPr>
        <w:t>Part 4</w:t>
      </w:r>
      <w:r>
        <w:rPr>
          <w:rStyle w:val="CharDivNo"/>
        </w:rPr>
        <w:t> </w:t>
      </w:r>
      <w:r>
        <w:t>—</w:t>
      </w:r>
      <w:r>
        <w:rPr>
          <w:rStyle w:val="CharDivText"/>
        </w:rPr>
        <w:t> </w:t>
      </w:r>
      <w:r>
        <w:rPr>
          <w:rStyle w:val="CharPartText"/>
        </w:rPr>
        <w:t>Enrolment</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spacing w:before="120"/>
        <w:rPr>
          <w:snapToGrid w:val="0"/>
        </w:rPr>
      </w:pPr>
      <w:bookmarkStart w:id="233" w:name="_Toc467309271"/>
      <w:bookmarkStart w:id="234" w:name="_Toc57799439"/>
      <w:bookmarkStart w:id="235" w:name="_Toc149030490"/>
      <w:bookmarkStart w:id="236" w:name="_Toc248817073"/>
      <w:r>
        <w:rPr>
          <w:rStyle w:val="CharSectno"/>
        </w:rPr>
        <w:t>17</w:t>
      </w:r>
      <w:r>
        <w:rPr>
          <w:snapToGrid w:val="0"/>
        </w:rPr>
        <w:t>.</w:t>
      </w:r>
      <w:r>
        <w:rPr>
          <w:snapToGrid w:val="0"/>
        </w:rPr>
        <w:tab/>
        <w:t>Enrolment</w:t>
      </w:r>
      <w:bookmarkEnd w:id="233"/>
      <w:bookmarkEnd w:id="234"/>
      <w:bookmarkEnd w:id="235"/>
      <w:bookmarkEnd w:id="236"/>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237" w:name="_Toc467309272"/>
      <w:bookmarkStart w:id="238" w:name="_Toc57799440"/>
      <w:bookmarkStart w:id="239" w:name="_Toc149030491"/>
      <w:bookmarkStart w:id="240" w:name="_Toc248817074"/>
      <w:r>
        <w:rPr>
          <w:rStyle w:val="CharSectno"/>
        </w:rPr>
        <w:t>18</w:t>
      </w:r>
      <w:r>
        <w:rPr>
          <w:snapToGrid w:val="0"/>
        </w:rPr>
        <w:t>.</w:t>
      </w:r>
      <w:r>
        <w:rPr>
          <w:snapToGrid w:val="0"/>
        </w:rPr>
        <w:tab/>
        <w:t>When enrolment may be refused</w:t>
      </w:r>
      <w:bookmarkEnd w:id="237"/>
      <w:bookmarkEnd w:id="238"/>
      <w:bookmarkEnd w:id="239"/>
      <w:bookmarkEnd w:id="240"/>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41" w:name="_Toc84738999"/>
      <w:bookmarkStart w:id="242" w:name="_Toc84740234"/>
      <w:bookmarkStart w:id="243" w:name="_Toc90177063"/>
      <w:bookmarkStart w:id="244" w:name="_Toc123101483"/>
      <w:bookmarkStart w:id="245" w:name="_Toc149030493"/>
      <w:bookmarkStart w:id="246" w:name="_Toc149036926"/>
      <w:bookmarkStart w:id="247" w:name="_Toc152144639"/>
      <w:r>
        <w:t>[</w:t>
      </w:r>
      <w:r>
        <w:rPr>
          <w:b/>
          <w:bCs/>
        </w:rPr>
        <w:t>19.</w:t>
      </w:r>
      <w:r>
        <w:tab/>
        <w:t>Deleted in Gazette 9 Nov 2007 p. 5608.]</w:t>
      </w:r>
    </w:p>
    <w:p>
      <w:pPr>
        <w:pStyle w:val="Heading2"/>
      </w:pPr>
      <w:bookmarkStart w:id="248" w:name="_Toc248817075"/>
      <w:bookmarkStart w:id="249" w:name="_Toc84739000"/>
      <w:bookmarkStart w:id="250" w:name="_Toc84740235"/>
      <w:bookmarkStart w:id="251" w:name="_Toc90177064"/>
      <w:bookmarkStart w:id="252" w:name="_Toc123101484"/>
      <w:bookmarkStart w:id="253" w:name="_Toc149030494"/>
      <w:bookmarkStart w:id="254" w:name="_Toc149036927"/>
      <w:bookmarkStart w:id="255" w:name="_Toc152144640"/>
      <w:bookmarkStart w:id="256" w:name="_Toc182378681"/>
      <w:bookmarkStart w:id="257" w:name="_Toc184793115"/>
      <w:bookmarkStart w:id="258" w:name="_Toc184800862"/>
      <w:bookmarkStart w:id="259" w:name="_Toc185751234"/>
      <w:bookmarkStart w:id="260" w:name="_Toc188262402"/>
      <w:bookmarkStart w:id="261" w:name="_Toc199838256"/>
      <w:bookmarkStart w:id="262" w:name="_Toc215039833"/>
      <w:bookmarkStart w:id="263" w:name="_Toc218487690"/>
      <w:bookmarkStart w:id="264" w:name="_Toc230679699"/>
      <w:bookmarkStart w:id="265" w:name="_Toc230679756"/>
      <w:bookmarkStart w:id="266" w:name="_Toc230749126"/>
      <w:bookmarkStart w:id="267" w:name="_Toc233801764"/>
      <w:bookmarkStart w:id="268" w:name="_Toc235601757"/>
      <w:bookmarkStart w:id="269" w:name="_Toc236016113"/>
      <w:bookmarkStart w:id="270" w:name="_Toc236022795"/>
      <w:bookmarkStart w:id="271" w:name="_Toc237142917"/>
      <w:bookmarkEnd w:id="241"/>
      <w:bookmarkEnd w:id="242"/>
      <w:bookmarkEnd w:id="243"/>
      <w:bookmarkEnd w:id="244"/>
      <w:bookmarkEnd w:id="245"/>
      <w:bookmarkEnd w:id="246"/>
      <w:bookmarkEnd w:id="247"/>
      <w:r>
        <w:rPr>
          <w:rStyle w:val="CharPartNo"/>
        </w:rPr>
        <w:t>Part 5</w:t>
      </w:r>
      <w:r>
        <w:rPr>
          <w:b w:val="0"/>
        </w:rPr>
        <w:t> </w:t>
      </w:r>
      <w:r>
        <w:t>—</w:t>
      </w:r>
      <w:r>
        <w:rPr>
          <w:b w:val="0"/>
        </w:rPr>
        <w:t> </w:t>
      </w:r>
      <w:r>
        <w:rPr>
          <w:rStyle w:val="CharPartText"/>
        </w:rPr>
        <w:t>Fee concessions, exemptions and refunds</w:t>
      </w:r>
      <w:bookmarkEnd w:id="248"/>
    </w:p>
    <w:p>
      <w:pPr>
        <w:pStyle w:val="Footnoteheading"/>
      </w:pPr>
      <w:r>
        <w:tab/>
        <w:t>[Heading inserted in Gazette 18 Dec 2009 p. 5174.]</w:t>
      </w:r>
    </w:p>
    <w:p>
      <w:pPr>
        <w:pStyle w:val="Heading3"/>
      </w:pPr>
      <w:bookmarkStart w:id="272" w:name="_Toc248817076"/>
      <w:r>
        <w:rPr>
          <w:rStyle w:val="CharDivNo"/>
        </w:rPr>
        <w:t>Division 1</w:t>
      </w:r>
      <w:r>
        <w:rPr>
          <w:snapToGrid w:val="0"/>
        </w:rPr>
        <w:t> — </w:t>
      </w:r>
      <w:r>
        <w:rPr>
          <w:rStyle w:val="CharDivText"/>
        </w:rPr>
        <w:t>Concessional rates of fees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67309274"/>
      <w:bookmarkStart w:id="274" w:name="_Toc57799442"/>
      <w:bookmarkStart w:id="275" w:name="_Toc149030495"/>
      <w:bookmarkStart w:id="276" w:name="_Toc248817077"/>
      <w:r>
        <w:rPr>
          <w:rStyle w:val="CharSectno"/>
        </w:rPr>
        <w:t>20</w:t>
      </w:r>
      <w:r>
        <w:rPr>
          <w:snapToGrid w:val="0"/>
        </w:rPr>
        <w:t>.</w:t>
      </w:r>
      <w:r>
        <w:rPr>
          <w:snapToGrid w:val="0"/>
        </w:rPr>
        <w:tab/>
        <w:t xml:space="preserve">Persons entitled to concessional rate of </w:t>
      </w:r>
      <w:bookmarkEnd w:id="273"/>
      <w:bookmarkEnd w:id="274"/>
      <w:r>
        <w:rPr>
          <w:snapToGrid w:val="0"/>
        </w:rPr>
        <w:t>course fee</w:t>
      </w:r>
      <w:bookmarkEnd w:id="275"/>
      <w:bookmarkEnd w:id="27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Ednotesubsection"/>
      </w:pPr>
      <w:r>
        <w:tab/>
        <w:t>[(2b)</w:t>
      </w:r>
      <w:r>
        <w:tab/>
        <w:t>deleted]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277" w:name="_Toc467309275"/>
      <w:bookmarkStart w:id="278" w:name="_Toc57799443"/>
      <w:bookmarkStart w:id="279" w:name="_Toc149030496"/>
      <w:bookmarkStart w:id="280" w:name="_Toc248817078"/>
      <w:r>
        <w:rPr>
          <w:rStyle w:val="CharSectno"/>
        </w:rPr>
        <w:t>21</w:t>
      </w:r>
      <w:r>
        <w:rPr>
          <w:snapToGrid w:val="0"/>
        </w:rPr>
        <w:t>.</w:t>
      </w:r>
      <w:r>
        <w:rPr>
          <w:snapToGrid w:val="0"/>
        </w:rPr>
        <w:tab/>
        <w:t>Concessional rate may be allowed for vocational courses in cases of financial hardship</w:t>
      </w:r>
      <w:bookmarkEnd w:id="277"/>
      <w:bookmarkEnd w:id="278"/>
      <w:bookmarkEnd w:id="279"/>
      <w:bookmarkEnd w:id="280"/>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281" w:name="_Toc84739003"/>
      <w:bookmarkStart w:id="282" w:name="_Toc84740238"/>
      <w:bookmarkStart w:id="283" w:name="_Toc90177067"/>
      <w:bookmarkStart w:id="284" w:name="_Toc123101487"/>
      <w:bookmarkStart w:id="285" w:name="_Toc149030497"/>
      <w:bookmarkStart w:id="286" w:name="_Toc149036930"/>
      <w:bookmarkStart w:id="287" w:name="_Toc152144643"/>
      <w:bookmarkStart w:id="288" w:name="_Toc182378684"/>
      <w:bookmarkStart w:id="289" w:name="_Toc184793118"/>
      <w:bookmarkStart w:id="290" w:name="_Toc184800865"/>
      <w:bookmarkStart w:id="291" w:name="_Toc185751237"/>
      <w:bookmarkStart w:id="292" w:name="_Toc188262405"/>
      <w:bookmarkStart w:id="293" w:name="_Toc199838259"/>
      <w:bookmarkStart w:id="294" w:name="_Toc215039836"/>
      <w:bookmarkStart w:id="295" w:name="_Toc218487693"/>
      <w:bookmarkStart w:id="296" w:name="_Toc230679702"/>
      <w:bookmarkStart w:id="297" w:name="_Toc230679759"/>
      <w:bookmarkStart w:id="298" w:name="_Toc230749129"/>
      <w:bookmarkStart w:id="299" w:name="_Toc233801767"/>
      <w:bookmarkStart w:id="300" w:name="_Toc235601760"/>
      <w:bookmarkStart w:id="301" w:name="_Toc236016116"/>
      <w:bookmarkStart w:id="302" w:name="_Toc236022798"/>
      <w:bookmarkStart w:id="303" w:name="_Toc237142920"/>
      <w:bookmarkStart w:id="304" w:name="_Toc248817079"/>
      <w:r>
        <w:rPr>
          <w:rStyle w:val="CharDivNo"/>
        </w:rPr>
        <w:t>Division 2</w:t>
      </w:r>
      <w:r>
        <w:rPr>
          <w:snapToGrid w:val="0"/>
        </w:rPr>
        <w:t> — </w:t>
      </w:r>
      <w:r>
        <w:rPr>
          <w:rStyle w:val="CharDivText"/>
        </w:rPr>
        <w:t>Other fee relief</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spacing w:before="140"/>
        <w:rPr>
          <w:snapToGrid w:val="0"/>
        </w:rPr>
      </w:pPr>
      <w:bookmarkStart w:id="305" w:name="_Toc467309276"/>
      <w:bookmarkStart w:id="306" w:name="_Toc57799444"/>
      <w:bookmarkStart w:id="307" w:name="_Toc149030498"/>
      <w:bookmarkStart w:id="308" w:name="_Toc248817080"/>
      <w:r>
        <w:rPr>
          <w:rStyle w:val="CharSectno"/>
        </w:rPr>
        <w:t>22</w:t>
      </w:r>
      <w:r>
        <w:rPr>
          <w:snapToGrid w:val="0"/>
        </w:rPr>
        <w:t>.</w:t>
      </w:r>
      <w:r>
        <w:rPr>
          <w:snapToGrid w:val="0"/>
        </w:rPr>
        <w:tab/>
        <w:t>Payment of certain fees by instalments may be allowed in cases of financial hardship</w:t>
      </w:r>
      <w:bookmarkEnd w:id="305"/>
      <w:bookmarkEnd w:id="306"/>
      <w:bookmarkEnd w:id="307"/>
      <w:bookmarkEnd w:id="308"/>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309" w:name="_Toc467309277"/>
      <w:bookmarkStart w:id="310" w:name="_Toc57799445"/>
      <w:bookmarkStart w:id="311" w:name="_Toc149030499"/>
      <w:bookmarkStart w:id="312" w:name="_Toc248817081"/>
      <w:r>
        <w:rPr>
          <w:rStyle w:val="CharSectno"/>
        </w:rPr>
        <w:t>23</w:t>
      </w:r>
      <w:r>
        <w:rPr>
          <w:snapToGrid w:val="0"/>
        </w:rPr>
        <w:t>.</w:t>
      </w:r>
      <w:r>
        <w:rPr>
          <w:snapToGrid w:val="0"/>
        </w:rPr>
        <w:tab/>
        <w:t>Exemption from fees in cases of severe financial hardship</w:t>
      </w:r>
      <w:bookmarkEnd w:id="309"/>
      <w:bookmarkEnd w:id="310"/>
      <w:bookmarkEnd w:id="311"/>
      <w:bookmarkEnd w:id="312"/>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313" w:name="_Toc467309278"/>
      <w:bookmarkStart w:id="314" w:name="_Toc57799446"/>
      <w:bookmarkStart w:id="315" w:name="_Toc149030500"/>
      <w:bookmarkStart w:id="316" w:name="_Toc248817082"/>
      <w:r>
        <w:rPr>
          <w:rStyle w:val="CharSectno"/>
        </w:rPr>
        <w:t>24</w:t>
      </w:r>
      <w:r>
        <w:rPr>
          <w:snapToGrid w:val="0"/>
        </w:rPr>
        <w:t>.</w:t>
      </w:r>
      <w:r>
        <w:rPr>
          <w:snapToGrid w:val="0"/>
        </w:rPr>
        <w:tab/>
        <w:t>Refund of fees on cancellation etc. of course</w:t>
      </w:r>
      <w:bookmarkEnd w:id="313"/>
      <w:bookmarkEnd w:id="314"/>
      <w:bookmarkEnd w:id="315"/>
      <w:bookmarkEnd w:id="316"/>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317" w:name="_Toc467309279"/>
      <w:r>
        <w:tab/>
        <w:t>[Regulation 24 amended in Gazette 29 Nov 2002 p. 5668; 23 Dec 2005 p. 6249.]</w:t>
      </w:r>
    </w:p>
    <w:p>
      <w:pPr>
        <w:pStyle w:val="Heading5"/>
        <w:rPr>
          <w:snapToGrid w:val="0"/>
        </w:rPr>
      </w:pPr>
      <w:bookmarkStart w:id="318" w:name="_Toc57799447"/>
      <w:bookmarkStart w:id="319" w:name="_Toc149030501"/>
      <w:bookmarkStart w:id="320" w:name="_Toc248817083"/>
      <w:r>
        <w:rPr>
          <w:rStyle w:val="CharSectno"/>
        </w:rPr>
        <w:t>25</w:t>
      </w:r>
      <w:r>
        <w:rPr>
          <w:snapToGrid w:val="0"/>
        </w:rPr>
        <w:t>.</w:t>
      </w:r>
      <w:r>
        <w:rPr>
          <w:snapToGrid w:val="0"/>
        </w:rPr>
        <w:tab/>
        <w:t>Full refund of course fee on withdrawal within specified period</w:t>
      </w:r>
      <w:bookmarkEnd w:id="317"/>
      <w:bookmarkEnd w:id="318"/>
      <w:bookmarkEnd w:id="319"/>
      <w:bookmarkEnd w:id="320"/>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321" w:name="_Toc467309280"/>
      <w:r>
        <w:tab/>
        <w:t>[Regulation 25 amended in Gazette 29 Nov 2002 p. 5668; 23 Dec 2005 p. 6249.]</w:t>
      </w:r>
    </w:p>
    <w:p>
      <w:pPr>
        <w:pStyle w:val="Heading5"/>
        <w:rPr>
          <w:snapToGrid w:val="0"/>
        </w:rPr>
      </w:pPr>
      <w:bookmarkStart w:id="322" w:name="_Toc57799448"/>
      <w:bookmarkStart w:id="323" w:name="_Toc149030502"/>
      <w:bookmarkStart w:id="324" w:name="_Toc248817084"/>
      <w:r>
        <w:rPr>
          <w:rStyle w:val="CharSectno"/>
        </w:rPr>
        <w:t>26</w:t>
      </w:r>
      <w:r>
        <w:rPr>
          <w:snapToGrid w:val="0"/>
        </w:rPr>
        <w:t>.</w:t>
      </w:r>
      <w:r>
        <w:rPr>
          <w:snapToGrid w:val="0"/>
        </w:rPr>
        <w:tab/>
        <w:t>Pro rata refund of course fee on withdrawal</w:t>
      </w:r>
      <w:bookmarkEnd w:id="321"/>
      <w:bookmarkEnd w:id="322"/>
      <w:bookmarkEnd w:id="323"/>
      <w:bookmarkEnd w:id="324"/>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The pro rata refund is to be the same proportion of the fee paid as the proportion of the course not undertaken by the person.</w:t>
      </w:r>
    </w:p>
    <w:p>
      <w:pPr>
        <w:pStyle w:val="Footnotesection"/>
      </w:pPr>
      <w:r>
        <w:tab/>
        <w:t>[Regulation 26 amended in Gazette 29 Nov 2002 p. 5668; 23 Dec 2005 p. 6249-50.]</w:t>
      </w:r>
    </w:p>
    <w:p>
      <w:pPr>
        <w:pStyle w:val="Ednotesection"/>
      </w:pPr>
      <w:r>
        <w:t>[</w:t>
      </w:r>
      <w:r>
        <w:rPr>
          <w:b/>
          <w:bCs/>
        </w:rPr>
        <w:t>26A.</w:t>
      </w:r>
      <w:r>
        <w:tab/>
        <w:t>Deleted in Gazette 18 Dec 2009 p. 5174.]</w:t>
      </w:r>
    </w:p>
    <w:p>
      <w:pPr>
        <w:pStyle w:val="Heading2"/>
      </w:pPr>
      <w:bookmarkStart w:id="325" w:name="_Toc84739010"/>
      <w:bookmarkStart w:id="326" w:name="_Toc84740245"/>
      <w:bookmarkStart w:id="327" w:name="_Toc90177074"/>
      <w:bookmarkStart w:id="328" w:name="_Toc123101494"/>
      <w:bookmarkStart w:id="329" w:name="_Toc149030504"/>
      <w:bookmarkStart w:id="330" w:name="_Toc149036937"/>
      <w:bookmarkStart w:id="331" w:name="_Toc152144650"/>
      <w:bookmarkStart w:id="332" w:name="_Toc182378691"/>
      <w:bookmarkStart w:id="333" w:name="_Toc184793125"/>
      <w:bookmarkStart w:id="334" w:name="_Toc184800872"/>
      <w:bookmarkStart w:id="335" w:name="_Toc185751244"/>
      <w:bookmarkStart w:id="336" w:name="_Toc188262412"/>
      <w:bookmarkStart w:id="337" w:name="_Toc199838266"/>
      <w:bookmarkStart w:id="338" w:name="_Toc215039843"/>
      <w:bookmarkStart w:id="339" w:name="_Toc218487700"/>
      <w:bookmarkStart w:id="340" w:name="_Toc230679709"/>
      <w:bookmarkStart w:id="341" w:name="_Toc230679766"/>
      <w:bookmarkStart w:id="342" w:name="_Toc230749136"/>
      <w:bookmarkStart w:id="343" w:name="_Toc233801774"/>
      <w:bookmarkStart w:id="344" w:name="_Toc235601767"/>
      <w:bookmarkStart w:id="345" w:name="_Toc236016123"/>
      <w:bookmarkStart w:id="346" w:name="_Toc236022805"/>
      <w:bookmarkStart w:id="347" w:name="_Toc237142927"/>
      <w:bookmarkStart w:id="348" w:name="_Toc248817085"/>
      <w:r>
        <w:rPr>
          <w:rStyle w:val="CharPartNo"/>
        </w:rPr>
        <w:t>Part 6</w:t>
      </w:r>
      <w:r>
        <w:rPr>
          <w:rStyle w:val="CharDivNo"/>
        </w:rPr>
        <w:t> </w:t>
      </w:r>
      <w:r>
        <w:t>—</w:t>
      </w:r>
      <w:r>
        <w:rPr>
          <w:rStyle w:val="CharDivText"/>
        </w:rPr>
        <w:t> </w:t>
      </w:r>
      <w:r>
        <w:rPr>
          <w:rStyle w:val="CharPartText"/>
        </w:rPr>
        <w:t>Common seals of colleges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180"/>
        <w:rPr>
          <w:snapToGrid w:val="0"/>
        </w:rPr>
      </w:pPr>
      <w:bookmarkStart w:id="349" w:name="_Toc467309281"/>
      <w:bookmarkStart w:id="350" w:name="_Toc57799450"/>
      <w:bookmarkStart w:id="351" w:name="_Toc149030505"/>
      <w:bookmarkStart w:id="352" w:name="_Toc248817086"/>
      <w:r>
        <w:rPr>
          <w:rStyle w:val="CharSectno"/>
        </w:rPr>
        <w:t>27</w:t>
      </w:r>
      <w:r>
        <w:rPr>
          <w:snapToGrid w:val="0"/>
        </w:rPr>
        <w:t>.</w:t>
      </w:r>
      <w:r>
        <w:rPr>
          <w:snapToGrid w:val="0"/>
        </w:rPr>
        <w:tab/>
        <w:t>Form</w:t>
      </w:r>
      <w:bookmarkEnd w:id="349"/>
      <w:bookmarkEnd w:id="350"/>
      <w:bookmarkEnd w:id="351"/>
      <w:bookmarkEnd w:id="352"/>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353" w:name="_Toc467309282"/>
      <w:bookmarkStart w:id="354" w:name="_Toc57799451"/>
      <w:bookmarkStart w:id="355" w:name="_Toc149030506"/>
      <w:bookmarkStart w:id="356" w:name="_Toc248817087"/>
      <w:r>
        <w:rPr>
          <w:rStyle w:val="CharSectno"/>
        </w:rPr>
        <w:t>28</w:t>
      </w:r>
      <w:r>
        <w:rPr>
          <w:snapToGrid w:val="0"/>
        </w:rPr>
        <w:t>.</w:t>
      </w:r>
      <w:r>
        <w:rPr>
          <w:snapToGrid w:val="0"/>
        </w:rPr>
        <w:tab/>
        <w:t>Custody</w:t>
      </w:r>
      <w:bookmarkEnd w:id="353"/>
      <w:bookmarkEnd w:id="354"/>
      <w:bookmarkEnd w:id="355"/>
      <w:bookmarkEnd w:id="356"/>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357" w:name="_Toc467309283"/>
      <w:bookmarkStart w:id="358" w:name="_Toc57799452"/>
      <w:bookmarkStart w:id="359" w:name="_Toc149030507"/>
      <w:bookmarkStart w:id="360" w:name="_Toc248817088"/>
      <w:r>
        <w:rPr>
          <w:rStyle w:val="CharSectno"/>
        </w:rPr>
        <w:t>29</w:t>
      </w:r>
      <w:r>
        <w:rPr>
          <w:snapToGrid w:val="0"/>
        </w:rPr>
        <w:t>.</w:t>
      </w:r>
      <w:r>
        <w:rPr>
          <w:snapToGrid w:val="0"/>
        </w:rPr>
        <w:tab/>
        <w:t>Use</w:t>
      </w:r>
      <w:bookmarkEnd w:id="357"/>
      <w:bookmarkEnd w:id="358"/>
      <w:bookmarkEnd w:id="359"/>
      <w:bookmarkEnd w:id="360"/>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361" w:name="_Toc467309284"/>
      <w:bookmarkStart w:id="362" w:name="_Toc57799453"/>
      <w:bookmarkStart w:id="363" w:name="_Toc149030508"/>
      <w:bookmarkStart w:id="364" w:name="_Toc248817089"/>
      <w:r>
        <w:rPr>
          <w:rStyle w:val="CharSectno"/>
        </w:rPr>
        <w:t>30</w:t>
      </w:r>
      <w:r>
        <w:rPr>
          <w:snapToGrid w:val="0"/>
        </w:rPr>
        <w:t>.</w:t>
      </w:r>
      <w:r>
        <w:rPr>
          <w:snapToGrid w:val="0"/>
        </w:rPr>
        <w:tab/>
        <w:t>Attestation</w:t>
      </w:r>
      <w:bookmarkEnd w:id="361"/>
      <w:bookmarkEnd w:id="362"/>
      <w:bookmarkEnd w:id="363"/>
      <w:bookmarkEnd w:id="364"/>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365" w:name="_Toc467309285"/>
      <w:bookmarkStart w:id="366" w:name="_Toc57799454"/>
      <w:bookmarkStart w:id="367" w:name="_Toc149030509"/>
      <w:bookmarkStart w:id="368" w:name="_Toc248817090"/>
      <w:r>
        <w:rPr>
          <w:rStyle w:val="CharSectno"/>
        </w:rPr>
        <w:t>31</w:t>
      </w:r>
      <w:r>
        <w:rPr>
          <w:snapToGrid w:val="0"/>
        </w:rPr>
        <w:t>.</w:t>
      </w:r>
      <w:r>
        <w:rPr>
          <w:snapToGrid w:val="0"/>
        </w:rPr>
        <w:tab/>
        <w:t>Seal book</w:t>
      </w:r>
      <w:bookmarkEnd w:id="365"/>
      <w:bookmarkEnd w:id="366"/>
      <w:bookmarkEnd w:id="367"/>
      <w:bookmarkEnd w:id="368"/>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69" w:name="_Toc248817091"/>
      <w:r>
        <w:rPr>
          <w:rStyle w:val="CharSchNo"/>
        </w:rPr>
        <w:t>Schedule 1</w:t>
      </w:r>
      <w:r>
        <w:t> — </w:t>
      </w:r>
      <w:r>
        <w:rPr>
          <w:rStyle w:val="CharSchText"/>
        </w:rPr>
        <w:t>Fees</w:t>
      </w:r>
      <w:bookmarkEnd w:id="369"/>
    </w:p>
    <w:p>
      <w:pPr>
        <w:pStyle w:val="yShoulderClause"/>
      </w:pPr>
      <w:r>
        <w:t>[r. 9 and 12]</w:t>
      </w:r>
    </w:p>
    <w:p>
      <w:pPr>
        <w:pStyle w:val="yFootnoteheading"/>
        <w:spacing w:after="120"/>
      </w:pPr>
      <w:r>
        <w:tab/>
        <w:t>[Heading inserted in Gazette 18 Dec 2009 p. 5174.]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Borders>
              <w:bottom w:val="single" w:sz="4" w:space="0" w:color="auto"/>
            </w:tcBorders>
          </w:tcPr>
          <w:p>
            <w:pPr>
              <w:pStyle w:val="yTableNAm"/>
              <w:jc w:val="center"/>
              <w:rPr>
                <w:b/>
                <w:bCs/>
              </w:rPr>
            </w:pPr>
            <w:r>
              <w:rPr>
                <w:b/>
                <w:bCs/>
              </w:rPr>
              <w:t>Item</w:t>
            </w:r>
          </w:p>
        </w:tc>
        <w:tc>
          <w:tcPr>
            <w:tcW w:w="4394" w:type="dxa"/>
            <w:tcBorders>
              <w:bottom w:val="single" w:sz="4" w:space="0" w:color="auto"/>
            </w:tcBorders>
          </w:tcPr>
          <w:p>
            <w:pPr>
              <w:pStyle w:val="yTableNAm"/>
              <w:jc w:val="center"/>
              <w:rPr>
                <w:b/>
                <w:bCs/>
              </w:rPr>
            </w:pPr>
            <w:r>
              <w:rPr>
                <w:b/>
                <w:bCs/>
              </w:rPr>
              <w:t>Fee for</w:t>
            </w:r>
          </w:p>
        </w:tc>
        <w:tc>
          <w:tcPr>
            <w:tcW w:w="992" w:type="dxa"/>
            <w:tcBorders>
              <w:bottom w:val="single" w:sz="4" w:space="0" w:color="auto"/>
            </w:tcBorders>
          </w:tcPr>
          <w:p>
            <w:pPr>
              <w:pStyle w:val="yTableNAm"/>
              <w:jc w:val="center"/>
              <w:rPr>
                <w:b/>
                <w:bCs/>
              </w:rPr>
            </w:pPr>
            <w:r>
              <w:rPr>
                <w:b/>
                <w:bCs/>
              </w:rPr>
              <w:t>Fee ($)</w:t>
            </w:r>
          </w:p>
        </w:tc>
      </w:tr>
      <w:tr>
        <w:trPr>
          <w:cantSplit/>
        </w:trPr>
        <w:tc>
          <w:tcPr>
            <w:tcW w:w="851" w:type="dxa"/>
            <w:tcBorders>
              <w:bottom w:val="nil"/>
            </w:tcBorders>
          </w:tcPr>
          <w:p>
            <w:pPr>
              <w:pStyle w:val="yTableNAm"/>
              <w:jc w:val="center"/>
            </w:pPr>
            <w:bookmarkStart w:id="370" w:name="UpToHere"/>
            <w:r>
              <w:t>1.</w:t>
            </w:r>
          </w:p>
        </w:tc>
        <w:tc>
          <w:tcPr>
            <w:tcW w:w="4394" w:type="dxa"/>
            <w:tcBorders>
              <w:bottom w:val="nil"/>
            </w:tcBorders>
          </w:tcPr>
          <w:p>
            <w:pPr>
              <w:pStyle w:val="yTableNAm"/>
              <w:tabs>
                <w:tab w:val="left" w:leader="dot" w:pos="567"/>
                <w:tab w:val="left" w:leader="dot" w:pos="4178"/>
              </w:tabs>
            </w:pPr>
            <w:r>
              <w:t xml:space="preserve">Late application (r. 9(2)) </w:t>
            </w:r>
            <w:r>
              <w:tab/>
            </w:r>
          </w:p>
        </w:tc>
        <w:tc>
          <w:tcPr>
            <w:tcW w:w="992" w:type="dxa"/>
            <w:tcBorders>
              <w:bottom w:val="nil"/>
            </w:tcBorders>
          </w:tcPr>
          <w:p>
            <w:pPr>
              <w:pStyle w:val="yTableNAm"/>
              <w:tabs>
                <w:tab w:val="clear" w:pos="567"/>
                <w:tab w:val="right" w:pos="658"/>
              </w:tabs>
              <w:ind w:right="118"/>
            </w:pPr>
            <w:r>
              <w:tab/>
              <w:t>75.00</w:t>
            </w:r>
          </w:p>
        </w:tc>
      </w:tr>
      <w:bookmarkEnd w:id="370"/>
      <w:tr>
        <w:trPr>
          <w:cantSplit/>
        </w:trPr>
        <w:tc>
          <w:tcPr>
            <w:tcW w:w="851" w:type="dxa"/>
            <w:tcBorders>
              <w:top w:val="nil"/>
              <w:bottom w:val="nil"/>
            </w:tcBorders>
          </w:tcPr>
          <w:p>
            <w:pPr>
              <w:pStyle w:val="yTableNAm"/>
              <w:jc w:val="center"/>
            </w:pPr>
            <w:r>
              <w:t>2.</w:t>
            </w:r>
          </w:p>
        </w:tc>
        <w:tc>
          <w:tcPr>
            <w:tcW w:w="4394" w:type="dxa"/>
            <w:tcBorders>
              <w:top w:val="nil"/>
              <w:bottom w:val="nil"/>
            </w:tcBorders>
          </w:tcPr>
          <w:p>
            <w:pPr>
              <w:pStyle w:val="yTableNAm"/>
              <w:tabs>
                <w:tab w:val="left" w:leader="dot" w:pos="4179"/>
              </w:tabs>
            </w:pPr>
            <w:r>
              <w:t>Category A course (r. 12(4)) —</w:t>
            </w:r>
          </w:p>
          <w:p>
            <w:pPr>
              <w:pStyle w:val="yTableNAm"/>
              <w:tabs>
                <w:tab w:val="clear" w:pos="567"/>
                <w:tab w:val="left" w:pos="492"/>
                <w:tab w:val="left" w:leader="dot" w:pos="4179"/>
              </w:tabs>
              <w:ind w:left="492" w:hanging="492"/>
            </w:pPr>
            <w:r>
              <w:t>(a)</w:t>
            </w:r>
            <w:r>
              <w:tab/>
              <w:t xml:space="preserve">Unit per semester, for a person who is not a concessional student and is enrolled to undertake the unit — </w:t>
            </w:r>
          </w:p>
          <w:p>
            <w:pPr>
              <w:pStyle w:val="yTableNAm"/>
              <w:tabs>
                <w:tab w:val="clear" w:pos="567"/>
                <w:tab w:val="left" w:pos="492"/>
                <w:tab w:val="left" w:pos="972"/>
                <w:tab w:val="left" w:leader="dot" w:pos="4179"/>
              </w:tabs>
              <w:ind w:left="972" w:hanging="972"/>
            </w:pPr>
            <w:r>
              <w:tab/>
              <w:t>(i)</w:t>
            </w:r>
            <w:r>
              <w:tab/>
              <w:t xml:space="preserve">for a band 1 unit </w:t>
            </w:r>
            <w:r>
              <w:tab/>
            </w:r>
          </w:p>
          <w:p>
            <w:pPr>
              <w:pStyle w:val="yTableNAm"/>
              <w:tabs>
                <w:tab w:val="clear" w:pos="567"/>
                <w:tab w:val="left" w:pos="492"/>
                <w:tab w:val="left" w:pos="972"/>
                <w:tab w:val="left" w:leader="dot" w:pos="4179"/>
              </w:tabs>
              <w:ind w:left="972" w:hanging="972"/>
            </w:pPr>
            <w:r>
              <w:tab/>
              <w:t>(ii)</w:t>
            </w:r>
            <w:r>
              <w:tab/>
              <w:t xml:space="preserve">for a band 2 unit </w:t>
            </w:r>
            <w:r>
              <w:tab/>
            </w:r>
          </w:p>
          <w:p>
            <w:pPr>
              <w:pStyle w:val="yTableNAm"/>
              <w:tabs>
                <w:tab w:val="clear" w:pos="567"/>
                <w:tab w:val="left" w:pos="492"/>
                <w:tab w:val="left" w:pos="972"/>
                <w:tab w:val="left" w:leader="dot" w:pos="4179"/>
              </w:tabs>
              <w:ind w:left="972" w:hanging="972"/>
            </w:pPr>
            <w:r>
              <w:tab/>
              <w:t>(iii)</w:t>
            </w:r>
            <w:r>
              <w:tab/>
              <w:t xml:space="preserve">for a band 3 unit </w:t>
            </w:r>
            <w:r>
              <w:tab/>
            </w:r>
          </w:p>
          <w:p>
            <w:pPr>
              <w:pStyle w:val="yTableNAm"/>
              <w:tabs>
                <w:tab w:val="clear" w:pos="567"/>
                <w:tab w:val="left" w:pos="492"/>
                <w:tab w:val="left" w:pos="972"/>
                <w:tab w:val="left" w:leader="dot" w:pos="4179"/>
              </w:tabs>
              <w:ind w:left="972" w:hanging="972"/>
            </w:pPr>
            <w:r>
              <w:tab/>
              <w:t>(iv)</w:t>
            </w:r>
            <w:r>
              <w:tab/>
              <w:t xml:space="preserve">for a band 4 unit </w:t>
            </w:r>
            <w:r>
              <w:tab/>
            </w:r>
            <w:r>
              <w:tab/>
            </w:r>
          </w:p>
        </w:tc>
        <w:tc>
          <w:tcPr>
            <w:tcW w:w="992" w:type="dxa"/>
            <w:tcBorders>
              <w:top w:val="nil"/>
              <w:bottom w:val="nil"/>
            </w:tcBorders>
          </w:tcPr>
          <w:p>
            <w:pPr>
              <w:pStyle w:val="yTableNAm"/>
              <w:tabs>
                <w:tab w:val="clear" w:pos="567"/>
                <w:tab w:val="right" w:pos="658"/>
              </w:tabs>
              <w:ind w:right="118"/>
            </w:pPr>
          </w:p>
          <w:p>
            <w:pPr>
              <w:pStyle w:val="yTableNAm"/>
              <w:tabs>
                <w:tab w:val="clear" w:pos="567"/>
                <w:tab w:val="right" w:pos="658"/>
              </w:tabs>
              <w:ind w:right="118"/>
            </w:pPr>
            <w:r>
              <w:br/>
            </w:r>
            <w:r>
              <w:br/>
            </w:r>
          </w:p>
          <w:p>
            <w:pPr>
              <w:pStyle w:val="yTableNAm"/>
              <w:tabs>
                <w:tab w:val="clear" w:pos="567"/>
                <w:tab w:val="right" w:pos="658"/>
              </w:tabs>
              <w:ind w:right="118"/>
            </w:pPr>
            <w:r>
              <w:tab/>
              <w:t>14.00</w:t>
            </w:r>
          </w:p>
          <w:p>
            <w:pPr>
              <w:pStyle w:val="yTableNAm"/>
              <w:tabs>
                <w:tab w:val="clear" w:pos="567"/>
                <w:tab w:val="right" w:pos="658"/>
              </w:tabs>
              <w:ind w:right="118"/>
            </w:pPr>
            <w:r>
              <w:tab/>
              <w:t>30.00</w:t>
            </w:r>
          </w:p>
          <w:p>
            <w:pPr>
              <w:pStyle w:val="yTableNAm"/>
              <w:tabs>
                <w:tab w:val="clear" w:pos="567"/>
                <w:tab w:val="right" w:pos="658"/>
              </w:tabs>
              <w:ind w:right="118"/>
            </w:pPr>
            <w:r>
              <w:tab/>
              <w:t>62.00</w:t>
            </w:r>
          </w:p>
          <w:p>
            <w:pPr>
              <w:pStyle w:val="yTableNAm"/>
              <w:tabs>
                <w:tab w:val="clear" w:pos="567"/>
                <w:tab w:val="right" w:pos="658"/>
              </w:tabs>
              <w:ind w:right="118"/>
            </w:pPr>
            <w:r>
              <w:tab/>
              <w:t>124.00</w:t>
            </w:r>
          </w:p>
        </w:tc>
      </w:tr>
      <w:tr>
        <w:trPr>
          <w:cantSplit/>
        </w:trPr>
        <w:tc>
          <w:tcPr>
            <w:tcW w:w="851" w:type="dxa"/>
            <w:tcBorders>
              <w:top w:val="nil"/>
              <w:bottom w:val="nil"/>
            </w:tcBorders>
          </w:tcPr>
          <w:p>
            <w:pPr>
              <w:pStyle w:val="yTableNAm"/>
              <w:jc w:val="center"/>
            </w:pPr>
          </w:p>
        </w:tc>
        <w:tc>
          <w:tcPr>
            <w:tcW w:w="4394" w:type="dxa"/>
            <w:tcBorders>
              <w:top w:val="nil"/>
              <w:bottom w:val="nil"/>
            </w:tcBorders>
          </w:tcPr>
          <w:p>
            <w:pPr>
              <w:pStyle w:val="yTableNAm"/>
              <w:tabs>
                <w:tab w:val="clear" w:pos="567"/>
                <w:tab w:val="left" w:pos="492"/>
                <w:tab w:val="left" w:leader="dot" w:pos="4179"/>
              </w:tabs>
              <w:ind w:left="492" w:hanging="492"/>
            </w:pPr>
            <w:r>
              <w:t>(b)</w:t>
            </w:r>
            <w:r>
              <w:tab/>
              <w:t xml:space="preserve">Unit per semester, for a person who is a concessional student and is enrolled to undertake the unit — </w:t>
            </w:r>
          </w:p>
          <w:p>
            <w:pPr>
              <w:pStyle w:val="yTableNAm"/>
              <w:tabs>
                <w:tab w:val="clear" w:pos="567"/>
                <w:tab w:val="left" w:pos="492"/>
                <w:tab w:val="left" w:pos="972"/>
                <w:tab w:val="left" w:leader="dot" w:pos="4179"/>
              </w:tabs>
              <w:ind w:left="972" w:hanging="972"/>
            </w:pPr>
            <w:r>
              <w:tab/>
              <w:t>(i)</w:t>
            </w:r>
            <w:r>
              <w:tab/>
              <w:t xml:space="preserve">for a band 1 unit </w:t>
            </w:r>
            <w:r>
              <w:tab/>
            </w:r>
          </w:p>
          <w:p>
            <w:pPr>
              <w:pStyle w:val="yTableNAm"/>
              <w:tabs>
                <w:tab w:val="clear" w:pos="567"/>
                <w:tab w:val="left" w:pos="492"/>
                <w:tab w:val="left" w:pos="972"/>
                <w:tab w:val="left" w:leader="dot" w:pos="4179"/>
              </w:tabs>
              <w:ind w:left="972" w:hanging="972"/>
            </w:pPr>
            <w:r>
              <w:tab/>
              <w:t>(ii)</w:t>
            </w:r>
            <w:r>
              <w:tab/>
              <w:t xml:space="preserve">for a band 2 unit </w:t>
            </w:r>
            <w:r>
              <w:tab/>
            </w:r>
          </w:p>
          <w:p>
            <w:pPr>
              <w:pStyle w:val="yTableNAm"/>
              <w:tabs>
                <w:tab w:val="clear" w:pos="567"/>
                <w:tab w:val="left" w:pos="492"/>
                <w:tab w:val="left" w:pos="972"/>
                <w:tab w:val="left" w:leader="dot" w:pos="4179"/>
              </w:tabs>
              <w:ind w:left="972" w:hanging="972"/>
            </w:pPr>
            <w:r>
              <w:tab/>
              <w:t>(iii)</w:t>
            </w:r>
            <w:r>
              <w:tab/>
              <w:t xml:space="preserve">for a band 3 unit </w:t>
            </w:r>
            <w:r>
              <w:tab/>
            </w:r>
          </w:p>
          <w:p>
            <w:pPr>
              <w:pStyle w:val="yTableNAm"/>
              <w:tabs>
                <w:tab w:val="clear" w:pos="567"/>
                <w:tab w:val="left" w:pos="492"/>
                <w:tab w:val="left" w:pos="972"/>
                <w:tab w:val="left" w:leader="dot" w:pos="4179"/>
              </w:tabs>
              <w:ind w:left="972" w:hanging="972"/>
            </w:pPr>
            <w:r>
              <w:tab/>
              <w:t>(iv)</w:t>
            </w:r>
            <w:r>
              <w:tab/>
              <w:t xml:space="preserve">for a band 4 unit </w:t>
            </w:r>
            <w:r>
              <w:tab/>
            </w:r>
          </w:p>
        </w:tc>
        <w:tc>
          <w:tcPr>
            <w:tcW w:w="992" w:type="dxa"/>
            <w:tcBorders>
              <w:top w:val="nil"/>
              <w:bottom w:val="nil"/>
            </w:tcBorders>
          </w:tcPr>
          <w:p>
            <w:pPr>
              <w:pStyle w:val="yTableNAm"/>
              <w:tabs>
                <w:tab w:val="clear" w:pos="567"/>
                <w:tab w:val="right" w:pos="658"/>
              </w:tabs>
              <w:ind w:right="118"/>
            </w:pPr>
            <w:r>
              <w:br/>
            </w:r>
            <w:r>
              <w:br/>
            </w:r>
          </w:p>
          <w:p>
            <w:pPr>
              <w:pStyle w:val="yTableNAm"/>
              <w:tabs>
                <w:tab w:val="clear" w:pos="567"/>
                <w:tab w:val="right" w:pos="658"/>
              </w:tabs>
              <w:ind w:right="118"/>
            </w:pPr>
            <w:r>
              <w:tab/>
              <w:t>7.00</w:t>
            </w:r>
          </w:p>
          <w:p>
            <w:pPr>
              <w:pStyle w:val="yTableNAm"/>
              <w:tabs>
                <w:tab w:val="clear" w:pos="567"/>
                <w:tab w:val="right" w:pos="658"/>
              </w:tabs>
              <w:ind w:right="118"/>
            </w:pPr>
            <w:r>
              <w:tab/>
              <w:t>15.00</w:t>
            </w:r>
          </w:p>
          <w:p>
            <w:pPr>
              <w:pStyle w:val="yTableNAm"/>
              <w:tabs>
                <w:tab w:val="clear" w:pos="567"/>
                <w:tab w:val="right" w:pos="658"/>
              </w:tabs>
              <w:ind w:right="118"/>
            </w:pPr>
            <w:r>
              <w:tab/>
              <w:t>31.00</w:t>
            </w:r>
          </w:p>
          <w:p>
            <w:pPr>
              <w:pStyle w:val="yTableNAm"/>
              <w:tabs>
                <w:tab w:val="clear" w:pos="567"/>
                <w:tab w:val="right" w:pos="658"/>
              </w:tabs>
              <w:ind w:right="118"/>
            </w:pPr>
            <w:r>
              <w:tab/>
              <w:t>62.00</w:t>
            </w:r>
          </w:p>
        </w:tc>
      </w:tr>
      <w:tr>
        <w:trPr>
          <w:cantSplit/>
        </w:trPr>
        <w:tc>
          <w:tcPr>
            <w:tcW w:w="851" w:type="dxa"/>
            <w:tcBorders>
              <w:top w:val="nil"/>
              <w:bottom w:val="nil"/>
            </w:tcBorders>
          </w:tcPr>
          <w:p>
            <w:pPr>
              <w:pStyle w:val="yTableNAm"/>
              <w:jc w:val="center"/>
            </w:pPr>
          </w:p>
        </w:tc>
        <w:tc>
          <w:tcPr>
            <w:tcW w:w="4394" w:type="dxa"/>
            <w:tcBorders>
              <w:top w:val="nil"/>
              <w:bottom w:val="nil"/>
            </w:tcBorders>
          </w:tcPr>
          <w:p>
            <w:pPr>
              <w:pStyle w:val="yTableNAm"/>
              <w:tabs>
                <w:tab w:val="clear" w:pos="567"/>
                <w:tab w:val="left" w:pos="492"/>
                <w:tab w:val="left" w:leader="dot" w:pos="4179"/>
              </w:tabs>
              <w:ind w:left="492" w:hanging="492"/>
            </w:pPr>
            <w:r>
              <w:t>(c)</w:t>
            </w:r>
            <w:r>
              <w:tab/>
              <w:t xml:space="preserve">Unit per semester, for a person who is not a concessional student and is enrolled for the purpose of assessment of skills and competency — </w:t>
            </w:r>
          </w:p>
          <w:p>
            <w:pPr>
              <w:pStyle w:val="yTableNAm"/>
              <w:tabs>
                <w:tab w:val="clear" w:pos="567"/>
                <w:tab w:val="left" w:pos="492"/>
                <w:tab w:val="left" w:pos="972"/>
                <w:tab w:val="left" w:leader="dot" w:pos="4179"/>
              </w:tabs>
              <w:ind w:left="972" w:hanging="972"/>
            </w:pPr>
            <w:r>
              <w:tab/>
              <w:t>(i)</w:t>
            </w:r>
            <w:r>
              <w:tab/>
              <w:t xml:space="preserve">for a band 1 unit </w:t>
            </w:r>
            <w:r>
              <w:tab/>
            </w:r>
          </w:p>
          <w:p>
            <w:pPr>
              <w:pStyle w:val="yTableNAm"/>
              <w:tabs>
                <w:tab w:val="clear" w:pos="567"/>
                <w:tab w:val="left" w:pos="492"/>
                <w:tab w:val="left" w:pos="972"/>
                <w:tab w:val="left" w:leader="dot" w:pos="4179"/>
              </w:tabs>
              <w:ind w:left="972" w:hanging="972"/>
            </w:pPr>
            <w:r>
              <w:tab/>
              <w:t>(ii)</w:t>
            </w:r>
            <w:r>
              <w:tab/>
              <w:t xml:space="preserve">for a band 2 unit </w:t>
            </w:r>
            <w:r>
              <w:tab/>
            </w:r>
          </w:p>
          <w:p>
            <w:pPr>
              <w:pStyle w:val="yTableNAm"/>
              <w:tabs>
                <w:tab w:val="clear" w:pos="567"/>
                <w:tab w:val="left" w:pos="492"/>
                <w:tab w:val="left" w:pos="972"/>
                <w:tab w:val="left" w:leader="dot" w:pos="4179"/>
              </w:tabs>
              <w:ind w:left="972" w:hanging="972"/>
            </w:pPr>
            <w:r>
              <w:tab/>
              <w:t>(iii)</w:t>
            </w:r>
            <w:r>
              <w:tab/>
              <w:t xml:space="preserve">for a band 3 unit </w:t>
            </w:r>
            <w:r>
              <w:tab/>
            </w:r>
          </w:p>
          <w:p>
            <w:pPr>
              <w:pStyle w:val="yTableNAm"/>
              <w:tabs>
                <w:tab w:val="clear" w:pos="567"/>
                <w:tab w:val="left" w:pos="492"/>
                <w:tab w:val="left" w:pos="972"/>
                <w:tab w:val="left" w:leader="dot" w:pos="4179"/>
              </w:tabs>
              <w:ind w:left="972" w:hanging="972"/>
            </w:pPr>
            <w:r>
              <w:tab/>
              <w:t>(iv)</w:t>
            </w:r>
            <w:r>
              <w:tab/>
              <w:t xml:space="preserve">for a band 4 unit </w:t>
            </w:r>
            <w:r>
              <w:tab/>
            </w:r>
            <w:r>
              <w:tab/>
            </w:r>
          </w:p>
        </w:tc>
        <w:tc>
          <w:tcPr>
            <w:tcW w:w="992" w:type="dxa"/>
            <w:tcBorders>
              <w:top w:val="nil"/>
              <w:bottom w:val="nil"/>
            </w:tcBorders>
          </w:tcPr>
          <w:p>
            <w:pPr>
              <w:pStyle w:val="yTableNAm"/>
              <w:tabs>
                <w:tab w:val="clear" w:pos="567"/>
                <w:tab w:val="right" w:pos="658"/>
              </w:tabs>
              <w:ind w:right="118"/>
            </w:pPr>
            <w:r>
              <w:br/>
            </w:r>
            <w:r>
              <w:br/>
            </w:r>
            <w:r>
              <w:br/>
            </w:r>
          </w:p>
          <w:p>
            <w:pPr>
              <w:pStyle w:val="yTableNAm"/>
              <w:tabs>
                <w:tab w:val="clear" w:pos="567"/>
                <w:tab w:val="right" w:pos="658"/>
              </w:tabs>
              <w:ind w:right="118"/>
            </w:pPr>
            <w:r>
              <w:tab/>
              <w:t>7.00</w:t>
            </w:r>
          </w:p>
          <w:p>
            <w:pPr>
              <w:pStyle w:val="yTableNAm"/>
              <w:tabs>
                <w:tab w:val="clear" w:pos="567"/>
                <w:tab w:val="right" w:pos="658"/>
              </w:tabs>
              <w:ind w:right="118"/>
            </w:pPr>
            <w:r>
              <w:tab/>
              <w:t>15.00</w:t>
            </w:r>
          </w:p>
          <w:p>
            <w:pPr>
              <w:pStyle w:val="yTableNAm"/>
              <w:tabs>
                <w:tab w:val="clear" w:pos="567"/>
                <w:tab w:val="right" w:pos="658"/>
              </w:tabs>
              <w:ind w:right="118"/>
            </w:pPr>
            <w:r>
              <w:tab/>
              <w:t>31.00</w:t>
            </w:r>
          </w:p>
          <w:p>
            <w:pPr>
              <w:pStyle w:val="yTableNAm"/>
              <w:tabs>
                <w:tab w:val="clear" w:pos="567"/>
                <w:tab w:val="right" w:pos="658"/>
              </w:tabs>
              <w:ind w:right="118"/>
            </w:pPr>
            <w:r>
              <w:tab/>
              <w:t>62.00</w:t>
            </w:r>
          </w:p>
        </w:tc>
      </w:tr>
      <w:tr>
        <w:trPr>
          <w:cantSplit/>
        </w:trPr>
        <w:tc>
          <w:tcPr>
            <w:tcW w:w="851" w:type="dxa"/>
            <w:tcBorders>
              <w:top w:val="nil"/>
              <w:bottom w:val="nil"/>
            </w:tcBorders>
          </w:tcPr>
          <w:p>
            <w:pPr>
              <w:pStyle w:val="yTableNAm"/>
              <w:jc w:val="center"/>
            </w:pPr>
          </w:p>
        </w:tc>
        <w:tc>
          <w:tcPr>
            <w:tcW w:w="4394" w:type="dxa"/>
            <w:tcBorders>
              <w:top w:val="nil"/>
              <w:bottom w:val="nil"/>
            </w:tcBorders>
          </w:tcPr>
          <w:p>
            <w:pPr>
              <w:pStyle w:val="yTableNAm"/>
              <w:tabs>
                <w:tab w:val="clear" w:pos="567"/>
                <w:tab w:val="left" w:pos="492"/>
                <w:tab w:val="left" w:leader="dot" w:pos="4179"/>
              </w:tabs>
              <w:ind w:left="492" w:hanging="492"/>
            </w:pPr>
            <w:r>
              <w:t>(d)</w:t>
            </w:r>
            <w:r>
              <w:tab/>
              <w:t xml:space="preserve">Unit per semester, for a person who is a concessional student and is enrolled for the purpose of an assessment of skills and competency — </w:t>
            </w:r>
          </w:p>
          <w:p>
            <w:pPr>
              <w:pStyle w:val="yTableNAm"/>
              <w:tabs>
                <w:tab w:val="clear" w:pos="567"/>
                <w:tab w:val="left" w:pos="492"/>
                <w:tab w:val="left" w:pos="972"/>
                <w:tab w:val="left" w:leader="dot" w:pos="4179"/>
              </w:tabs>
              <w:ind w:left="972" w:hanging="972"/>
            </w:pPr>
            <w:r>
              <w:tab/>
              <w:t>(i)</w:t>
            </w:r>
            <w:r>
              <w:tab/>
              <w:t xml:space="preserve">for a band 1 unit </w:t>
            </w:r>
            <w:r>
              <w:tab/>
            </w:r>
          </w:p>
          <w:p>
            <w:pPr>
              <w:pStyle w:val="yTableNAm"/>
              <w:tabs>
                <w:tab w:val="clear" w:pos="567"/>
                <w:tab w:val="left" w:pos="492"/>
                <w:tab w:val="left" w:pos="972"/>
                <w:tab w:val="left" w:leader="dot" w:pos="4179"/>
              </w:tabs>
              <w:ind w:left="972" w:hanging="972"/>
            </w:pPr>
            <w:r>
              <w:tab/>
              <w:t>(ii)</w:t>
            </w:r>
            <w:r>
              <w:tab/>
              <w:t xml:space="preserve">for a band 2 unit </w:t>
            </w:r>
            <w:r>
              <w:tab/>
            </w:r>
          </w:p>
          <w:p>
            <w:pPr>
              <w:pStyle w:val="yTableNAm"/>
              <w:tabs>
                <w:tab w:val="clear" w:pos="567"/>
                <w:tab w:val="left" w:pos="492"/>
                <w:tab w:val="left" w:pos="972"/>
                <w:tab w:val="left" w:leader="dot" w:pos="4179"/>
              </w:tabs>
              <w:ind w:left="972" w:hanging="972"/>
            </w:pPr>
            <w:r>
              <w:tab/>
              <w:t>(iii)</w:t>
            </w:r>
            <w:r>
              <w:tab/>
              <w:t xml:space="preserve">for a band 3 unit </w:t>
            </w:r>
            <w:r>
              <w:tab/>
            </w:r>
          </w:p>
          <w:p>
            <w:pPr>
              <w:pStyle w:val="yTableNAm"/>
              <w:tabs>
                <w:tab w:val="clear" w:pos="567"/>
                <w:tab w:val="left" w:pos="492"/>
                <w:tab w:val="left" w:pos="972"/>
                <w:tab w:val="left" w:leader="dot" w:pos="4179"/>
              </w:tabs>
              <w:ind w:left="972" w:hanging="972"/>
            </w:pPr>
            <w:r>
              <w:tab/>
              <w:t>(iv)</w:t>
            </w:r>
            <w:r>
              <w:tab/>
              <w:t xml:space="preserve">for a band 4 unit </w:t>
            </w:r>
            <w:r>
              <w:tab/>
            </w:r>
          </w:p>
        </w:tc>
        <w:tc>
          <w:tcPr>
            <w:tcW w:w="992" w:type="dxa"/>
            <w:tcBorders>
              <w:top w:val="nil"/>
              <w:bottom w:val="nil"/>
            </w:tcBorders>
          </w:tcPr>
          <w:p>
            <w:pPr>
              <w:pStyle w:val="yTableNAm"/>
              <w:tabs>
                <w:tab w:val="clear" w:pos="567"/>
                <w:tab w:val="right" w:pos="658"/>
              </w:tabs>
              <w:ind w:right="118"/>
            </w:pPr>
            <w:r>
              <w:br/>
            </w:r>
            <w:r>
              <w:br/>
            </w:r>
            <w:r>
              <w:br/>
            </w:r>
          </w:p>
          <w:p>
            <w:pPr>
              <w:pStyle w:val="yTableNAm"/>
              <w:tabs>
                <w:tab w:val="clear" w:pos="567"/>
                <w:tab w:val="right" w:pos="658"/>
              </w:tabs>
              <w:ind w:right="118"/>
            </w:pPr>
            <w:r>
              <w:tab/>
              <w:t>3.50</w:t>
            </w:r>
          </w:p>
          <w:p>
            <w:pPr>
              <w:pStyle w:val="yTableNAm"/>
              <w:tabs>
                <w:tab w:val="clear" w:pos="567"/>
                <w:tab w:val="right" w:pos="658"/>
              </w:tabs>
              <w:ind w:right="118"/>
            </w:pPr>
            <w:r>
              <w:tab/>
              <w:t>7.50</w:t>
            </w:r>
          </w:p>
          <w:p>
            <w:pPr>
              <w:pStyle w:val="yTableNAm"/>
              <w:tabs>
                <w:tab w:val="clear" w:pos="567"/>
                <w:tab w:val="right" w:pos="658"/>
              </w:tabs>
              <w:ind w:right="118"/>
            </w:pPr>
            <w:r>
              <w:tab/>
              <w:t>15.50</w:t>
            </w:r>
          </w:p>
          <w:p>
            <w:pPr>
              <w:pStyle w:val="yTableNAm"/>
              <w:tabs>
                <w:tab w:val="clear" w:pos="567"/>
                <w:tab w:val="right" w:pos="658"/>
              </w:tabs>
              <w:ind w:right="118"/>
            </w:pPr>
            <w:r>
              <w:tab/>
              <w:t>31.00</w:t>
            </w:r>
          </w:p>
        </w:tc>
      </w:tr>
      <w:tr>
        <w:trPr>
          <w:cantSplit/>
        </w:trPr>
        <w:tc>
          <w:tcPr>
            <w:tcW w:w="851" w:type="dxa"/>
            <w:tcBorders>
              <w:top w:val="nil"/>
              <w:bottom w:val="nil"/>
            </w:tcBorders>
          </w:tcPr>
          <w:p>
            <w:pPr>
              <w:pStyle w:val="yTableNAm"/>
              <w:jc w:val="center"/>
            </w:pPr>
            <w:r>
              <w:t>3.</w:t>
            </w:r>
          </w:p>
        </w:tc>
        <w:tc>
          <w:tcPr>
            <w:tcW w:w="4394" w:type="dxa"/>
            <w:tcBorders>
              <w:top w:val="nil"/>
              <w:bottom w:val="nil"/>
            </w:tcBorders>
          </w:tcPr>
          <w:p>
            <w:pPr>
              <w:pStyle w:val="yTableNAm"/>
              <w:tabs>
                <w:tab w:val="left" w:leader="dot" w:pos="4179"/>
              </w:tabs>
            </w:pPr>
            <w:r>
              <w:t xml:space="preserve">Category B course, per semester (r. 12(1)) </w:t>
            </w:r>
            <w:r>
              <w:tab/>
            </w:r>
          </w:p>
        </w:tc>
        <w:tc>
          <w:tcPr>
            <w:tcW w:w="992" w:type="dxa"/>
            <w:tcBorders>
              <w:top w:val="nil"/>
              <w:bottom w:val="nil"/>
            </w:tcBorders>
          </w:tcPr>
          <w:p>
            <w:pPr>
              <w:pStyle w:val="yTableNAm"/>
              <w:tabs>
                <w:tab w:val="clear" w:pos="567"/>
                <w:tab w:val="right" w:pos="658"/>
              </w:tabs>
              <w:ind w:right="118"/>
            </w:pPr>
            <w:r>
              <w:tab/>
              <w:t>25.00</w:t>
            </w:r>
          </w:p>
        </w:tc>
      </w:tr>
      <w:tr>
        <w:trPr>
          <w:cantSplit/>
        </w:trPr>
        <w:tc>
          <w:tcPr>
            <w:tcW w:w="851" w:type="dxa"/>
            <w:tcBorders>
              <w:top w:val="nil"/>
            </w:tcBorders>
          </w:tcPr>
          <w:p>
            <w:pPr>
              <w:pStyle w:val="yTableNAm"/>
              <w:jc w:val="center"/>
            </w:pPr>
            <w:r>
              <w:t>4.</w:t>
            </w:r>
          </w:p>
        </w:tc>
        <w:tc>
          <w:tcPr>
            <w:tcW w:w="4394" w:type="dxa"/>
            <w:tcBorders>
              <w:top w:val="nil"/>
            </w:tcBorders>
          </w:tcPr>
          <w:p>
            <w:pPr>
              <w:pStyle w:val="yTableNAm"/>
              <w:tabs>
                <w:tab w:val="left" w:leader="dot" w:pos="4179"/>
              </w:tabs>
            </w:pPr>
            <w:r>
              <w:t xml:space="preserve">Category C course, per hour or part of an hour, for the course (r. 12(1)) </w:t>
            </w:r>
            <w:r>
              <w:tab/>
            </w:r>
          </w:p>
        </w:tc>
        <w:tc>
          <w:tcPr>
            <w:tcW w:w="992" w:type="dxa"/>
            <w:tcBorders>
              <w:top w:val="nil"/>
            </w:tcBorders>
          </w:tcPr>
          <w:p>
            <w:pPr>
              <w:pStyle w:val="yTableNAm"/>
              <w:tabs>
                <w:tab w:val="clear" w:pos="567"/>
                <w:tab w:val="right" w:pos="658"/>
              </w:tabs>
              <w:ind w:right="118"/>
            </w:pPr>
            <w:r>
              <w:br/>
            </w:r>
            <w:r>
              <w:tab/>
              <w:t>4.15</w:t>
            </w:r>
          </w:p>
        </w:tc>
      </w:tr>
    </w:tbl>
    <w:p>
      <w:pPr>
        <w:pStyle w:val="yFootnotesection"/>
      </w:pPr>
      <w:r>
        <w:tab/>
        <w:t>[Schedule 1 inserted in Gazette 18 Dec 2009 p. 5174-5.]</w:t>
      </w:r>
    </w:p>
    <w:p>
      <w:pPr>
        <w:tabs>
          <w:tab w:val="right" w:pos="658"/>
        </w:tabs>
        <w:spacing w:before="60"/>
        <w:ind w:right="118"/>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71" w:name="_Toc84739025"/>
      <w:bookmarkStart w:id="372" w:name="_Toc84740260"/>
      <w:bookmarkStart w:id="373" w:name="_Toc90177089"/>
      <w:bookmarkStart w:id="374" w:name="_Toc123101509"/>
      <w:bookmarkStart w:id="375" w:name="_Toc149030519"/>
      <w:bookmarkStart w:id="376" w:name="_Toc149036952"/>
      <w:bookmarkStart w:id="377" w:name="_Toc152144665"/>
      <w:bookmarkStart w:id="378" w:name="_Toc182378706"/>
      <w:bookmarkStart w:id="379" w:name="_Toc184793140"/>
      <w:bookmarkStart w:id="380" w:name="_Toc184800887"/>
      <w:bookmarkStart w:id="381" w:name="_Toc185751259"/>
      <w:bookmarkStart w:id="382" w:name="_Toc188262427"/>
      <w:bookmarkStart w:id="383" w:name="_Toc199838281"/>
      <w:bookmarkStart w:id="384" w:name="_Toc215039858"/>
      <w:bookmarkStart w:id="385" w:name="_Toc218487715"/>
      <w:bookmarkStart w:id="386" w:name="_Toc230679724"/>
      <w:bookmarkStart w:id="387" w:name="_Toc230679781"/>
      <w:bookmarkStart w:id="388" w:name="_Toc230749143"/>
      <w:bookmarkStart w:id="389" w:name="_Toc233801781"/>
      <w:bookmarkStart w:id="390" w:name="_Toc235601774"/>
      <w:bookmarkStart w:id="391" w:name="_Toc236016130"/>
      <w:bookmarkStart w:id="392" w:name="_Toc236022812"/>
      <w:bookmarkStart w:id="393" w:name="_Toc237142934"/>
      <w:bookmarkStart w:id="394" w:name="_Toc248817092"/>
      <w:r>
        <w:t>Notes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95" w:name="_Toc248817093"/>
      <w:r>
        <w:t>Compilation table</w:t>
      </w:r>
      <w:bookmarkEnd w:id="3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(Colleges) Amendment Regulations (No. 2) 2009</w:t>
            </w:r>
          </w:p>
        </w:tc>
        <w:tc>
          <w:tcPr>
            <w:tcW w:w="1276" w:type="dxa"/>
            <w:tcBorders>
              <w:bottom w:val="single" w:sz="4" w:space="0" w:color="auto"/>
            </w:tcBorders>
          </w:tcPr>
          <w:p>
            <w:pPr>
              <w:pStyle w:val="nTable"/>
              <w:spacing w:after="40"/>
              <w:rPr>
                <w:sz w:val="19"/>
              </w:rPr>
            </w:pPr>
            <w:r>
              <w:rPr>
                <w:sz w:val="19"/>
              </w:rPr>
              <w:t>18 Dec 2009 p. 5172-5</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18 Dec 2009 (see r. 2(a));</w:t>
            </w:r>
            <w:r>
              <w:rPr>
                <w:snapToGrid w:val="0"/>
                <w:spacing w:val="-2"/>
                <w:sz w:val="19"/>
                <w:lang w:val="en-US"/>
              </w:rPr>
              <w:br/>
              <w:t>Regulations other than r. 1 and 2: 19 Dec 2009 (see r. 2(b))</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396" w:name="_Toc236022814"/>
      <w:bookmarkStart w:id="397" w:name="_Toc237142936"/>
      <w:bookmarkStart w:id="398" w:name="_Toc248817094"/>
      <w:r>
        <w:rPr>
          <w:sz w:val="28"/>
        </w:rPr>
        <w:t>Defined Terms</w:t>
      </w:r>
      <w:bookmarkEnd w:id="396"/>
      <w:bookmarkEnd w:id="397"/>
      <w:bookmarkEnd w:id="3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9" w:name="DefinedTerms"/>
      <w:bookmarkEnd w:id="399"/>
      <w:r>
        <w:t>Centrelink</w:t>
      </w:r>
      <w:r>
        <w:tab/>
        <w:t>3(1)</w:t>
      </w:r>
    </w:p>
    <w:p>
      <w:pPr>
        <w:pStyle w:val="DefinedTerms"/>
      </w:pPr>
      <w:r>
        <w:t>Act</w:t>
      </w:r>
      <w:r>
        <w:tab/>
        <w:t>3(1)</w:t>
      </w:r>
    </w:p>
    <w:p>
      <w:pPr>
        <w:pStyle w:val="DefinedTerms"/>
      </w:pPr>
      <w:r>
        <w:t>Admissions Manager</w:t>
      </w:r>
      <w:r>
        <w:tab/>
        <w:t>5</w:t>
      </w:r>
    </w:p>
    <w:p>
      <w:pPr>
        <w:pStyle w:val="DefinedTerms"/>
      </w:pPr>
      <w:r>
        <w:t>assessment of skills and competency</w:t>
      </w:r>
      <w:r>
        <w:tab/>
        <w:t>3(1)</w:t>
      </w:r>
    </w:p>
    <w:p>
      <w:pPr>
        <w:pStyle w:val="DefinedTerms"/>
      </w:pPr>
      <w:r>
        <w:t>Australian resident</w:t>
      </w:r>
      <w:r>
        <w:tab/>
        <w:t>15A(4)</w:t>
      </w:r>
    </w:p>
    <w:p>
      <w:pPr>
        <w:pStyle w:val="DefinedTerms"/>
      </w:pPr>
      <w:r>
        <w:t>band</w:t>
      </w:r>
      <w:r>
        <w:tab/>
        <w:t>3(1)</w:t>
      </w:r>
    </w:p>
    <w:p>
      <w:pPr>
        <w:pStyle w:val="DefinedTerms"/>
      </w:pPr>
      <w:r>
        <w:t>category</w:t>
      </w:r>
      <w:r>
        <w:tab/>
        <w:t>3(1)</w:t>
      </w:r>
    </w:p>
    <w:p>
      <w:pPr>
        <w:pStyle w:val="DefinedTerms"/>
      </w:pPr>
      <w:r>
        <w:t>Centrelink</w:t>
      </w:r>
      <w:r>
        <w:tab/>
        <w:t>20(1)</w:t>
      </w:r>
    </w:p>
    <w:p>
      <w:pPr>
        <w:pStyle w:val="DefinedTerms"/>
      </w:pPr>
      <w:r>
        <w:t>completing a course</w:t>
      </w:r>
      <w:r>
        <w:tab/>
        <w:t>3(3)</w:t>
      </w:r>
    </w:p>
    <w:p>
      <w:pPr>
        <w:pStyle w:val="DefinedTerms"/>
      </w:pPr>
      <w:r>
        <w:t>completing a unit</w:t>
      </w:r>
      <w:r>
        <w:tab/>
        <w:t>3(3)</w:t>
      </w:r>
    </w:p>
    <w:p>
      <w:pPr>
        <w:pStyle w:val="DefinedTerms"/>
      </w:pPr>
      <w:r>
        <w:t>concessional student</w:t>
      </w:r>
      <w:r>
        <w:tab/>
        <w:t>3(1)</w:t>
      </w:r>
    </w:p>
    <w:p>
      <w:pPr>
        <w:pStyle w:val="DefinedTerms"/>
      </w:pPr>
      <w:r>
        <w:t>course</w:t>
      </w:r>
      <w:r>
        <w:tab/>
        <w:t>3(1), 5</w:t>
      </w:r>
    </w:p>
    <w:p>
      <w:pPr>
        <w:pStyle w:val="DefinedTerms"/>
      </w:pPr>
      <w:r>
        <w:t>hours</w:t>
      </w:r>
      <w:r>
        <w:tab/>
        <w:t>3(1)</w:t>
      </w:r>
    </w:p>
    <w:p>
      <w:pPr>
        <w:pStyle w:val="DefinedTerms"/>
      </w:pPr>
      <w:r>
        <w:t>Job Services Australia provider</w:t>
      </w:r>
      <w:r>
        <w:tab/>
        <w:t>14(1)</w:t>
      </w:r>
    </w:p>
    <w:p>
      <w:pPr>
        <w:pStyle w:val="DefinedTerms"/>
      </w:pPr>
      <w:r>
        <w:t>the seal book</w:t>
      </w:r>
      <w:r>
        <w:tab/>
        <w:t>31(1)</w:t>
      </w:r>
    </w:p>
    <w:p>
      <w:pPr>
        <w:pStyle w:val="DefinedTerms"/>
      </w:pPr>
      <w:r>
        <w:t>unemployed person</w:t>
      </w:r>
      <w:r>
        <w:tab/>
        <w:t>14(1)</w:t>
      </w:r>
    </w:p>
    <w:p>
      <w:pPr>
        <w:pStyle w:val="DefinedTerms"/>
      </w:pPr>
      <w:r>
        <w:t>unit</w:t>
      </w:r>
      <w:r>
        <w:tab/>
        <w:t>3(1)</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
    <w:p/>
    <w:p/>
    <w:p/>
    <w:p/>
    <w:p/>
    <w:p/>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421"/>
    <w:docVar w:name="WAFER_20151209165421" w:val="RemoveTrackChanges"/>
    <w:docVar w:name="WAFER_20151209165421_GUID" w:val="9f608de7-7a2d-4f3d-bbc3-21f30f1ce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5856</Words>
  <Characters>27235</Characters>
  <Application>Microsoft Office Word</Application>
  <DocSecurity>0</DocSecurity>
  <Lines>939</Lines>
  <Paragraphs>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32490</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1996 - 04-b0-02</dc:title>
  <dc:subject/>
  <dc:creator/>
  <cp:keywords/>
  <dc:description/>
  <cp:lastModifiedBy>svcMRProcess</cp:lastModifiedBy>
  <cp:revision>4</cp:revision>
  <cp:lastPrinted>2009-08-07T02:42:00Z</cp:lastPrinted>
  <dcterms:created xsi:type="dcterms:W3CDTF">2018-09-16T21:57:00Z</dcterms:created>
  <dcterms:modified xsi:type="dcterms:W3CDTF">2018-09-16T21:57:00Z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20091219</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AsAtDate">
    <vt:lpwstr>19 Dec 2009</vt:lpwstr>
  </property>
  <property fmtid="{D5CDD505-2E9C-101B-9397-08002B2CF9AE}" pid="8" name="Suffix">
    <vt:lpwstr>04-b0-02</vt:lpwstr>
  </property>
</Properties>
</file>