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Transmission and Distribution Systems (Access)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Transmission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bookmarkStart w:id="1" w:name="UpToHere"/>
            <w:r>
              <w:rPr>
                <w:b/>
                <w:sz w:val="22"/>
              </w:rPr>
              <w:t>11 December 2009</w:t>
            </w:r>
            <w:bookmarkEnd w:id="1"/>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_Toc249324103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_Toc249324104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_Toc249324105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_Toc249324106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Electricity transmission system prescribed (Act s. 89(1))</w:t>
      </w:r>
      <w:r>
        <w:tab/>
      </w:r>
      <w:r>
        <w:fldChar w:fldCharType="begin"/>
      </w:r>
      <w:r>
        <w:instrText xml:space="preserve"> PAGEREF _Toc249324107 \h </w:instrText>
      </w:r>
      <w:r>
        <w:fldChar w:fldCharType="separate"/>
      </w:r>
      <w:r>
        <w:t>9</w:t>
      </w:r>
      <w:r>
        <w:fldChar w:fldCharType="end"/>
      </w:r>
    </w:p>
    <w:p>
      <w:pPr>
        <w:pStyle w:val="TOC8"/>
        <w:rPr>
          <w:sz w:val="24"/>
          <w:szCs w:val="24"/>
        </w:rPr>
      </w:pPr>
      <w:r>
        <w:rPr>
          <w:szCs w:val="24"/>
        </w:rPr>
        <w:t>6.</w:t>
      </w:r>
      <w:r>
        <w:rPr>
          <w:szCs w:val="24"/>
        </w:rPr>
        <w:tab/>
        <w:t>Restricted application of regulations</w:t>
      </w:r>
      <w:r>
        <w:tab/>
      </w:r>
      <w:r>
        <w:fldChar w:fldCharType="begin"/>
      </w:r>
      <w:r>
        <w:instrText xml:space="preserve"> PAGEREF _Toc249324108 \h </w:instrText>
      </w:r>
      <w:r>
        <w:fldChar w:fldCharType="separate"/>
      </w:r>
      <w:r>
        <w:t>10</w:t>
      </w:r>
      <w:r>
        <w:fldChar w:fldCharType="end"/>
      </w:r>
    </w:p>
    <w:p>
      <w:pPr>
        <w:pStyle w:val="TOC2"/>
        <w:tabs>
          <w:tab w:val="right" w:leader="dot" w:pos="7078"/>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_Toc249324110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_Toc249324111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an access application</w:t>
      </w:r>
      <w:r>
        <w:tab/>
      </w:r>
      <w:r>
        <w:fldChar w:fldCharType="begin"/>
      </w:r>
      <w:r>
        <w:instrText xml:space="preserve"> PAGEREF _Toc249324112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_Toc249324113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_Toc249324114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_Toc249324115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_Toc249324116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_Toc249324117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Access agreements</w:t>
      </w:r>
      <w:r>
        <w:tab/>
      </w:r>
      <w:r>
        <w:fldChar w:fldCharType="begin"/>
      </w:r>
      <w:r>
        <w:instrText xml:space="preserve"> PAGEREF _Toc249324118 \h </w:instrText>
      </w:r>
      <w:r>
        <w:fldChar w:fldCharType="separate"/>
      </w:r>
      <w:r>
        <w:t>25</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_Toc249324119 \h </w:instrText>
      </w:r>
      <w:r>
        <w:fldChar w:fldCharType="separate"/>
      </w:r>
      <w:r>
        <w:t>26</w:t>
      </w:r>
      <w:r>
        <w:fldChar w:fldCharType="end"/>
      </w:r>
    </w:p>
    <w:p>
      <w:pPr>
        <w:pStyle w:val="TOC8"/>
        <w:rPr>
          <w:sz w:val="24"/>
          <w:szCs w:val="24"/>
        </w:rPr>
      </w:pPr>
      <w:r>
        <w:rPr>
          <w:szCs w:val="24"/>
        </w:rPr>
        <w:t>16A</w:t>
      </w:r>
      <w:r>
        <w:rPr>
          <w:snapToGrid w:val="0"/>
          <w:szCs w:val="24"/>
        </w:rPr>
        <w:t>.</w:t>
      </w:r>
      <w:r>
        <w:rPr>
          <w:snapToGrid w:val="0"/>
          <w:szCs w:val="24"/>
        </w:rPr>
        <w:tab/>
        <w:t>Suspension of time periods</w:t>
      </w:r>
      <w:r>
        <w:tab/>
      </w:r>
      <w:r>
        <w:fldChar w:fldCharType="begin"/>
      </w:r>
      <w:r>
        <w:instrText xml:space="preserve"> PAGEREF _Toc249324120 \h </w:instrText>
      </w:r>
      <w:r>
        <w:fldChar w:fldCharType="separate"/>
      </w:r>
      <w:r>
        <w:t>26</w:t>
      </w:r>
      <w:r>
        <w:fldChar w:fldCharType="end"/>
      </w:r>
    </w:p>
    <w:p>
      <w:pPr>
        <w:pStyle w:val="TOC2"/>
        <w:tabs>
          <w:tab w:val="right" w:leader="dot" w:pos="7078"/>
        </w:tabs>
        <w:rPr>
          <w:b w:val="0"/>
          <w:sz w:val="24"/>
          <w:szCs w:val="24"/>
        </w:rPr>
      </w:pPr>
      <w:r>
        <w:rPr>
          <w:szCs w:val="30"/>
        </w:rPr>
        <w:lastRenderedPageBreak/>
        <w:t>Part 3 — Pricing, prices and charges</w:t>
      </w:r>
    </w:p>
    <w:p>
      <w:pPr>
        <w:pStyle w:val="TOC8"/>
        <w:rPr>
          <w:sz w:val="24"/>
          <w:szCs w:val="24"/>
        </w:rPr>
      </w:pPr>
      <w:r>
        <w:rPr>
          <w:szCs w:val="24"/>
        </w:rPr>
        <w:t>17.</w:t>
      </w:r>
      <w:r>
        <w:rPr>
          <w:szCs w:val="24"/>
        </w:rPr>
        <w:tab/>
        <w:t>Pricing methods and prices</w:t>
      </w:r>
      <w:r>
        <w:tab/>
      </w:r>
      <w:r>
        <w:fldChar w:fldCharType="begin"/>
      </w:r>
      <w:r>
        <w:instrText xml:space="preserve"> PAGEREF _Toc249324122 \h </w:instrText>
      </w:r>
      <w:r>
        <w:fldChar w:fldCharType="separate"/>
      </w:r>
      <w:r>
        <w:t>27</w:t>
      </w:r>
      <w:r>
        <w:fldChar w:fldCharType="end"/>
      </w:r>
    </w:p>
    <w:p>
      <w:pPr>
        <w:pStyle w:val="TOC8"/>
        <w:rPr>
          <w:sz w:val="24"/>
          <w:szCs w:val="24"/>
        </w:rPr>
      </w:pPr>
      <w:r>
        <w:rPr>
          <w:szCs w:val="24"/>
        </w:rPr>
        <w:t>18</w:t>
      </w:r>
      <w:r>
        <w:rPr>
          <w:snapToGrid w:val="0"/>
          <w:szCs w:val="24"/>
        </w:rPr>
        <w:t>.</w:t>
      </w:r>
      <w:r>
        <w:rPr>
          <w:snapToGrid w:val="0"/>
          <w:szCs w:val="24"/>
        </w:rPr>
        <w:tab/>
        <w:t>Charges</w:t>
      </w:r>
      <w:r>
        <w:tab/>
      </w:r>
      <w:r>
        <w:fldChar w:fldCharType="begin"/>
      </w:r>
      <w:r>
        <w:instrText xml:space="preserve"> PAGEREF _Toc249324123 \h </w:instrText>
      </w:r>
      <w:r>
        <w:fldChar w:fldCharType="separate"/>
      </w:r>
      <w:r>
        <w:t>27</w:t>
      </w:r>
      <w:r>
        <w:fldChar w:fldCharType="end"/>
      </w:r>
    </w:p>
    <w:p>
      <w:pPr>
        <w:pStyle w:val="TOC2"/>
        <w:tabs>
          <w:tab w:val="right" w:leader="dot" w:pos="7078"/>
        </w:tabs>
        <w:rPr>
          <w:b w:val="0"/>
          <w:sz w:val="24"/>
          <w:szCs w:val="24"/>
        </w:rPr>
      </w:pPr>
      <w:r>
        <w:rPr>
          <w:szCs w:val="30"/>
        </w:rPr>
        <w:t>Part 4 — Balancing</w:t>
      </w:r>
    </w:p>
    <w:p>
      <w:pPr>
        <w:pStyle w:val="TOC8"/>
        <w:rPr>
          <w:sz w:val="24"/>
          <w:szCs w:val="24"/>
        </w:rPr>
      </w:pPr>
      <w:r>
        <w:rPr>
          <w:szCs w:val="24"/>
        </w:rPr>
        <w:t>18A.</w:t>
      </w:r>
      <w:r>
        <w:rPr>
          <w:szCs w:val="24"/>
        </w:rPr>
        <w:tab/>
        <w:t>Application of Part modified for wholesale electricity market</w:t>
      </w:r>
      <w:r>
        <w:tab/>
      </w:r>
      <w:r>
        <w:fldChar w:fldCharType="begin"/>
      </w:r>
      <w:r>
        <w:instrText xml:space="preserve"> PAGEREF _Toc249324125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Standby arrangements</w:t>
      </w:r>
      <w:r>
        <w:tab/>
      </w:r>
      <w:r>
        <w:fldChar w:fldCharType="begin"/>
      </w:r>
      <w:r>
        <w:instrText xml:space="preserve"> PAGEREF _Toc249324126 \h </w:instrText>
      </w:r>
      <w:r>
        <w:fldChar w:fldCharType="separate"/>
      </w:r>
      <w:r>
        <w:t>28</w:t>
      </w:r>
      <w:r>
        <w:fldChar w:fldCharType="end"/>
      </w:r>
    </w:p>
    <w:p>
      <w:pPr>
        <w:pStyle w:val="TOC8"/>
        <w:rPr>
          <w:sz w:val="24"/>
          <w:szCs w:val="24"/>
        </w:rPr>
      </w:pPr>
      <w:r>
        <w:rPr>
          <w:szCs w:val="24"/>
        </w:rPr>
        <w:t>20.</w:t>
      </w:r>
      <w:r>
        <w:rPr>
          <w:szCs w:val="24"/>
        </w:rPr>
        <w:tab/>
        <w:t>Loss factors</w:t>
      </w:r>
      <w:r>
        <w:tab/>
      </w:r>
      <w:r>
        <w:fldChar w:fldCharType="begin"/>
      </w:r>
      <w:r>
        <w:instrText xml:space="preserve"> PAGEREF _Toc249324127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Interpretation of regulations 22, 23 and 25</w:t>
      </w:r>
      <w:r>
        <w:tab/>
      </w:r>
      <w:r>
        <w:fldChar w:fldCharType="begin"/>
      </w:r>
      <w:r>
        <w:instrText xml:space="preserve"> PAGEREF _Toc249324128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Balancing</w:t>
      </w:r>
      <w:r>
        <w:tab/>
      </w:r>
      <w:r>
        <w:fldChar w:fldCharType="begin"/>
      </w:r>
      <w:r>
        <w:instrText xml:space="preserve"> PAGEREF _Toc249324129 \h </w:instrText>
      </w:r>
      <w:r>
        <w:fldChar w:fldCharType="separate"/>
      </w:r>
      <w:r>
        <w:t>32</w:t>
      </w:r>
      <w:r>
        <w:fldChar w:fldCharType="end"/>
      </w:r>
    </w:p>
    <w:p>
      <w:pPr>
        <w:pStyle w:val="TOC8"/>
        <w:rPr>
          <w:sz w:val="24"/>
          <w:szCs w:val="24"/>
        </w:rPr>
      </w:pPr>
      <w:r>
        <w:rPr>
          <w:szCs w:val="24"/>
        </w:rPr>
        <w:t>23</w:t>
      </w:r>
      <w:r>
        <w:rPr>
          <w:snapToGrid w:val="0"/>
          <w:szCs w:val="24"/>
        </w:rPr>
        <w:t>.</w:t>
      </w:r>
      <w:r>
        <w:rPr>
          <w:snapToGrid w:val="0"/>
          <w:szCs w:val="24"/>
        </w:rPr>
        <w:tab/>
        <w:t>Excess standby generation charge</w:t>
      </w:r>
      <w:r>
        <w:tab/>
      </w:r>
      <w:r>
        <w:fldChar w:fldCharType="begin"/>
      </w:r>
      <w:r>
        <w:instrText xml:space="preserve"> PAGEREF _Toc249324130 \h </w:instrText>
      </w:r>
      <w:r>
        <w:fldChar w:fldCharType="separate"/>
      </w:r>
      <w:r>
        <w:t>35</w:t>
      </w:r>
      <w:r>
        <w:fldChar w:fldCharType="end"/>
      </w:r>
    </w:p>
    <w:p>
      <w:pPr>
        <w:pStyle w:val="TOC8"/>
        <w:rPr>
          <w:sz w:val="24"/>
          <w:szCs w:val="24"/>
        </w:rPr>
      </w:pPr>
      <w:r>
        <w:rPr>
          <w:szCs w:val="24"/>
        </w:rPr>
        <w:t>24</w:t>
      </w:r>
      <w:r>
        <w:rPr>
          <w:snapToGrid w:val="0"/>
          <w:szCs w:val="24"/>
        </w:rPr>
        <w:t>.</w:t>
      </w:r>
      <w:r>
        <w:rPr>
          <w:snapToGrid w:val="0"/>
          <w:szCs w:val="24"/>
        </w:rPr>
        <w:tab/>
        <w:t>Excess network usage charge</w:t>
      </w:r>
      <w:r>
        <w:tab/>
      </w:r>
      <w:r>
        <w:fldChar w:fldCharType="begin"/>
      </w:r>
      <w:r>
        <w:instrText xml:space="preserve"> PAGEREF _Toc249324131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Other consequences of being out of balance</w:t>
      </w:r>
      <w:r>
        <w:tab/>
      </w:r>
      <w:r>
        <w:fldChar w:fldCharType="begin"/>
      </w:r>
      <w:r>
        <w:instrText xml:space="preserve"> PAGEREF _Toc249324132 \h </w:instrText>
      </w:r>
      <w:r>
        <w:fldChar w:fldCharType="separate"/>
      </w:r>
      <w:r>
        <w:t>41</w:t>
      </w:r>
      <w:r>
        <w:fldChar w:fldCharType="end"/>
      </w:r>
    </w:p>
    <w:p>
      <w:pPr>
        <w:pStyle w:val="TOC2"/>
        <w:tabs>
          <w:tab w:val="right" w:leader="dot" w:pos="7078"/>
        </w:tabs>
        <w:rPr>
          <w:b w:val="0"/>
          <w:sz w:val="24"/>
          <w:szCs w:val="24"/>
        </w:rPr>
      </w:pPr>
      <w:r>
        <w:rPr>
          <w:szCs w:val="30"/>
        </w:rPr>
        <w:t>Part 5 — Technical regulation</w:t>
      </w:r>
    </w:p>
    <w:p>
      <w:pPr>
        <w:pStyle w:val="TOC8"/>
        <w:rPr>
          <w:sz w:val="24"/>
          <w:szCs w:val="24"/>
        </w:rPr>
      </w:pPr>
      <w:r>
        <w:rPr>
          <w:szCs w:val="24"/>
        </w:rPr>
        <w:t>26</w:t>
      </w:r>
      <w:r>
        <w:rPr>
          <w:snapToGrid w:val="0"/>
          <w:szCs w:val="24"/>
        </w:rPr>
        <w:t>.</w:t>
      </w:r>
      <w:r>
        <w:rPr>
          <w:snapToGrid w:val="0"/>
          <w:szCs w:val="24"/>
        </w:rPr>
        <w:tab/>
        <w:t>Technical Code</w:t>
      </w:r>
      <w:r>
        <w:tab/>
      </w:r>
      <w:r>
        <w:fldChar w:fldCharType="begin"/>
      </w:r>
      <w:r>
        <w:instrText xml:space="preserve"> PAGEREF _Toc249324134 \h </w:instrText>
      </w:r>
      <w:r>
        <w:fldChar w:fldCharType="separate"/>
      </w:r>
      <w:r>
        <w:t>42</w:t>
      </w:r>
      <w:r>
        <w:fldChar w:fldCharType="end"/>
      </w:r>
    </w:p>
    <w:p>
      <w:pPr>
        <w:pStyle w:val="TOC8"/>
        <w:rPr>
          <w:sz w:val="24"/>
          <w:szCs w:val="24"/>
        </w:rPr>
      </w:pPr>
      <w:r>
        <w:rPr>
          <w:szCs w:val="24"/>
        </w:rPr>
        <w:t>27</w:t>
      </w:r>
      <w:r>
        <w:rPr>
          <w:snapToGrid w:val="0"/>
          <w:szCs w:val="24"/>
        </w:rPr>
        <w:t>.</w:t>
      </w:r>
      <w:r>
        <w:rPr>
          <w:snapToGrid w:val="0"/>
          <w:szCs w:val="24"/>
        </w:rPr>
        <w:tab/>
        <w:t>Network planning criteria</w:t>
      </w:r>
      <w:r>
        <w:tab/>
      </w:r>
      <w:r>
        <w:fldChar w:fldCharType="begin"/>
      </w:r>
      <w:r>
        <w:instrText xml:space="preserve"> PAGEREF _Toc249324135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Good electricity industry practice</w:t>
      </w:r>
      <w:r>
        <w:tab/>
      </w:r>
      <w:r>
        <w:fldChar w:fldCharType="begin"/>
      </w:r>
      <w:r>
        <w:instrText xml:space="preserve"> PAGEREF _Toc249324136 \h </w:instrText>
      </w:r>
      <w:r>
        <w:fldChar w:fldCharType="separate"/>
      </w:r>
      <w:r>
        <w:t>46</w:t>
      </w:r>
      <w:r>
        <w:fldChar w:fldCharType="end"/>
      </w:r>
    </w:p>
    <w:p>
      <w:pPr>
        <w:pStyle w:val="TOC8"/>
        <w:rPr>
          <w:sz w:val="24"/>
          <w:szCs w:val="24"/>
        </w:rPr>
      </w:pPr>
      <w:r>
        <w:rPr>
          <w:szCs w:val="24"/>
        </w:rPr>
        <w:t>29</w:t>
      </w:r>
      <w:r>
        <w:rPr>
          <w:snapToGrid w:val="0"/>
          <w:szCs w:val="24"/>
        </w:rPr>
        <w:t>.</w:t>
      </w:r>
      <w:r>
        <w:rPr>
          <w:snapToGrid w:val="0"/>
          <w:szCs w:val="24"/>
        </w:rPr>
        <w:tab/>
        <w:t>Interruption and curtailment powers</w:t>
      </w:r>
      <w:r>
        <w:tab/>
      </w:r>
      <w:r>
        <w:fldChar w:fldCharType="begin"/>
      </w:r>
      <w:r>
        <w:instrText xml:space="preserve"> PAGEREF _Toc249324137 \h </w:instrText>
      </w:r>
      <w:r>
        <w:fldChar w:fldCharType="separate"/>
      </w:r>
      <w:r>
        <w:t>46</w:t>
      </w:r>
      <w:r>
        <w:fldChar w:fldCharType="end"/>
      </w:r>
    </w:p>
    <w:p>
      <w:pPr>
        <w:pStyle w:val="TOC8"/>
        <w:rPr>
          <w:sz w:val="24"/>
          <w:szCs w:val="24"/>
        </w:rPr>
      </w:pPr>
      <w:r>
        <w:rPr>
          <w:szCs w:val="24"/>
        </w:rPr>
        <w:t>30</w:t>
      </w:r>
      <w:r>
        <w:rPr>
          <w:snapToGrid w:val="0"/>
          <w:szCs w:val="24"/>
        </w:rPr>
        <w:t>.</w:t>
      </w:r>
      <w:r>
        <w:rPr>
          <w:snapToGrid w:val="0"/>
          <w:szCs w:val="24"/>
        </w:rPr>
        <w:tab/>
        <w:t>Safety and security of electricity transmission network</w:t>
      </w:r>
      <w:r>
        <w:tab/>
      </w:r>
      <w:r>
        <w:fldChar w:fldCharType="begin"/>
      </w:r>
      <w:r>
        <w:instrText xml:space="preserve"> PAGEREF _Toc249324138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Operation, maintenance and extension planning</w:t>
      </w:r>
      <w:r>
        <w:tab/>
      </w:r>
      <w:r>
        <w:fldChar w:fldCharType="begin"/>
      </w:r>
      <w:r>
        <w:instrText xml:space="preserve"> PAGEREF _Toc249324139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Information required to prepare annual reports</w:t>
      </w:r>
      <w:r>
        <w:tab/>
      </w:r>
      <w:r>
        <w:fldChar w:fldCharType="begin"/>
      </w:r>
      <w:r>
        <w:instrText xml:space="preserve"> PAGEREF _Toc249324140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Augmentation of the electricity transmission network</w:t>
      </w:r>
      <w:r>
        <w:tab/>
      </w:r>
      <w:r>
        <w:fldChar w:fldCharType="begin"/>
      </w:r>
      <w:r>
        <w:instrText xml:space="preserve"> PAGEREF _Toc249324141 \h </w:instrText>
      </w:r>
      <w:r>
        <w:fldChar w:fldCharType="separate"/>
      </w:r>
      <w:r>
        <w:t>51</w:t>
      </w:r>
      <w:r>
        <w:fldChar w:fldCharType="end"/>
      </w:r>
    </w:p>
    <w:p>
      <w:pPr>
        <w:pStyle w:val="TOC2"/>
        <w:tabs>
          <w:tab w:val="right" w:leader="dot" w:pos="7078"/>
        </w:tabs>
        <w:rPr>
          <w:b w:val="0"/>
          <w:sz w:val="24"/>
          <w:szCs w:val="24"/>
        </w:rPr>
      </w:pPr>
      <w:r>
        <w:rPr>
          <w:szCs w:val="30"/>
        </w:rPr>
        <w:t>Part 6 — Access terms</w:t>
      </w:r>
    </w:p>
    <w:p>
      <w:pPr>
        <w:pStyle w:val="TOC8"/>
        <w:rPr>
          <w:sz w:val="24"/>
          <w:szCs w:val="24"/>
        </w:rPr>
      </w:pPr>
      <w:r>
        <w:rPr>
          <w:szCs w:val="24"/>
        </w:rPr>
        <w:t>34</w:t>
      </w:r>
      <w:r>
        <w:rPr>
          <w:snapToGrid w:val="0"/>
          <w:szCs w:val="24"/>
        </w:rPr>
        <w:t>.</w:t>
      </w:r>
      <w:r>
        <w:rPr>
          <w:snapToGrid w:val="0"/>
          <w:szCs w:val="24"/>
        </w:rPr>
        <w:tab/>
        <w:t>Reasonable endeavours</w:t>
      </w:r>
      <w:r>
        <w:tab/>
      </w:r>
      <w:r>
        <w:fldChar w:fldCharType="begin"/>
      </w:r>
      <w:r>
        <w:instrText xml:space="preserve"> PAGEREF _Toc249324143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_Toc249324144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Effect of access to capacity</w:t>
      </w:r>
      <w:r>
        <w:tab/>
      </w:r>
      <w:r>
        <w:fldChar w:fldCharType="begin"/>
      </w:r>
      <w:r>
        <w:instrText xml:space="preserve"> PAGEREF _Toc249324145 \h </w:instrText>
      </w:r>
      <w:r>
        <w:fldChar w:fldCharType="separate"/>
      </w:r>
      <w:r>
        <w:t>54</w:t>
      </w:r>
      <w:r>
        <w:fldChar w:fldCharType="end"/>
      </w:r>
    </w:p>
    <w:p>
      <w:pPr>
        <w:pStyle w:val="TOC8"/>
        <w:rPr>
          <w:sz w:val="24"/>
          <w:szCs w:val="24"/>
        </w:rPr>
      </w:pPr>
      <w:r>
        <w:rPr>
          <w:szCs w:val="24"/>
        </w:rPr>
        <w:t>37</w:t>
      </w:r>
      <w:r>
        <w:rPr>
          <w:snapToGrid w:val="0"/>
          <w:szCs w:val="24"/>
        </w:rPr>
        <w:t>.</w:t>
      </w:r>
      <w:r>
        <w:rPr>
          <w:snapToGrid w:val="0"/>
          <w:szCs w:val="24"/>
        </w:rPr>
        <w:tab/>
        <w:t>Minimum term and renewal</w:t>
      </w:r>
      <w:r>
        <w:tab/>
      </w:r>
      <w:r>
        <w:fldChar w:fldCharType="begin"/>
      </w:r>
      <w:r>
        <w:instrText xml:space="preserve"> PAGEREF _Toc249324146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Contract maximum demand and declared sent</w:t>
      </w:r>
      <w:r>
        <w:rPr>
          <w:snapToGrid w:val="0"/>
          <w:szCs w:val="24"/>
        </w:rPr>
        <w:noBreakHyphen/>
        <w:t>out capacity</w:t>
      </w:r>
      <w:r>
        <w:tab/>
      </w:r>
      <w:r>
        <w:fldChar w:fldCharType="begin"/>
      </w:r>
      <w:r>
        <w:instrText xml:space="preserve"> PAGEREF _Toc249324147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Commencement date</w:t>
      </w:r>
      <w:r>
        <w:tab/>
      </w:r>
      <w:r>
        <w:fldChar w:fldCharType="begin"/>
      </w:r>
      <w:r>
        <w:instrText xml:space="preserve"> PAGEREF _Toc249324148 \h </w:instrText>
      </w:r>
      <w:r>
        <w:fldChar w:fldCharType="separate"/>
      </w:r>
      <w:r>
        <w:t>57</w:t>
      </w:r>
      <w:r>
        <w:fldChar w:fldCharType="end"/>
      </w:r>
    </w:p>
    <w:p>
      <w:pPr>
        <w:pStyle w:val="TOC2"/>
        <w:tabs>
          <w:tab w:val="right" w:leader="dot" w:pos="7078"/>
        </w:tabs>
        <w:rPr>
          <w:b w:val="0"/>
          <w:sz w:val="24"/>
          <w:szCs w:val="24"/>
        </w:rPr>
      </w:pPr>
      <w:r>
        <w:rPr>
          <w:szCs w:val="30"/>
        </w:rPr>
        <w:t>Part 7 — Enforcement, liability and insurance</w:t>
      </w:r>
    </w:p>
    <w:p>
      <w:pPr>
        <w:pStyle w:val="TOC8"/>
        <w:rPr>
          <w:sz w:val="24"/>
          <w:szCs w:val="24"/>
        </w:rPr>
      </w:pPr>
      <w:r>
        <w:rPr>
          <w:szCs w:val="24"/>
        </w:rPr>
        <w:t>40</w:t>
      </w:r>
      <w:r>
        <w:rPr>
          <w:snapToGrid w:val="0"/>
          <w:szCs w:val="24"/>
        </w:rPr>
        <w:t>.</w:t>
      </w:r>
      <w:r>
        <w:rPr>
          <w:snapToGrid w:val="0"/>
          <w:szCs w:val="24"/>
        </w:rPr>
        <w:tab/>
        <w:t>Enforcement</w:t>
      </w:r>
      <w:r>
        <w:tab/>
      </w:r>
      <w:r>
        <w:fldChar w:fldCharType="begin"/>
      </w:r>
      <w:r>
        <w:instrText xml:space="preserve"> PAGEREF _Toc249324150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Liability, insurance and indemnity</w:t>
      </w:r>
      <w:r>
        <w:tab/>
      </w:r>
      <w:r>
        <w:fldChar w:fldCharType="begin"/>
      </w:r>
      <w:r>
        <w:instrText xml:space="preserve"> PAGEREF _Toc249324151 \h </w:instrText>
      </w:r>
      <w:r>
        <w:fldChar w:fldCharType="separate"/>
      </w:r>
      <w:r>
        <w:t>59</w:t>
      </w:r>
      <w:r>
        <w:fldChar w:fldCharType="end"/>
      </w:r>
    </w:p>
    <w:p>
      <w:pPr>
        <w:pStyle w:val="TOC2"/>
        <w:tabs>
          <w:tab w:val="right" w:leader="dot" w:pos="7078"/>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Prudential requirements</w:t>
      </w:r>
      <w:r>
        <w:tab/>
      </w:r>
      <w:r>
        <w:fldChar w:fldCharType="begin"/>
      </w:r>
      <w:r>
        <w:instrText xml:space="preserve"> PAGEREF _Toc249324153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Title to electricity</w:t>
      </w:r>
      <w:r>
        <w:tab/>
      </w:r>
      <w:r>
        <w:fldChar w:fldCharType="begin"/>
      </w:r>
      <w:r>
        <w:instrText xml:space="preserve"> PAGEREF _Toc249324154 \h </w:instrText>
      </w:r>
      <w:r>
        <w:fldChar w:fldCharType="separate"/>
      </w:r>
      <w:r>
        <w:t>62</w:t>
      </w:r>
      <w:r>
        <w:fldChar w:fldCharType="end"/>
      </w:r>
    </w:p>
    <w:p>
      <w:pPr>
        <w:pStyle w:val="TOC8"/>
        <w:rPr>
          <w:sz w:val="24"/>
          <w:szCs w:val="24"/>
        </w:rPr>
      </w:pPr>
      <w:r>
        <w:rPr>
          <w:szCs w:val="24"/>
        </w:rPr>
        <w:t>45</w:t>
      </w:r>
      <w:r>
        <w:rPr>
          <w:snapToGrid w:val="0"/>
          <w:szCs w:val="24"/>
        </w:rPr>
        <w:t>.</w:t>
      </w:r>
      <w:r>
        <w:rPr>
          <w:snapToGrid w:val="0"/>
          <w:szCs w:val="24"/>
        </w:rPr>
        <w:tab/>
        <w:t>Assignment of access agreements</w:t>
      </w:r>
      <w:r>
        <w:tab/>
      </w:r>
      <w:r>
        <w:fldChar w:fldCharType="begin"/>
      </w:r>
      <w:r>
        <w:instrText xml:space="preserve"> PAGEREF _Toc249324155 \h </w:instrText>
      </w:r>
      <w:r>
        <w:fldChar w:fldCharType="separate"/>
      </w:r>
      <w:r>
        <w:t>63</w:t>
      </w:r>
      <w:r>
        <w:fldChar w:fldCharType="end"/>
      </w:r>
    </w:p>
    <w:p>
      <w:pPr>
        <w:pStyle w:val="TOC8"/>
        <w:rPr>
          <w:sz w:val="24"/>
          <w:szCs w:val="24"/>
        </w:rPr>
      </w:pPr>
      <w:r>
        <w:rPr>
          <w:szCs w:val="24"/>
        </w:rPr>
        <w:t>46</w:t>
      </w:r>
      <w:r>
        <w:rPr>
          <w:snapToGrid w:val="0"/>
          <w:szCs w:val="24"/>
        </w:rPr>
        <w:t>.</w:t>
      </w:r>
      <w:r>
        <w:rPr>
          <w:snapToGrid w:val="0"/>
          <w:szCs w:val="24"/>
        </w:rPr>
        <w:tab/>
        <w:t>Essential terms</w:t>
      </w:r>
      <w:r>
        <w:tab/>
      </w:r>
      <w:r>
        <w:fldChar w:fldCharType="begin"/>
      </w:r>
      <w:r>
        <w:instrText xml:space="preserve"> PAGEREF _Toc249324156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Representations and warranties</w:t>
      </w:r>
      <w:r>
        <w:tab/>
      </w:r>
      <w:r>
        <w:fldChar w:fldCharType="begin"/>
      </w:r>
      <w:r>
        <w:instrText xml:space="preserve"> PAGEREF _Toc249324157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Payment arrangements</w:t>
      </w:r>
      <w:r>
        <w:tab/>
      </w:r>
      <w:r>
        <w:fldChar w:fldCharType="begin"/>
      </w:r>
      <w:r>
        <w:instrText xml:space="preserve"> PAGEREF _Toc249324158 \h </w:instrText>
      </w:r>
      <w:r>
        <w:fldChar w:fldCharType="separate"/>
      </w:r>
      <w:r>
        <w:t>66</w:t>
      </w:r>
      <w:r>
        <w:fldChar w:fldCharType="end"/>
      </w:r>
    </w:p>
    <w:p>
      <w:pPr>
        <w:pStyle w:val="TOC2"/>
        <w:tabs>
          <w:tab w:val="right" w:leader="dot" w:pos="7078"/>
        </w:tabs>
        <w:rPr>
          <w:b w:val="0"/>
          <w:sz w:val="24"/>
          <w:szCs w:val="24"/>
        </w:rPr>
      </w:pPr>
      <w:r>
        <w:rPr>
          <w:szCs w:val="30"/>
        </w:rPr>
        <w:t>Part 9 — Committed capacity and transitional provisions</w:t>
      </w:r>
    </w:p>
    <w:p>
      <w:pPr>
        <w:pStyle w:val="TOC8"/>
        <w:rPr>
          <w:sz w:val="24"/>
          <w:szCs w:val="24"/>
        </w:rPr>
      </w:pPr>
      <w:r>
        <w:rPr>
          <w:szCs w:val="24"/>
        </w:rPr>
        <w:t>49.</w:t>
      </w:r>
      <w:r>
        <w:rPr>
          <w:szCs w:val="24"/>
        </w:rPr>
        <w:tab/>
        <w:t>Regional Power Corporation’s existing capacity</w:t>
      </w:r>
      <w:r>
        <w:tab/>
      </w:r>
      <w:r>
        <w:fldChar w:fldCharType="begin"/>
      </w:r>
      <w:r>
        <w:instrText xml:space="preserve"> PAGEREF _Toc249324160 \h </w:instrText>
      </w:r>
      <w:r>
        <w:fldChar w:fldCharType="separate"/>
      </w:r>
      <w:r>
        <w:t>67</w:t>
      </w:r>
      <w:r>
        <w:fldChar w:fldCharType="end"/>
      </w:r>
    </w:p>
    <w:p>
      <w:pPr>
        <w:pStyle w:val="TOC8"/>
        <w:rPr>
          <w:sz w:val="24"/>
          <w:szCs w:val="24"/>
        </w:rPr>
      </w:pPr>
      <w:r>
        <w:rPr>
          <w:szCs w:val="24"/>
        </w:rPr>
        <w:t>49A.</w:t>
      </w:r>
      <w:r>
        <w:rPr>
          <w:szCs w:val="24"/>
        </w:rPr>
        <w:tab/>
        <w:t>Contract maximum demand for existing connections</w:t>
      </w:r>
      <w:r>
        <w:tab/>
      </w:r>
      <w:r>
        <w:fldChar w:fldCharType="begin"/>
      </w:r>
      <w:r>
        <w:instrText xml:space="preserve"> PAGEREF _Toc249324161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Existing agreements</w:t>
      </w:r>
      <w:r>
        <w:tab/>
      </w:r>
      <w:r>
        <w:fldChar w:fldCharType="begin"/>
      </w:r>
      <w:r>
        <w:instrText xml:space="preserve"> PAGEREF _Toc249324162 \h </w:instrText>
      </w:r>
      <w:r>
        <w:fldChar w:fldCharType="separate"/>
      </w:r>
      <w:r>
        <w:t>67</w:t>
      </w:r>
      <w:r>
        <w:fldChar w:fldCharType="end"/>
      </w:r>
    </w:p>
    <w:p>
      <w:pPr>
        <w:pStyle w:val="TOC2"/>
        <w:tabs>
          <w:tab w:val="right" w:leader="dot" w:pos="7078"/>
        </w:tabs>
        <w:rPr>
          <w:b w:val="0"/>
          <w:sz w:val="24"/>
          <w:szCs w:val="24"/>
        </w:rPr>
      </w:pPr>
      <w:r>
        <w:rPr>
          <w:szCs w:val="28"/>
        </w:rPr>
        <w:t>Schedule 1 — Access application flow chart</w:t>
      </w:r>
    </w:p>
    <w:p>
      <w:pPr>
        <w:pStyle w:val="TOC2"/>
        <w:tabs>
          <w:tab w:val="right" w:leader="dot" w:pos="7078"/>
        </w:tabs>
        <w:rPr>
          <w:b w:val="0"/>
          <w:sz w:val="24"/>
          <w:szCs w:val="24"/>
        </w:rPr>
      </w:pPr>
      <w:r>
        <w:rPr>
          <w:szCs w:val="28"/>
        </w:rPr>
        <w:t>Schedule 2 — Access information</w:t>
      </w:r>
    </w:p>
    <w:p>
      <w:pPr>
        <w:pStyle w:val="TOC4"/>
        <w:tabs>
          <w:tab w:val="right" w:leader="dot" w:pos="7078"/>
        </w:tabs>
        <w:rPr>
          <w:b w:val="0"/>
          <w:sz w:val="24"/>
          <w:szCs w:val="24"/>
        </w:rPr>
      </w:pPr>
      <w:r>
        <w:rPr>
          <w:szCs w:val="24"/>
        </w:rPr>
        <w:t>Part A — Information to be included in an access application</w:t>
      </w:r>
    </w:p>
    <w:p>
      <w:pPr>
        <w:pStyle w:val="TOC4"/>
        <w:tabs>
          <w:tab w:val="right" w:leader="dot" w:pos="7078"/>
        </w:tabs>
        <w:rPr>
          <w:b w:val="0"/>
          <w:sz w:val="24"/>
          <w:szCs w:val="24"/>
        </w:rPr>
      </w:pPr>
      <w:r>
        <w:rPr>
          <w:szCs w:val="24"/>
        </w:rPr>
        <w:t>Part B — Information to be included in a response</w:t>
      </w:r>
    </w:p>
    <w:p>
      <w:pPr>
        <w:pStyle w:val="TOC2"/>
        <w:tabs>
          <w:tab w:val="right" w:leader="dot" w:pos="7078"/>
        </w:tabs>
        <w:rPr>
          <w:b w:val="0"/>
          <w:sz w:val="24"/>
          <w:szCs w:val="24"/>
        </w:rPr>
      </w:pPr>
      <w:r>
        <w:rPr>
          <w:szCs w:val="28"/>
        </w:rPr>
        <w:t>Schedule 3 — Terms of an access offer</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_Toc249324169 \h </w:instrText>
      </w:r>
      <w:r>
        <w:fldChar w:fldCharType="separate"/>
      </w:r>
      <w:r>
        <w:t>73</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December 2009</w:t>
            </w:r>
          </w:p>
        </w:tc>
      </w:tr>
    </w:tbl>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spacing w:before="400" w:after="520"/>
      </w:pPr>
      <w:r>
        <w:t>Electricity Transmission Regulations 1996</w:t>
      </w:r>
    </w:p>
    <w:p>
      <w:pPr>
        <w:pStyle w:val="Heading2"/>
        <w:pageBreakBefore w:val="0"/>
      </w:pPr>
      <w:bookmarkStart w:id="2" w:name="_Toc92191378"/>
      <w:bookmarkStart w:id="3" w:name="_Toc92191443"/>
      <w:bookmarkStart w:id="4" w:name="_Toc92254560"/>
      <w:bookmarkStart w:id="5" w:name="_Toc107388397"/>
      <w:bookmarkStart w:id="6" w:name="_Toc125447383"/>
      <w:bookmarkStart w:id="7" w:name="_Toc125452796"/>
      <w:bookmarkStart w:id="8" w:name="_Toc131823621"/>
      <w:bookmarkStart w:id="9" w:name="_Toc131823746"/>
      <w:bookmarkStart w:id="10" w:name="_Toc131917318"/>
      <w:bookmarkStart w:id="11" w:name="_Toc135112651"/>
      <w:bookmarkStart w:id="12" w:name="_Toc135207673"/>
      <w:bookmarkStart w:id="13" w:name="_Toc136160890"/>
      <w:bookmarkStart w:id="14" w:name="_Toc138497550"/>
      <w:bookmarkStart w:id="15" w:name="_Toc146527231"/>
      <w:bookmarkStart w:id="16" w:name="_Toc146530144"/>
      <w:bookmarkStart w:id="17" w:name="_Toc171050498"/>
      <w:bookmarkStart w:id="18" w:name="_Toc245188003"/>
      <w:bookmarkStart w:id="19" w:name="_Toc245191424"/>
      <w:bookmarkStart w:id="20" w:name="_Toc247507953"/>
      <w:bookmarkStart w:id="21" w:name="_Toc248545581"/>
      <w:bookmarkStart w:id="22" w:name="_Toc248824613"/>
      <w:bookmarkStart w:id="23" w:name="_Toc248824682"/>
      <w:bookmarkStart w:id="24" w:name="_Toc249324102"/>
      <w:r>
        <w:rPr>
          <w:rStyle w:val="CharPartNo"/>
        </w:rPr>
        <w:t>Part 1</w:t>
      </w:r>
      <w:r>
        <w:rPr>
          <w:rStyle w:val="CharDivNo"/>
        </w:rPr>
        <w:t> </w:t>
      </w:r>
      <w:r>
        <w:t>—</w:t>
      </w:r>
      <w:r>
        <w:rPr>
          <w:rStyle w:val="CharDivText"/>
        </w:rPr>
        <w:t> </w:t>
      </w:r>
      <w:r>
        <w:rPr>
          <w:rStyle w:val="CharPartText"/>
        </w:rPr>
        <w:t>General</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34108042"/>
      <w:bookmarkStart w:id="26" w:name="_Toc4983138"/>
      <w:bookmarkStart w:id="27" w:name="_Toc131823622"/>
      <w:bookmarkStart w:id="28" w:name="_Toc249324103"/>
      <w:r>
        <w:rPr>
          <w:rStyle w:val="CharSectno"/>
        </w:rPr>
        <w:t>1</w:t>
      </w:r>
      <w:r>
        <w:rPr>
          <w:snapToGrid w:val="0"/>
        </w:rPr>
        <w:t>.</w:t>
      </w:r>
      <w:r>
        <w:rPr>
          <w:snapToGrid w:val="0"/>
        </w:rPr>
        <w:tab/>
        <w:t>Citation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29" w:name="_Toc534108043"/>
      <w:bookmarkStart w:id="30" w:name="_Toc4983139"/>
      <w:bookmarkStart w:id="31" w:name="_Toc131823623"/>
      <w:bookmarkStart w:id="32" w:name="_Toc249324104"/>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33" w:name="_Toc534108044"/>
      <w:bookmarkStart w:id="34" w:name="_Toc4983140"/>
      <w:bookmarkStart w:id="35" w:name="_Toc131823624"/>
      <w:bookmarkStart w:id="36" w:name="_Toc249324105"/>
      <w:r>
        <w:rPr>
          <w:rStyle w:val="CharSectno"/>
        </w:rPr>
        <w:t>3</w:t>
      </w:r>
      <w:r>
        <w:rPr>
          <w:snapToGrid w:val="0"/>
        </w:rPr>
        <w:t>.</w:t>
      </w:r>
      <w:r>
        <w:rPr>
          <w:snapToGrid w:val="0"/>
        </w:rPr>
        <w:tab/>
      </w:r>
      <w:bookmarkEnd w:id="33"/>
      <w:bookmarkEnd w:id="34"/>
      <w:bookmarkEnd w:id="35"/>
      <w:r>
        <w:rPr>
          <w:snapToGrid w:val="0"/>
        </w:rPr>
        <w:t>Terms used</w:t>
      </w:r>
      <w:bookmarkEnd w:id="36"/>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rPr>
          <w:b/>
        </w:rPr>
        <w:tab/>
      </w:r>
      <w:r>
        <w:rPr>
          <w:rStyle w:val="CharDefText"/>
        </w:rPr>
        <w:t>Electricity Generation Corporation</w:t>
      </w:r>
      <w:r>
        <w:t xml:space="preserve"> means the body established by section 4(1)(a) of the </w:t>
      </w:r>
      <w:r>
        <w:rPr>
          <w:i/>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rPr>
        <w:t>Electricity Corporations Act 2005</w:t>
      </w:r>
      <w:r>
        <w:t>;</w:t>
      </w:r>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tab/>
      </w:r>
      <w:r>
        <w:rPr>
          <w:rStyle w:val="CharDefText"/>
          <w:iCs/>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 25 Aug 2006 p. 3497.]</w:t>
      </w:r>
    </w:p>
    <w:p>
      <w:pPr>
        <w:pStyle w:val="Heading5"/>
        <w:rPr>
          <w:snapToGrid w:val="0"/>
        </w:rPr>
      </w:pPr>
      <w:bookmarkStart w:id="37" w:name="_Toc534108045"/>
      <w:bookmarkStart w:id="38" w:name="_Toc4983141"/>
      <w:bookmarkStart w:id="39" w:name="_Toc131823625"/>
      <w:bookmarkStart w:id="40" w:name="_Toc249324106"/>
      <w:r>
        <w:rPr>
          <w:rStyle w:val="CharSectno"/>
        </w:rPr>
        <w:t>4</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Cs/>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41" w:name="_Toc534108046"/>
      <w:bookmarkStart w:id="42" w:name="_Toc4983142"/>
      <w:bookmarkStart w:id="43" w:name="_Toc131823626"/>
      <w:bookmarkStart w:id="44" w:name="_Toc249324107"/>
      <w:r>
        <w:rPr>
          <w:rStyle w:val="CharSectno"/>
        </w:rPr>
        <w:t>5</w:t>
      </w:r>
      <w:r>
        <w:rPr>
          <w:snapToGrid w:val="0"/>
        </w:rPr>
        <w:t>.</w:t>
      </w:r>
      <w:r>
        <w:rPr>
          <w:snapToGrid w:val="0"/>
        </w:rPr>
        <w:tab/>
        <w:t xml:space="preserve">Electricity transmission </w:t>
      </w:r>
      <w:bookmarkEnd w:id="41"/>
      <w:bookmarkEnd w:id="42"/>
      <w:bookmarkEnd w:id="43"/>
      <w:r>
        <w:rPr>
          <w:snapToGrid w:val="0"/>
        </w:rPr>
        <w:t>system prescribed (Act s. 89(1))</w:t>
      </w:r>
      <w:bookmarkEnd w:id="44"/>
    </w:p>
    <w:p>
      <w:pPr>
        <w:pStyle w:val="Subsection"/>
        <w:rPr>
          <w:snapToGrid w:val="0"/>
        </w:rPr>
      </w:pPr>
      <w:r>
        <w:rPr>
          <w:snapToGrid w:val="0"/>
        </w:rPr>
        <w:tab/>
        <w:t>(1)</w:t>
      </w:r>
      <w:r>
        <w:rPr>
          <w:snapToGrid w:val="0"/>
        </w:rPr>
        <w:tab/>
        <w:t xml:space="preserve">For the purposes of the definition of </w:t>
      </w:r>
      <w:r>
        <w:rPr>
          <w:b/>
          <w:bCs/>
          <w:i/>
          <w:iCs/>
          <w:snapToGrid w:val="0"/>
        </w:rPr>
        <w:t>electricity transmission system</w:t>
      </w:r>
      <w:r>
        <w:rPr>
          <w:snapToGrid w:val="0"/>
        </w:rPr>
        <w:t xml:space="preserve">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deleted]</w:t>
      </w:r>
    </w:p>
    <w:p>
      <w:pPr>
        <w:pStyle w:val="Footnotesection"/>
      </w:pPr>
      <w:r>
        <w:tab/>
        <w:t>[Regulation 5 amended in Gazette 31 Mar 2006 p. 1329</w:t>
      </w:r>
      <w:r>
        <w:noBreakHyphen/>
        <w:t>30 and 1338; 26 Jun 2007 p. 3022.]</w:t>
      </w:r>
    </w:p>
    <w:p>
      <w:pPr>
        <w:pStyle w:val="Heading5"/>
      </w:pPr>
      <w:bookmarkStart w:id="45" w:name="_Toc249324108"/>
      <w:bookmarkStart w:id="46" w:name="_Toc92191385"/>
      <w:bookmarkStart w:id="47" w:name="_Toc92191450"/>
      <w:bookmarkStart w:id="48" w:name="_Toc92254567"/>
      <w:bookmarkStart w:id="49" w:name="_Toc107388404"/>
      <w:bookmarkStart w:id="50" w:name="_Toc125447390"/>
      <w:bookmarkStart w:id="51" w:name="_Toc125452803"/>
      <w:bookmarkStart w:id="52" w:name="_Toc131823628"/>
      <w:bookmarkStart w:id="53" w:name="_Toc131823753"/>
      <w:bookmarkStart w:id="54" w:name="_Toc131917325"/>
      <w:bookmarkStart w:id="55" w:name="_Toc135112658"/>
      <w:bookmarkStart w:id="56" w:name="_Toc135207680"/>
      <w:bookmarkStart w:id="57" w:name="_Toc136160897"/>
      <w:bookmarkStart w:id="58" w:name="_Toc138497557"/>
      <w:bookmarkStart w:id="59" w:name="_Toc146527238"/>
      <w:bookmarkStart w:id="60" w:name="_Toc146530151"/>
      <w:r>
        <w:rPr>
          <w:rStyle w:val="CharSectno"/>
        </w:rPr>
        <w:t>6</w:t>
      </w:r>
      <w:r>
        <w:t>.</w:t>
      </w:r>
      <w:r>
        <w:tab/>
        <w:t>Restricted application of regulations</w:t>
      </w:r>
      <w:bookmarkEnd w:id="45"/>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 in Gazette 26 Jun 2007 p. 3022-3.]</w:t>
      </w:r>
    </w:p>
    <w:p>
      <w:pPr>
        <w:pStyle w:val="Heading2"/>
      </w:pPr>
      <w:bookmarkStart w:id="61" w:name="_Toc171050505"/>
      <w:bookmarkStart w:id="62" w:name="_Toc245188010"/>
      <w:bookmarkStart w:id="63" w:name="_Toc245191431"/>
      <w:bookmarkStart w:id="64" w:name="_Toc247507960"/>
      <w:bookmarkStart w:id="65" w:name="_Toc248545588"/>
      <w:bookmarkStart w:id="66" w:name="_Toc248824620"/>
      <w:bookmarkStart w:id="67" w:name="_Toc248824689"/>
      <w:bookmarkStart w:id="68" w:name="_Toc249324109"/>
      <w:r>
        <w:rPr>
          <w:rStyle w:val="CharPartNo"/>
        </w:rPr>
        <w:t>Part 2</w:t>
      </w:r>
      <w:r>
        <w:rPr>
          <w:rStyle w:val="CharDivNo"/>
        </w:rPr>
        <w:t> </w:t>
      </w:r>
      <w:r>
        <w:t>—</w:t>
      </w:r>
      <w:r>
        <w:rPr>
          <w:rStyle w:val="CharDivText"/>
        </w:rPr>
        <w:t> </w:t>
      </w:r>
      <w:r>
        <w:rPr>
          <w:rStyle w:val="CharPartText"/>
        </w:rPr>
        <w:t>Access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534108048"/>
      <w:bookmarkStart w:id="70" w:name="_Toc4983144"/>
      <w:bookmarkStart w:id="71" w:name="_Toc131823629"/>
      <w:bookmarkStart w:id="72" w:name="_Toc249324110"/>
      <w:r>
        <w:rPr>
          <w:rStyle w:val="CharSectno"/>
        </w:rPr>
        <w:t>7</w:t>
      </w:r>
      <w:r>
        <w:rPr>
          <w:snapToGrid w:val="0"/>
        </w:rPr>
        <w:t>.</w:t>
      </w:r>
      <w:r>
        <w:rPr>
          <w:snapToGrid w:val="0"/>
        </w:rPr>
        <w:tab/>
        <w:t>Access procedure</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73" w:name="_Toc534108049"/>
      <w:bookmarkStart w:id="74" w:name="_Toc4983145"/>
      <w:bookmarkStart w:id="75" w:name="_Toc131823630"/>
      <w:bookmarkStart w:id="76" w:name="_Toc249324111"/>
      <w:r>
        <w:rPr>
          <w:rStyle w:val="CharSectno"/>
        </w:rPr>
        <w:t>8</w:t>
      </w:r>
      <w:r>
        <w:rPr>
          <w:snapToGrid w:val="0"/>
        </w:rPr>
        <w:t>.</w:t>
      </w:r>
      <w:r>
        <w:rPr>
          <w:snapToGrid w:val="0"/>
        </w:rPr>
        <w:tab/>
        <w:t>Access application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77" w:name="_Toc534108050"/>
      <w:bookmarkStart w:id="78" w:name="_Toc4983146"/>
      <w:bookmarkStart w:id="79" w:name="_Toc131823631"/>
      <w:bookmarkStart w:id="80" w:name="_Toc249324112"/>
      <w:r>
        <w:rPr>
          <w:rStyle w:val="CharSectno"/>
        </w:rPr>
        <w:t>9</w:t>
      </w:r>
      <w:r>
        <w:rPr>
          <w:snapToGrid w:val="0"/>
        </w:rPr>
        <w:t>.</w:t>
      </w:r>
      <w:r>
        <w:rPr>
          <w:snapToGrid w:val="0"/>
        </w:rPr>
        <w:tab/>
        <w:t>Provision and use of information in respect of an access application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spacing w:before="60"/>
        <w:rPr>
          <w:snapToGrid w:val="0"/>
        </w:rPr>
      </w:pPr>
      <w:r>
        <w:rPr>
          <w:snapToGrid w:val="0"/>
        </w:rPr>
        <w:tab/>
        <w:t>(a)</w:t>
      </w:r>
      <w:r>
        <w:rPr>
          <w:snapToGrid w:val="0"/>
        </w:rPr>
        <w:tab/>
        <w:t>act in good faith; and</w:t>
      </w:r>
    </w:p>
    <w:p>
      <w:pPr>
        <w:pStyle w:val="Indenta"/>
        <w:spacing w:before="60"/>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spacing w:before="60"/>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spacing w:before="60"/>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81" w:name="_Toc534108051"/>
      <w:bookmarkStart w:id="82" w:name="_Toc4983147"/>
      <w:bookmarkStart w:id="83" w:name="_Toc131823632"/>
      <w:bookmarkStart w:id="84" w:name="_Toc249324113"/>
      <w:r>
        <w:rPr>
          <w:rStyle w:val="CharSectno"/>
        </w:rPr>
        <w:t>10</w:t>
      </w:r>
      <w:r>
        <w:rPr>
          <w:snapToGrid w:val="0"/>
        </w:rPr>
        <w:t>.</w:t>
      </w:r>
      <w:r>
        <w:rPr>
          <w:snapToGrid w:val="0"/>
        </w:rPr>
        <w:tab/>
        <w:t>Preliminary assessment</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85" w:name="_Toc534108052"/>
      <w:bookmarkStart w:id="86" w:name="_Toc4983148"/>
      <w:bookmarkStart w:id="87" w:name="_Toc131823633"/>
      <w:bookmarkStart w:id="88" w:name="_Toc249324114"/>
      <w:r>
        <w:rPr>
          <w:rStyle w:val="CharSectno"/>
        </w:rPr>
        <w:t>11</w:t>
      </w:r>
      <w:r>
        <w:rPr>
          <w:snapToGrid w:val="0"/>
        </w:rPr>
        <w:t>.</w:t>
      </w:r>
      <w:r>
        <w:rPr>
          <w:snapToGrid w:val="0"/>
        </w:rPr>
        <w:tab/>
        <w:t>Access offer</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spacing w:before="60"/>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spacing w:before="140"/>
        <w:rPr>
          <w:snapToGrid w:val="0"/>
        </w:rPr>
      </w:pPr>
      <w:r>
        <w:rPr>
          <w:snapToGrid w:val="0"/>
        </w:rPr>
        <w:tab/>
        <w:t>(9)</w:t>
      </w:r>
      <w:r>
        <w:rPr>
          <w:snapToGrid w:val="0"/>
        </w:rPr>
        <w:tab/>
        <w:t>If — </w:t>
      </w:r>
    </w:p>
    <w:p>
      <w:pPr>
        <w:pStyle w:val="Indenta"/>
        <w:spacing w:before="60"/>
        <w:rPr>
          <w:snapToGrid w:val="0"/>
        </w:rPr>
      </w:pPr>
      <w:r>
        <w:rPr>
          <w:snapToGrid w:val="0"/>
        </w:rPr>
        <w:tab/>
        <w:t>(a)</w:t>
      </w:r>
      <w:r>
        <w:rPr>
          <w:snapToGrid w:val="0"/>
        </w:rPr>
        <w:tab/>
      </w:r>
      <w:r>
        <w:t xml:space="preserve">a corporation </w:t>
      </w:r>
      <w:r>
        <w:rPr>
          <w:snapToGrid w:val="0"/>
        </w:rPr>
        <w:t xml:space="preserve">makes an access offer; and </w:t>
      </w:r>
    </w:p>
    <w:p>
      <w:pPr>
        <w:pStyle w:val="Indenta"/>
        <w:spacing w:before="60"/>
        <w:rPr>
          <w:snapToGrid w:val="0"/>
        </w:rPr>
      </w:pPr>
      <w:r>
        <w:rPr>
          <w:snapToGrid w:val="0"/>
        </w:rPr>
        <w:tab/>
        <w:t>(b)</w:t>
      </w:r>
      <w:r>
        <w:rPr>
          <w:snapToGrid w:val="0"/>
        </w:rPr>
        <w:tab/>
        <w:t>one or more of the connections to which the access offer relates is an exempt connection,</w:t>
      </w:r>
    </w:p>
    <w:p>
      <w:pPr>
        <w:pStyle w:val="Subsection"/>
        <w:spacing w:before="80"/>
        <w:rPr>
          <w:snapToGrid w:val="0"/>
        </w:rPr>
      </w:pPr>
      <w:r>
        <w:rPr>
          <w:snapToGrid w:val="0"/>
        </w:rPr>
        <w:tab/>
      </w:r>
      <w:r>
        <w:rPr>
          <w:snapToGrid w:val="0"/>
        </w:rPr>
        <w:tab/>
        <w:t>then the access offer must — </w:t>
      </w:r>
    </w:p>
    <w:p>
      <w:pPr>
        <w:pStyle w:val="Indenta"/>
        <w:spacing w:before="60"/>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spacing w:before="60"/>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spacing w:before="60"/>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spacing w:before="60"/>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spacing w:before="60"/>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89" w:name="_Toc534108053"/>
      <w:bookmarkStart w:id="90" w:name="_Toc4983149"/>
      <w:bookmarkStart w:id="91" w:name="_Toc131823634"/>
      <w:bookmarkStart w:id="92" w:name="_Toc249324115"/>
      <w:r>
        <w:rPr>
          <w:rStyle w:val="CharSectno"/>
        </w:rPr>
        <w:t>12</w:t>
      </w:r>
      <w:r>
        <w:rPr>
          <w:snapToGrid w:val="0"/>
        </w:rPr>
        <w:t>.</w:t>
      </w:r>
      <w:r>
        <w:rPr>
          <w:snapToGrid w:val="0"/>
        </w:rPr>
        <w:tab/>
        <w:t>Capital contributions</w:t>
      </w:r>
      <w:bookmarkEnd w:id="89"/>
      <w:bookmarkEnd w:id="90"/>
      <w:bookmarkEnd w:id="91"/>
      <w:bookmarkEnd w:id="92"/>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spacing w:before="70"/>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spacing w:before="70"/>
        <w:rPr>
          <w:snapToGrid w:val="0"/>
        </w:rPr>
      </w:pPr>
      <w:r>
        <w:rPr>
          <w:snapToGrid w:val="0"/>
        </w:rPr>
        <w:tab/>
        <w:t>(d)</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spacing w:before="70"/>
        <w:rPr>
          <w:snapToGrid w:val="0"/>
        </w:rPr>
      </w:pPr>
      <w:r>
        <w:rPr>
          <w:snapToGrid w:val="0"/>
        </w:rPr>
        <w:tab/>
        <w:t>(a)</w:t>
      </w:r>
      <w:r>
        <w:rPr>
          <w:snapToGrid w:val="0"/>
        </w:rPr>
        <w:tab/>
      </w:r>
      <w:r>
        <w:t xml:space="preserve">a corporation </w:t>
      </w:r>
      <w:r>
        <w:rPr>
          <w:snapToGrid w:val="0"/>
        </w:rPr>
        <w:t>and a user enter into an access agreement;</w:t>
      </w:r>
    </w:p>
    <w:p>
      <w:pPr>
        <w:pStyle w:val="Indenta"/>
        <w:spacing w:before="70"/>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spacing w:before="70"/>
        <w:rPr>
          <w:snapToGrid w:val="0"/>
        </w:rPr>
      </w:pPr>
      <w:r>
        <w:rPr>
          <w:snapToGrid w:val="0"/>
        </w:rPr>
        <w:tab/>
        <w:t>(c)</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spacing w:before="70"/>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spacing w:before="70"/>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26 Jun 2007 p. 3023.] </w:t>
      </w:r>
    </w:p>
    <w:p>
      <w:pPr>
        <w:pStyle w:val="Heading5"/>
        <w:rPr>
          <w:snapToGrid w:val="0"/>
        </w:rPr>
      </w:pPr>
      <w:bookmarkStart w:id="93" w:name="_Toc534108054"/>
      <w:bookmarkStart w:id="94" w:name="_Toc4983150"/>
      <w:bookmarkStart w:id="95" w:name="_Toc131823635"/>
      <w:bookmarkStart w:id="96" w:name="_Toc249324116"/>
      <w:r>
        <w:rPr>
          <w:rStyle w:val="CharSectno"/>
        </w:rPr>
        <w:t>13</w:t>
      </w:r>
      <w:r>
        <w:rPr>
          <w:snapToGrid w:val="0"/>
        </w:rPr>
        <w:t>.</w:t>
      </w:r>
      <w:r>
        <w:rPr>
          <w:snapToGrid w:val="0"/>
        </w:rPr>
        <w:tab/>
        <w:t>First come first served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97" w:name="_Toc534108055"/>
      <w:bookmarkStart w:id="98" w:name="_Toc4983151"/>
      <w:bookmarkStart w:id="99" w:name="_Toc131823636"/>
      <w:bookmarkStart w:id="100" w:name="_Toc249324117"/>
      <w:r>
        <w:rPr>
          <w:rStyle w:val="CharSectno"/>
        </w:rPr>
        <w:t>14</w:t>
      </w:r>
      <w:r>
        <w:rPr>
          <w:snapToGrid w:val="0"/>
        </w:rPr>
        <w:t>.</w:t>
      </w:r>
      <w:r>
        <w:rPr>
          <w:snapToGrid w:val="0"/>
        </w:rPr>
        <w:tab/>
        <w:t>Confidentiality</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spacing w:before="60"/>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spacing w:before="60"/>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spacing w:before="70"/>
        <w:rPr>
          <w:snapToGrid w:val="0"/>
        </w:rPr>
      </w:pPr>
      <w:r>
        <w:rPr>
          <w:snapToGrid w:val="0"/>
        </w:rPr>
        <w:tab/>
        <w:t>(a)</w:t>
      </w:r>
      <w:r>
        <w:rPr>
          <w:snapToGrid w:val="0"/>
        </w:rPr>
        <w:tab/>
        <w:t>the disclosure of an item of sensitive information to — </w:t>
      </w:r>
    </w:p>
    <w:p>
      <w:pPr>
        <w:pStyle w:val="Indenti"/>
        <w:spacing w:before="70"/>
        <w:rPr>
          <w:snapToGrid w:val="0"/>
        </w:rPr>
      </w:pPr>
      <w:r>
        <w:rPr>
          <w:snapToGrid w:val="0"/>
        </w:rPr>
        <w:tab/>
        <w:t>(i)</w:t>
      </w:r>
      <w:r>
        <w:rPr>
          <w:snapToGrid w:val="0"/>
        </w:rPr>
        <w:tab/>
        <w:t>a transmission employee;</w:t>
      </w:r>
    </w:p>
    <w:p>
      <w:pPr>
        <w:pStyle w:val="Indenti"/>
        <w:spacing w:before="7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7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70"/>
        <w:rPr>
          <w:snapToGrid w:val="0"/>
        </w:rPr>
      </w:pPr>
      <w:r>
        <w:rPr>
          <w:snapToGrid w:val="0"/>
        </w:rPr>
        <w:tab/>
        <w:t>(b)</w:t>
      </w:r>
      <w:r>
        <w:rPr>
          <w:snapToGrid w:val="0"/>
        </w:rPr>
        <w:tab/>
        <w:t>the disclosure of an item of access information that is not sensitive information to — </w:t>
      </w:r>
    </w:p>
    <w:p>
      <w:pPr>
        <w:pStyle w:val="Indenti"/>
        <w:spacing w:before="7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7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spacing w:before="7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spacing w:before="70"/>
        <w:rPr>
          <w:snapToGrid w:val="0"/>
        </w:rPr>
      </w:pPr>
      <w:r>
        <w:rPr>
          <w:snapToGrid w:val="0"/>
        </w:rPr>
        <w:tab/>
        <w:t>(d)</w:t>
      </w:r>
      <w:r>
        <w:rPr>
          <w:snapToGrid w:val="0"/>
        </w:rPr>
        <w:tab/>
        <w:t>the disclosure, use or reproduction of an item of information — </w:t>
      </w:r>
    </w:p>
    <w:p>
      <w:pPr>
        <w:pStyle w:val="Indenti"/>
        <w:spacing w:before="7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70"/>
        <w:rPr>
          <w:snapToGrid w:val="0"/>
        </w:rPr>
      </w:pPr>
      <w:r>
        <w:rPr>
          <w:snapToGrid w:val="0"/>
        </w:rPr>
        <w:tab/>
        <w:t>(ii)</w:t>
      </w:r>
      <w:r>
        <w:rPr>
          <w:snapToGrid w:val="0"/>
        </w:rPr>
        <w:tab/>
        <w:t>with the consent of the person or persons which would be affected by the disclosure, use or reproduction of that item;</w:t>
      </w:r>
    </w:p>
    <w:p>
      <w:pPr>
        <w:pStyle w:val="Indenti"/>
        <w:spacing w:before="70"/>
        <w:rPr>
          <w:snapToGrid w:val="0"/>
        </w:rPr>
      </w:pPr>
      <w:r>
        <w:rPr>
          <w:snapToGrid w:val="0"/>
        </w:rPr>
        <w:tab/>
        <w:t>(iii)</w:t>
      </w:r>
      <w:r>
        <w:rPr>
          <w:snapToGrid w:val="0"/>
        </w:rPr>
        <w:tab/>
        <w:t>to the extent required by law;</w:t>
      </w:r>
    </w:p>
    <w:p>
      <w:pPr>
        <w:pStyle w:val="Indenti"/>
        <w:spacing w:before="70"/>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spacing w:before="70"/>
        <w:rPr>
          <w:snapToGrid w:val="0"/>
        </w:rPr>
      </w:pPr>
      <w:r>
        <w:rPr>
          <w:snapToGrid w:val="0"/>
        </w:rPr>
        <w:tab/>
        <w:t>(v)</w:t>
      </w:r>
      <w:r>
        <w:rPr>
          <w:snapToGrid w:val="0"/>
        </w:rPr>
        <w:tab/>
        <w:t>that is trivial in nature;</w:t>
      </w:r>
    </w:p>
    <w:p>
      <w:pPr>
        <w:pStyle w:val="Indenti"/>
        <w:spacing w:before="70"/>
        <w:rPr>
          <w:snapToGrid w:val="0"/>
        </w:rPr>
      </w:pPr>
      <w:r>
        <w:rPr>
          <w:snapToGrid w:val="0"/>
        </w:rPr>
        <w:tab/>
        <w:t>(vi)</w:t>
      </w:r>
      <w:r>
        <w:rPr>
          <w:snapToGrid w:val="0"/>
        </w:rPr>
        <w:tab/>
        <w:t>if required to protect the safety of personnel, plant or equipment;</w:t>
      </w:r>
    </w:p>
    <w:p>
      <w:pPr>
        <w:pStyle w:val="Indenti"/>
        <w:spacing w:before="70"/>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spacing w:before="70"/>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spacing w:before="70"/>
        <w:rPr>
          <w:snapToGrid w:val="0"/>
        </w:rPr>
      </w:pPr>
      <w:r>
        <w:rPr>
          <w:snapToGrid w:val="0"/>
        </w:rPr>
        <w:tab/>
        <w:t>(ix)</w:t>
      </w:r>
      <w:r>
        <w:rPr>
          <w:snapToGrid w:val="0"/>
        </w:rPr>
        <w:tab/>
        <w:t>as an unidentifiable component of an aggregate sum.</w:t>
      </w:r>
    </w:p>
    <w:p>
      <w:pPr>
        <w:pStyle w:val="Footnotesection"/>
        <w:spacing w:before="100"/>
        <w:ind w:left="890" w:hanging="890"/>
      </w:pPr>
      <w:r>
        <w:tab/>
        <w:t>[Regulation 14 amended in Gazette 31 Mar 2006 p. 1338-41.]</w:t>
      </w:r>
    </w:p>
    <w:p>
      <w:pPr>
        <w:pStyle w:val="Heading5"/>
        <w:rPr>
          <w:snapToGrid w:val="0"/>
        </w:rPr>
      </w:pPr>
      <w:bookmarkStart w:id="101" w:name="_Toc534108056"/>
      <w:bookmarkStart w:id="102" w:name="_Toc4983152"/>
      <w:bookmarkStart w:id="103" w:name="_Toc131823637"/>
      <w:bookmarkStart w:id="104" w:name="_Toc249324118"/>
      <w:r>
        <w:rPr>
          <w:rStyle w:val="CharSectno"/>
        </w:rPr>
        <w:t>15</w:t>
      </w:r>
      <w:r>
        <w:rPr>
          <w:snapToGrid w:val="0"/>
        </w:rPr>
        <w:t>.</w:t>
      </w:r>
      <w:r>
        <w:rPr>
          <w:snapToGrid w:val="0"/>
        </w:rPr>
        <w:tab/>
        <w:t>Access agreements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bookmarkStart w:id="105" w:name="_Toc534108057"/>
      <w:bookmarkStart w:id="106" w:name="_Toc4983153"/>
      <w:r>
        <w:tab/>
        <w:t>[(2)</w:t>
      </w:r>
      <w:r>
        <w:tab/>
        <w:t>deleted]</w:t>
      </w:r>
    </w:p>
    <w:p>
      <w:pPr>
        <w:pStyle w:val="Footnotesection"/>
        <w:spacing w:before="100"/>
        <w:ind w:left="890" w:hanging="890"/>
      </w:pPr>
      <w:r>
        <w:tab/>
        <w:t>[Regulation 15 amended in Gazette 20 Jan 2006 p. 377-8; 31 Mar 2006 p. 1332, 1338</w:t>
      </w:r>
      <w:r>
        <w:noBreakHyphen/>
        <w:t>1340; 26 Jun 2007 p. 3023.]</w:t>
      </w:r>
    </w:p>
    <w:p>
      <w:pPr>
        <w:pStyle w:val="Heading5"/>
        <w:rPr>
          <w:snapToGrid w:val="0"/>
        </w:rPr>
      </w:pPr>
      <w:bookmarkStart w:id="107" w:name="_Toc131823638"/>
      <w:bookmarkStart w:id="108" w:name="_Toc249324119"/>
      <w:r>
        <w:rPr>
          <w:rStyle w:val="CharSectno"/>
        </w:rPr>
        <w:t>16</w:t>
      </w:r>
      <w:r>
        <w:rPr>
          <w:snapToGrid w:val="0"/>
        </w:rPr>
        <w:t>.</w:t>
      </w:r>
      <w:r>
        <w:rPr>
          <w:snapToGrid w:val="0"/>
        </w:rPr>
        <w:tab/>
        <w:t>Cost of processing access applications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109" w:name="_Toc534108058"/>
      <w:bookmarkStart w:id="110" w:name="_Toc4983154"/>
      <w:bookmarkStart w:id="111" w:name="_Toc131823639"/>
      <w:bookmarkStart w:id="112" w:name="_Toc249324120"/>
      <w:r>
        <w:rPr>
          <w:rStyle w:val="CharSectno"/>
        </w:rPr>
        <w:t>16A</w:t>
      </w:r>
      <w:r>
        <w:rPr>
          <w:snapToGrid w:val="0"/>
        </w:rPr>
        <w:t>.</w:t>
      </w:r>
      <w:r>
        <w:rPr>
          <w:snapToGrid w:val="0"/>
        </w:rPr>
        <w:tab/>
        <w:t>Suspension of time periods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vertAlign w:val="superscript"/>
        </w:rPr>
        <w:t> 3</w:t>
      </w:r>
      <w:r>
        <w:rPr>
          <w:snapToGrid w:val="0"/>
        </w:rPr>
        <w:t>.</w:t>
      </w:r>
    </w:p>
    <w:p>
      <w:pPr>
        <w:pStyle w:val="Footnotesection"/>
      </w:pPr>
      <w:r>
        <w:tab/>
        <w:t>[Regulation 16A inserted in Gazette 1 Jul 1997 p. 3252.]</w:t>
      </w:r>
    </w:p>
    <w:p>
      <w:pPr>
        <w:pStyle w:val="Heading2"/>
      </w:pPr>
      <w:bookmarkStart w:id="113" w:name="_Toc92191397"/>
      <w:bookmarkStart w:id="114" w:name="_Toc92191462"/>
      <w:bookmarkStart w:id="115" w:name="_Toc92254579"/>
      <w:bookmarkStart w:id="116" w:name="_Toc107388416"/>
      <w:bookmarkStart w:id="117" w:name="_Toc125447402"/>
      <w:bookmarkStart w:id="118" w:name="_Toc125452815"/>
      <w:bookmarkStart w:id="119" w:name="_Toc131823640"/>
      <w:bookmarkStart w:id="120" w:name="_Toc131823765"/>
      <w:bookmarkStart w:id="121" w:name="_Toc131917337"/>
      <w:bookmarkStart w:id="122" w:name="_Toc135112670"/>
      <w:bookmarkStart w:id="123" w:name="_Toc135207692"/>
      <w:bookmarkStart w:id="124" w:name="_Toc136160909"/>
      <w:bookmarkStart w:id="125" w:name="_Toc138497569"/>
      <w:bookmarkStart w:id="126" w:name="_Toc146527250"/>
      <w:bookmarkStart w:id="127" w:name="_Toc146530163"/>
      <w:bookmarkStart w:id="128" w:name="_Toc171050517"/>
      <w:bookmarkStart w:id="129" w:name="_Toc245188022"/>
      <w:bookmarkStart w:id="130" w:name="_Toc245191443"/>
      <w:bookmarkStart w:id="131" w:name="_Toc247507972"/>
      <w:bookmarkStart w:id="132" w:name="_Toc248545600"/>
      <w:bookmarkStart w:id="133" w:name="_Toc248824632"/>
      <w:bookmarkStart w:id="134" w:name="_Toc248824701"/>
      <w:bookmarkStart w:id="135" w:name="_Toc249324121"/>
      <w:r>
        <w:rPr>
          <w:rStyle w:val="CharPartNo"/>
        </w:rPr>
        <w:t>Part 3</w:t>
      </w:r>
      <w:r>
        <w:rPr>
          <w:rStyle w:val="CharDivNo"/>
        </w:rPr>
        <w:t> </w:t>
      </w:r>
      <w:r>
        <w:t>—</w:t>
      </w:r>
      <w:r>
        <w:rPr>
          <w:rStyle w:val="CharDivText"/>
        </w:rPr>
        <w:t> </w:t>
      </w:r>
      <w:r>
        <w:rPr>
          <w:rStyle w:val="CharPartText"/>
        </w:rPr>
        <w:t>Pricing, prices and charges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spacing w:before="180"/>
      </w:pPr>
      <w:bookmarkStart w:id="136" w:name="_Toc249324122"/>
      <w:bookmarkStart w:id="137" w:name="_Toc534108060"/>
      <w:bookmarkStart w:id="138" w:name="_Toc4983156"/>
      <w:bookmarkStart w:id="139" w:name="_Toc131823642"/>
      <w:r>
        <w:rPr>
          <w:rStyle w:val="CharSectno"/>
        </w:rPr>
        <w:t>17</w:t>
      </w:r>
      <w:r>
        <w:t>.</w:t>
      </w:r>
      <w:r>
        <w:tab/>
        <w:t>Pricing methods and prices</w:t>
      </w:r>
      <w:bookmarkEnd w:id="136"/>
    </w:p>
    <w:p>
      <w:pPr>
        <w:pStyle w:val="Subsection"/>
        <w:spacing w:before="120"/>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spacing w:before="120"/>
      </w:pPr>
      <w:r>
        <w:tab/>
        <w:t>(2)</w:t>
      </w:r>
      <w:r>
        <w:tab/>
        <w:t xml:space="preserve">A corporation must — </w:t>
      </w:r>
    </w:p>
    <w:p>
      <w:pPr>
        <w:pStyle w:val="Indenta"/>
        <w:spacing w:before="60"/>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spacing w:before="60"/>
      </w:pPr>
      <w:r>
        <w:tab/>
        <w:t>(b)</w:t>
      </w:r>
      <w:r>
        <w:tab/>
        <w:t>make publicly available such details of its pricing methods as are sufficient to indicate to users how prices for access services are established.</w:t>
      </w:r>
    </w:p>
    <w:p>
      <w:pPr>
        <w:pStyle w:val="Footnotesection"/>
        <w:spacing w:before="100"/>
        <w:ind w:left="890" w:hanging="890"/>
      </w:pPr>
      <w:r>
        <w:tab/>
        <w:t>[Regulation 17 inserted in Gazette 26 Jun 2007 p. 3023.]</w:t>
      </w:r>
    </w:p>
    <w:p>
      <w:pPr>
        <w:pStyle w:val="Heading5"/>
        <w:spacing w:before="200"/>
        <w:rPr>
          <w:snapToGrid w:val="0"/>
        </w:rPr>
      </w:pPr>
      <w:bookmarkStart w:id="140" w:name="_Toc249324123"/>
      <w:r>
        <w:rPr>
          <w:rStyle w:val="CharSectno"/>
        </w:rPr>
        <w:t>18</w:t>
      </w:r>
      <w:r>
        <w:rPr>
          <w:snapToGrid w:val="0"/>
        </w:rPr>
        <w:t>.</w:t>
      </w:r>
      <w:r>
        <w:rPr>
          <w:snapToGrid w:val="0"/>
        </w:rPr>
        <w:tab/>
        <w:t>Charges</w:t>
      </w:r>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spacing w:before="120"/>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spacing w:before="100"/>
        <w:ind w:left="890" w:hanging="890"/>
      </w:pPr>
      <w:r>
        <w:tab/>
        <w:t>[Regulation 18 amended in Gazette 31 Mar 2006 p. 1338-40.]</w:t>
      </w:r>
    </w:p>
    <w:p>
      <w:pPr>
        <w:pStyle w:val="Heading2"/>
      </w:pPr>
      <w:bookmarkStart w:id="141" w:name="_Toc92191400"/>
      <w:bookmarkStart w:id="142" w:name="_Toc92191465"/>
      <w:bookmarkStart w:id="143" w:name="_Toc92254582"/>
      <w:bookmarkStart w:id="144" w:name="_Toc107388419"/>
      <w:bookmarkStart w:id="145" w:name="_Toc125447405"/>
      <w:bookmarkStart w:id="146" w:name="_Toc125452818"/>
      <w:bookmarkStart w:id="147" w:name="_Toc131823643"/>
      <w:bookmarkStart w:id="148" w:name="_Toc131823768"/>
      <w:bookmarkStart w:id="149" w:name="_Toc131917340"/>
      <w:bookmarkStart w:id="150" w:name="_Toc135112673"/>
      <w:bookmarkStart w:id="151" w:name="_Toc135207695"/>
      <w:bookmarkStart w:id="152" w:name="_Toc136160912"/>
      <w:bookmarkStart w:id="153" w:name="_Toc138497572"/>
      <w:bookmarkStart w:id="154" w:name="_Toc146527253"/>
      <w:bookmarkStart w:id="155" w:name="_Toc146530166"/>
      <w:bookmarkStart w:id="156" w:name="_Toc171050520"/>
      <w:bookmarkStart w:id="157" w:name="_Toc245188025"/>
      <w:bookmarkStart w:id="158" w:name="_Toc245191446"/>
      <w:bookmarkStart w:id="159" w:name="_Toc247507975"/>
      <w:bookmarkStart w:id="160" w:name="_Toc248545603"/>
      <w:bookmarkStart w:id="161" w:name="_Toc248824635"/>
      <w:bookmarkStart w:id="162" w:name="_Toc248824704"/>
      <w:bookmarkStart w:id="163" w:name="_Toc249324124"/>
      <w:r>
        <w:rPr>
          <w:rStyle w:val="CharPartNo"/>
        </w:rPr>
        <w:t>Part 4</w:t>
      </w:r>
      <w:r>
        <w:rPr>
          <w:rStyle w:val="CharDivNo"/>
        </w:rPr>
        <w:t> </w:t>
      </w:r>
      <w:r>
        <w:t>—</w:t>
      </w:r>
      <w:r>
        <w:rPr>
          <w:rStyle w:val="CharDivText"/>
        </w:rPr>
        <w:t> </w:t>
      </w:r>
      <w:r>
        <w:rPr>
          <w:rStyle w:val="CharPartText"/>
        </w:rPr>
        <w:t>Balancing</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spacing w:before="180"/>
      </w:pPr>
      <w:bookmarkStart w:id="164" w:name="_Toc249324125"/>
      <w:bookmarkStart w:id="165" w:name="_Toc534108061"/>
      <w:bookmarkStart w:id="166" w:name="_Toc4983157"/>
      <w:bookmarkStart w:id="167" w:name="_Toc131823644"/>
      <w:r>
        <w:rPr>
          <w:rStyle w:val="CharSectno"/>
        </w:rPr>
        <w:t>18A</w:t>
      </w:r>
      <w:r>
        <w:t>.</w:t>
      </w:r>
      <w:r>
        <w:tab/>
        <w:t>Application of Part modified for wholesale electricity market</w:t>
      </w:r>
      <w:bookmarkEnd w:id="164"/>
    </w:p>
    <w:p>
      <w:pPr>
        <w:pStyle w:val="Subsection"/>
        <w:spacing w:before="140"/>
      </w:pPr>
      <w:r>
        <w:tab/>
        <w:t>(1)</w:t>
      </w:r>
      <w:r>
        <w:tab/>
        <w:t xml:space="preserve">In this regulation — </w:t>
      </w:r>
    </w:p>
    <w:p>
      <w:pPr>
        <w:pStyle w:val="Defstart"/>
        <w:spacing w:before="60"/>
      </w:pPr>
      <w:r>
        <w:rPr>
          <w:b/>
        </w:rPr>
        <w:tab/>
      </w:r>
      <w:r>
        <w:rPr>
          <w:rStyle w:val="CharDefText"/>
        </w:rPr>
        <w:t>market rules</w:t>
      </w:r>
      <w:r>
        <w:t xml:space="preserve"> means the market rules made under the </w:t>
      </w:r>
      <w:r>
        <w:rPr>
          <w:i/>
        </w:rPr>
        <w:t>Electricity Industry Act 2004</w:t>
      </w:r>
      <w:r>
        <w:t xml:space="preserve"> Part 9;</w:t>
      </w:r>
    </w:p>
    <w:p>
      <w:pPr>
        <w:pStyle w:val="Defstart"/>
        <w:spacing w:before="60"/>
      </w:pPr>
      <w:r>
        <w:rPr>
          <w:b/>
        </w:rPr>
        <w:tab/>
      </w:r>
      <w:r>
        <w:rPr>
          <w:rStyle w:val="CharDefText"/>
        </w:rPr>
        <w:t>wholesale electricity market commencement</w:t>
      </w:r>
      <w:r>
        <w:t xml:space="preserve"> means the time at which the first trading day under the market rules commences.</w:t>
      </w:r>
    </w:p>
    <w:p>
      <w:pPr>
        <w:pStyle w:val="Subsection"/>
        <w:spacing w:before="140"/>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spacing w:before="80"/>
        <w:ind w:left="890" w:hanging="890"/>
      </w:pPr>
      <w:r>
        <w:tab/>
        <w:t>[Regulation 18A inserted in Gazette 25 Aug 2006 p. 3498.]</w:t>
      </w:r>
    </w:p>
    <w:p>
      <w:pPr>
        <w:pStyle w:val="Heading5"/>
        <w:spacing w:before="180"/>
        <w:rPr>
          <w:snapToGrid w:val="0"/>
        </w:rPr>
      </w:pPr>
      <w:bookmarkStart w:id="168" w:name="_Toc249324126"/>
      <w:r>
        <w:rPr>
          <w:rStyle w:val="CharSectno"/>
        </w:rPr>
        <w:t>19</w:t>
      </w:r>
      <w:r>
        <w:rPr>
          <w:snapToGrid w:val="0"/>
        </w:rPr>
        <w:t>.</w:t>
      </w:r>
      <w:r>
        <w:rPr>
          <w:snapToGrid w:val="0"/>
        </w:rPr>
        <w:tab/>
        <w:t>Standby arrangements</w:t>
      </w:r>
      <w:bookmarkEnd w:id="165"/>
      <w:bookmarkEnd w:id="166"/>
      <w:bookmarkEnd w:id="167"/>
      <w:bookmarkEnd w:id="168"/>
      <w:r>
        <w:rPr>
          <w:snapToGrid w:val="0"/>
        </w:rPr>
        <w:t xml:space="preserve"> </w:t>
      </w:r>
    </w:p>
    <w:p>
      <w:pPr>
        <w:pStyle w:val="Subsection"/>
        <w:spacing w:before="14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spacing w:before="14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user has an arrangement with a person in relation to the provision of electricity or standby power to the user; and</w:t>
      </w:r>
    </w:p>
    <w:p>
      <w:pPr>
        <w:pStyle w:val="Indenta"/>
        <w:spacing w:before="60"/>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spacing w:before="80"/>
        <w:ind w:left="890" w:hanging="890"/>
      </w:pPr>
      <w:bookmarkStart w:id="169" w:name="_Toc534108063"/>
      <w:bookmarkStart w:id="170" w:name="_Toc4983159"/>
      <w:r>
        <w:tab/>
        <w:t>[Regulation 19 amended in Gazette 24 Jun 2005 p. 2753; 31 Mar 2006 p. 1332; 25 Aug 2006 p. 3498.]</w:t>
      </w:r>
    </w:p>
    <w:p>
      <w:pPr>
        <w:pStyle w:val="Heading5"/>
      </w:pPr>
      <w:bookmarkStart w:id="171" w:name="_Toc131823645"/>
      <w:bookmarkStart w:id="172" w:name="_Toc249324127"/>
      <w:r>
        <w:rPr>
          <w:rStyle w:val="CharSectno"/>
        </w:rPr>
        <w:t>20</w:t>
      </w:r>
      <w:r>
        <w:t>.</w:t>
      </w:r>
      <w:r>
        <w:tab/>
        <w:t>Loss factors</w:t>
      </w:r>
      <w:bookmarkEnd w:id="171"/>
      <w:bookmarkEnd w:id="172"/>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keepNext/>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in Gazette 29 Oct 2002 p. 5343-4; amended in Gazette 24 Jun 2005 p. 2753; 31 Mar 2006 p. 1333 and 1338-9; 25 Aug 2006 p. 3498</w:t>
      </w:r>
      <w:r>
        <w:noBreakHyphen/>
        <w:t>9.]</w:t>
      </w:r>
    </w:p>
    <w:p>
      <w:pPr>
        <w:pStyle w:val="Heading5"/>
        <w:rPr>
          <w:snapToGrid w:val="0"/>
        </w:rPr>
      </w:pPr>
      <w:bookmarkStart w:id="173" w:name="_Toc131823646"/>
      <w:bookmarkStart w:id="174" w:name="_Toc249324128"/>
      <w:r>
        <w:rPr>
          <w:rStyle w:val="CharSectno"/>
        </w:rPr>
        <w:t>21</w:t>
      </w:r>
      <w:r>
        <w:rPr>
          <w:snapToGrid w:val="0"/>
        </w:rPr>
        <w:t>.</w:t>
      </w:r>
      <w:r>
        <w:rPr>
          <w:snapToGrid w:val="0"/>
        </w:rPr>
        <w:tab/>
        <w:t>Interpretation of regulations 22, 23 and 25</w:t>
      </w:r>
      <w:bookmarkEnd w:id="169"/>
      <w:bookmarkEnd w:id="170"/>
      <w:bookmarkEnd w:id="173"/>
      <w:bookmarkEnd w:id="174"/>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jc w:val="center"/>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2" o:title=""/>
          </v:shape>
          <o:OLEObject Type="Embed" ProgID="Equation.3" ShapeID="_x0000_i1025" DrawAspect="Content" ObjectID="_1643723900" r:id="rId23"/>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jc w:val="center"/>
        <w:rPr>
          <w:snapToGrid w:val="0"/>
        </w:rPr>
      </w:pPr>
      <w:r>
        <w:rPr>
          <w:position w:val="-34"/>
          <w:sz w:val="20"/>
        </w:rPr>
        <w:object w:dxaOrig="3220" w:dyaOrig="800">
          <v:shape id="_x0000_i1026" type="#_x0000_t75" style="width:161.25pt;height:39.75pt" o:ole="" fillcolor="window">
            <v:imagedata r:id="rId24" o:title=""/>
          </v:shape>
          <o:OLEObject Type="Embed" ProgID="Equation.3" ShapeID="_x0000_i1026" DrawAspect="Content" ObjectID="_1643723901" r:id="rId25"/>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r>
        <w:rPr>
          <w:vertAlign w:val="superscript"/>
        </w:rPr>
        <w:t> 1</w:t>
      </w:r>
      <w:r>
        <w:t>,</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175" w:name="_Toc534108064"/>
      <w:bookmarkStart w:id="176" w:name="_Toc4983160"/>
      <w:bookmarkStart w:id="177" w:name="_Toc131823647"/>
      <w:bookmarkStart w:id="178" w:name="_Toc249324129"/>
      <w:r>
        <w:rPr>
          <w:rStyle w:val="CharSectno"/>
        </w:rPr>
        <w:t>22</w:t>
      </w:r>
      <w:r>
        <w:rPr>
          <w:snapToGrid w:val="0"/>
        </w:rPr>
        <w:t>.</w:t>
      </w:r>
      <w:r>
        <w:rPr>
          <w:snapToGrid w:val="0"/>
        </w:rPr>
        <w:tab/>
        <w:t>Balancing</w:t>
      </w:r>
      <w:bookmarkEnd w:id="175"/>
      <w:bookmarkEnd w:id="176"/>
      <w:bookmarkEnd w:id="177"/>
      <w:bookmarkEnd w:id="178"/>
      <w:r>
        <w:rPr>
          <w:snapToGrid w:val="0"/>
        </w:rPr>
        <w:t xml:space="preserve"> </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keepNext/>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840"/>
        <w:jc w:val="center"/>
      </w:pPr>
      <w:r>
        <w:rPr>
          <w:position w:val="-24"/>
          <w:sz w:val="20"/>
        </w:rPr>
        <w:object w:dxaOrig="2940" w:dyaOrig="620">
          <v:shape id="_x0000_i1027" type="#_x0000_t75" style="width:147pt;height:30.75pt" o:ole="" fillcolor="window">
            <v:imagedata r:id="rId26" o:title=""/>
          </v:shape>
          <o:OLEObject Type="Embed" ProgID="Equation.3" ShapeID="_x0000_i1027" DrawAspect="Content" ObjectID="_1643723902"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spacing w:before="140"/>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110"/>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110"/>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spacing w:before="5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5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spacing w:before="110"/>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left="840"/>
        <w:jc w:val="center"/>
      </w:pPr>
      <w:r>
        <w:rPr>
          <w:position w:val="-24"/>
          <w:sz w:val="20"/>
        </w:rPr>
        <w:object w:dxaOrig="2600" w:dyaOrig="620">
          <v:shape id="_x0000_i1028" type="#_x0000_t75" style="width:129.75pt;height:30.75pt" o:ole="" fillcolor="window">
            <v:imagedata r:id="rId28" o:title=""/>
          </v:shape>
          <o:OLEObject Type="Embed" ProgID="Equation.3" ShapeID="_x0000_i1028" DrawAspect="Content" ObjectID="_1643723903" r:id="rId29"/>
        </w:object>
      </w:r>
    </w:p>
    <w:p>
      <w:pPr>
        <w:pStyle w:val="Subsection"/>
        <w:spacing w:before="80"/>
        <w:rPr>
          <w:snapToGrid w:val="0"/>
        </w:rPr>
      </w:pPr>
      <w:r>
        <w:rPr>
          <w:snapToGrid w:val="0"/>
        </w:rPr>
        <w:tab/>
      </w:r>
      <w:r>
        <w:rPr>
          <w:snapToGrid w:val="0"/>
        </w:rPr>
        <w:tab/>
        <w:t>where — </w:t>
      </w:r>
    </w:p>
    <w:p>
      <w:pPr>
        <w:pStyle w:val="Indenta"/>
        <w:spacing w:before="60"/>
        <w:rPr>
          <w:snapToGrid w:val="0"/>
        </w:rPr>
      </w:pPr>
      <w:r>
        <w:rPr>
          <w:snapToGrid w:val="0"/>
        </w:rPr>
        <w:tab/>
        <w:t>OBC</w:t>
      </w:r>
      <w:r>
        <w:rPr>
          <w:snapToGrid w:val="0"/>
        </w:rPr>
        <w:tab/>
        <w:t>(in $) is the out of balance charge in respect of the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 25 Aug 2006 p. 3499.]</w:t>
      </w:r>
    </w:p>
    <w:p>
      <w:pPr>
        <w:pStyle w:val="Heading5"/>
        <w:rPr>
          <w:snapToGrid w:val="0"/>
        </w:rPr>
      </w:pPr>
      <w:bookmarkStart w:id="179" w:name="_Toc534108065"/>
      <w:bookmarkStart w:id="180" w:name="_Toc4983161"/>
      <w:bookmarkStart w:id="181" w:name="_Toc131823648"/>
      <w:bookmarkStart w:id="182" w:name="_Toc249324130"/>
      <w:r>
        <w:rPr>
          <w:rStyle w:val="CharSectno"/>
        </w:rPr>
        <w:t>23</w:t>
      </w:r>
      <w:r>
        <w:rPr>
          <w:snapToGrid w:val="0"/>
        </w:rPr>
        <w:t>.</w:t>
      </w:r>
      <w:r>
        <w:rPr>
          <w:snapToGrid w:val="0"/>
        </w:rPr>
        <w:tab/>
        <w:t>Excess standby generation charge</w:t>
      </w:r>
      <w:bookmarkEnd w:id="179"/>
      <w:bookmarkEnd w:id="180"/>
      <w:bookmarkEnd w:id="181"/>
      <w:bookmarkEnd w:id="182"/>
      <w:r>
        <w:rPr>
          <w:snapToGrid w:val="0"/>
        </w:rPr>
        <w:t xml:space="preserve"> </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1560"/>
        <w:jc w:val="center"/>
      </w:pPr>
      <w:r>
        <w:rPr>
          <w:position w:val="-28"/>
          <w:sz w:val="20"/>
        </w:rPr>
        <w:object w:dxaOrig="3140" w:dyaOrig="680">
          <v:shape id="_x0000_i1029" type="#_x0000_t75" style="width:156.75pt;height:33.75pt" o:ole="" fillcolor="window">
            <v:imagedata r:id="rId30" o:title=""/>
          </v:shape>
          <o:OLEObject Type="Embed" ProgID="Equation.3" ShapeID="_x0000_i1029" DrawAspect="Content" ObjectID="_1643723904" r:id="rId31"/>
        </w:object>
      </w:r>
    </w:p>
    <w:p>
      <w:pPr>
        <w:pStyle w:val="Indenta"/>
        <w:keepNext/>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spacing w:before="70"/>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spacing w:before="70"/>
        <w:rPr>
          <w:snapToGrid w:val="0"/>
        </w:rPr>
      </w:pPr>
      <w:r>
        <w:rPr>
          <w:snapToGrid w:val="0"/>
        </w:rPr>
        <w:tab/>
        <w:t>the variable “i”</w:t>
      </w:r>
      <w:r>
        <w:rPr>
          <w:snapToGrid w:val="0"/>
        </w:rPr>
        <w:tab/>
        <w:t>represents an exit point which is one of the group of connections;</w:t>
      </w:r>
    </w:p>
    <w:p>
      <w:pPr>
        <w:pStyle w:val="Indenti"/>
        <w:spacing w:before="70"/>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jc w:val="center"/>
      </w:pPr>
      <w:r>
        <w:rPr>
          <w:position w:val="-32"/>
          <w:sz w:val="20"/>
        </w:rPr>
        <w:object w:dxaOrig="3220" w:dyaOrig="740">
          <v:shape id="_x0000_i1030" type="#_x0000_t75" style="width:161.25pt;height:36.75pt" o:ole="" fillcolor="window">
            <v:imagedata r:id="rId32" o:title=""/>
          </v:shape>
          <o:OLEObject Type="Embed" ProgID="Equation.3" ShapeID="_x0000_i1030" DrawAspect="Content" ObjectID="_1643723905" r:id="rId33"/>
        </w:object>
      </w:r>
    </w:p>
    <w:p>
      <w:pPr>
        <w:pStyle w:val="Indenta"/>
        <w:rPr>
          <w:snapToGrid w:val="0"/>
        </w:rPr>
      </w:pPr>
      <w:r>
        <w:rPr>
          <w:snapToGrid w:val="0"/>
        </w:rPr>
        <w:tab/>
      </w:r>
      <w:r>
        <w:rPr>
          <w:snapToGrid w:val="0"/>
        </w:rPr>
        <w:tab/>
        <w:t>where — </w:t>
      </w:r>
    </w:p>
    <w:p>
      <w:pPr>
        <w:pStyle w:val="Indenti"/>
        <w:spacing w:before="70"/>
        <w:rPr>
          <w:snapToGrid w:val="0"/>
        </w:rPr>
      </w:pPr>
      <w:r>
        <w:rPr>
          <w:snapToGrid w:val="0"/>
        </w:rPr>
        <w:tab/>
        <w:t>DER</w:t>
      </w:r>
      <w:r>
        <w:rPr>
          <w:snapToGrid w:val="0"/>
        </w:rPr>
        <w:tab/>
        <w:t>(in kW) is the demand entry rate for the group of connections in respect of the access agreement for the half hour;</w:t>
      </w:r>
    </w:p>
    <w:p>
      <w:pPr>
        <w:pStyle w:val="Indenti"/>
        <w:spacing w:before="70"/>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spacing w:before="70"/>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spacing w:before="70"/>
        <w:rPr>
          <w:snapToGrid w:val="0"/>
        </w:rPr>
      </w:pPr>
      <w:r>
        <w:rPr>
          <w:snapToGrid w:val="0"/>
        </w:rPr>
        <w:tab/>
        <w:t>the variable “j”</w:t>
      </w:r>
      <w:r>
        <w:rPr>
          <w:snapToGrid w:val="0"/>
        </w:rPr>
        <w:tab/>
        <w:t>represents an entry point which is one of the group of connections;</w:t>
      </w:r>
    </w:p>
    <w:p>
      <w:pPr>
        <w:pStyle w:val="Indenti"/>
        <w:spacing w:before="70"/>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spacing w:before="60"/>
        <w:rPr>
          <w:snapToGrid w:val="0"/>
        </w:rPr>
      </w:pPr>
      <w:r>
        <w:rPr>
          <w:snapToGrid w:val="0"/>
        </w:rPr>
        <w:tab/>
        <w:t>(i)</w:t>
      </w:r>
      <w:r>
        <w:rPr>
          <w:snapToGrid w:val="0"/>
        </w:rPr>
        <w:tab/>
        <w:t>the demand exit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w:t>
      </w:r>
      <w:r>
        <w:rPr>
          <w:snapToGrid w:val="0"/>
        </w:rPr>
        <w:tab/>
        <w:t>the demand entry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(iii)</w:t>
      </w:r>
      <w:r>
        <w:rPr>
          <w:snapToGrid w:val="0"/>
        </w:rPr>
        <w:tab/>
        <w:t>the standby generation reservation for the group of connections for the half hour,</w:t>
      </w:r>
    </w:p>
    <w:p>
      <w:pPr>
        <w:pStyle w:val="Indenta"/>
        <w:spacing w:before="60"/>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spacing w:before="60"/>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spacing w:before="60"/>
        <w:rPr>
          <w:snapToGrid w:val="0"/>
        </w:rPr>
      </w:pPr>
      <w:r>
        <w:rPr>
          <w:snapToGrid w:val="0"/>
        </w:rPr>
        <w:tab/>
        <w:t>(f)</w:t>
      </w:r>
      <w:r>
        <w:rPr>
          <w:snapToGrid w:val="0"/>
        </w:rPr>
        <w:tab/>
        <w:t>each excess demand period in respect of a group of connections includes 336 half hours.</w:t>
      </w:r>
    </w:p>
    <w:p>
      <w:pPr>
        <w:pStyle w:val="Subsection"/>
        <w:spacing w:before="140"/>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jc w:val="center"/>
      </w:pPr>
      <w:r>
        <w:rPr>
          <w:position w:val="-28"/>
          <w:sz w:val="20"/>
        </w:rPr>
        <w:object w:dxaOrig="2380" w:dyaOrig="680">
          <v:shape id="_x0000_i1031" type="#_x0000_t75" style="width:119.25pt;height:33.75pt" o:ole="" fillcolor="window">
            <v:imagedata r:id="rId34" o:title=""/>
          </v:shape>
          <o:OLEObject Type="Embed" ProgID="Equation.3" ShapeID="_x0000_i1031" DrawAspect="Content" ObjectID="_1643723906" r:id="rId35"/>
        </w:object>
      </w:r>
    </w:p>
    <w:p>
      <w:pPr>
        <w:pStyle w:val="Subsection"/>
        <w:spacing w:before="80"/>
        <w:rPr>
          <w:snapToGrid w:val="0"/>
        </w:rPr>
      </w:pPr>
      <w:r>
        <w:rPr>
          <w:snapToGrid w:val="0"/>
        </w:rPr>
        <w:tab/>
      </w:r>
      <w:r>
        <w:rPr>
          <w:snapToGrid w:val="0"/>
        </w:rPr>
        <w:tab/>
        <w:t>where — </w:t>
      </w:r>
    </w:p>
    <w:p>
      <w:pPr>
        <w:pStyle w:val="Indenta"/>
        <w:spacing w:before="70"/>
        <w:rPr>
          <w:snapToGrid w:val="0"/>
        </w:rPr>
      </w:pPr>
      <w:r>
        <w:rPr>
          <w:snapToGrid w:val="0"/>
        </w:rPr>
        <w:tab/>
        <w:t>ESCC</w:t>
      </w:r>
      <w:r>
        <w:rPr>
          <w:snapToGrid w:val="0"/>
        </w:rPr>
        <w:tab/>
        <w:t>(in $) is the excess standby generation capacity charge in respect of the group of connections for the month;</w:t>
      </w:r>
    </w:p>
    <w:p>
      <w:pPr>
        <w:pStyle w:val="Indenta"/>
        <w:spacing w:before="70"/>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 25 Aug 2006 p. 3499.]</w:t>
      </w:r>
    </w:p>
    <w:p>
      <w:pPr>
        <w:pStyle w:val="Heading5"/>
        <w:rPr>
          <w:snapToGrid w:val="0"/>
        </w:rPr>
      </w:pPr>
      <w:bookmarkStart w:id="183" w:name="_Toc534108066"/>
      <w:bookmarkStart w:id="184" w:name="_Toc4983162"/>
      <w:bookmarkStart w:id="185" w:name="_Toc131823649"/>
      <w:bookmarkStart w:id="186" w:name="_Toc249324131"/>
      <w:r>
        <w:rPr>
          <w:rStyle w:val="CharSectno"/>
        </w:rPr>
        <w:t>24</w:t>
      </w:r>
      <w:r>
        <w:rPr>
          <w:snapToGrid w:val="0"/>
        </w:rPr>
        <w:t>.</w:t>
      </w:r>
      <w:r>
        <w:rPr>
          <w:snapToGrid w:val="0"/>
        </w:rPr>
        <w:tab/>
        <w:t>Excess network usage charge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jc w:val="center"/>
      </w:pPr>
      <w:r>
        <w:rPr>
          <w:position w:val="-28"/>
          <w:sz w:val="20"/>
        </w:rPr>
        <w:object w:dxaOrig="2799" w:dyaOrig="680">
          <v:shape id="_x0000_i1032" type="#_x0000_t75" style="width:140.25pt;height:33.75pt" o:ole="" fillcolor="window">
            <v:imagedata r:id="rId36" o:title=""/>
          </v:shape>
          <o:OLEObject Type="Embed" ProgID="Equation.3" ShapeID="_x0000_i1032" DrawAspect="Content" ObjectID="_1643723907"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jc w:val="center"/>
      </w:pPr>
      <w:r>
        <w:rPr>
          <w:position w:val="-28"/>
          <w:sz w:val="20"/>
        </w:rPr>
        <w:object w:dxaOrig="3600" w:dyaOrig="680">
          <v:shape id="_x0000_i1033" type="#_x0000_t75" style="width:180pt;height:33.75pt" o:ole="" fillcolor="window">
            <v:imagedata r:id="rId38" o:title=""/>
          </v:shape>
          <o:OLEObject Type="Embed" ProgID="Equation.3" ShapeID="_x0000_i1033" DrawAspect="Content" ObjectID="_1643723908" r:id="rId39"/>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 25 Aug 2006 p. 3499.]</w:t>
      </w:r>
    </w:p>
    <w:p>
      <w:pPr>
        <w:pStyle w:val="Heading5"/>
        <w:rPr>
          <w:snapToGrid w:val="0"/>
        </w:rPr>
      </w:pPr>
      <w:bookmarkStart w:id="187" w:name="_Toc534108067"/>
      <w:bookmarkStart w:id="188" w:name="_Toc4983163"/>
      <w:bookmarkStart w:id="189" w:name="_Toc131823650"/>
      <w:bookmarkStart w:id="190" w:name="_Toc249324132"/>
      <w:r>
        <w:rPr>
          <w:rStyle w:val="CharSectno"/>
        </w:rPr>
        <w:t>25</w:t>
      </w:r>
      <w:r>
        <w:rPr>
          <w:snapToGrid w:val="0"/>
        </w:rPr>
        <w:t>.</w:t>
      </w:r>
      <w:r>
        <w:rPr>
          <w:snapToGrid w:val="0"/>
        </w:rPr>
        <w:tab/>
        <w:t>Other consequences of being out of balance</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spacing w:before="60"/>
        <w:rPr>
          <w:snapToGrid w:val="0"/>
        </w:rPr>
      </w:pPr>
      <w:r>
        <w:rPr>
          <w:snapToGrid w:val="0"/>
        </w:rPr>
        <w:tab/>
        <w:t>(a)</w:t>
      </w:r>
      <w:r>
        <w:rPr>
          <w:snapToGrid w:val="0"/>
        </w:rPr>
        <w:tab/>
        <w:t>the energy entry amount for the group of connections in respect of that access agreement for the half hour; and</w:t>
      </w:r>
    </w:p>
    <w:p>
      <w:pPr>
        <w:pStyle w:val="Indenta"/>
        <w:spacing w:before="60"/>
        <w:rPr>
          <w:snapToGrid w:val="0"/>
        </w:rPr>
      </w:pPr>
      <w:r>
        <w:rPr>
          <w:snapToGrid w:val="0"/>
        </w:rPr>
        <w:tab/>
        <w:t>(b)</w:t>
      </w:r>
      <w:r>
        <w:rPr>
          <w:snapToGrid w:val="0"/>
        </w:rPr>
        <w:tab/>
        <w:t>the energy exit amount for the group of connections for the half hour,</w:t>
      </w:r>
    </w:p>
    <w:p>
      <w:pPr>
        <w:pStyle w:val="Subsection"/>
        <w:spacing w:before="120"/>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spacing w:before="60"/>
        <w:rPr>
          <w:snapToGrid w:val="0"/>
        </w:rPr>
      </w:pPr>
      <w:r>
        <w:rPr>
          <w:snapToGrid w:val="0"/>
        </w:rPr>
        <w:tab/>
        <w:t>(a)</w:t>
      </w:r>
      <w:r>
        <w:rPr>
          <w:snapToGrid w:val="0"/>
        </w:rPr>
        <w:tab/>
        <w:t>a user is materially out of balance in respect of one of its access agreements for a period; and</w:t>
      </w:r>
    </w:p>
    <w:p>
      <w:pPr>
        <w:pStyle w:val="Indenta"/>
        <w:spacing w:before="60"/>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spacing w:before="120"/>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 25 Aug 2006 p. 3499.]</w:t>
      </w:r>
    </w:p>
    <w:p>
      <w:pPr>
        <w:pStyle w:val="Heading2"/>
      </w:pPr>
      <w:bookmarkStart w:id="191" w:name="_Toc92191408"/>
      <w:bookmarkStart w:id="192" w:name="_Toc92191473"/>
      <w:bookmarkStart w:id="193" w:name="_Toc92254590"/>
      <w:bookmarkStart w:id="194" w:name="_Toc107388427"/>
      <w:bookmarkStart w:id="195" w:name="_Toc125447413"/>
      <w:bookmarkStart w:id="196" w:name="_Toc125452826"/>
      <w:bookmarkStart w:id="197" w:name="_Toc131823651"/>
      <w:bookmarkStart w:id="198" w:name="_Toc131823776"/>
      <w:bookmarkStart w:id="199" w:name="_Toc131917348"/>
      <w:bookmarkStart w:id="200" w:name="_Toc135112681"/>
      <w:bookmarkStart w:id="201" w:name="_Toc135207703"/>
      <w:bookmarkStart w:id="202" w:name="_Toc136160920"/>
      <w:bookmarkStart w:id="203" w:name="_Toc138497580"/>
      <w:bookmarkStart w:id="204" w:name="_Toc146527262"/>
      <w:bookmarkStart w:id="205" w:name="_Toc146530175"/>
      <w:bookmarkStart w:id="206" w:name="_Toc171050529"/>
      <w:bookmarkStart w:id="207" w:name="_Toc245188034"/>
      <w:bookmarkStart w:id="208" w:name="_Toc245191455"/>
      <w:bookmarkStart w:id="209" w:name="_Toc247507984"/>
      <w:bookmarkStart w:id="210" w:name="_Toc248545612"/>
      <w:bookmarkStart w:id="211" w:name="_Toc248824644"/>
      <w:bookmarkStart w:id="212" w:name="_Toc248824713"/>
      <w:bookmarkStart w:id="213" w:name="_Toc249324133"/>
      <w:r>
        <w:rPr>
          <w:rStyle w:val="CharPartNo"/>
        </w:rPr>
        <w:t>Part 5</w:t>
      </w:r>
      <w:r>
        <w:rPr>
          <w:rStyle w:val="CharDivNo"/>
        </w:rPr>
        <w:t> </w:t>
      </w:r>
      <w:r>
        <w:t>—</w:t>
      </w:r>
      <w:r>
        <w:rPr>
          <w:rStyle w:val="CharDivText"/>
        </w:rPr>
        <w:t> </w:t>
      </w:r>
      <w:r>
        <w:rPr>
          <w:rStyle w:val="CharPartText"/>
        </w:rPr>
        <w:t>Technical regulation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534108068"/>
      <w:bookmarkStart w:id="215" w:name="_Toc4983164"/>
      <w:bookmarkStart w:id="216" w:name="_Toc131823652"/>
      <w:bookmarkStart w:id="217" w:name="_Toc249324134"/>
      <w:r>
        <w:rPr>
          <w:rStyle w:val="CharSectno"/>
        </w:rPr>
        <w:t>26</w:t>
      </w:r>
      <w:r>
        <w:rPr>
          <w:snapToGrid w:val="0"/>
        </w:rPr>
        <w:t>.</w:t>
      </w:r>
      <w:r>
        <w:rPr>
          <w:snapToGrid w:val="0"/>
        </w:rPr>
        <w:tab/>
        <w:t>Technical Code</w:t>
      </w:r>
      <w:bookmarkEnd w:id="214"/>
      <w:bookmarkEnd w:id="215"/>
      <w:bookmarkEnd w:id="216"/>
      <w:bookmarkEnd w:id="217"/>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spacing w:before="56"/>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spacing w:before="56"/>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spacing w:before="56"/>
        <w:rPr>
          <w:snapToGrid w:val="0"/>
        </w:rPr>
      </w:pPr>
      <w:r>
        <w:rPr>
          <w:snapToGrid w:val="0"/>
        </w:rPr>
        <w:tab/>
        <w:t>(j)</w:t>
      </w:r>
      <w:r>
        <w:rPr>
          <w:snapToGrid w:val="0"/>
        </w:rPr>
        <w:tab/>
        <w:t>procedures which apply to the disconnection of plant or equipment from the electricity transmission network;</w:t>
      </w:r>
    </w:p>
    <w:p>
      <w:pPr>
        <w:pStyle w:val="Indenta"/>
        <w:spacing w:before="56"/>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spacing w:before="56"/>
        <w:rPr>
          <w:snapToGrid w:val="0"/>
        </w:rPr>
      </w:pPr>
      <w:r>
        <w:rPr>
          <w:snapToGrid w:val="0"/>
        </w:rPr>
        <w:tab/>
        <w:t>(l)</w:t>
      </w:r>
      <w:r>
        <w:rPr>
          <w:snapToGrid w:val="0"/>
        </w:rPr>
        <w:tab/>
        <w:t>metering requirements in relation to connections;</w:t>
      </w:r>
    </w:p>
    <w:p>
      <w:pPr>
        <w:pStyle w:val="Indenta"/>
        <w:spacing w:before="56"/>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spacing w:before="56"/>
        <w:rPr>
          <w:snapToGrid w:val="0"/>
        </w:rPr>
      </w:pPr>
      <w:r>
        <w:rPr>
          <w:snapToGrid w:val="0"/>
        </w:rPr>
        <w:tab/>
        <w:t>(n)</w:t>
      </w:r>
      <w:r>
        <w:rPr>
          <w:snapToGrid w:val="0"/>
        </w:rPr>
        <w:tab/>
        <w:t>requirements in relation to under frequency load shedding with which users must comply; and</w:t>
      </w:r>
    </w:p>
    <w:p>
      <w:pPr>
        <w:pStyle w:val="Indenta"/>
        <w:spacing w:before="56"/>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spacing w:before="120"/>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spacing w:before="120"/>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218" w:name="_Toc534108069"/>
      <w:bookmarkStart w:id="219" w:name="_Toc4983165"/>
      <w:bookmarkStart w:id="220" w:name="_Toc131823653"/>
      <w:bookmarkStart w:id="221" w:name="_Toc249324135"/>
      <w:r>
        <w:rPr>
          <w:rStyle w:val="CharSectno"/>
        </w:rPr>
        <w:t>27</w:t>
      </w:r>
      <w:r>
        <w:rPr>
          <w:snapToGrid w:val="0"/>
        </w:rPr>
        <w:t>.</w:t>
      </w:r>
      <w:r>
        <w:rPr>
          <w:snapToGrid w:val="0"/>
        </w:rPr>
        <w:tab/>
        <w:t>Network planning criteria</w:t>
      </w:r>
      <w:bookmarkEnd w:id="218"/>
      <w:bookmarkEnd w:id="219"/>
      <w:bookmarkEnd w:id="220"/>
      <w:bookmarkEnd w:id="221"/>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222" w:name="_Toc534108070"/>
      <w:bookmarkStart w:id="223" w:name="_Toc4983166"/>
      <w:bookmarkStart w:id="224" w:name="_Toc131823654"/>
      <w:bookmarkStart w:id="225" w:name="_Toc249324136"/>
      <w:r>
        <w:rPr>
          <w:rStyle w:val="CharSectno"/>
        </w:rPr>
        <w:t>28</w:t>
      </w:r>
      <w:r>
        <w:rPr>
          <w:snapToGrid w:val="0"/>
        </w:rPr>
        <w:t>.</w:t>
      </w:r>
      <w:r>
        <w:rPr>
          <w:snapToGrid w:val="0"/>
        </w:rPr>
        <w:tab/>
        <w:t>Good electricity industry practice</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226" w:name="_Toc534108071"/>
      <w:bookmarkStart w:id="227" w:name="_Toc4983167"/>
      <w:bookmarkStart w:id="228" w:name="_Toc131823655"/>
      <w:bookmarkStart w:id="229" w:name="_Toc249324137"/>
      <w:r>
        <w:rPr>
          <w:rStyle w:val="CharSectno"/>
        </w:rPr>
        <w:t>29</w:t>
      </w:r>
      <w:r>
        <w:rPr>
          <w:snapToGrid w:val="0"/>
        </w:rPr>
        <w:t>.</w:t>
      </w:r>
      <w:r>
        <w:rPr>
          <w:snapToGrid w:val="0"/>
        </w:rPr>
        <w:tab/>
        <w:t>Interruption and curtailment powers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230" w:name="_Toc534108072"/>
      <w:bookmarkStart w:id="231" w:name="_Toc4983168"/>
      <w:bookmarkStart w:id="232" w:name="_Toc131823656"/>
      <w:bookmarkStart w:id="233" w:name="_Toc249324138"/>
      <w:r>
        <w:rPr>
          <w:rStyle w:val="CharSectno"/>
        </w:rPr>
        <w:t>30</w:t>
      </w:r>
      <w:r>
        <w:rPr>
          <w:snapToGrid w:val="0"/>
        </w:rPr>
        <w:t>.</w:t>
      </w:r>
      <w:r>
        <w:rPr>
          <w:snapToGrid w:val="0"/>
        </w:rPr>
        <w:tab/>
        <w:t>Safety and security of electricity transmission network</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keepNext/>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234" w:name="_Toc534108073"/>
      <w:bookmarkStart w:id="235" w:name="_Toc4983169"/>
      <w:bookmarkStart w:id="236" w:name="_Toc131823657"/>
      <w:bookmarkStart w:id="237" w:name="_Toc249324139"/>
      <w:r>
        <w:rPr>
          <w:rStyle w:val="CharSectno"/>
        </w:rPr>
        <w:t>31</w:t>
      </w:r>
      <w:r>
        <w:rPr>
          <w:snapToGrid w:val="0"/>
        </w:rPr>
        <w:t>.</w:t>
      </w:r>
      <w:r>
        <w:rPr>
          <w:snapToGrid w:val="0"/>
        </w:rPr>
        <w:tab/>
        <w:t>Operation, maintenance and extension planning</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spacing w:before="140"/>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spacing w:before="140"/>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spacing w:before="140"/>
        <w:rPr>
          <w:snapToGrid w:val="0"/>
        </w:rPr>
      </w:pPr>
      <w:r>
        <w:rPr>
          <w:snapToGrid w:val="0"/>
        </w:rPr>
        <w:tab/>
        <w:t>(5)</w:t>
      </w:r>
      <w:r>
        <w:rPr>
          <w:snapToGrid w:val="0"/>
        </w:rPr>
        <w:tab/>
        <w:t>A maintenance schedule or a maintenance plan must — </w:t>
      </w:r>
    </w:p>
    <w:p>
      <w:pPr>
        <w:pStyle w:val="Indenta"/>
        <w:spacing w:before="60"/>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spacing w:before="60"/>
        <w:rPr>
          <w:snapToGrid w:val="0"/>
        </w:rPr>
      </w:pPr>
      <w:r>
        <w:rPr>
          <w:snapToGrid w:val="0"/>
        </w:rPr>
        <w:tab/>
        <w:t>(b)</w:t>
      </w:r>
      <w:r>
        <w:rPr>
          <w:snapToGrid w:val="0"/>
        </w:rPr>
        <w:tab/>
        <w:t>specify the work planned to be carried out during each such outage;</w:t>
      </w:r>
    </w:p>
    <w:p>
      <w:pPr>
        <w:pStyle w:val="Indenta"/>
        <w:spacing w:before="60"/>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spacing w:before="60"/>
        <w:rPr>
          <w:snapToGrid w:val="0"/>
        </w:rPr>
      </w:pPr>
      <w:r>
        <w:rPr>
          <w:snapToGrid w:val="0"/>
        </w:rPr>
        <w:tab/>
        <w:t>(d)</w:t>
      </w:r>
      <w:r>
        <w:rPr>
          <w:snapToGrid w:val="0"/>
        </w:rPr>
        <w:tab/>
        <w:t>be consistent with good electricity industry practice.</w:t>
      </w:r>
    </w:p>
    <w:p>
      <w:pPr>
        <w:pStyle w:val="Subsection"/>
        <w:spacing w:before="140"/>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238" w:name="_Toc534108074"/>
      <w:bookmarkStart w:id="239" w:name="_Toc4983170"/>
      <w:bookmarkStart w:id="240" w:name="_Toc131823658"/>
      <w:bookmarkStart w:id="241" w:name="_Toc249324140"/>
      <w:r>
        <w:rPr>
          <w:rStyle w:val="CharSectno"/>
        </w:rPr>
        <w:t>32</w:t>
      </w:r>
      <w:r>
        <w:rPr>
          <w:snapToGrid w:val="0"/>
        </w:rPr>
        <w:t>.</w:t>
      </w:r>
      <w:r>
        <w:rPr>
          <w:snapToGrid w:val="0"/>
        </w:rPr>
        <w:tab/>
        <w:t>Information required to prepare annual reports</w:t>
      </w:r>
      <w:bookmarkEnd w:id="238"/>
      <w:bookmarkEnd w:id="239"/>
      <w:bookmarkEnd w:id="240"/>
      <w:bookmarkEnd w:id="241"/>
      <w:r>
        <w:rPr>
          <w:snapToGrid w:val="0"/>
        </w:rPr>
        <w:t xml:space="preserve"> </w:t>
      </w:r>
    </w:p>
    <w:p>
      <w:pPr>
        <w:pStyle w:val="Subsection"/>
        <w:spacing w:before="140"/>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spacing w:before="140"/>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 26 Jun 2007 p. 3024.]</w:t>
      </w:r>
    </w:p>
    <w:p>
      <w:pPr>
        <w:pStyle w:val="Heading5"/>
        <w:rPr>
          <w:snapToGrid w:val="0"/>
        </w:rPr>
      </w:pPr>
      <w:bookmarkStart w:id="242" w:name="_Toc534108075"/>
      <w:bookmarkStart w:id="243" w:name="_Toc4983171"/>
      <w:bookmarkStart w:id="244" w:name="_Toc131823659"/>
      <w:bookmarkStart w:id="245" w:name="_Toc249324141"/>
      <w:r>
        <w:rPr>
          <w:rStyle w:val="CharSectno"/>
        </w:rPr>
        <w:t>33</w:t>
      </w:r>
      <w:r>
        <w:rPr>
          <w:snapToGrid w:val="0"/>
        </w:rPr>
        <w:t>.</w:t>
      </w:r>
      <w:r>
        <w:rPr>
          <w:snapToGrid w:val="0"/>
        </w:rPr>
        <w:tab/>
        <w:t>Augmentation of the electricity transmission network</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246" w:name="_Toc92191417"/>
      <w:bookmarkStart w:id="247" w:name="_Toc92191482"/>
      <w:bookmarkStart w:id="248" w:name="_Toc92254599"/>
      <w:bookmarkStart w:id="249" w:name="_Toc107388436"/>
      <w:bookmarkStart w:id="250" w:name="_Toc125447422"/>
      <w:bookmarkStart w:id="251" w:name="_Toc125452835"/>
      <w:bookmarkStart w:id="252" w:name="_Toc131823660"/>
      <w:bookmarkStart w:id="253" w:name="_Toc131823785"/>
      <w:bookmarkStart w:id="254" w:name="_Toc131917357"/>
      <w:bookmarkStart w:id="255" w:name="_Toc135112690"/>
      <w:bookmarkStart w:id="256" w:name="_Toc135207712"/>
      <w:bookmarkStart w:id="257" w:name="_Toc136160929"/>
      <w:bookmarkStart w:id="258" w:name="_Toc138497589"/>
      <w:bookmarkStart w:id="259" w:name="_Toc146527271"/>
      <w:bookmarkStart w:id="260" w:name="_Toc146530184"/>
      <w:bookmarkStart w:id="261" w:name="_Toc171050538"/>
      <w:bookmarkStart w:id="262" w:name="_Toc245188043"/>
      <w:bookmarkStart w:id="263" w:name="_Toc245191464"/>
      <w:bookmarkStart w:id="264" w:name="_Toc247507993"/>
      <w:bookmarkStart w:id="265" w:name="_Toc248545621"/>
      <w:bookmarkStart w:id="266" w:name="_Toc248824653"/>
      <w:bookmarkStart w:id="267" w:name="_Toc248824722"/>
      <w:bookmarkStart w:id="268" w:name="_Toc249324142"/>
      <w:r>
        <w:rPr>
          <w:rStyle w:val="CharPartNo"/>
        </w:rPr>
        <w:t>Part 6</w:t>
      </w:r>
      <w:r>
        <w:rPr>
          <w:rStyle w:val="CharDivNo"/>
        </w:rPr>
        <w:t> </w:t>
      </w:r>
      <w:r>
        <w:t>—</w:t>
      </w:r>
      <w:r>
        <w:rPr>
          <w:rStyle w:val="CharDivText"/>
        </w:rPr>
        <w:t> </w:t>
      </w:r>
      <w:r>
        <w:rPr>
          <w:rStyle w:val="CharPartText"/>
        </w:rPr>
        <w:t>Access terms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534108076"/>
      <w:bookmarkStart w:id="270" w:name="_Toc4983172"/>
      <w:bookmarkStart w:id="271" w:name="_Toc131823661"/>
      <w:bookmarkStart w:id="272" w:name="_Toc249324143"/>
      <w:r>
        <w:rPr>
          <w:rStyle w:val="CharSectno"/>
        </w:rPr>
        <w:t>34</w:t>
      </w:r>
      <w:r>
        <w:rPr>
          <w:snapToGrid w:val="0"/>
        </w:rPr>
        <w:t>.</w:t>
      </w:r>
      <w:r>
        <w:rPr>
          <w:snapToGrid w:val="0"/>
        </w:rPr>
        <w:tab/>
        <w:t>Reasonable endeavours</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273" w:name="_Toc534108077"/>
      <w:bookmarkStart w:id="274" w:name="_Toc4983173"/>
      <w:bookmarkStart w:id="275" w:name="_Toc131823662"/>
      <w:bookmarkStart w:id="276" w:name="_Toc249324144"/>
      <w:r>
        <w:rPr>
          <w:rStyle w:val="CharSectno"/>
        </w:rPr>
        <w:t>35</w:t>
      </w:r>
      <w:r>
        <w:rPr>
          <w:snapToGrid w:val="0"/>
        </w:rPr>
        <w:t>.</w:t>
      </w:r>
      <w:r>
        <w:rPr>
          <w:snapToGrid w:val="0"/>
        </w:rPr>
        <w:tab/>
      </w:r>
      <w:r>
        <w:rPr>
          <w:i/>
          <w:snapToGrid w:val="0"/>
        </w:rPr>
        <w:t>Force majeure</w:t>
      </w:r>
      <w:r>
        <w:rPr>
          <w:snapToGrid w:val="0"/>
        </w:rPr>
        <w:t xml:space="preserve"> and interruption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277" w:name="_Toc534108078"/>
      <w:bookmarkStart w:id="278" w:name="_Toc4983174"/>
      <w:bookmarkStart w:id="279" w:name="_Toc131823663"/>
      <w:bookmarkStart w:id="280" w:name="_Toc249324145"/>
      <w:r>
        <w:rPr>
          <w:rStyle w:val="CharSectno"/>
        </w:rPr>
        <w:t>36</w:t>
      </w:r>
      <w:r>
        <w:rPr>
          <w:snapToGrid w:val="0"/>
        </w:rPr>
        <w:t>.</w:t>
      </w:r>
      <w:r>
        <w:rPr>
          <w:snapToGrid w:val="0"/>
        </w:rPr>
        <w:tab/>
        <w:t>Effect of access to capacity</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81" w:name="_Toc534108079"/>
      <w:bookmarkStart w:id="282" w:name="_Toc4983175"/>
      <w:bookmarkStart w:id="283" w:name="_Toc131823664"/>
      <w:bookmarkStart w:id="284" w:name="_Toc249324146"/>
      <w:r>
        <w:rPr>
          <w:rStyle w:val="CharSectno"/>
        </w:rPr>
        <w:t>37</w:t>
      </w:r>
      <w:r>
        <w:rPr>
          <w:snapToGrid w:val="0"/>
        </w:rPr>
        <w:t>.</w:t>
      </w:r>
      <w:r>
        <w:rPr>
          <w:snapToGrid w:val="0"/>
        </w:rPr>
        <w:tab/>
        <w:t>Minimum term and renewal</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85" w:name="_Toc534108080"/>
      <w:bookmarkStart w:id="286" w:name="_Toc4983176"/>
      <w:bookmarkStart w:id="287" w:name="_Toc131823665"/>
      <w:bookmarkStart w:id="288" w:name="_Toc249324147"/>
      <w:r>
        <w:rPr>
          <w:rStyle w:val="CharSectno"/>
        </w:rPr>
        <w:t>38</w:t>
      </w:r>
      <w:r>
        <w:rPr>
          <w:snapToGrid w:val="0"/>
        </w:rPr>
        <w:t>.</w:t>
      </w:r>
      <w:r>
        <w:rPr>
          <w:snapToGrid w:val="0"/>
        </w:rPr>
        <w:tab/>
        <w:t>Contract maximum demand and declared sent</w:t>
      </w:r>
      <w:r>
        <w:rPr>
          <w:snapToGrid w:val="0"/>
        </w:rPr>
        <w:noBreakHyphen/>
        <w:t>out capacity</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keepNext/>
        <w:keepLines/>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89" w:name="_Toc534108081"/>
      <w:bookmarkStart w:id="290" w:name="_Toc4983177"/>
      <w:bookmarkStart w:id="291" w:name="_Toc131823666"/>
      <w:bookmarkStart w:id="292" w:name="_Toc249324148"/>
      <w:r>
        <w:rPr>
          <w:rStyle w:val="CharSectno"/>
        </w:rPr>
        <w:t>39</w:t>
      </w:r>
      <w:r>
        <w:rPr>
          <w:snapToGrid w:val="0"/>
        </w:rPr>
        <w:t>.</w:t>
      </w:r>
      <w:r>
        <w:rPr>
          <w:snapToGrid w:val="0"/>
        </w:rPr>
        <w:tab/>
        <w:t>Commencement date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93" w:name="_Toc92191424"/>
      <w:bookmarkStart w:id="294" w:name="_Toc92191489"/>
      <w:bookmarkStart w:id="295" w:name="_Toc92254606"/>
      <w:bookmarkStart w:id="296" w:name="_Toc107388443"/>
      <w:bookmarkStart w:id="297" w:name="_Toc125447429"/>
      <w:bookmarkStart w:id="298" w:name="_Toc125452842"/>
      <w:bookmarkStart w:id="299" w:name="_Toc131823667"/>
      <w:bookmarkStart w:id="300" w:name="_Toc131823792"/>
      <w:bookmarkStart w:id="301" w:name="_Toc131917364"/>
      <w:bookmarkStart w:id="302" w:name="_Toc135112697"/>
      <w:bookmarkStart w:id="303" w:name="_Toc135207719"/>
      <w:bookmarkStart w:id="304" w:name="_Toc136160936"/>
      <w:bookmarkStart w:id="305" w:name="_Toc138497596"/>
      <w:bookmarkStart w:id="306" w:name="_Toc146527278"/>
      <w:bookmarkStart w:id="307" w:name="_Toc146530191"/>
      <w:bookmarkStart w:id="308" w:name="_Toc171050545"/>
      <w:bookmarkStart w:id="309" w:name="_Toc245188050"/>
      <w:bookmarkStart w:id="310" w:name="_Toc245191471"/>
      <w:bookmarkStart w:id="311" w:name="_Toc247508000"/>
      <w:bookmarkStart w:id="312" w:name="_Toc248545628"/>
      <w:bookmarkStart w:id="313" w:name="_Toc248824660"/>
      <w:bookmarkStart w:id="314" w:name="_Toc248824729"/>
      <w:bookmarkStart w:id="315" w:name="_Toc249324149"/>
      <w:r>
        <w:rPr>
          <w:rStyle w:val="CharPartNo"/>
        </w:rPr>
        <w:t>Part 7</w:t>
      </w:r>
      <w:r>
        <w:rPr>
          <w:rStyle w:val="CharDivNo"/>
        </w:rPr>
        <w:t> </w:t>
      </w:r>
      <w:r>
        <w:t>—</w:t>
      </w:r>
      <w:r>
        <w:rPr>
          <w:rStyle w:val="CharDivText"/>
        </w:rPr>
        <w:t> </w:t>
      </w:r>
      <w:r>
        <w:rPr>
          <w:rStyle w:val="CharPartText"/>
        </w:rPr>
        <w:t>Enforcement, liability and insurance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534108082"/>
      <w:bookmarkStart w:id="317" w:name="_Toc4983178"/>
      <w:bookmarkStart w:id="318" w:name="_Toc131823668"/>
      <w:bookmarkStart w:id="319" w:name="_Toc249324150"/>
      <w:r>
        <w:rPr>
          <w:rStyle w:val="CharSectno"/>
        </w:rPr>
        <w:t>40</w:t>
      </w:r>
      <w:r>
        <w:rPr>
          <w:snapToGrid w:val="0"/>
        </w:rPr>
        <w:t>.</w:t>
      </w:r>
      <w:r>
        <w:rPr>
          <w:snapToGrid w:val="0"/>
        </w:rPr>
        <w:tab/>
        <w:t>Enforcement</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320" w:name="_Toc534108083"/>
      <w:bookmarkStart w:id="321" w:name="_Toc4983179"/>
      <w:bookmarkStart w:id="322" w:name="_Toc131823669"/>
      <w:bookmarkStart w:id="323" w:name="_Toc249324151"/>
      <w:r>
        <w:rPr>
          <w:rStyle w:val="CharSectno"/>
        </w:rPr>
        <w:t>41</w:t>
      </w:r>
      <w:r>
        <w:rPr>
          <w:snapToGrid w:val="0"/>
        </w:rPr>
        <w:t>.</w:t>
      </w:r>
      <w:r>
        <w:rPr>
          <w:snapToGrid w:val="0"/>
        </w:rPr>
        <w:tab/>
        <w:t>Liability, insurance and indemnity</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324" w:name="_Toc92191427"/>
      <w:bookmarkStart w:id="325" w:name="_Toc92191492"/>
      <w:bookmarkStart w:id="326" w:name="_Toc92254609"/>
      <w:bookmarkStart w:id="327" w:name="_Toc107388446"/>
      <w:bookmarkStart w:id="328" w:name="_Toc125447432"/>
      <w:bookmarkStart w:id="329" w:name="_Toc125452845"/>
      <w:bookmarkStart w:id="330" w:name="_Toc131823670"/>
      <w:bookmarkStart w:id="331" w:name="_Toc131823795"/>
      <w:bookmarkStart w:id="332" w:name="_Toc131917367"/>
      <w:bookmarkStart w:id="333" w:name="_Toc135112700"/>
      <w:bookmarkStart w:id="334" w:name="_Toc135207722"/>
      <w:bookmarkStart w:id="335" w:name="_Toc136160939"/>
      <w:bookmarkStart w:id="336" w:name="_Toc138497599"/>
      <w:bookmarkStart w:id="337" w:name="_Toc146527281"/>
      <w:bookmarkStart w:id="338" w:name="_Toc146530194"/>
      <w:bookmarkStart w:id="339" w:name="_Toc171050548"/>
      <w:bookmarkStart w:id="340" w:name="_Toc245188053"/>
      <w:bookmarkStart w:id="341" w:name="_Toc245191474"/>
      <w:bookmarkStart w:id="342" w:name="_Toc247508003"/>
      <w:bookmarkStart w:id="343" w:name="_Toc248545631"/>
      <w:bookmarkStart w:id="344" w:name="_Toc248824663"/>
      <w:bookmarkStart w:id="345" w:name="_Toc248824732"/>
      <w:bookmarkStart w:id="346" w:name="_Toc249324152"/>
      <w:r>
        <w:rPr>
          <w:rStyle w:val="CharPartNo"/>
        </w:rPr>
        <w:t>Part 8</w:t>
      </w:r>
      <w:r>
        <w:rPr>
          <w:rStyle w:val="CharDivNo"/>
        </w:rPr>
        <w:t> </w:t>
      </w:r>
      <w:r>
        <w:t>—</w:t>
      </w:r>
      <w:r>
        <w:rPr>
          <w:rStyle w:val="CharDivText"/>
        </w:rPr>
        <w:t> </w:t>
      </w:r>
      <w:r>
        <w:rPr>
          <w:rStyle w:val="CharPartText"/>
        </w:rPr>
        <w:t>Other matters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Ednotesection"/>
      </w:pPr>
      <w:bookmarkStart w:id="347" w:name="_Toc534108085"/>
      <w:bookmarkStart w:id="348" w:name="_Toc4983181"/>
      <w:bookmarkStart w:id="349" w:name="_Toc131823672"/>
      <w:r>
        <w:t>[</w:t>
      </w:r>
      <w:r>
        <w:rPr>
          <w:b/>
          <w:bCs/>
        </w:rPr>
        <w:t>42.</w:t>
      </w:r>
      <w:r>
        <w:tab/>
        <w:t>Deleted in Gazette 25 Aug 2006 p. 3499.]</w:t>
      </w:r>
    </w:p>
    <w:p>
      <w:pPr>
        <w:pStyle w:val="Heading5"/>
        <w:rPr>
          <w:snapToGrid w:val="0"/>
        </w:rPr>
      </w:pPr>
      <w:bookmarkStart w:id="350" w:name="_Toc249324153"/>
      <w:r>
        <w:rPr>
          <w:rStyle w:val="CharSectno"/>
        </w:rPr>
        <w:t>43</w:t>
      </w:r>
      <w:r>
        <w:rPr>
          <w:snapToGrid w:val="0"/>
        </w:rPr>
        <w:t>.</w:t>
      </w:r>
      <w:r>
        <w:rPr>
          <w:snapToGrid w:val="0"/>
        </w:rPr>
        <w:tab/>
        <w:t>Prudential requirements</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351" w:name="_Toc534108086"/>
      <w:bookmarkStart w:id="352" w:name="_Toc4983182"/>
      <w:bookmarkStart w:id="353" w:name="_Toc131823673"/>
      <w:bookmarkStart w:id="354" w:name="_Toc249324154"/>
      <w:r>
        <w:rPr>
          <w:rStyle w:val="CharSectno"/>
        </w:rPr>
        <w:t>44</w:t>
      </w:r>
      <w:r>
        <w:rPr>
          <w:snapToGrid w:val="0"/>
        </w:rPr>
        <w:t>.</w:t>
      </w:r>
      <w:r>
        <w:rPr>
          <w:snapToGrid w:val="0"/>
        </w:rPr>
        <w:tab/>
        <w:t>Title to electricity</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355" w:name="_Toc534108087"/>
      <w:bookmarkStart w:id="356" w:name="_Toc4983183"/>
      <w:bookmarkStart w:id="357" w:name="_Toc131823674"/>
      <w:bookmarkStart w:id="358" w:name="_Toc249324155"/>
      <w:r>
        <w:rPr>
          <w:rStyle w:val="CharSectno"/>
        </w:rPr>
        <w:t>45</w:t>
      </w:r>
      <w:r>
        <w:rPr>
          <w:snapToGrid w:val="0"/>
        </w:rPr>
        <w:t>.</w:t>
      </w:r>
      <w:r>
        <w:rPr>
          <w:snapToGrid w:val="0"/>
        </w:rPr>
        <w:tab/>
        <w:t>Assignment of access agreements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 26 Jun 2007 p. 3024.]</w:t>
      </w:r>
    </w:p>
    <w:p>
      <w:pPr>
        <w:pStyle w:val="Heading5"/>
        <w:rPr>
          <w:snapToGrid w:val="0"/>
        </w:rPr>
      </w:pPr>
      <w:bookmarkStart w:id="359" w:name="_Toc534108088"/>
      <w:bookmarkStart w:id="360" w:name="_Toc4983184"/>
      <w:bookmarkStart w:id="361" w:name="_Toc131823675"/>
      <w:bookmarkStart w:id="362" w:name="_Toc249324156"/>
      <w:r>
        <w:rPr>
          <w:rStyle w:val="CharSectno"/>
        </w:rPr>
        <w:t>46</w:t>
      </w:r>
      <w:r>
        <w:rPr>
          <w:snapToGrid w:val="0"/>
        </w:rPr>
        <w:t>.</w:t>
      </w:r>
      <w:r>
        <w:rPr>
          <w:snapToGrid w:val="0"/>
        </w:rPr>
        <w:tab/>
        <w:t>Essential terms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bookmarkStart w:id="363" w:name="_Toc534108089"/>
      <w:bookmarkStart w:id="364" w:name="_Toc4983185"/>
      <w:bookmarkStart w:id="365" w:name="_Toc131823676"/>
      <w:r>
        <w:tab/>
        <w:t>[Regulation 46 amended in Gazette 26 Jun 2007 p. 3024.]</w:t>
      </w:r>
    </w:p>
    <w:p>
      <w:pPr>
        <w:pStyle w:val="Heading5"/>
        <w:rPr>
          <w:snapToGrid w:val="0"/>
        </w:rPr>
      </w:pPr>
      <w:bookmarkStart w:id="366" w:name="_Toc249324157"/>
      <w:r>
        <w:rPr>
          <w:rStyle w:val="CharSectno"/>
        </w:rPr>
        <w:t>47</w:t>
      </w:r>
      <w:r>
        <w:rPr>
          <w:snapToGrid w:val="0"/>
        </w:rPr>
        <w:t>.</w:t>
      </w:r>
      <w:r>
        <w:rPr>
          <w:snapToGrid w:val="0"/>
        </w:rPr>
        <w:tab/>
        <w:t>Representations and warranties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367" w:name="_Toc534108090"/>
      <w:bookmarkStart w:id="368" w:name="_Toc4983186"/>
      <w:bookmarkStart w:id="369" w:name="_Toc131823677"/>
      <w:bookmarkStart w:id="370" w:name="_Toc249324158"/>
      <w:r>
        <w:rPr>
          <w:rStyle w:val="CharSectno"/>
        </w:rPr>
        <w:t>48</w:t>
      </w:r>
      <w:r>
        <w:rPr>
          <w:snapToGrid w:val="0"/>
        </w:rPr>
        <w:t>.</w:t>
      </w:r>
      <w:r>
        <w:rPr>
          <w:snapToGrid w:val="0"/>
        </w:rPr>
        <w:tab/>
        <w:t>Payment arrangements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371" w:name="_Toc92191435"/>
      <w:bookmarkStart w:id="372" w:name="_Toc92191500"/>
      <w:bookmarkStart w:id="373" w:name="_Toc92254617"/>
      <w:bookmarkStart w:id="374" w:name="_Toc107388454"/>
      <w:bookmarkStart w:id="375" w:name="_Toc125447440"/>
      <w:bookmarkStart w:id="376" w:name="_Toc125452853"/>
      <w:bookmarkStart w:id="377" w:name="_Toc131823678"/>
      <w:bookmarkStart w:id="378" w:name="_Toc131823803"/>
      <w:bookmarkStart w:id="379" w:name="_Toc131917375"/>
      <w:bookmarkStart w:id="380" w:name="_Toc135112708"/>
      <w:bookmarkStart w:id="381" w:name="_Toc135207730"/>
      <w:bookmarkStart w:id="382" w:name="_Toc136160947"/>
      <w:bookmarkStart w:id="383" w:name="_Toc138497607"/>
      <w:bookmarkStart w:id="384" w:name="_Toc146527289"/>
      <w:bookmarkStart w:id="385" w:name="_Toc146530201"/>
      <w:bookmarkStart w:id="386" w:name="_Toc171050555"/>
      <w:bookmarkStart w:id="387" w:name="_Toc245188060"/>
      <w:bookmarkStart w:id="388" w:name="_Toc245191481"/>
      <w:bookmarkStart w:id="389" w:name="_Toc247508010"/>
      <w:bookmarkStart w:id="390" w:name="_Toc248545638"/>
      <w:bookmarkStart w:id="391" w:name="_Toc248824670"/>
      <w:bookmarkStart w:id="392" w:name="_Toc248824739"/>
      <w:bookmarkStart w:id="393" w:name="_Toc249324159"/>
      <w:r>
        <w:rPr>
          <w:rStyle w:val="CharPartNo"/>
        </w:rPr>
        <w:t>Part 9</w:t>
      </w:r>
      <w:r>
        <w:rPr>
          <w:rStyle w:val="CharDivNo"/>
        </w:rPr>
        <w:t> </w:t>
      </w:r>
      <w:r>
        <w:t>—</w:t>
      </w:r>
      <w:r>
        <w:rPr>
          <w:rStyle w:val="CharDivText"/>
        </w:rPr>
        <w:t> </w:t>
      </w:r>
      <w:r>
        <w:rPr>
          <w:rStyle w:val="CharPartText"/>
        </w:rPr>
        <w:t>Committed capacity and transitional provisions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pPr>
      <w:bookmarkStart w:id="394" w:name="_Toc131823680"/>
      <w:bookmarkStart w:id="395" w:name="_Toc249324160"/>
      <w:bookmarkStart w:id="396" w:name="_Toc534108092"/>
      <w:bookmarkStart w:id="397" w:name="_Toc4983188"/>
      <w:r>
        <w:rPr>
          <w:rStyle w:val="CharSectno"/>
        </w:rPr>
        <w:t>49</w:t>
      </w:r>
      <w:r>
        <w:t>.</w:t>
      </w:r>
      <w:r>
        <w:tab/>
        <w:t>Regional Power Corporation’s existing capacity</w:t>
      </w:r>
      <w:bookmarkEnd w:id="394"/>
      <w:bookmarkEnd w:id="395"/>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398" w:name="_Toc131823681"/>
      <w:bookmarkStart w:id="399" w:name="_Toc249324161"/>
      <w:r>
        <w:rPr>
          <w:rStyle w:val="CharSectno"/>
        </w:rPr>
        <w:t>49A</w:t>
      </w:r>
      <w:r>
        <w:t>.</w:t>
      </w:r>
      <w:r>
        <w:tab/>
        <w:t>Contract maximum demand for existing connections</w:t>
      </w:r>
      <w:bookmarkEnd w:id="398"/>
      <w:bookmarkEnd w:id="399"/>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400" w:name="_Toc131823682"/>
      <w:bookmarkStart w:id="401" w:name="_Toc249324162"/>
      <w:r>
        <w:rPr>
          <w:rStyle w:val="CharSectno"/>
        </w:rPr>
        <w:t>50</w:t>
      </w:r>
      <w:r>
        <w:rPr>
          <w:snapToGrid w:val="0"/>
        </w:rPr>
        <w:t>.</w:t>
      </w:r>
      <w:r>
        <w:rPr>
          <w:snapToGrid w:val="0"/>
        </w:rPr>
        <w:tab/>
        <w:t>Existing agreements</w:t>
      </w:r>
      <w:bookmarkEnd w:id="396"/>
      <w:bookmarkEnd w:id="397"/>
      <w:bookmarkEnd w:id="400"/>
      <w:bookmarkEnd w:id="401"/>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402" w:name="_Toc125452856"/>
      <w:bookmarkStart w:id="403" w:name="_Toc131823683"/>
      <w:bookmarkStart w:id="404" w:name="_Toc131823808"/>
      <w:bookmarkStart w:id="405" w:name="_Toc131917379"/>
      <w:bookmarkStart w:id="406" w:name="_Toc135112712"/>
      <w:bookmarkStart w:id="407" w:name="_Toc135207734"/>
      <w:bookmarkStart w:id="408" w:name="_Toc136160951"/>
      <w:bookmarkStart w:id="409" w:name="_Toc138497611"/>
      <w:bookmarkStart w:id="410" w:name="_Toc146527293"/>
      <w:bookmarkStart w:id="411" w:name="_Toc146530205"/>
      <w:bookmarkStart w:id="412" w:name="_Toc171050559"/>
      <w:bookmarkStart w:id="413" w:name="_Toc245188064"/>
      <w:bookmarkStart w:id="414" w:name="_Toc245191485"/>
      <w:bookmarkStart w:id="415" w:name="_Toc247508014"/>
      <w:bookmarkStart w:id="416" w:name="_Toc248545642"/>
      <w:bookmarkStart w:id="417" w:name="_Toc248824674"/>
      <w:bookmarkStart w:id="418" w:name="_Toc248824743"/>
      <w:bookmarkStart w:id="419" w:name="_Toc249324163"/>
      <w:r>
        <w:rPr>
          <w:rStyle w:val="CharSchNo"/>
        </w:rPr>
        <w:t>Schedule 1</w:t>
      </w:r>
      <w:r>
        <w:rPr>
          <w:rStyle w:val="CharSDivNo"/>
          <w:sz w:val="28"/>
        </w:rPr>
        <w:t> </w:t>
      </w:r>
      <w:r>
        <w:t>—</w:t>
      </w:r>
      <w:r>
        <w:rPr>
          <w:rStyle w:val="CharSDivText"/>
          <w:sz w:val="28"/>
        </w:rPr>
        <w:t> </w:t>
      </w:r>
      <w:r>
        <w:rPr>
          <w:rStyle w:val="CharSchText"/>
        </w:rPr>
        <w:t>Access application flow chart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NAm"/>
              <w:tabs>
                <w:tab w:val="clear" w:pos="567"/>
                <w:tab w:val="left" w:pos="360"/>
              </w:tabs>
              <w:spacing w:before="60"/>
              <w:ind w:left="360" w:hanging="3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spacing w:before="60"/>
              <w:rPr>
                <w:snapToGrid w:val="0"/>
              </w:rPr>
            </w:pPr>
          </w:p>
        </w:tc>
        <w:tc>
          <w:tcPr>
            <w:tcW w:w="2330" w:type="dxa"/>
            <w:gridSpan w:val="2"/>
            <w:tcBorders>
              <w:top w:val="nil"/>
              <w:left w:val="nil"/>
              <w:right w:val="nil"/>
            </w:tcBorders>
          </w:tcPr>
          <w:p>
            <w:pPr>
              <w:pStyle w:val="yTableNAm"/>
              <w:tabs>
                <w:tab w:val="clear" w:pos="567"/>
              </w:tabs>
              <w:spacing w:before="60"/>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NAm"/>
              <w:tabs>
                <w:tab w:val="clear" w:pos="567"/>
                <w:tab w:val="left" w:pos="360"/>
              </w:tabs>
              <w:spacing w:before="60"/>
              <w:ind w:left="360" w:hanging="3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3.</w:t>
            </w:r>
            <w:r>
              <w:rPr>
                <w:snapToGrid w:val="0"/>
              </w:rPr>
              <w:tab/>
              <w:t>Prepare written response to access application within 20 business days (unless further information requested by the corporation).</w:t>
            </w:r>
          </w:p>
          <w:p>
            <w:pPr>
              <w:pStyle w:val="yTableNAm"/>
              <w:tabs>
                <w:tab w:val="clear" w:pos="567"/>
                <w:tab w:val="left" w:pos="330"/>
              </w:tabs>
              <w:spacing w:before="60"/>
              <w:ind w:left="330" w:hanging="330"/>
              <w:rPr>
                <w:snapToGrid w:val="0"/>
              </w:rPr>
            </w:pPr>
            <w:r>
              <w:rPr>
                <w:snapToGrid w:val="0"/>
              </w:rPr>
              <w:tab/>
              <w:t>Response to include:</w:t>
            </w:r>
          </w:p>
          <w:p>
            <w:pPr>
              <w:pStyle w:val="yTableNAm"/>
              <w:numPr>
                <w:ilvl w:val="0"/>
                <w:numId w:val="28"/>
              </w:numPr>
              <w:tabs>
                <w:tab w:val="clear" w:pos="567"/>
                <w:tab w:val="left" w:pos="330"/>
              </w:tabs>
              <w:spacing w:before="60"/>
              <w:rPr>
                <w:snapToGrid w:val="0"/>
              </w:rPr>
            </w:pPr>
            <w:r>
              <w:rPr>
                <w:snapToGrid w:val="0"/>
              </w:rPr>
              <w:t>time for preliminary assessment</w:t>
            </w:r>
          </w:p>
          <w:p>
            <w:pPr>
              <w:pStyle w:val="yTableNAm"/>
              <w:numPr>
                <w:ilvl w:val="0"/>
                <w:numId w:val="28"/>
              </w:numPr>
              <w:tabs>
                <w:tab w:val="clear" w:pos="567"/>
                <w:tab w:val="left" w:pos="330"/>
              </w:tabs>
              <w:spacing w:before="60"/>
              <w:rPr>
                <w:snapToGrid w:val="0"/>
              </w:rPr>
            </w:pPr>
            <w:r>
              <w:rPr>
                <w:snapToGrid w:val="0"/>
              </w:rPr>
              <w:t>time to make access offer.</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ind w:left="360" w:hanging="360"/>
              <w:rPr>
                <w:snapToGrid w:val="0"/>
                <w:sz w:val="6"/>
              </w:rPr>
            </w:pPr>
          </w:p>
        </w:tc>
        <w:tc>
          <w:tcPr>
            <w:tcW w:w="590" w:type="dxa"/>
            <w:tcBorders>
              <w:top w:val="single" w:sz="4" w:space="0" w:color="auto"/>
              <w:left w:val="single" w:sz="4" w:space="0" w:color="auto"/>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ind w:left="360" w:hanging="3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rPr>
                <w:snapToGrid w:val="0"/>
              </w:rPr>
            </w:pPr>
          </w:p>
        </w:tc>
        <w:tc>
          <w:tcPr>
            <w:tcW w:w="1947" w:type="dxa"/>
            <w:gridSpan w:val="2"/>
            <w:tcBorders>
              <w:right w:val="nil"/>
            </w:tcBorders>
          </w:tcPr>
          <w:p>
            <w:pPr>
              <w:pStyle w:val="yTableNAm"/>
              <w:tabs>
                <w:tab w:val="clear" w:pos="567"/>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tcBorders>
              <w:bottom w:val="nil"/>
            </w:tcBorders>
          </w:tcPr>
          <w:p>
            <w:pPr>
              <w:pStyle w:val="yTableNAm"/>
              <w:tabs>
                <w:tab w:val="clear" w:pos="567"/>
                <w:tab w:val="left" w:pos="330"/>
              </w:tabs>
              <w:spacing w:before="60"/>
              <w:ind w:left="330" w:hanging="33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ind w:left="720" w:hanging="720"/>
              <w:rPr>
                <w:snapToGrid w:val="0"/>
              </w:rPr>
            </w:pPr>
          </w:p>
        </w:tc>
        <w:tc>
          <w:tcPr>
            <w:tcW w:w="1947" w:type="dxa"/>
            <w:gridSpan w:val="2"/>
            <w:tcBorders>
              <w:right w:val="nil"/>
            </w:tcBorders>
          </w:tcPr>
          <w:p>
            <w:pPr>
              <w:pStyle w:val="yTableNAm"/>
              <w:tabs>
                <w:tab w:val="clear" w:pos="567"/>
                <w:tab w:val="left" w:pos="33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spacing w:before="60"/>
              <w:rPr>
                <w:snapToGrid w:val="0"/>
                <w:sz w:val="12"/>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tcPr>
          <w:p>
            <w:pPr>
              <w:pStyle w:val="yTableNAm"/>
              <w:tabs>
                <w:tab w:val="clear" w:pos="567"/>
                <w:tab w:val="left" w:pos="360"/>
              </w:tabs>
              <w:spacing w:before="60"/>
              <w:ind w:left="360" w:hanging="360"/>
              <w:rPr>
                <w:snapToGrid w:val="0"/>
                <w:sz w:val="12"/>
              </w:rPr>
            </w:pPr>
          </w:p>
        </w:tc>
        <w:tc>
          <w:tcPr>
            <w:tcW w:w="590" w:type="dxa"/>
            <w:tcBorders>
              <w:bottom w:val="nil"/>
            </w:tcBorders>
          </w:tcPr>
          <w:p>
            <w:pPr>
              <w:pStyle w:val="yTableNAm"/>
              <w:spacing w:before="60"/>
              <w:rPr>
                <w:snapToGrid w:val="0"/>
                <w:sz w:val="12"/>
              </w:rPr>
            </w:pPr>
          </w:p>
        </w:tc>
        <w:tc>
          <w:tcPr>
            <w:tcW w:w="3790" w:type="dxa"/>
            <w:gridSpan w:val="3"/>
            <w:vMerge/>
            <w:tcBorders>
              <w:bottom w:val="nil"/>
            </w:tcBorders>
          </w:tcPr>
          <w:p>
            <w:pPr>
              <w:pStyle w:val="yTableNAm"/>
              <w:tabs>
                <w:tab w:val="clear" w:pos="567"/>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ind w:left="360" w:hanging="360"/>
              <w:rPr>
                <w:snapToGrid w:val="0"/>
              </w:rPr>
            </w:pPr>
          </w:p>
        </w:tc>
        <w:tc>
          <w:tcPr>
            <w:tcW w:w="590" w:type="dxa"/>
            <w:tcBorders>
              <w:top w:val="nil"/>
              <w:bottom w:val="nil"/>
              <w:right w:val="nil"/>
            </w:tcBorders>
          </w:tcPr>
          <w:p>
            <w:pPr>
              <w:pStyle w:val="yTableNAm"/>
              <w:spacing w:before="60"/>
              <w:rPr>
                <w:snapToGrid w:val="0"/>
                <w:sz w:val="12"/>
              </w:rPr>
            </w:pPr>
          </w:p>
        </w:tc>
        <w:tc>
          <w:tcPr>
            <w:tcW w:w="3790" w:type="dxa"/>
            <w:gridSpan w:val="3"/>
            <w:tcBorders>
              <w:top w:val="single" w:sz="4" w:space="0" w:color="auto"/>
              <w:left w:val="nil"/>
              <w:right w:val="nil"/>
            </w:tcBorders>
          </w:tcPr>
          <w:p>
            <w:pPr>
              <w:pStyle w:val="yTableNAm"/>
              <w:tabs>
                <w:tab w:val="clear" w:pos="567"/>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ind w:left="360" w:hanging="360"/>
              <w:rPr>
                <w:snapToGrid w:val="0"/>
              </w:rPr>
            </w:pPr>
          </w:p>
        </w:tc>
        <w:tc>
          <w:tcPr>
            <w:tcW w:w="590" w:type="dxa"/>
            <w:tcBorders>
              <w:top w:val="nil"/>
              <w:bottom w:val="single" w:sz="4" w:space="0" w:color="auto"/>
            </w:tcBorders>
          </w:tcPr>
          <w:p>
            <w:pPr>
              <w:pStyle w:val="yTableNAm"/>
              <w:spacing w:before="60"/>
              <w:rPr>
                <w:snapToGrid w:val="0"/>
                <w:sz w:val="6"/>
              </w:rPr>
            </w:pPr>
          </w:p>
        </w:tc>
        <w:tc>
          <w:tcPr>
            <w:tcW w:w="3790" w:type="dxa"/>
            <w:gridSpan w:val="3"/>
            <w:vMerge w:val="restart"/>
            <w:tcBorders>
              <w:top w:val="nil"/>
            </w:tcBorders>
          </w:tcPr>
          <w:p>
            <w:pPr>
              <w:pStyle w:val="yTableNAm"/>
              <w:tabs>
                <w:tab w:val="clear" w:pos="567"/>
                <w:tab w:val="left" w:pos="330"/>
              </w:tabs>
              <w:spacing w:before="60"/>
              <w:ind w:left="330" w:hanging="33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ind w:left="360" w:hanging="3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420" w:name="_Toc125452857"/>
      <w:bookmarkStart w:id="421" w:name="_Toc131823684"/>
      <w:bookmarkStart w:id="422" w:name="_Toc131823809"/>
      <w:bookmarkStart w:id="423" w:name="_Toc131917380"/>
      <w:bookmarkStart w:id="424" w:name="_Toc135112713"/>
      <w:bookmarkStart w:id="425" w:name="_Toc135207735"/>
      <w:bookmarkStart w:id="426" w:name="_Toc136160952"/>
      <w:bookmarkStart w:id="427" w:name="_Toc138497612"/>
      <w:bookmarkStart w:id="428" w:name="_Toc146527294"/>
      <w:bookmarkStart w:id="429" w:name="_Toc146530206"/>
      <w:bookmarkStart w:id="430" w:name="_Toc171050560"/>
      <w:bookmarkStart w:id="431" w:name="_Toc245188065"/>
      <w:bookmarkStart w:id="432" w:name="_Toc245191486"/>
      <w:bookmarkStart w:id="433" w:name="_Toc247508015"/>
      <w:bookmarkStart w:id="434" w:name="_Toc248545643"/>
      <w:bookmarkStart w:id="435" w:name="_Toc248824675"/>
      <w:bookmarkStart w:id="436" w:name="_Toc248824744"/>
      <w:bookmarkStart w:id="437" w:name="_Toc249324164"/>
      <w:r>
        <w:rPr>
          <w:rStyle w:val="CharSchNo"/>
        </w:rPr>
        <w:t>Schedule 2</w:t>
      </w:r>
      <w:r>
        <w:t> — </w:t>
      </w:r>
      <w:r>
        <w:rPr>
          <w:rStyle w:val="CharSchText"/>
        </w:rPr>
        <w:t>Access information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t xml:space="preserve"> </w:t>
      </w:r>
    </w:p>
    <w:p>
      <w:pPr>
        <w:pStyle w:val="yShoulderClause"/>
        <w:rPr>
          <w:snapToGrid w:val="0"/>
        </w:rPr>
      </w:pPr>
      <w:r>
        <w:rPr>
          <w:snapToGrid w:val="0"/>
        </w:rPr>
        <w:t>[r. 8(4) &amp; (6)]</w:t>
      </w:r>
    </w:p>
    <w:p>
      <w:pPr>
        <w:pStyle w:val="yHeading3"/>
      </w:pPr>
      <w:bookmarkStart w:id="438" w:name="_Toc248545644"/>
      <w:bookmarkStart w:id="439" w:name="_Toc248824676"/>
      <w:bookmarkStart w:id="440" w:name="_Toc248824745"/>
      <w:bookmarkStart w:id="441" w:name="_Toc249324165"/>
      <w:r>
        <w:rPr>
          <w:rStyle w:val="CharSDivNo"/>
        </w:rPr>
        <w:t>Part A</w:t>
      </w:r>
      <w:r>
        <w:t> — </w:t>
      </w:r>
      <w:r>
        <w:rPr>
          <w:rStyle w:val="CharSDivText"/>
        </w:rPr>
        <w:t>Information to be included in an access application</w:t>
      </w:r>
      <w:bookmarkEnd w:id="438"/>
      <w:bookmarkEnd w:id="439"/>
      <w:bookmarkEnd w:id="440"/>
      <w:bookmarkEnd w:id="441"/>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Heading3"/>
      </w:pPr>
      <w:bookmarkStart w:id="442" w:name="_Toc248545645"/>
      <w:bookmarkStart w:id="443" w:name="_Toc248824677"/>
      <w:bookmarkStart w:id="444" w:name="_Toc248824746"/>
      <w:bookmarkStart w:id="445" w:name="_Toc249324166"/>
      <w:r>
        <w:rPr>
          <w:rStyle w:val="CharSDivNo"/>
        </w:rPr>
        <w:t>Part B</w:t>
      </w:r>
      <w:r>
        <w:t> — </w:t>
      </w:r>
      <w:r>
        <w:rPr>
          <w:rStyle w:val="CharSDivText"/>
        </w:rPr>
        <w:t>Information to be included in a response</w:t>
      </w:r>
      <w:bookmarkEnd w:id="442"/>
      <w:bookmarkEnd w:id="443"/>
      <w:bookmarkEnd w:id="444"/>
      <w:bookmarkEnd w:id="445"/>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446" w:name="_Toc125452858"/>
      <w:bookmarkStart w:id="447" w:name="_Toc131823685"/>
      <w:bookmarkStart w:id="448" w:name="_Toc131823810"/>
      <w:bookmarkStart w:id="449" w:name="_Toc131917381"/>
      <w:bookmarkStart w:id="450" w:name="_Toc135112714"/>
      <w:bookmarkStart w:id="451" w:name="_Toc135207736"/>
      <w:bookmarkStart w:id="452" w:name="_Toc136160953"/>
      <w:bookmarkStart w:id="453" w:name="_Toc138497613"/>
      <w:bookmarkStart w:id="454" w:name="_Toc146527295"/>
      <w:bookmarkStart w:id="455" w:name="_Toc146530207"/>
      <w:bookmarkStart w:id="456" w:name="_Toc171050561"/>
      <w:bookmarkStart w:id="457" w:name="_Toc245188066"/>
      <w:bookmarkStart w:id="458" w:name="_Toc245191487"/>
      <w:bookmarkStart w:id="459" w:name="_Toc247508016"/>
      <w:bookmarkStart w:id="460" w:name="_Toc248545646"/>
      <w:bookmarkStart w:id="461" w:name="_Toc248824678"/>
      <w:bookmarkStart w:id="462" w:name="_Toc248824747"/>
      <w:bookmarkStart w:id="463" w:name="_Toc249324167"/>
      <w:r>
        <w:rPr>
          <w:rStyle w:val="CharSchNo"/>
        </w:rPr>
        <w:t>Schedule 3</w:t>
      </w:r>
      <w:r>
        <w:rPr>
          <w:rStyle w:val="CharSDivNo"/>
          <w:sz w:val="28"/>
        </w:rPr>
        <w:t> </w:t>
      </w:r>
      <w:r>
        <w:t>—</w:t>
      </w:r>
      <w:r>
        <w:rPr>
          <w:rStyle w:val="CharSDivText"/>
          <w:sz w:val="28"/>
        </w:rPr>
        <w:t> </w:t>
      </w:r>
      <w:r>
        <w:rPr>
          <w:rStyle w:val="CharSchText"/>
        </w:rPr>
        <w:t>Terms of an access offer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t xml:space="preserve"> </w:t>
      </w:r>
    </w:p>
    <w:p>
      <w:pPr>
        <w:pStyle w:val="yShoulderClause"/>
        <w:rPr>
          <w:snapToGrid w:val="0"/>
        </w:rPr>
      </w:pPr>
      <w:r>
        <w:rPr>
          <w:snapToGrid w:val="0"/>
        </w:rPr>
        <w:t>[r. 11(3)]</w:t>
      </w:r>
    </w:p>
    <w:p>
      <w:pPr>
        <w:pStyle w:val="yMiscellaneousBody"/>
        <w:spacing w:before="120"/>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deleted in Gazette 29 Oct 2002 p. 5344.]</w:t>
      </w:r>
    </w:p>
    <w:p>
      <w:pPr>
        <w:pStyle w:val="CentredBaseLine"/>
        <w:jc w:val="center"/>
      </w:pPr>
      <w:r>
        <w:rPr>
          <w:noProof/>
          <w:lang w:eastAsia="en-AU"/>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headerReference w:type="first" r:id="rId49"/>
          <w:pgSz w:w="11906" w:h="16838" w:code="9"/>
          <w:pgMar w:top="2381" w:right="2409" w:bottom="3543" w:left="2409" w:header="720" w:footer="3380" w:gutter="0"/>
          <w:cols w:space="720"/>
          <w:noEndnote/>
          <w:docGrid w:linePitch="326"/>
        </w:sectPr>
      </w:pPr>
    </w:p>
    <w:p>
      <w:pPr>
        <w:pStyle w:val="nHeading2"/>
      </w:pPr>
      <w:bookmarkStart w:id="464" w:name="_Toc92191441"/>
      <w:bookmarkStart w:id="465" w:name="_Toc92191506"/>
      <w:bookmarkStart w:id="466" w:name="_Toc92254623"/>
      <w:bookmarkStart w:id="467" w:name="_Toc107388460"/>
      <w:bookmarkStart w:id="468" w:name="_Toc125447446"/>
      <w:bookmarkStart w:id="469" w:name="_Toc125452859"/>
      <w:bookmarkStart w:id="470" w:name="_Toc131823686"/>
      <w:bookmarkStart w:id="471" w:name="_Toc131823811"/>
      <w:bookmarkStart w:id="472" w:name="_Toc131917382"/>
      <w:bookmarkStart w:id="473" w:name="_Toc135112715"/>
      <w:bookmarkStart w:id="474" w:name="_Toc135207737"/>
      <w:bookmarkStart w:id="475" w:name="_Toc136160954"/>
      <w:bookmarkStart w:id="476" w:name="_Toc138497614"/>
      <w:bookmarkStart w:id="477" w:name="_Toc146527296"/>
      <w:bookmarkStart w:id="478" w:name="_Toc146530208"/>
      <w:bookmarkStart w:id="479" w:name="_Toc171050562"/>
      <w:bookmarkStart w:id="480" w:name="_Toc245188067"/>
      <w:bookmarkStart w:id="481" w:name="_Toc245191488"/>
      <w:bookmarkStart w:id="482" w:name="_Toc247508017"/>
      <w:bookmarkStart w:id="483" w:name="_Toc248545647"/>
      <w:bookmarkStart w:id="484" w:name="_Toc248824679"/>
      <w:bookmarkStart w:id="485" w:name="_Toc248824748"/>
      <w:bookmarkStart w:id="486" w:name="_Toc249324168"/>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reprint is a compilation as at 11 December 2009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487" w:name="_Toc249324169"/>
      <w:r>
        <w:t>Compilation table</w:t>
      </w:r>
      <w:bookmarkEnd w:id="4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r>
        <w:tc>
          <w:tcPr>
            <w:tcW w:w="3119" w:type="dxa"/>
          </w:tcPr>
          <w:p>
            <w:pPr>
              <w:pStyle w:val="nTable"/>
              <w:spacing w:after="40"/>
              <w:rPr>
                <w:i/>
                <w:sz w:val="19"/>
              </w:rPr>
            </w:pPr>
            <w:r>
              <w:rPr>
                <w:i/>
                <w:sz w:val="19"/>
              </w:rPr>
              <w:t>Electricity Transmission Amendment Regulations (No. 2) 2006</w:t>
            </w:r>
          </w:p>
        </w:tc>
        <w:tc>
          <w:tcPr>
            <w:tcW w:w="1276" w:type="dxa"/>
          </w:tcPr>
          <w:p>
            <w:pPr>
              <w:pStyle w:val="nTable"/>
              <w:spacing w:after="40"/>
              <w:rPr>
                <w:sz w:val="19"/>
              </w:rPr>
            </w:pPr>
            <w:r>
              <w:rPr>
                <w:sz w:val="19"/>
              </w:rPr>
              <w:t>25 Aug 2006 p. 3497</w:t>
            </w:r>
            <w:r>
              <w:rPr>
                <w:sz w:val="19"/>
              </w:rPr>
              <w:noBreakHyphen/>
              <w:t>9</w:t>
            </w:r>
          </w:p>
        </w:tc>
        <w:tc>
          <w:tcPr>
            <w:tcW w:w="2693" w:type="dxa"/>
          </w:tcPr>
          <w:p>
            <w:pPr>
              <w:pStyle w:val="nTable"/>
              <w:spacing w:after="40"/>
              <w:rPr>
                <w:sz w:val="19"/>
              </w:rPr>
            </w:pPr>
            <w:r>
              <w:rPr>
                <w:sz w:val="19"/>
              </w:rPr>
              <w:t xml:space="preserve">21 Sep 2006 08:00 (WST) (see r. 2 and </w:t>
            </w:r>
            <w:r>
              <w:rPr>
                <w:i/>
                <w:sz w:val="19"/>
              </w:rPr>
              <w:t>Gazette</w:t>
            </w:r>
            <w:r>
              <w:rPr>
                <w:sz w:val="19"/>
              </w:rPr>
              <w:t xml:space="preserve"> 19 Sep 2006 p. 4065)</w:t>
            </w:r>
          </w:p>
        </w:tc>
      </w:tr>
      <w:tr>
        <w:tc>
          <w:tcPr>
            <w:tcW w:w="3119" w:type="dxa"/>
          </w:tcPr>
          <w:p>
            <w:pPr>
              <w:pStyle w:val="nTable"/>
              <w:keepNext/>
              <w:keepLines/>
              <w:spacing w:after="40"/>
              <w:rPr>
                <w:i/>
                <w:sz w:val="19"/>
              </w:rPr>
            </w:pPr>
            <w:r>
              <w:rPr>
                <w:i/>
                <w:sz w:val="19"/>
              </w:rPr>
              <w:t>Electricity Transmission Amendment Regulations 2007</w:t>
            </w:r>
          </w:p>
        </w:tc>
        <w:tc>
          <w:tcPr>
            <w:tcW w:w="1276" w:type="dxa"/>
          </w:tcPr>
          <w:p>
            <w:pPr>
              <w:pStyle w:val="nTable"/>
              <w:keepNext/>
              <w:keepLines/>
              <w:spacing w:after="40"/>
              <w:rPr>
                <w:sz w:val="19"/>
              </w:rPr>
            </w:pPr>
            <w:r>
              <w:rPr>
                <w:sz w:val="19"/>
              </w:rPr>
              <w:t>26 Jun 2007 p. 3022-4</w:t>
            </w:r>
          </w:p>
        </w:tc>
        <w:tc>
          <w:tcPr>
            <w:tcW w:w="2693" w:type="dxa"/>
          </w:tcPr>
          <w:p>
            <w:pPr>
              <w:pStyle w:val="nTable"/>
              <w:keepNext/>
              <w:keepLines/>
              <w:spacing w:after="40"/>
              <w:rPr>
                <w:sz w:val="19"/>
              </w:rPr>
            </w:pPr>
            <w:r>
              <w:rPr>
                <w:sz w:val="19"/>
              </w:rPr>
              <w:t>r. 1 and 2: 26 Jun 2007 (see r. 2(a));</w:t>
            </w:r>
            <w:r>
              <w:rPr>
                <w:sz w:val="19"/>
              </w:rPr>
              <w:br/>
              <w:t>Regulations other than r. 1 and 2: 1 Jul 2007 (see r. 2(b))</w:t>
            </w:r>
          </w:p>
        </w:tc>
      </w:tr>
      <w:tr>
        <w:trPr>
          <w:cantSplit/>
        </w:trPr>
        <w:tc>
          <w:tcPr>
            <w:tcW w:w="7088" w:type="dxa"/>
            <w:gridSpan w:val="3"/>
            <w:tcBorders>
              <w:bottom w:val="single" w:sz="8" w:space="0" w:color="auto"/>
            </w:tcBorders>
          </w:tcPr>
          <w:p>
            <w:pPr>
              <w:pStyle w:val="nTable"/>
              <w:keepNext/>
              <w:keepLines/>
              <w:spacing w:after="40"/>
              <w:rPr>
                <w:sz w:val="19"/>
              </w:rPr>
            </w:pPr>
            <w:r>
              <w:rPr>
                <w:b/>
                <w:sz w:val="19"/>
              </w:rPr>
              <w:t xml:space="preserve">Reprint 3: The </w:t>
            </w:r>
            <w:r>
              <w:rPr>
                <w:b/>
                <w:i/>
                <w:sz w:val="19"/>
              </w:rPr>
              <w:t xml:space="preserve">Electricity Transmission Regulations 1996 </w:t>
            </w:r>
            <w:r>
              <w:rPr>
                <w:b/>
                <w:sz w:val="19"/>
              </w:rPr>
              <w:t>as at 11 Dec 2009</w:t>
            </w:r>
            <w:r>
              <w:rPr>
                <w:b/>
                <w:sz w:val="19"/>
              </w:rPr>
              <w:br/>
            </w:r>
            <w:r>
              <w:rPr>
                <w:sz w:val="19"/>
              </w:rPr>
              <w:t>(includes amendments listed above)</w:t>
            </w:r>
          </w:p>
        </w:tc>
      </w:tr>
    </w:tbl>
    <w:p>
      <w:pPr>
        <w:pStyle w:val="nSubsection"/>
      </w:pPr>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pStyle w:val="nSubsection"/>
      </w:pPr>
      <w:r>
        <w:rPr>
          <w:vertAlign w:val="superscript"/>
        </w:rPr>
        <w:t>3</w:t>
      </w:r>
      <w:r>
        <w:rPr>
          <w:vertAlign w:val="superscript"/>
        </w:rPr>
        <w:tab/>
      </w:r>
      <w:r>
        <w:t xml:space="preserve">Repealed by the </w:t>
      </w:r>
      <w:r>
        <w:rPr>
          <w:i/>
          <w:iCs/>
          <w:lang w:val="en-US"/>
        </w:rPr>
        <w:t>Electricity Referee and Dispute Resolution Repeal Regulations 2007</w:t>
      </w:r>
      <w:r>
        <w:t>.</w:t>
      </w:r>
    </w:p>
    <w:p>
      <w:pPr>
        <w:keepNext/>
        <w:keepLines/>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rPr>
          <w:sz w:val="28"/>
        </w:rPr>
      </w:pPr>
      <w:bookmarkStart w:id="488" w:name="_Toc245191490"/>
      <w:bookmarkStart w:id="489" w:name="_Toc247508019"/>
      <w:bookmarkStart w:id="490" w:name="_Toc248545649"/>
      <w:bookmarkStart w:id="491" w:name="_Toc248824681"/>
      <w:bookmarkStart w:id="492" w:name="_Toc248824750"/>
    </w:p>
    <w:p>
      <w:pPr>
        <w:pStyle w:val="nHeading2"/>
        <w:rPr>
          <w:sz w:val="28"/>
        </w:rPr>
      </w:pPr>
      <w:bookmarkStart w:id="493" w:name="_Toc249324170"/>
      <w:r>
        <w:rPr>
          <w:sz w:val="28"/>
        </w:rPr>
        <w:t>Defined Terms</w:t>
      </w:r>
      <w:bookmarkEnd w:id="488"/>
      <w:bookmarkEnd w:id="489"/>
      <w:bookmarkEnd w:id="490"/>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4" w:name="DefinedTerms"/>
      <w:bookmarkEnd w:id="494"/>
      <w:r>
        <w:t>access agreement</w:t>
      </w:r>
      <w:r>
        <w:tab/>
        <w:t>3(1)</w:t>
      </w:r>
    </w:p>
    <w:p>
      <w:pPr>
        <w:pStyle w:val="DefinedTerms"/>
      </w:pPr>
      <w:r>
        <w:t>access application</w:t>
      </w:r>
      <w:r>
        <w:tab/>
        <w:t>3(1)</w:t>
      </w:r>
    </w:p>
    <w:p>
      <w:pPr>
        <w:pStyle w:val="DefinedTerms"/>
      </w:pPr>
      <w:r>
        <w:t>access information</w:t>
      </w:r>
      <w:r>
        <w:tab/>
        <w:t>3(1), 14(1)</w:t>
      </w:r>
    </w:p>
    <w:p>
      <w:pPr>
        <w:pStyle w:val="DefinedTerms"/>
      </w:pPr>
      <w:r>
        <w:t>access offer</w:t>
      </w:r>
      <w:r>
        <w:tab/>
        <w:t>3(1)</w:t>
      </w:r>
    </w:p>
    <w:p>
      <w:pPr>
        <w:pStyle w:val="DefinedTerms"/>
      </w:pPr>
      <w:r>
        <w:t>access services</w:t>
      </w:r>
      <w:r>
        <w:tab/>
        <w:t>3(1)</w:t>
      </w:r>
    </w:p>
    <w:p>
      <w:pPr>
        <w:pStyle w:val="DefinedTerms"/>
      </w:pPr>
      <w:r>
        <w:t>adjusted net amount</w:t>
      </w:r>
      <w:r>
        <w:tab/>
        <w:t>22(6)</w:t>
      </w:r>
    </w:p>
    <w:p>
      <w:pPr>
        <w:pStyle w:val="DefinedTerms"/>
      </w:pPr>
      <w:r>
        <w:t>affected obligation</w:t>
      </w:r>
      <w:r>
        <w:tab/>
        <w:t>3(1), 35(2)</w:t>
      </w:r>
    </w:p>
    <w:p>
      <w:pPr>
        <w:pStyle w:val="DefinedTerms"/>
      </w:pPr>
      <w:r>
        <w:t>affected person</w:t>
      </w:r>
      <w:r>
        <w:tab/>
        <w:t>3(1), 35(2)</w:t>
      </w:r>
    </w:p>
    <w:p>
      <w:pPr>
        <w:pStyle w:val="DefinedTerms"/>
      </w:pPr>
      <w:r>
        <w:t>alternative services</w:t>
      </w:r>
      <w:r>
        <w:tab/>
        <w:t>3(1), 11(4)</w:t>
      </w:r>
    </w:p>
    <w:p>
      <w:pPr>
        <w:pStyle w:val="DefinedTerms"/>
      </w:pPr>
      <w:r>
        <w:t>ancillary services</w:t>
      </w:r>
      <w:r>
        <w:tab/>
        <w:t>3(1)</w:t>
      </w:r>
    </w:p>
    <w:p>
      <w:pPr>
        <w:pStyle w:val="DefinedTerms"/>
      </w:pPr>
      <w:r>
        <w:t>applicable laws</w:t>
      </w:r>
      <w:r>
        <w:tab/>
        <w:t>3(1)</w:t>
      </w:r>
    </w:p>
    <w:p>
      <w:pPr>
        <w:pStyle w:val="DefinedTerms"/>
      </w:pPr>
      <w:r>
        <w:t>applicant</w:t>
      </w:r>
      <w:r>
        <w:tab/>
        <w:t>3(1)</w:t>
      </w:r>
    </w:p>
    <w:p>
      <w:pPr>
        <w:pStyle w:val="DefinedTerms"/>
      </w:pPr>
      <w:r>
        <w:t>augment</w:t>
      </w:r>
      <w:r>
        <w:tab/>
        <w:t>3(1)</w:t>
      </w:r>
    </w:p>
    <w:p>
      <w:pPr>
        <w:pStyle w:val="DefinedTerms"/>
      </w:pPr>
      <w:r>
        <w:t>business day</w:t>
      </w:r>
      <w:r>
        <w:tab/>
        <w:t>3(1)</w:t>
      </w:r>
    </w:p>
    <w:p>
      <w:pPr>
        <w:pStyle w:val="DefinedTerms"/>
      </w:pPr>
      <w:r>
        <w:t>common services</w:t>
      </w:r>
      <w:r>
        <w:tab/>
        <w:t>3(1)</w:t>
      </w:r>
    </w:p>
    <w:p>
      <w:pPr>
        <w:pStyle w:val="DefinedTerms"/>
      </w:pPr>
      <w:r>
        <w:t>connection</w:t>
      </w:r>
      <w:r>
        <w:tab/>
        <w:t>3(1)</w:t>
      </w:r>
    </w:p>
    <w:p>
      <w:pPr>
        <w:pStyle w:val="DefinedTerms"/>
      </w:pPr>
      <w:r>
        <w:t>connection agreement</w:t>
      </w:r>
      <w:r>
        <w:tab/>
        <w:t>3(1)</w:t>
      </w:r>
    </w:p>
    <w:p>
      <w:pPr>
        <w:pStyle w:val="DefinedTerms"/>
      </w:pPr>
      <w:r>
        <w:t>connection point</w:t>
      </w:r>
      <w:r>
        <w:tab/>
        <w:t>3(1)</w:t>
      </w:r>
    </w:p>
    <w:p>
      <w:pPr>
        <w:pStyle w:val="DefinedTerms"/>
      </w:pPr>
      <w:r>
        <w:t>connection services</w:t>
      </w:r>
      <w:r>
        <w:tab/>
        <w:t>3(1)</w:t>
      </w:r>
    </w:p>
    <w:p>
      <w:pPr>
        <w:pStyle w:val="DefinedTerms"/>
      </w:pPr>
      <w:r>
        <w:t>contract maximum demand</w:t>
      </w:r>
      <w:r>
        <w:tab/>
        <w:t>3(1)</w:t>
      </w:r>
    </w:p>
    <w:p>
      <w:pPr>
        <w:pStyle w:val="DefinedTerms"/>
      </w:pPr>
      <w:r>
        <w:t>control system services</w:t>
      </w:r>
      <w:r>
        <w:tab/>
        <w:t>3(1)</w:t>
      </w:r>
    </w:p>
    <w:p>
      <w:pPr>
        <w:pStyle w:val="DefinedTerms"/>
      </w:pPr>
      <w:r>
        <w:t>controllers</w:t>
      </w:r>
      <w:r>
        <w:tab/>
        <w:t>3(1)</w:t>
      </w:r>
    </w:p>
    <w:p>
      <w:pPr>
        <w:pStyle w:val="DefinedTerms"/>
      </w:pPr>
      <w:r>
        <w:t>corporation</w:t>
      </w:r>
      <w:r>
        <w:tab/>
        <w:t>3(1)</w:t>
      </w:r>
    </w:p>
    <w:p>
      <w:pPr>
        <w:pStyle w:val="DefinedTerms"/>
      </w:pPr>
      <w:r>
        <w:t>declared sent</w:t>
      </w:r>
      <w:r>
        <w:noBreakHyphen/>
        <w:t>out capacity</w:t>
      </w:r>
      <w:r>
        <w:tab/>
        <w:t>3(1)</w:t>
      </w:r>
    </w:p>
    <w:p>
      <w:pPr>
        <w:pStyle w:val="DefinedTerms"/>
      </w:pPr>
      <w:r>
        <w:t>default</w:t>
      </w:r>
      <w:r>
        <w:tab/>
        <w:t>40(1)</w:t>
      </w:r>
    </w:p>
    <w:p>
      <w:pPr>
        <w:pStyle w:val="DefinedTerms"/>
      </w:pPr>
      <w:r>
        <w:t>demand entry rate</w:t>
      </w:r>
      <w:r>
        <w:tab/>
        <w:t>23(1)(a)</w:t>
      </w:r>
    </w:p>
    <w:p>
      <w:pPr>
        <w:pStyle w:val="DefinedTerms"/>
      </w:pPr>
      <w:r>
        <w:t>demand exit rate</w:t>
      </w:r>
      <w:r>
        <w:tab/>
        <w:t>23(1)(a)</w:t>
      </w:r>
    </w:p>
    <w:p>
      <w:pPr>
        <w:pStyle w:val="DefinedTerms"/>
      </w:pPr>
      <w:r>
        <w:t>direct damage</w:t>
      </w:r>
      <w:r>
        <w:tab/>
        <w:t>41(1)</w:t>
      </w:r>
    </w:p>
    <w:p>
      <w:pPr>
        <w:pStyle w:val="DefinedTerms"/>
      </w:pPr>
      <w:r>
        <w:t>disconnect</w:t>
      </w:r>
      <w:r>
        <w:tab/>
        <w:t>3(1)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network</w:t>
      </w:r>
      <w:r>
        <w:tab/>
        <w:t>3(1)</w:t>
      </w:r>
    </w:p>
    <w:p>
      <w:pPr>
        <w:pStyle w:val="DefinedTerms"/>
      </w:pPr>
      <w:r>
        <w:t>embedded generating unit</w:t>
      </w:r>
      <w:r>
        <w:tab/>
        <w:t>3(1)</w:t>
      </w:r>
    </w:p>
    <w:p>
      <w:pPr>
        <w:pStyle w:val="DefinedTerms"/>
      </w:pPr>
      <w:r>
        <w:t>encumbrance</w:t>
      </w:r>
      <w:r>
        <w:tab/>
        <w:t>3(1)</w:t>
      </w:r>
    </w:p>
    <w:p>
      <w:pPr>
        <w:pStyle w:val="DefinedTerms"/>
      </w:pPr>
      <w:r>
        <w:t>energy entry amount</w:t>
      </w:r>
      <w:r>
        <w:tab/>
        <w:t>21(c)</w:t>
      </w:r>
    </w:p>
    <w:p>
      <w:pPr>
        <w:pStyle w:val="DefinedTerms"/>
      </w:pPr>
      <w:r>
        <w:t>energy exit amount</w:t>
      </w:r>
      <w:r>
        <w:tab/>
        <w:t>21(d)</w:t>
      </w:r>
    </w:p>
    <w:p>
      <w:pPr>
        <w:pStyle w:val="DefinedTerms"/>
      </w:pPr>
      <w:r>
        <w:t>entry point</w:t>
      </w:r>
      <w:r>
        <w:tab/>
        <w:t>3(1)</w:t>
      </w:r>
    </w:p>
    <w:p>
      <w:pPr>
        <w:pStyle w:val="DefinedTerms"/>
      </w:pPr>
      <w:r>
        <w:t>excess amount</w:t>
      </w:r>
      <w:r>
        <w:tab/>
        <w:t>24(1)(a)</w:t>
      </w:r>
    </w:p>
    <w:p>
      <w:pPr>
        <w:pStyle w:val="DefinedTerms"/>
      </w:pPr>
      <w:r>
        <w:t>excess demand</w:t>
      </w:r>
      <w:r>
        <w:tab/>
        <w:t>23(1)(d)</w:t>
      </w:r>
    </w:p>
    <w:p>
      <w:pPr>
        <w:pStyle w:val="DefinedTerms"/>
      </w:pPr>
      <w:r>
        <w:t>excess rate</w:t>
      </w:r>
      <w:r>
        <w:tab/>
        <w:t>24(3)(a)</w:t>
      </w:r>
    </w:p>
    <w:p>
      <w:pPr>
        <w:pStyle w:val="DefinedTerms"/>
      </w:pPr>
      <w:r>
        <w:t>exempt connection</w:t>
      </w:r>
      <w:r>
        <w:tab/>
        <w:t>3(1)</w:t>
      </w:r>
    </w:p>
    <w:p>
      <w:pPr>
        <w:pStyle w:val="DefinedTerms"/>
      </w:pPr>
      <w:r>
        <w:t>existing connection</w:t>
      </w:r>
      <w:r>
        <w:tab/>
        <w:t>3(1)</w:t>
      </w:r>
    </w:p>
    <w:p>
      <w:pPr>
        <w:pStyle w:val="DefinedTerms"/>
      </w:pPr>
      <w:r>
        <w:t>exit point</w:t>
      </w:r>
      <w:r>
        <w:tab/>
        <w:t>3(1)</w:t>
      </w:r>
    </w:p>
    <w:p>
      <w:pPr>
        <w:pStyle w:val="DefinedTerms"/>
      </w:pPr>
      <w:r>
        <w:t>fee schedule</w:t>
      </w:r>
      <w:r>
        <w:tab/>
        <w:t>3(1)</w:t>
      </w:r>
    </w:p>
    <w:p>
      <w:pPr>
        <w:pStyle w:val="DefinedTerms"/>
      </w:pPr>
      <w:r>
        <w:t>first access application</w:t>
      </w:r>
      <w:r>
        <w:tab/>
        <w:t>13(2)</w:t>
      </w:r>
    </w:p>
    <w:p>
      <w:pPr>
        <w:pStyle w:val="DefinedTerms"/>
      </w:pPr>
      <w:r>
        <w:t>first person</w:t>
      </w:r>
      <w:r>
        <w:tab/>
        <w:t>30(4)</w:t>
      </w:r>
    </w:p>
    <w:p>
      <w:pPr>
        <w:pStyle w:val="DefinedTerms"/>
      </w:pPr>
      <w:r>
        <w:t>force majeure event</w:t>
      </w:r>
      <w:r>
        <w:tab/>
        <w:t>3(1)</w:t>
      </w:r>
    </w:p>
    <w:p>
      <w:pPr>
        <w:pStyle w:val="DefinedTerms"/>
      </w:pPr>
      <w:r>
        <w:t>generating unit</w:t>
      </w:r>
      <w:r>
        <w:tab/>
        <w:t>3(1)</w:t>
      </w:r>
    </w:p>
    <w:p>
      <w:pPr>
        <w:pStyle w:val="DefinedTerms"/>
      </w:pPr>
      <w:r>
        <w:t>good electricity industry practice</w:t>
      </w:r>
      <w:r>
        <w:tab/>
        <w:t>3(1)</w:t>
      </w:r>
    </w:p>
    <w:p>
      <w:pPr>
        <w:pStyle w:val="DefinedTerms"/>
      </w:pPr>
      <w:r>
        <w:t>group of connections</w:t>
      </w:r>
      <w:r>
        <w:tab/>
        <w:t>21(a)</w:t>
      </w:r>
    </w:p>
    <w:p>
      <w:pPr>
        <w:pStyle w:val="DefinedTerms"/>
      </w:pPr>
      <w:r>
        <w:t>including</w:t>
      </w:r>
      <w:r>
        <w:tab/>
        <w:t>4</w:t>
      </w:r>
    </w:p>
    <w:p>
      <w:pPr>
        <w:pStyle w:val="DefinedTerms"/>
      </w:pPr>
      <w:r>
        <w:t>indirect damage</w:t>
      </w:r>
      <w:r>
        <w:tab/>
        <w:t>41(1)</w:t>
      </w:r>
    </w:p>
    <w:p>
      <w:pPr>
        <w:pStyle w:val="DefinedTerms"/>
      </w:pPr>
      <w:r>
        <w:t>market rules</w:t>
      </w:r>
      <w:r>
        <w:tab/>
        <w:t>18A(1)</w:t>
      </w:r>
    </w:p>
    <w:p>
      <w:pPr>
        <w:pStyle w:val="DefinedTerms"/>
      </w:pPr>
      <w:r>
        <w:t>network planning criteria</w:t>
      </w:r>
      <w:r>
        <w:tab/>
        <w:t>3(1)</w:t>
      </w:r>
    </w:p>
    <w:p>
      <w:pPr>
        <w:pStyle w:val="DefinedTerms"/>
      </w:pPr>
      <w:r>
        <w:t>network services</w:t>
      </w:r>
      <w:r>
        <w:tab/>
        <w:t>3(1)</w:t>
      </w:r>
    </w:p>
    <w:p>
      <w:pPr>
        <w:pStyle w:val="DefinedTerms"/>
      </w:pPr>
      <w:r>
        <w:t>outage</w:t>
      </w:r>
      <w:r>
        <w:tab/>
        <w:t>3(1)</w:t>
      </w:r>
    </w:p>
    <w:p>
      <w:pPr>
        <w:pStyle w:val="DefinedTerms"/>
      </w:pPr>
      <w:r>
        <w:t>permitted tolerance</w:t>
      </w:r>
      <w:r>
        <w:tab/>
        <w:t>21(e)</w:t>
      </w:r>
    </w:p>
    <w:p>
      <w:pPr>
        <w:pStyle w:val="DefinedTerms"/>
      </w:pPr>
      <w:r>
        <w:t>post</w:t>
      </w:r>
      <w:r>
        <w:noBreakHyphen/>
        <w:t>trip management</w:t>
      </w:r>
      <w:r>
        <w:tab/>
        <w:t>3(1)</w:t>
      </w:r>
    </w:p>
    <w:p>
      <w:pPr>
        <w:pStyle w:val="DefinedTerms"/>
      </w:pPr>
      <w:r>
        <w:t>preliminary assessment</w:t>
      </w:r>
      <w:r>
        <w:tab/>
        <w:t>3(1)</w:t>
      </w:r>
    </w:p>
    <w:p>
      <w:pPr>
        <w:pStyle w:val="DefinedTerms"/>
      </w:pPr>
      <w:r>
        <w:t>Prices and Charges Paper</w:t>
      </w:r>
      <w:r>
        <w:tab/>
        <w:t>20(1)</w:t>
      </w:r>
    </w:p>
    <w:p>
      <w:pPr>
        <w:pStyle w:val="DefinedTerms"/>
      </w:pPr>
      <w:r>
        <w:t>Regional Power Corporation</w:t>
      </w:r>
      <w:r>
        <w:tab/>
        <w:t>3(1)</w:t>
      </w:r>
    </w:p>
    <w:p>
      <w:pPr>
        <w:pStyle w:val="DefinedTerms"/>
      </w:pPr>
      <w:r>
        <w:t>related body corporate</w:t>
      </w:r>
      <w:r>
        <w:tab/>
        <w:t>3(1)</w:t>
      </w:r>
    </w:p>
    <w:p>
      <w:pPr>
        <w:pStyle w:val="DefinedTerms"/>
      </w:pPr>
      <w:r>
        <w:t>relevant amount</w:t>
      </w:r>
      <w:r>
        <w:tab/>
        <w:t>21(f)</w:t>
      </w:r>
    </w:p>
    <w:p>
      <w:pPr>
        <w:pStyle w:val="DefinedTerms"/>
      </w:pPr>
      <w:r>
        <w:t>renewable energy source</w:t>
      </w:r>
      <w:r>
        <w:tab/>
        <w:t>3(1)</w:t>
      </w:r>
    </w:p>
    <w:p>
      <w:pPr>
        <w:pStyle w:val="DefinedTerms"/>
      </w:pPr>
      <w:r>
        <w:t>response</w:t>
      </w:r>
      <w:r>
        <w:tab/>
        <w:t>3(1)</w:t>
      </w:r>
    </w:p>
    <w:p>
      <w:pPr>
        <w:pStyle w:val="DefinedTerms"/>
      </w:pPr>
      <w:r>
        <w:t>revised net amount</w:t>
      </w:r>
      <w:r>
        <w:tab/>
        <w:t>22(2)</w:t>
      </w:r>
    </w:p>
    <w:p>
      <w:pPr>
        <w:pStyle w:val="DefinedTerms"/>
      </w:pPr>
      <w:r>
        <w:t>RTU</w:t>
      </w:r>
      <w:r>
        <w:tab/>
        <w:t>3(1)</w:t>
      </w:r>
    </w:p>
    <w:p>
      <w:pPr>
        <w:pStyle w:val="DefinedTerms"/>
      </w:pPr>
      <w:r>
        <w:t>SCADA</w:t>
      </w:r>
      <w:r>
        <w:tab/>
        <w:t>3(1)</w:t>
      </w:r>
    </w:p>
    <w:p>
      <w:pPr>
        <w:pStyle w:val="DefinedTerms"/>
      </w:pPr>
      <w:r>
        <w:t>sensitive information</w:t>
      </w:r>
      <w:r>
        <w:tab/>
        <w:t>3(1)</w:t>
      </w:r>
    </w:p>
    <w:p>
      <w:pPr>
        <w:pStyle w:val="DefinedTerms"/>
      </w:pPr>
      <w:r>
        <w:t>South West interconnected system</w:t>
      </w:r>
      <w:r>
        <w:tab/>
        <w:t>3(1)</w:t>
      </w:r>
    </w:p>
    <w:p>
      <w:pPr>
        <w:pStyle w:val="DefinedTerms"/>
      </w:pPr>
      <w:r>
        <w:t>spinning reserve</w:t>
      </w:r>
      <w:r>
        <w:tab/>
        <w:t>3(1)</w:t>
      </w:r>
    </w:p>
    <w:p>
      <w:pPr>
        <w:pStyle w:val="DefinedTerms"/>
      </w:pPr>
      <w:r>
        <w:t>standby generation reservation</w:t>
      </w:r>
      <w:r>
        <w:tab/>
        <w:t>23(1)(c)</w:t>
      </w:r>
    </w:p>
    <w:p>
      <w:pPr>
        <w:pStyle w:val="DefinedTerms"/>
      </w:pPr>
      <w:r>
        <w:t>supervising officers</w:t>
      </w:r>
      <w:r>
        <w:tab/>
        <w:t>3(1)</w:t>
      </w:r>
    </w:p>
    <w:p>
      <w:pPr>
        <w:pStyle w:val="DefinedTerms"/>
      </w:pPr>
      <w:r>
        <w:t>taxes</w:t>
      </w:r>
      <w:r>
        <w:tab/>
        <w:t>3(1)</w:t>
      </w:r>
    </w:p>
    <w:p>
      <w:pPr>
        <w:pStyle w:val="DefinedTerms"/>
      </w:pPr>
      <w:r>
        <w:t>Technical Code</w:t>
      </w:r>
      <w:r>
        <w:tab/>
        <w:t>3(1)</w:t>
      </w:r>
    </w:p>
    <w:p>
      <w:pPr>
        <w:pStyle w:val="DefinedTerms"/>
      </w:pPr>
      <w:r>
        <w:t>transmission employee</w:t>
      </w:r>
      <w:r>
        <w:tab/>
        <w:t>3(1)</w:t>
      </w:r>
    </w:p>
    <w:p>
      <w:pPr>
        <w:pStyle w:val="DefinedTerms"/>
      </w:pPr>
      <w:r>
        <w:t>use of system services</w:t>
      </w:r>
      <w:r>
        <w:tab/>
        <w:t>3(1)</w:t>
      </w:r>
    </w:p>
    <w:p>
      <w:pPr>
        <w:pStyle w:val="DefinedTerms"/>
      </w:pPr>
      <w:r>
        <w:t>voltage control</w:t>
      </w:r>
      <w:r>
        <w:tab/>
        <w:t>3(1)</w:t>
      </w:r>
    </w:p>
    <w:p>
      <w:pPr>
        <w:pStyle w:val="DefinedTerms"/>
      </w:pPr>
      <w:r>
        <w:t>wholesale electricity market commencement</w:t>
      </w:r>
      <w:r>
        <w:tab/>
        <w:t>18A(1)</w:t>
      </w:r>
    </w:p>
    <w:p>
      <w:pPr>
        <w:pStyle w:val="DefinedTerms"/>
      </w:pP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827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C048E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A5C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044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EED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DCF8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3C9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7AF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C8CD6E"/>
    <w:lvl w:ilvl="0">
      <w:start w:val="1"/>
      <w:numFmt w:val="decimal"/>
      <w:pStyle w:val="ListNumber"/>
      <w:lvlText w:val="%1."/>
      <w:lvlJc w:val="left"/>
      <w:pPr>
        <w:tabs>
          <w:tab w:val="num" w:pos="360"/>
        </w:tabs>
        <w:ind w:left="360" w:hanging="360"/>
      </w:pPr>
    </w:lvl>
  </w:abstractNum>
  <w:abstractNum w:abstractNumId="9">
    <w:nsid w:val="FFFFFF89"/>
    <w:multiLevelType w:val="singleLevel"/>
    <w:tmpl w:val="35EA9D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88269E"/>
    <w:multiLevelType w:val="hybridMultilevel"/>
    <w:tmpl w:val="4ABC95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58C1D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E97CCC6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D1641DF"/>
    <w:multiLevelType w:val="hybridMultilevel"/>
    <w:tmpl w:val="4ABC95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31"/>
  </w:num>
  <w:num w:numId="13">
    <w:abstractNumId w:val="24"/>
  </w:num>
  <w:num w:numId="14">
    <w:abstractNumId w:val="16"/>
  </w:num>
  <w:num w:numId="15">
    <w:abstractNumId w:val="2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 w:numId="27">
    <w:abstractNumId w:val="12"/>
  </w:num>
  <w:num w:numId="28">
    <w:abstractNumId w:val="29"/>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26"/>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26"/>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9.bin"/><Relationship Id="rId21" Type="http://schemas.openxmlformats.org/officeDocument/2006/relationships/image" Target="media/image2.png"/><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1.wmf"/><Relationship Id="rId46" Type="http://schemas.openxmlformats.org/officeDocument/2006/relationships/image" Target="media/image12.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8.xml"/><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8.bin"/><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header" Target="header1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header" Target="header12.xml"/><Relationship Id="rId57"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image" Target="media/image7.wmf"/><Relationship Id="rId35" Type="http://schemas.openxmlformats.org/officeDocument/2006/relationships/oleObject" Target="embeddings/oleObject7.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header" Target="header1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19077</Words>
  <Characters>98440</Characters>
  <Application>Microsoft Office Word</Application>
  <DocSecurity>0</DocSecurity>
  <Lines>2660</Lines>
  <Paragraphs>1263</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116254</CharactersWithSpaces>
  <SharedDoc>false</SharedDoc>
  <HLinks>
    <vt:vector size="18" baseType="variant">
      <vt:variant>
        <vt:i4>3014716</vt:i4>
      </vt:variant>
      <vt:variant>
        <vt:i4>5701</vt:i4>
      </vt:variant>
      <vt:variant>
        <vt:i4>1026</vt:i4>
      </vt:variant>
      <vt:variant>
        <vt:i4>1</vt:i4>
      </vt:variant>
      <vt:variant>
        <vt:lpwstr>C:\Program Files\PCO DLL\Support\Crest.wpg</vt:lpwstr>
      </vt:variant>
      <vt:variant>
        <vt:lpwstr/>
      </vt:variant>
      <vt:variant>
        <vt:i4>5439608</vt:i4>
      </vt:variant>
      <vt:variant>
        <vt:i4>113938</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1996 - 03-a0-01</dc:title>
  <dc:subject/>
  <dc:creator/>
  <cp:keywords/>
  <dc:description/>
  <cp:lastModifiedBy>svcMRProcess</cp:lastModifiedBy>
  <cp:revision>4</cp:revision>
  <cp:lastPrinted>2009-12-17T06:49:00Z</cp:lastPrinted>
  <dcterms:created xsi:type="dcterms:W3CDTF">2020-02-20T09:11:00Z</dcterms:created>
  <dcterms:modified xsi:type="dcterms:W3CDTF">2020-02-20T09:11:00Z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20091211</vt:lpwstr>
  </property>
  <property fmtid="{D5CDD505-2E9C-101B-9397-08002B2CF9AE}" pid="4" name="DocumentType">
    <vt:lpwstr>Reg</vt:lpwstr>
  </property>
  <property fmtid="{D5CDD505-2E9C-101B-9397-08002B2CF9AE}" pid="5" name="OwlsUID">
    <vt:i4>4411</vt:i4>
  </property>
  <property fmtid="{D5CDD505-2E9C-101B-9397-08002B2CF9AE}" pid="6" name="ReprintNo">
    <vt:lpwstr>3</vt:lpwstr>
  </property>
  <property fmtid="{D5CDD505-2E9C-101B-9397-08002B2CF9AE}" pid="7" name="AsAtDate">
    <vt:lpwstr>11 Dec 2009</vt:lpwstr>
  </property>
  <property fmtid="{D5CDD505-2E9C-101B-9397-08002B2CF9AE}" pid="8" name="Suffix">
    <vt:lpwstr>03-a0-01</vt:lpwstr>
  </property>
  <property fmtid="{D5CDD505-2E9C-101B-9397-08002B2CF9AE}" pid="9" name="ReprintedAsAt">
    <vt:filetime>2009-12-10T16:00:00Z</vt:filetime>
  </property>
</Properties>
</file>