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ind w:left="360" w:right="488"/>
      </w:pPr>
      <w:r>
        <w:fldChar w:fldCharType="begin"/>
      </w:r>
      <w:r>
        <w:instrText xml:space="preserve"> STYLEREF "Name Of Act/Reg"</w:instrText>
      </w:r>
      <w:r>
        <w:fldChar w:fldCharType="separate"/>
      </w:r>
      <w:r>
        <w:rPr>
          <w:noProof/>
        </w:rPr>
        <w:t>Energy Arbitration and Review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ind w:left="284" w:right="433"/>
      </w:pPr>
      <w:r>
        <w:fldChar w:fldCharType="begin"/>
      </w:r>
      <w:r>
        <w:instrText xml:space="preserve"> STYLEREF "Name Of Act/Reg"</w:instrText>
      </w:r>
      <w:r>
        <w:fldChar w:fldCharType="separate"/>
      </w:r>
      <w:r>
        <w:rPr>
          <w:noProof/>
        </w:rPr>
        <w:t>Energy Arbitration and Review Act 1998</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_Toc249419401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Crown to be bound</w:t>
      </w:r>
      <w:r>
        <w:tab/>
      </w:r>
      <w:r>
        <w:fldChar w:fldCharType="begin"/>
      </w:r>
      <w:r>
        <w:instrText xml:space="preserve"> PAGEREF _Toc249419402 \h </w:instrText>
      </w:r>
      <w:r>
        <w:fldChar w:fldCharType="separate"/>
      </w:r>
      <w:r>
        <w:t>2</w:t>
      </w:r>
      <w:r>
        <w:fldChar w:fldCharType="end"/>
      </w:r>
    </w:p>
    <w:p>
      <w:pPr>
        <w:pStyle w:val="TOC2"/>
        <w:tabs>
          <w:tab w:val="right" w:leader="dot" w:pos="7086"/>
        </w:tabs>
        <w:rPr>
          <w:b w:val="0"/>
          <w:sz w:val="24"/>
          <w:szCs w:val="24"/>
        </w:rPr>
      </w:pPr>
      <w:r>
        <w:rPr>
          <w:szCs w:val="30"/>
        </w:rPr>
        <w:t>Part 6 — Review board and arbitrator</w:t>
      </w:r>
    </w:p>
    <w:p>
      <w:pPr>
        <w:pStyle w:val="TOC4"/>
        <w:tabs>
          <w:tab w:val="right" w:leader="dot" w:pos="7086"/>
        </w:tabs>
        <w:rPr>
          <w:b w:val="0"/>
          <w:sz w:val="24"/>
          <w:szCs w:val="24"/>
        </w:rPr>
      </w:pPr>
      <w:r>
        <w:rPr>
          <w:szCs w:val="26"/>
        </w:rPr>
        <w:t>Division 2 — Review board</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49</w:t>
      </w:r>
      <w:r>
        <w:rPr>
          <w:snapToGrid w:val="0"/>
          <w:szCs w:val="24"/>
        </w:rPr>
        <w:t>.</w:t>
      </w:r>
      <w:r>
        <w:rPr>
          <w:snapToGrid w:val="0"/>
          <w:szCs w:val="24"/>
        </w:rPr>
        <w:tab/>
        <w:t>Definitions</w:t>
      </w:r>
      <w:r>
        <w:tab/>
      </w:r>
      <w:r>
        <w:fldChar w:fldCharType="begin"/>
      </w:r>
      <w:r>
        <w:instrText xml:space="preserve"> PAGEREF _Toc249419406 \h </w:instrText>
      </w:r>
      <w:r>
        <w:fldChar w:fldCharType="separate"/>
      </w:r>
      <w:r>
        <w:t>3</w:t>
      </w:r>
      <w:r>
        <w:fldChar w:fldCharType="end"/>
      </w:r>
    </w:p>
    <w:p>
      <w:pPr>
        <w:pStyle w:val="TOC6"/>
        <w:tabs>
          <w:tab w:val="right" w:leader="dot" w:pos="7086"/>
        </w:tabs>
        <w:rPr>
          <w:b w:val="0"/>
          <w:sz w:val="24"/>
          <w:szCs w:val="24"/>
        </w:rPr>
      </w:pPr>
      <w:r>
        <w:rPr>
          <w:szCs w:val="24"/>
        </w:rPr>
        <w:t>Subdivision 2 — Western Australian Electricity Review Board established</w:t>
      </w:r>
    </w:p>
    <w:p>
      <w:pPr>
        <w:pStyle w:val="TOC8"/>
        <w:rPr>
          <w:sz w:val="24"/>
          <w:szCs w:val="24"/>
        </w:rPr>
      </w:pPr>
      <w:r>
        <w:rPr>
          <w:szCs w:val="24"/>
        </w:rPr>
        <w:t>50</w:t>
      </w:r>
      <w:r>
        <w:rPr>
          <w:snapToGrid w:val="0"/>
          <w:szCs w:val="24"/>
        </w:rPr>
        <w:t>.</w:t>
      </w:r>
      <w:r>
        <w:rPr>
          <w:snapToGrid w:val="0"/>
          <w:szCs w:val="24"/>
        </w:rPr>
        <w:tab/>
      </w:r>
      <w:r>
        <w:rPr>
          <w:szCs w:val="24"/>
        </w:rPr>
        <w:t>Western Australian Electricity Review Board</w:t>
      </w:r>
      <w:r>
        <w:tab/>
      </w:r>
      <w:r>
        <w:fldChar w:fldCharType="begin"/>
      </w:r>
      <w:r>
        <w:instrText xml:space="preserve"> PAGEREF _Toc249419408 \h </w:instrText>
      </w:r>
      <w:r>
        <w:fldChar w:fldCharType="separate"/>
      </w:r>
      <w:r>
        <w:t>4</w:t>
      </w:r>
      <w:r>
        <w:fldChar w:fldCharType="end"/>
      </w:r>
    </w:p>
    <w:p>
      <w:pPr>
        <w:pStyle w:val="TOC8"/>
        <w:rPr>
          <w:sz w:val="24"/>
          <w:szCs w:val="24"/>
        </w:rPr>
      </w:pPr>
      <w:r>
        <w:rPr>
          <w:szCs w:val="24"/>
        </w:rPr>
        <w:t>51</w:t>
      </w:r>
      <w:r>
        <w:rPr>
          <w:snapToGrid w:val="0"/>
          <w:szCs w:val="24"/>
        </w:rPr>
        <w:t>.</w:t>
      </w:r>
      <w:r>
        <w:rPr>
          <w:snapToGrid w:val="0"/>
          <w:szCs w:val="24"/>
        </w:rPr>
        <w:tab/>
        <w:t>Constitution of Board</w:t>
      </w:r>
      <w:r>
        <w:tab/>
      </w:r>
      <w:r>
        <w:fldChar w:fldCharType="begin"/>
      </w:r>
      <w:r>
        <w:instrText xml:space="preserve"> PAGEREF _Toc249419409 \h </w:instrText>
      </w:r>
      <w:r>
        <w:fldChar w:fldCharType="separate"/>
      </w:r>
      <w:r>
        <w:t>4</w:t>
      </w:r>
      <w:r>
        <w:fldChar w:fldCharType="end"/>
      </w:r>
    </w:p>
    <w:p>
      <w:pPr>
        <w:pStyle w:val="TOC8"/>
        <w:rPr>
          <w:sz w:val="24"/>
          <w:szCs w:val="24"/>
        </w:rPr>
      </w:pPr>
      <w:r>
        <w:rPr>
          <w:szCs w:val="24"/>
        </w:rPr>
        <w:t>52</w:t>
      </w:r>
      <w:r>
        <w:rPr>
          <w:snapToGrid w:val="0"/>
          <w:szCs w:val="24"/>
        </w:rPr>
        <w:t>.</w:t>
      </w:r>
      <w:r>
        <w:rPr>
          <w:snapToGrid w:val="0"/>
          <w:szCs w:val="24"/>
        </w:rPr>
        <w:tab/>
        <w:t>Panels</w:t>
      </w:r>
      <w:r>
        <w:tab/>
      </w:r>
      <w:r>
        <w:fldChar w:fldCharType="begin"/>
      </w:r>
      <w:r>
        <w:instrText xml:space="preserve"> PAGEREF _Toc249419410 \h </w:instrText>
      </w:r>
      <w:r>
        <w:fldChar w:fldCharType="separate"/>
      </w:r>
      <w:r>
        <w:t>4</w:t>
      </w:r>
      <w:r>
        <w:fldChar w:fldCharType="end"/>
      </w:r>
    </w:p>
    <w:p>
      <w:pPr>
        <w:pStyle w:val="TOC8"/>
        <w:rPr>
          <w:sz w:val="24"/>
          <w:szCs w:val="24"/>
        </w:rPr>
      </w:pPr>
      <w:r>
        <w:rPr>
          <w:szCs w:val="24"/>
        </w:rPr>
        <w:t>53</w:t>
      </w:r>
      <w:r>
        <w:rPr>
          <w:snapToGrid w:val="0"/>
          <w:szCs w:val="24"/>
        </w:rPr>
        <w:t>.</w:t>
      </w:r>
      <w:r>
        <w:rPr>
          <w:snapToGrid w:val="0"/>
          <w:szCs w:val="24"/>
        </w:rPr>
        <w:tab/>
        <w:t>Disclosure of interests</w:t>
      </w:r>
      <w:r>
        <w:tab/>
      </w:r>
      <w:r>
        <w:fldChar w:fldCharType="begin"/>
      </w:r>
      <w:r>
        <w:instrText xml:space="preserve"> PAGEREF _Toc249419411 \h </w:instrText>
      </w:r>
      <w:r>
        <w:fldChar w:fldCharType="separate"/>
      </w:r>
      <w:r>
        <w:t>5</w:t>
      </w:r>
      <w:r>
        <w:fldChar w:fldCharType="end"/>
      </w:r>
    </w:p>
    <w:p>
      <w:pPr>
        <w:pStyle w:val="TOC8"/>
        <w:rPr>
          <w:sz w:val="24"/>
          <w:szCs w:val="24"/>
        </w:rPr>
      </w:pPr>
      <w:r>
        <w:rPr>
          <w:szCs w:val="24"/>
        </w:rPr>
        <w:t>54</w:t>
      </w:r>
      <w:r>
        <w:rPr>
          <w:snapToGrid w:val="0"/>
          <w:szCs w:val="24"/>
        </w:rPr>
        <w:t>.</w:t>
      </w:r>
      <w:r>
        <w:rPr>
          <w:snapToGrid w:val="0"/>
          <w:szCs w:val="24"/>
        </w:rPr>
        <w:tab/>
        <w:t>Resignation and removal</w:t>
      </w:r>
      <w:r>
        <w:tab/>
      </w:r>
      <w:r>
        <w:fldChar w:fldCharType="begin"/>
      </w:r>
      <w:r>
        <w:instrText xml:space="preserve"> PAGEREF _Toc249419412 \h </w:instrText>
      </w:r>
      <w:r>
        <w:fldChar w:fldCharType="separate"/>
      </w:r>
      <w:r>
        <w:t>6</w:t>
      </w:r>
      <w:r>
        <w:fldChar w:fldCharType="end"/>
      </w:r>
    </w:p>
    <w:p>
      <w:pPr>
        <w:pStyle w:val="TOC8"/>
        <w:rPr>
          <w:sz w:val="24"/>
          <w:szCs w:val="24"/>
        </w:rPr>
      </w:pPr>
      <w:r>
        <w:rPr>
          <w:szCs w:val="24"/>
        </w:rPr>
        <w:t>55</w:t>
      </w:r>
      <w:r>
        <w:rPr>
          <w:snapToGrid w:val="0"/>
          <w:szCs w:val="24"/>
        </w:rPr>
        <w:t>.</w:t>
      </w:r>
      <w:r>
        <w:rPr>
          <w:snapToGrid w:val="0"/>
          <w:szCs w:val="24"/>
        </w:rPr>
        <w:tab/>
        <w:t>Remuneration</w:t>
      </w:r>
      <w:r>
        <w:tab/>
      </w:r>
      <w:r>
        <w:fldChar w:fldCharType="begin"/>
      </w:r>
      <w:r>
        <w:instrText xml:space="preserve"> PAGEREF _Toc249419413 \h </w:instrText>
      </w:r>
      <w:r>
        <w:fldChar w:fldCharType="separate"/>
      </w:r>
      <w:r>
        <w:t>6</w:t>
      </w:r>
      <w:r>
        <w:fldChar w:fldCharType="end"/>
      </w:r>
    </w:p>
    <w:p>
      <w:pPr>
        <w:pStyle w:val="TOC8"/>
        <w:rPr>
          <w:sz w:val="24"/>
          <w:szCs w:val="24"/>
        </w:rPr>
      </w:pPr>
      <w:r>
        <w:rPr>
          <w:szCs w:val="24"/>
        </w:rPr>
        <w:t>56</w:t>
      </w:r>
      <w:r>
        <w:rPr>
          <w:snapToGrid w:val="0"/>
          <w:szCs w:val="24"/>
        </w:rPr>
        <w:t>.</w:t>
      </w:r>
      <w:r>
        <w:rPr>
          <w:snapToGrid w:val="0"/>
          <w:szCs w:val="24"/>
        </w:rPr>
        <w:tab/>
        <w:t>Administrative support</w:t>
      </w:r>
      <w:r>
        <w:tab/>
      </w:r>
      <w:r>
        <w:fldChar w:fldCharType="begin"/>
      </w:r>
      <w:r>
        <w:instrText xml:space="preserve"> PAGEREF _Toc249419414 \h </w:instrText>
      </w:r>
      <w:r>
        <w:fldChar w:fldCharType="separate"/>
      </w:r>
      <w:r>
        <w:t>6</w:t>
      </w:r>
      <w:r>
        <w:fldChar w:fldCharType="end"/>
      </w:r>
    </w:p>
    <w:p>
      <w:pPr>
        <w:pStyle w:val="TOC6"/>
        <w:tabs>
          <w:tab w:val="right" w:leader="dot" w:pos="7086"/>
        </w:tabs>
        <w:rPr>
          <w:b w:val="0"/>
          <w:sz w:val="24"/>
          <w:szCs w:val="24"/>
        </w:rPr>
      </w:pPr>
      <w:r>
        <w:rPr>
          <w:snapToGrid w:val="0"/>
          <w:szCs w:val="24"/>
        </w:rPr>
        <w:t>Subdivision 3 — Proceedings before the Board</w:t>
      </w:r>
    </w:p>
    <w:p>
      <w:pPr>
        <w:pStyle w:val="TOC8"/>
        <w:rPr>
          <w:sz w:val="24"/>
          <w:szCs w:val="24"/>
        </w:rPr>
      </w:pPr>
      <w:r>
        <w:rPr>
          <w:szCs w:val="24"/>
        </w:rPr>
        <w:t>57</w:t>
      </w:r>
      <w:r>
        <w:rPr>
          <w:snapToGrid w:val="0"/>
          <w:szCs w:val="24"/>
        </w:rPr>
        <w:t>.</w:t>
      </w:r>
      <w:r>
        <w:rPr>
          <w:snapToGrid w:val="0"/>
          <w:szCs w:val="24"/>
        </w:rPr>
        <w:tab/>
        <w:t>Principles governing hearings</w:t>
      </w:r>
      <w:r>
        <w:tab/>
      </w:r>
      <w:r>
        <w:fldChar w:fldCharType="begin"/>
      </w:r>
      <w:r>
        <w:instrText xml:space="preserve"> PAGEREF _Toc249419416 \h </w:instrText>
      </w:r>
      <w:r>
        <w:fldChar w:fldCharType="separate"/>
      </w:r>
      <w:r>
        <w:t>7</w:t>
      </w:r>
      <w:r>
        <w:fldChar w:fldCharType="end"/>
      </w:r>
    </w:p>
    <w:p>
      <w:pPr>
        <w:pStyle w:val="TOC8"/>
        <w:rPr>
          <w:sz w:val="24"/>
          <w:szCs w:val="24"/>
        </w:rPr>
      </w:pPr>
      <w:r>
        <w:rPr>
          <w:szCs w:val="24"/>
        </w:rPr>
        <w:t>58</w:t>
      </w:r>
      <w:r>
        <w:rPr>
          <w:snapToGrid w:val="0"/>
          <w:szCs w:val="24"/>
        </w:rPr>
        <w:t>.</w:t>
      </w:r>
      <w:r>
        <w:rPr>
          <w:snapToGrid w:val="0"/>
          <w:szCs w:val="24"/>
        </w:rPr>
        <w:tab/>
        <w:t>Powers in respect of evidence and information</w:t>
      </w:r>
      <w:r>
        <w:tab/>
      </w:r>
      <w:r>
        <w:fldChar w:fldCharType="begin"/>
      </w:r>
      <w:r>
        <w:instrText xml:space="preserve"> PAGEREF _Toc249419417 \h </w:instrText>
      </w:r>
      <w:r>
        <w:fldChar w:fldCharType="separate"/>
      </w:r>
      <w:r>
        <w:t>7</w:t>
      </w:r>
      <w:r>
        <w:fldChar w:fldCharType="end"/>
      </w:r>
    </w:p>
    <w:p>
      <w:pPr>
        <w:pStyle w:val="TOC8"/>
        <w:rPr>
          <w:sz w:val="24"/>
          <w:szCs w:val="24"/>
        </w:rPr>
      </w:pPr>
      <w:r>
        <w:rPr>
          <w:szCs w:val="24"/>
        </w:rPr>
        <w:t>59</w:t>
      </w:r>
      <w:r>
        <w:rPr>
          <w:snapToGrid w:val="0"/>
          <w:szCs w:val="24"/>
        </w:rPr>
        <w:t>.</w:t>
      </w:r>
      <w:r>
        <w:rPr>
          <w:snapToGrid w:val="0"/>
          <w:szCs w:val="24"/>
        </w:rPr>
        <w:tab/>
        <w:t>Practice and procedures</w:t>
      </w:r>
      <w:r>
        <w:tab/>
      </w:r>
      <w:r>
        <w:fldChar w:fldCharType="begin"/>
      </w:r>
      <w:r>
        <w:instrText xml:space="preserve"> PAGEREF _Toc249419418 \h </w:instrText>
      </w:r>
      <w:r>
        <w:fldChar w:fldCharType="separate"/>
      </w:r>
      <w:r>
        <w:t>8</w:t>
      </w:r>
      <w:r>
        <w:fldChar w:fldCharType="end"/>
      </w:r>
    </w:p>
    <w:p>
      <w:pPr>
        <w:pStyle w:val="TOC6"/>
        <w:tabs>
          <w:tab w:val="right" w:leader="dot" w:pos="7086"/>
        </w:tabs>
        <w:rPr>
          <w:b w:val="0"/>
          <w:sz w:val="24"/>
          <w:szCs w:val="24"/>
        </w:rPr>
      </w:pPr>
      <w:r>
        <w:rPr>
          <w:snapToGrid w:val="0"/>
          <w:szCs w:val="24"/>
        </w:rPr>
        <w:t>Subdivision 4 — General</w:t>
      </w:r>
    </w:p>
    <w:p>
      <w:pPr>
        <w:pStyle w:val="TOC8"/>
        <w:rPr>
          <w:sz w:val="24"/>
          <w:szCs w:val="24"/>
        </w:rPr>
      </w:pPr>
      <w:r>
        <w:rPr>
          <w:szCs w:val="24"/>
        </w:rPr>
        <w:t>60</w:t>
      </w:r>
      <w:r>
        <w:rPr>
          <w:snapToGrid w:val="0"/>
          <w:szCs w:val="24"/>
        </w:rPr>
        <w:t>.</w:t>
      </w:r>
      <w:r>
        <w:rPr>
          <w:snapToGrid w:val="0"/>
          <w:szCs w:val="24"/>
        </w:rPr>
        <w:tab/>
        <w:t>Immunity</w:t>
      </w:r>
      <w:r>
        <w:tab/>
      </w:r>
      <w:r>
        <w:fldChar w:fldCharType="begin"/>
      </w:r>
      <w:r>
        <w:instrText xml:space="preserve"> PAGEREF _Toc249419420 \h </w:instrText>
      </w:r>
      <w:r>
        <w:fldChar w:fldCharType="separate"/>
      </w:r>
      <w:r>
        <w:t>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Arbitrator</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61</w:t>
      </w:r>
      <w:r>
        <w:rPr>
          <w:snapToGrid w:val="0"/>
          <w:szCs w:val="24"/>
        </w:rPr>
        <w:t>.</w:t>
      </w:r>
      <w:r>
        <w:rPr>
          <w:snapToGrid w:val="0"/>
          <w:szCs w:val="24"/>
        </w:rPr>
        <w:tab/>
        <w:t>Definition</w:t>
      </w:r>
      <w:r>
        <w:tab/>
      </w:r>
      <w:r>
        <w:fldChar w:fldCharType="begin"/>
      </w:r>
      <w:r>
        <w:instrText xml:space="preserve"> PAGEREF _Toc249419423 \h </w:instrText>
      </w:r>
      <w:r>
        <w:fldChar w:fldCharType="separate"/>
      </w:r>
      <w:r>
        <w:t>9</w:t>
      </w:r>
      <w:r>
        <w:fldChar w:fldCharType="end"/>
      </w:r>
    </w:p>
    <w:p>
      <w:pPr>
        <w:pStyle w:val="TOC6"/>
        <w:tabs>
          <w:tab w:val="right" w:leader="dot" w:pos="7086"/>
        </w:tabs>
        <w:rPr>
          <w:b w:val="0"/>
          <w:sz w:val="24"/>
          <w:szCs w:val="24"/>
        </w:rPr>
      </w:pPr>
      <w:r>
        <w:rPr>
          <w:snapToGrid w:val="0"/>
          <w:szCs w:val="24"/>
        </w:rPr>
        <w:t>Subdivision 2 — Office of Western Australian Energy Disputes Arbitrator established</w:t>
      </w:r>
    </w:p>
    <w:p>
      <w:pPr>
        <w:pStyle w:val="TOC8"/>
        <w:rPr>
          <w:sz w:val="24"/>
          <w:szCs w:val="24"/>
        </w:rPr>
      </w:pPr>
      <w:r>
        <w:rPr>
          <w:szCs w:val="24"/>
        </w:rPr>
        <w:t>62</w:t>
      </w:r>
      <w:r>
        <w:rPr>
          <w:snapToGrid w:val="0"/>
          <w:szCs w:val="24"/>
        </w:rPr>
        <w:t>.</w:t>
      </w:r>
      <w:r>
        <w:rPr>
          <w:snapToGrid w:val="0"/>
          <w:szCs w:val="24"/>
        </w:rPr>
        <w:tab/>
        <w:t>Western Australian Energy Disputes Arbitrator</w:t>
      </w:r>
      <w:r>
        <w:tab/>
      </w:r>
      <w:r>
        <w:fldChar w:fldCharType="begin"/>
      </w:r>
      <w:r>
        <w:instrText xml:space="preserve"> PAGEREF _Toc249419425 \h </w:instrText>
      </w:r>
      <w:r>
        <w:fldChar w:fldCharType="separate"/>
      </w:r>
      <w:r>
        <w:t>10</w:t>
      </w:r>
      <w:r>
        <w:fldChar w:fldCharType="end"/>
      </w:r>
    </w:p>
    <w:p>
      <w:pPr>
        <w:pStyle w:val="TOC8"/>
        <w:rPr>
          <w:sz w:val="24"/>
          <w:szCs w:val="24"/>
        </w:rPr>
      </w:pPr>
      <w:r>
        <w:rPr>
          <w:szCs w:val="24"/>
        </w:rPr>
        <w:t>63</w:t>
      </w:r>
      <w:r>
        <w:rPr>
          <w:snapToGrid w:val="0"/>
          <w:szCs w:val="24"/>
        </w:rPr>
        <w:t>.</w:t>
      </w:r>
      <w:r>
        <w:rPr>
          <w:snapToGrid w:val="0"/>
          <w:szCs w:val="24"/>
        </w:rPr>
        <w:tab/>
        <w:t>Appointment of arbitrator</w:t>
      </w:r>
      <w:r>
        <w:tab/>
      </w:r>
      <w:r>
        <w:fldChar w:fldCharType="begin"/>
      </w:r>
      <w:r>
        <w:instrText xml:space="preserve"> PAGEREF _Toc249419426 \h </w:instrText>
      </w:r>
      <w:r>
        <w:fldChar w:fldCharType="separate"/>
      </w:r>
      <w:r>
        <w:t>10</w:t>
      </w:r>
      <w:r>
        <w:fldChar w:fldCharType="end"/>
      </w:r>
    </w:p>
    <w:p>
      <w:pPr>
        <w:pStyle w:val="TOC8"/>
        <w:rPr>
          <w:sz w:val="24"/>
          <w:szCs w:val="24"/>
        </w:rPr>
      </w:pPr>
      <w:r>
        <w:rPr>
          <w:szCs w:val="24"/>
        </w:rPr>
        <w:t>64</w:t>
      </w:r>
      <w:r>
        <w:rPr>
          <w:snapToGrid w:val="0"/>
          <w:szCs w:val="24"/>
        </w:rPr>
        <w:t>.</w:t>
      </w:r>
      <w:r>
        <w:rPr>
          <w:snapToGrid w:val="0"/>
          <w:szCs w:val="24"/>
        </w:rPr>
        <w:tab/>
        <w:t xml:space="preserve">Application of </w:t>
      </w:r>
      <w:r>
        <w:rPr>
          <w:i/>
          <w:snapToGrid w:val="0"/>
          <w:szCs w:val="24"/>
        </w:rPr>
        <w:t>Public Sector Management Act 1994</w:t>
      </w:r>
      <w:r>
        <w:tab/>
      </w:r>
      <w:r>
        <w:fldChar w:fldCharType="begin"/>
      </w:r>
      <w:r>
        <w:instrText xml:space="preserve"> PAGEREF _Toc249419427 \h </w:instrText>
      </w:r>
      <w:r>
        <w:fldChar w:fldCharType="separate"/>
      </w:r>
      <w:r>
        <w:t>12</w:t>
      </w:r>
      <w:r>
        <w:fldChar w:fldCharType="end"/>
      </w:r>
    </w:p>
    <w:p>
      <w:pPr>
        <w:pStyle w:val="TOC8"/>
        <w:rPr>
          <w:sz w:val="24"/>
          <w:szCs w:val="24"/>
        </w:rPr>
      </w:pPr>
      <w:r>
        <w:rPr>
          <w:szCs w:val="24"/>
        </w:rPr>
        <w:t>65</w:t>
      </w:r>
      <w:r>
        <w:rPr>
          <w:snapToGrid w:val="0"/>
          <w:szCs w:val="24"/>
        </w:rPr>
        <w:t>.</w:t>
      </w:r>
      <w:r>
        <w:rPr>
          <w:snapToGrid w:val="0"/>
          <w:szCs w:val="24"/>
        </w:rPr>
        <w:tab/>
        <w:t>Term of office</w:t>
      </w:r>
      <w:r>
        <w:tab/>
      </w:r>
      <w:r>
        <w:fldChar w:fldCharType="begin"/>
      </w:r>
      <w:r>
        <w:instrText xml:space="preserve"> PAGEREF _Toc249419428 \h </w:instrText>
      </w:r>
      <w:r>
        <w:fldChar w:fldCharType="separate"/>
      </w:r>
      <w:r>
        <w:t>12</w:t>
      </w:r>
      <w:r>
        <w:fldChar w:fldCharType="end"/>
      </w:r>
    </w:p>
    <w:p>
      <w:pPr>
        <w:pStyle w:val="TOC8"/>
        <w:rPr>
          <w:sz w:val="24"/>
          <w:szCs w:val="24"/>
        </w:rPr>
      </w:pPr>
      <w:r>
        <w:rPr>
          <w:szCs w:val="24"/>
        </w:rPr>
        <w:t>66</w:t>
      </w:r>
      <w:r>
        <w:rPr>
          <w:snapToGrid w:val="0"/>
          <w:szCs w:val="24"/>
        </w:rPr>
        <w:t>.</w:t>
      </w:r>
      <w:r>
        <w:rPr>
          <w:snapToGrid w:val="0"/>
          <w:szCs w:val="24"/>
        </w:rPr>
        <w:tab/>
        <w:t>Resignation</w:t>
      </w:r>
      <w:r>
        <w:tab/>
      </w:r>
      <w:r>
        <w:fldChar w:fldCharType="begin"/>
      </w:r>
      <w:r>
        <w:instrText xml:space="preserve"> PAGEREF _Toc249419429 \h </w:instrText>
      </w:r>
      <w:r>
        <w:fldChar w:fldCharType="separate"/>
      </w:r>
      <w:r>
        <w:t>13</w:t>
      </w:r>
      <w:r>
        <w:fldChar w:fldCharType="end"/>
      </w:r>
    </w:p>
    <w:p>
      <w:pPr>
        <w:pStyle w:val="TOC8"/>
        <w:rPr>
          <w:sz w:val="24"/>
          <w:szCs w:val="24"/>
        </w:rPr>
      </w:pPr>
      <w:r>
        <w:rPr>
          <w:szCs w:val="24"/>
        </w:rPr>
        <w:t>67</w:t>
      </w:r>
      <w:r>
        <w:rPr>
          <w:snapToGrid w:val="0"/>
          <w:szCs w:val="24"/>
        </w:rPr>
        <w:t>.</w:t>
      </w:r>
      <w:r>
        <w:rPr>
          <w:snapToGrid w:val="0"/>
          <w:szCs w:val="24"/>
        </w:rPr>
        <w:tab/>
        <w:t>Suspension of arbitrator</w:t>
      </w:r>
      <w:r>
        <w:tab/>
      </w:r>
      <w:r>
        <w:fldChar w:fldCharType="begin"/>
      </w:r>
      <w:r>
        <w:instrText xml:space="preserve"> PAGEREF _Toc249419430 \h </w:instrText>
      </w:r>
      <w:r>
        <w:fldChar w:fldCharType="separate"/>
      </w:r>
      <w:r>
        <w:t>13</w:t>
      </w:r>
      <w:r>
        <w:fldChar w:fldCharType="end"/>
      </w:r>
    </w:p>
    <w:p>
      <w:pPr>
        <w:pStyle w:val="TOC8"/>
        <w:rPr>
          <w:sz w:val="24"/>
          <w:szCs w:val="24"/>
        </w:rPr>
      </w:pPr>
      <w:r>
        <w:rPr>
          <w:szCs w:val="24"/>
        </w:rPr>
        <w:t>68</w:t>
      </w:r>
      <w:r>
        <w:rPr>
          <w:snapToGrid w:val="0"/>
          <w:szCs w:val="24"/>
        </w:rPr>
        <w:t>.</w:t>
      </w:r>
      <w:r>
        <w:rPr>
          <w:snapToGrid w:val="0"/>
          <w:szCs w:val="24"/>
        </w:rPr>
        <w:tab/>
        <w:t>Removal of arbitrator</w:t>
      </w:r>
      <w:r>
        <w:tab/>
      </w:r>
      <w:r>
        <w:fldChar w:fldCharType="begin"/>
      </w:r>
      <w:r>
        <w:instrText xml:space="preserve"> PAGEREF _Toc249419431 \h </w:instrText>
      </w:r>
      <w:r>
        <w:fldChar w:fldCharType="separate"/>
      </w:r>
      <w:r>
        <w:t>13</w:t>
      </w:r>
      <w:r>
        <w:fldChar w:fldCharType="end"/>
      </w:r>
    </w:p>
    <w:p>
      <w:pPr>
        <w:pStyle w:val="TOC8"/>
        <w:rPr>
          <w:sz w:val="24"/>
          <w:szCs w:val="24"/>
        </w:rPr>
      </w:pPr>
      <w:r>
        <w:rPr>
          <w:szCs w:val="24"/>
        </w:rPr>
        <w:t>69</w:t>
      </w:r>
      <w:r>
        <w:rPr>
          <w:snapToGrid w:val="0"/>
          <w:szCs w:val="24"/>
        </w:rPr>
        <w:t>.</w:t>
      </w:r>
      <w:r>
        <w:rPr>
          <w:snapToGrid w:val="0"/>
          <w:szCs w:val="24"/>
        </w:rPr>
        <w:tab/>
        <w:t>Remuneration and conditions of office</w:t>
      </w:r>
      <w:r>
        <w:tab/>
      </w:r>
      <w:r>
        <w:fldChar w:fldCharType="begin"/>
      </w:r>
      <w:r>
        <w:instrText xml:space="preserve"> PAGEREF _Toc249419432 \h </w:instrText>
      </w:r>
      <w:r>
        <w:fldChar w:fldCharType="separate"/>
      </w:r>
      <w:r>
        <w:t>14</w:t>
      </w:r>
      <w:r>
        <w:fldChar w:fldCharType="end"/>
      </w:r>
    </w:p>
    <w:p>
      <w:pPr>
        <w:pStyle w:val="TOC8"/>
        <w:rPr>
          <w:sz w:val="24"/>
          <w:szCs w:val="24"/>
        </w:rPr>
      </w:pPr>
      <w:r>
        <w:rPr>
          <w:szCs w:val="24"/>
        </w:rPr>
        <w:t>70</w:t>
      </w:r>
      <w:r>
        <w:rPr>
          <w:snapToGrid w:val="0"/>
          <w:szCs w:val="24"/>
        </w:rPr>
        <w:t>.</w:t>
      </w:r>
      <w:r>
        <w:rPr>
          <w:snapToGrid w:val="0"/>
          <w:szCs w:val="24"/>
        </w:rPr>
        <w:tab/>
        <w:t>Oath of office</w:t>
      </w:r>
      <w:r>
        <w:tab/>
      </w:r>
      <w:r>
        <w:fldChar w:fldCharType="begin"/>
      </w:r>
      <w:r>
        <w:instrText xml:space="preserve"> PAGEREF _Toc249419433 \h </w:instrText>
      </w:r>
      <w:r>
        <w:fldChar w:fldCharType="separate"/>
      </w:r>
      <w:r>
        <w:t>14</w:t>
      </w:r>
      <w:r>
        <w:fldChar w:fldCharType="end"/>
      </w:r>
    </w:p>
    <w:p>
      <w:pPr>
        <w:pStyle w:val="TOC8"/>
        <w:rPr>
          <w:sz w:val="24"/>
          <w:szCs w:val="24"/>
        </w:rPr>
      </w:pPr>
      <w:r>
        <w:rPr>
          <w:szCs w:val="24"/>
        </w:rPr>
        <w:t>71</w:t>
      </w:r>
      <w:r>
        <w:rPr>
          <w:snapToGrid w:val="0"/>
          <w:szCs w:val="24"/>
        </w:rPr>
        <w:t>.</w:t>
      </w:r>
      <w:r>
        <w:rPr>
          <w:snapToGrid w:val="0"/>
          <w:szCs w:val="24"/>
        </w:rPr>
        <w:tab/>
        <w:t>Acting arbitrator</w:t>
      </w:r>
      <w:r>
        <w:tab/>
      </w:r>
      <w:r>
        <w:fldChar w:fldCharType="begin"/>
      </w:r>
      <w:r>
        <w:instrText xml:space="preserve"> PAGEREF _Toc249419434 \h </w:instrText>
      </w:r>
      <w:r>
        <w:fldChar w:fldCharType="separate"/>
      </w:r>
      <w:r>
        <w:t>14</w:t>
      </w:r>
      <w:r>
        <w:fldChar w:fldCharType="end"/>
      </w:r>
    </w:p>
    <w:p>
      <w:pPr>
        <w:pStyle w:val="TOC8"/>
        <w:rPr>
          <w:sz w:val="24"/>
          <w:szCs w:val="24"/>
        </w:rPr>
      </w:pPr>
      <w:r>
        <w:rPr>
          <w:szCs w:val="24"/>
        </w:rPr>
        <w:t>72</w:t>
      </w:r>
      <w:r>
        <w:rPr>
          <w:snapToGrid w:val="0"/>
          <w:szCs w:val="24"/>
        </w:rPr>
        <w:t>.</w:t>
      </w:r>
      <w:r>
        <w:rPr>
          <w:snapToGrid w:val="0"/>
          <w:szCs w:val="24"/>
        </w:rPr>
        <w:tab/>
        <w:t>Duties may be performed concurrently</w:t>
      </w:r>
      <w:r>
        <w:tab/>
      </w:r>
      <w:r>
        <w:fldChar w:fldCharType="begin"/>
      </w:r>
      <w:r>
        <w:instrText xml:space="preserve"> PAGEREF _Toc249419435 \h </w:instrText>
      </w:r>
      <w:r>
        <w:fldChar w:fldCharType="separate"/>
      </w:r>
      <w:r>
        <w:t>15</w:t>
      </w:r>
      <w:r>
        <w:fldChar w:fldCharType="end"/>
      </w:r>
    </w:p>
    <w:p>
      <w:pPr>
        <w:pStyle w:val="TOC6"/>
        <w:tabs>
          <w:tab w:val="right" w:leader="dot" w:pos="7086"/>
        </w:tabs>
        <w:rPr>
          <w:b w:val="0"/>
          <w:sz w:val="24"/>
          <w:szCs w:val="24"/>
        </w:rPr>
      </w:pPr>
      <w:r>
        <w:rPr>
          <w:snapToGrid w:val="0"/>
          <w:szCs w:val="24"/>
        </w:rPr>
        <w:t>Subdivision 3 — Functions</w:t>
      </w:r>
    </w:p>
    <w:p>
      <w:pPr>
        <w:pStyle w:val="TOC8"/>
        <w:rPr>
          <w:sz w:val="24"/>
          <w:szCs w:val="24"/>
        </w:rPr>
      </w:pPr>
      <w:r>
        <w:rPr>
          <w:szCs w:val="24"/>
        </w:rPr>
        <w:t>73</w:t>
      </w:r>
      <w:r>
        <w:rPr>
          <w:snapToGrid w:val="0"/>
          <w:szCs w:val="24"/>
        </w:rPr>
        <w:t>.</w:t>
      </w:r>
      <w:r>
        <w:rPr>
          <w:snapToGrid w:val="0"/>
          <w:szCs w:val="24"/>
        </w:rPr>
        <w:tab/>
        <w:t>Functions</w:t>
      </w:r>
      <w:r>
        <w:tab/>
      </w:r>
      <w:r>
        <w:fldChar w:fldCharType="begin"/>
      </w:r>
      <w:r>
        <w:instrText xml:space="preserve"> PAGEREF _Toc249419437 \h </w:instrText>
      </w:r>
      <w:r>
        <w:fldChar w:fldCharType="separate"/>
      </w:r>
      <w:r>
        <w:t>15</w:t>
      </w:r>
      <w:r>
        <w:fldChar w:fldCharType="end"/>
      </w:r>
    </w:p>
    <w:p>
      <w:pPr>
        <w:pStyle w:val="TOC8"/>
        <w:rPr>
          <w:sz w:val="24"/>
          <w:szCs w:val="24"/>
        </w:rPr>
      </w:pPr>
      <w:r>
        <w:rPr>
          <w:szCs w:val="24"/>
        </w:rPr>
        <w:t>74</w:t>
      </w:r>
      <w:r>
        <w:rPr>
          <w:snapToGrid w:val="0"/>
          <w:szCs w:val="24"/>
        </w:rPr>
        <w:t>.</w:t>
      </w:r>
      <w:r>
        <w:rPr>
          <w:snapToGrid w:val="0"/>
          <w:szCs w:val="24"/>
        </w:rPr>
        <w:tab/>
        <w:t>Additional functions may be prescribed</w:t>
      </w:r>
      <w:r>
        <w:tab/>
      </w:r>
      <w:r>
        <w:fldChar w:fldCharType="begin"/>
      </w:r>
      <w:r>
        <w:instrText xml:space="preserve"> PAGEREF _Toc249419438 \h </w:instrText>
      </w:r>
      <w:r>
        <w:fldChar w:fldCharType="separate"/>
      </w:r>
      <w:r>
        <w:t>16</w:t>
      </w:r>
      <w:r>
        <w:fldChar w:fldCharType="end"/>
      </w:r>
    </w:p>
    <w:p>
      <w:pPr>
        <w:pStyle w:val="TOC8"/>
        <w:rPr>
          <w:sz w:val="24"/>
          <w:szCs w:val="24"/>
        </w:rPr>
      </w:pPr>
      <w:r>
        <w:rPr>
          <w:szCs w:val="24"/>
        </w:rPr>
        <w:t>75</w:t>
      </w:r>
      <w:r>
        <w:rPr>
          <w:snapToGrid w:val="0"/>
          <w:szCs w:val="24"/>
        </w:rPr>
        <w:t>.</w:t>
      </w:r>
      <w:r>
        <w:rPr>
          <w:snapToGrid w:val="0"/>
          <w:szCs w:val="24"/>
        </w:rPr>
        <w:tab/>
        <w:t>Independence of arbitrator</w:t>
      </w:r>
      <w:r>
        <w:tab/>
      </w:r>
      <w:r>
        <w:fldChar w:fldCharType="begin"/>
      </w:r>
      <w:r>
        <w:instrText xml:space="preserve"> PAGEREF _Toc249419439 \h </w:instrText>
      </w:r>
      <w:r>
        <w:fldChar w:fldCharType="separate"/>
      </w:r>
      <w:r>
        <w:t>17</w:t>
      </w:r>
      <w:r>
        <w:fldChar w:fldCharType="end"/>
      </w:r>
    </w:p>
    <w:p>
      <w:pPr>
        <w:pStyle w:val="TOC8"/>
        <w:rPr>
          <w:sz w:val="24"/>
          <w:szCs w:val="24"/>
        </w:rPr>
      </w:pPr>
      <w:r>
        <w:rPr>
          <w:szCs w:val="24"/>
        </w:rPr>
        <w:t>76</w:t>
      </w:r>
      <w:r>
        <w:rPr>
          <w:snapToGrid w:val="0"/>
          <w:szCs w:val="24"/>
        </w:rPr>
        <w:t>.</w:t>
      </w:r>
      <w:r>
        <w:rPr>
          <w:snapToGrid w:val="0"/>
          <w:szCs w:val="24"/>
        </w:rPr>
        <w:tab/>
        <w:t>Copies of decisions to be given to the local Regulator</w:t>
      </w:r>
      <w:r>
        <w:tab/>
      </w:r>
      <w:r>
        <w:fldChar w:fldCharType="begin"/>
      </w:r>
      <w:r>
        <w:instrText xml:space="preserve"> PAGEREF _Toc249419440 \h </w:instrText>
      </w:r>
      <w:r>
        <w:fldChar w:fldCharType="separate"/>
      </w:r>
      <w:r>
        <w:t>17</w:t>
      </w:r>
      <w:r>
        <w:fldChar w:fldCharType="end"/>
      </w:r>
    </w:p>
    <w:p>
      <w:pPr>
        <w:pStyle w:val="TOC8"/>
        <w:rPr>
          <w:sz w:val="24"/>
          <w:szCs w:val="24"/>
        </w:rPr>
      </w:pPr>
      <w:r>
        <w:rPr>
          <w:szCs w:val="24"/>
        </w:rPr>
        <w:t>77</w:t>
      </w:r>
      <w:r>
        <w:rPr>
          <w:snapToGrid w:val="0"/>
          <w:szCs w:val="24"/>
        </w:rPr>
        <w:t>.</w:t>
      </w:r>
      <w:r>
        <w:rPr>
          <w:snapToGrid w:val="0"/>
          <w:szCs w:val="24"/>
        </w:rPr>
        <w:tab/>
      </w:r>
      <w:r>
        <w:rPr>
          <w:i/>
          <w:snapToGrid w:val="0"/>
          <w:szCs w:val="24"/>
        </w:rPr>
        <w:t>Commercial Arbitration Act 1985</w:t>
      </w:r>
      <w:r>
        <w:rPr>
          <w:snapToGrid w:val="0"/>
          <w:szCs w:val="24"/>
        </w:rPr>
        <w:t xml:space="preserve"> does not apply</w:t>
      </w:r>
      <w:r>
        <w:tab/>
      </w:r>
      <w:r>
        <w:fldChar w:fldCharType="begin"/>
      </w:r>
      <w:r>
        <w:instrText xml:space="preserve"> PAGEREF _Toc249419441 \h </w:instrText>
      </w:r>
      <w:r>
        <w:fldChar w:fldCharType="separate"/>
      </w:r>
      <w:r>
        <w:t>18</w:t>
      </w:r>
      <w:r>
        <w:fldChar w:fldCharType="end"/>
      </w:r>
    </w:p>
    <w:p>
      <w:pPr>
        <w:pStyle w:val="TOC8"/>
        <w:rPr>
          <w:sz w:val="24"/>
          <w:szCs w:val="24"/>
        </w:rPr>
      </w:pPr>
      <w:r>
        <w:rPr>
          <w:szCs w:val="24"/>
        </w:rPr>
        <w:t>78</w:t>
      </w:r>
      <w:r>
        <w:rPr>
          <w:snapToGrid w:val="0"/>
          <w:szCs w:val="24"/>
        </w:rPr>
        <w:t>.</w:t>
      </w:r>
      <w:r>
        <w:rPr>
          <w:snapToGrid w:val="0"/>
          <w:szCs w:val="24"/>
        </w:rPr>
        <w:tab/>
        <w:t>Delegation</w:t>
      </w:r>
      <w:r>
        <w:tab/>
      </w:r>
      <w:r>
        <w:fldChar w:fldCharType="begin"/>
      </w:r>
      <w:r>
        <w:instrText xml:space="preserve"> PAGEREF _Toc249419442 \h </w:instrText>
      </w:r>
      <w:r>
        <w:fldChar w:fldCharType="separate"/>
      </w:r>
      <w:r>
        <w:t>18</w:t>
      </w:r>
      <w:r>
        <w:fldChar w:fldCharType="end"/>
      </w:r>
    </w:p>
    <w:p>
      <w:pPr>
        <w:pStyle w:val="TOC8"/>
        <w:rPr>
          <w:sz w:val="24"/>
          <w:szCs w:val="24"/>
        </w:rPr>
      </w:pPr>
      <w:r>
        <w:rPr>
          <w:szCs w:val="24"/>
        </w:rPr>
        <w:t>79</w:t>
      </w:r>
      <w:r>
        <w:rPr>
          <w:snapToGrid w:val="0"/>
          <w:szCs w:val="24"/>
        </w:rPr>
        <w:t>.</w:t>
      </w:r>
      <w:r>
        <w:rPr>
          <w:snapToGrid w:val="0"/>
          <w:szCs w:val="24"/>
        </w:rPr>
        <w:tab/>
        <w:t>Conflict of interest</w:t>
      </w:r>
      <w:r>
        <w:tab/>
      </w:r>
      <w:r>
        <w:fldChar w:fldCharType="begin"/>
      </w:r>
      <w:r>
        <w:instrText xml:space="preserve"> PAGEREF _Toc249419443 \h </w:instrText>
      </w:r>
      <w:r>
        <w:fldChar w:fldCharType="separate"/>
      </w:r>
      <w:r>
        <w:t>18</w:t>
      </w:r>
      <w:r>
        <w:fldChar w:fldCharType="end"/>
      </w:r>
    </w:p>
    <w:p>
      <w:pPr>
        <w:pStyle w:val="TOC6"/>
        <w:tabs>
          <w:tab w:val="right" w:leader="dot" w:pos="7086"/>
        </w:tabs>
        <w:rPr>
          <w:b w:val="0"/>
          <w:sz w:val="24"/>
          <w:szCs w:val="24"/>
        </w:rPr>
      </w:pPr>
      <w:r>
        <w:rPr>
          <w:snapToGrid w:val="0"/>
          <w:szCs w:val="24"/>
        </w:rPr>
        <w:t>Subdivision 4 — Staff and consultants</w:t>
      </w:r>
    </w:p>
    <w:p>
      <w:pPr>
        <w:pStyle w:val="TOC8"/>
        <w:rPr>
          <w:sz w:val="24"/>
          <w:szCs w:val="24"/>
        </w:rPr>
      </w:pPr>
      <w:r>
        <w:rPr>
          <w:szCs w:val="24"/>
        </w:rPr>
        <w:t>80</w:t>
      </w:r>
      <w:r>
        <w:rPr>
          <w:snapToGrid w:val="0"/>
          <w:szCs w:val="24"/>
        </w:rPr>
        <w:t>.</w:t>
      </w:r>
      <w:r>
        <w:rPr>
          <w:snapToGrid w:val="0"/>
          <w:szCs w:val="24"/>
        </w:rPr>
        <w:tab/>
        <w:t>Use of government staff etc.</w:t>
      </w:r>
      <w:r>
        <w:tab/>
      </w:r>
      <w:r>
        <w:fldChar w:fldCharType="begin"/>
      </w:r>
      <w:r>
        <w:instrText xml:space="preserve"> PAGEREF _Toc249419445 \h </w:instrText>
      </w:r>
      <w:r>
        <w:fldChar w:fldCharType="separate"/>
      </w:r>
      <w:r>
        <w:t>19</w:t>
      </w:r>
      <w:r>
        <w:fldChar w:fldCharType="end"/>
      </w:r>
    </w:p>
    <w:p>
      <w:pPr>
        <w:pStyle w:val="TOC8"/>
        <w:rPr>
          <w:sz w:val="24"/>
          <w:szCs w:val="24"/>
        </w:rPr>
      </w:pPr>
      <w:r>
        <w:rPr>
          <w:szCs w:val="24"/>
        </w:rPr>
        <w:t>81</w:t>
      </w:r>
      <w:r>
        <w:rPr>
          <w:snapToGrid w:val="0"/>
          <w:szCs w:val="24"/>
        </w:rPr>
        <w:t>.</w:t>
      </w:r>
      <w:r>
        <w:rPr>
          <w:snapToGrid w:val="0"/>
          <w:szCs w:val="24"/>
        </w:rPr>
        <w:tab/>
        <w:t>Consultants</w:t>
      </w:r>
      <w:r>
        <w:tab/>
      </w:r>
      <w:r>
        <w:fldChar w:fldCharType="begin"/>
      </w:r>
      <w:r>
        <w:instrText xml:space="preserve"> PAGEREF _Toc249419446 \h </w:instrText>
      </w:r>
      <w:r>
        <w:fldChar w:fldCharType="separate"/>
      </w:r>
      <w:r>
        <w:t>20</w:t>
      </w:r>
      <w:r>
        <w:fldChar w:fldCharType="end"/>
      </w:r>
    </w:p>
    <w:p>
      <w:pPr>
        <w:pStyle w:val="TOC6"/>
        <w:tabs>
          <w:tab w:val="right" w:leader="dot" w:pos="7086"/>
        </w:tabs>
        <w:rPr>
          <w:b w:val="0"/>
          <w:sz w:val="24"/>
          <w:szCs w:val="24"/>
        </w:rPr>
      </w:pPr>
      <w:r>
        <w:rPr>
          <w:snapToGrid w:val="0"/>
          <w:szCs w:val="24"/>
        </w:rPr>
        <w:t>Subdivision 5 — Financial provisions</w:t>
      </w:r>
    </w:p>
    <w:p>
      <w:pPr>
        <w:pStyle w:val="TOC8"/>
        <w:rPr>
          <w:sz w:val="24"/>
          <w:szCs w:val="24"/>
        </w:rPr>
      </w:pPr>
      <w:r>
        <w:rPr>
          <w:szCs w:val="24"/>
        </w:rPr>
        <w:t>82</w:t>
      </w:r>
      <w:r>
        <w:rPr>
          <w:snapToGrid w:val="0"/>
          <w:szCs w:val="24"/>
        </w:rPr>
        <w:t>.</w:t>
      </w:r>
      <w:r>
        <w:rPr>
          <w:snapToGrid w:val="0"/>
          <w:szCs w:val="24"/>
        </w:rPr>
        <w:tab/>
        <w:t>Bank account</w:t>
      </w:r>
      <w:r>
        <w:tab/>
      </w:r>
      <w:r>
        <w:fldChar w:fldCharType="begin"/>
      </w:r>
      <w:r>
        <w:instrText xml:space="preserve"> PAGEREF _Toc249419448 \h </w:instrText>
      </w:r>
      <w:r>
        <w:fldChar w:fldCharType="separate"/>
      </w:r>
      <w:r>
        <w:t>20</w:t>
      </w:r>
      <w:r>
        <w:fldChar w:fldCharType="end"/>
      </w:r>
    </w:p>
    <w:p>
      <w:pPr>
        <w:pStyle w:val="TOC8"/>
        <w:rPr>
          <w:sz w:val="24"/>
          <w:szCs w:val="24"/>
        </w:rPr>
      </w:pPr>
      <w:r>
        <w:rPr>
          <w:szCs w:val="24"/>
        </w:rPr>
        <w:t>83</w:t>
      </w:r>
      <w:r>
        <w:rPr>
          <w:snapToGrid w:val="0"/>
          <w:szCs w:val="24"/>
        </w:rPr>
        <w:t>.</w:t>
      </w:r>
      <w:r>
        <w:rPr>
          <w:snapToGrid w:val="0"/>
          <w:szCs w:val="24"/>
        </w:rPr>
        <w:tab/>
        <w:t>Borrowing from Treasurer</w:t>
      </w:r>
      <w:r>
        <w:tab/>
      </w:r>
      <w:r>
        <w:fldChar w:fldCharType="begin"/>
      </w:r>
      <w:r>
        <w:instrText xml:space="preserve"> PAGEREF _Toc249419449 \h </w:instrText>
      </w:r>
      <w:r>
        <w:fldChar w:fldCharType="separate"/>
      </w:r>
      <w:r>
        <w:t>21</w:t>
      </w:r>
      <w:r>
        <w:fldChar w:fldCharType="end"/>
      </w:r>
    </w:p>
    <w:p>
      <w:pPr>
        <w:pStyle w:val="TOC8"/>
        <w:rPr>
          <w:sz w:val="24"/>
          <w:szCs w:val="24"/>
        </w:rPr>
      </w:pPr>
      <w:r>
        <w:rPr>
          <w:szCs w:val="24"/>
        </w:rPr>
        <w:t>84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_Toc249419450 \h </w:instrText>
      </w:r>
      <w:r>
        <w:fldChar w:fldCharType="separate"/>
      </w:r>
      <w:r>
        <w:t>21</w:t>
      </w:r>
      <w:r>
        <w:fldChar w:fldCharType="end"/>
      </w:r>
    </w:p>
    <w:p>
      <w:pPr>
        <w:pStyle w:val="TOC6"/>
        <w:tabs>
          <w:tab w:val="right" w:leader="dot" w:pos="7086"/>
        </w:tabs>
        <w:rPr>
          <w:b w:val="0"/>
          <w:sz w:val="24"/>
          <w:szCs w:val="24"/>
        </w:rPr>
      </w:pPr>
      <w:r>
        <w:rPr>
          <w:snapToGrid w:val="0"/>
          <w:szCs w:val="24"/>
        </w:rPr>
        <w:t>Subdivision 6 — General</w:t>
      </w:r>
    </w:p>
    <w:p>
      <w:pPr>
        <w:pStyle w:val="TOC8"/>
        <w:rPr>
          <w:sz w:val="24"/>
          <w:szCs w:val="24"/>
        </w:rPr>
      </w:pPr>
      <w:r>
        <w:rPr>
          <w:szCs w:val="24"/>
        </w:rPr>
        <w:t>85</w:t>
      </w:r>
      <w:r>
        <w:rPr>
          <w:snapToGrid w:val="0"/>
          <w:szCs w:val="24"/>
        </w:rPr>
        <w:t>.</w:t>
      </w:r>
      <w:r>
        <w:rPr>
          <w:snapToGrid w:val="0"/>
          <w:szCs w:val="24"/>
        </w:rPr>
        <w:tab/>
        <w:t>Immunity</w:t>
      </w:r>
      <w:r>
        <w:tab/>
      </w:r>
      <w:r>
        <w:fldChar w:fldCharType="begin"/>
      </w:r>
      <w:r>
        <w:instrText xml:space="preserve"> PAGEREF _Toc249419452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86</w:t>
      </w:r>
      <w:r>
        <w:rPr>
          <w:snapToGrid w:val="0"/>
          <w:szCs w:val="24"/>
        </w:rPr>
        <w:t>.</w:t>
      </w:r>
      <w:r>
        <w:rPr>
          <w:snapToGrid w:val="0"/>
          <w:szCs w:val="24"/>
        </w:rPr>
        <w:tab/>
        <w:t>Regulations</w:t>
      </w:r>
      <w:r>
        <w:tab/>
      </w:r>
      <w:r>
        <w:fldChar w:fldCharType="begin"/>
      </w:r>
      <w:r>
        <w:instrText xml:space="preserve"> PAGEREF _Toc249419454 \h </w:instrText>
      </w:r>
      <w:r>
        <w:fldChar w:fldCharType="separate"/>
      </w:r>
      <w:r>
        <w:t>22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_Toc249419456 \h </w:instrText>
      </w:r>
      <w:r>
        <w:fldChar w:fldCharType="separate"/>
      </w:r>
      <w:r>
        <w:t>23</w:t>
      </w:r>
      <w:r>
        <w:fldChar w:fldCharType="end"/>
      </w:r>
    </w:p>
    <w:p>
      <w:pPr>
        <w:pStyle w:val="TOC8"/>
        <w:rPr>
          <w:sz w:val="24"/>
        </w:rPr>
      </w:pPr>
      <w:r>
        <w:tab/>
        <w:t>Provisions that have not come into operation</w:t>
      </w:r>
      <w:r>
        <w:tab/>
      </w:r>
      <w:r>
        <w:fldChar w:fldCharType="begin"/>
      </w:r>
      <w:r>
        <w:instrText xml:space="preserve"> PAGEREF _Toc249419457 \h </w:instrText>
      </w:r>
      <w:r>
        <w:fldChar w:fldCharType="separate"/>
      </w:r>
      <w:r>
        <w:t>24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pPr>
      <w:r>
        <w:t>Energy Arbitration and Review Act 1998</w:t>
      </w:r>
    </w:p>
    <w:p>
      <w:pPr>
        <w:pStyle w:val="LongTitle"/>
      </w:pPr>
      <w:r>
        <w:t>An Act to provide for a review board and for an official who may arbitrate certain disputes, and for related purposes.</w:t>
      </w:r>
    </w:p>
    <w:p>
      <w:pPr>
        <w:pStyle w:val="Footnotelongtitle"/>
      </w:pPr>
      <w:r>
        <w:tab/>
        <w:t>[Long title inserted by No. 16 of 2009 s. 24.]</w:t>
      </w:r>
    </w:p>
    <w:p>
      <w:pPr>
        <w:pStyle w:val="Ednotedivision"/>
      </w:pPr>
      <w:r>
        <w:t>[Preamble deleted by No. 16 of 2009 s. 25.]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Heading2"/>
      </w:pPr>
      <w:bookmarkStart w:id="2" w:name="_Toc80435896"/>
      <w:bookmarkStart w:id="3" w:name="_Toc81016871"/>
      <w:bookmarkStart w:id="4" w:name="_Toc83455424"/>
      <w:bookmarkStart w:id="5" w:name="_Toc84325445"/>
      <w:bookmarkStart w:id="6" w:name="_Toc85251946"/>
      <w:bookmarkStart w:id="7" w:name="_Toc88889084"/>
      <w:bookmarkStart w:id="8" w:name="_Toc131826499"/>
      <w:bookmarkStart w:id="9" w:name="_Toc131826701"/>
      <w:bookmarkStart w:id="10" w:name="_Toc134844652"/>
      <w:bookmarkStart w:id="11" w:name="_Toc134844883"/>
      <w:bookmarkStart w:id="12" w:name="_Toc157910363"/>
      <w:bookmarkStart w:id="13" w:name="_Toc196120554"/>
      <w:bookmarkStart w:id="14" w:name="_Toc199754500"/>
      <w:bookmarkStart w:id="15" w:name="_Toc202169215"/>
      <w:bookmarkStart w:id="16" w:name="_Toc223847915"/>
      <w:bookmarkStart w:id="17" w:name="_Toc239668081"/>
      <w:bookmarkStart w:id="18" w:name="_Toc239668357"/>
      <w:bookmarkStart w:id="19" w:name="_Toc239737094"/>
      <w:bookmarkStart w:id="20" w:name="_Toc248036078"/>
      <w:bookmarkStart w:id="21" w:name="_Toc249242414"/>
      <w:bookmarkStart w:id="22" w:name="_Toc249419400"/>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71185519"/>
      <w:bookmarkStart w:id="24" w:name="_Toc501848441"/>
      <w:bookmarkStart w:id="25" w:name="_Toc134844653"/>
      <w:bookmarkStart w:id="26" w:name="_Toc249419401"/>
      <w:r>
        <w:rPr>
          <w:rStyle w:val="CharSectno"/>
        </w:rPr>
        <w:t>1</w:t>
      </w:r>
      <w:r>
        <w:rPr>
          <w:snapToGrid w:val="0"/>
        </w:rPr>
        <w:t>.</w:t>
      </w:r>
      <w:r>
        <w:rPr>
          <w:snapToGrid w:val="0"/>
        </w:rPr>
        <w:tab/>
        <w:t>Short title</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vertAlign w:val="superscript"/>
        </w:rPr>
        <w:t xml:space="preserve"> 1</w:t>
      </w:r>
      <w:r>
        <w:rPr>
          <w:snapToGrid w:val="0"/>
        </w:rPr>
        <w:t>.</w:t>
      </w:r>
    </w:p>
    <w:p>
      <w:pPr>
        <w:pStyle w:val="Footnotesection"/>
      </w:pPr>
      <w:r>
        <w:tab/>
        <w:t>[Section 1 amended by No. 16 of 2009 s. 26.]</w:t>
      </w:r>
    </w:p>
    <w:p>
      <w:pPr>
        <w:pStyle w:val="Ednotesection"/>
      </w:pPr>
      <w:bookmarkStart w:id="27" w:name="_Toc471185523"/>
      <w:bookmarkStart w:id="28" w:name="_Toc501848445"/>
      <w:bookmarkStart w:id="29" w:name="_Toc134844657"/>
      <w:r>
        <w:t>[</w:t>
      </w:r>
      <w:r>
        <w:rPr>
          <w:b/>
          <w:bCs/>
        </w:rPr>
        <w:t>2-4.</w:t>
      </w:r>
      <w:r>
        <w:tab/>
        <w:t>Deleted by No. 16 of 2009 s. 27.]</w:t>
      </w:r>
    </w:p>
    <w:p>
      <w:pPr>
        <w:pStyle w:val="Heading5"/>
        <w:rPr>
          <w:snapToGrid w:val="0"/>
        </w:rPr>
      </w:pPr>
      <w:bookmarkStart w:id="30" w:name="_Toc249419402"/>
      <w:r>
        <w:rPr>
          <w:rStyle w:val="CharSectno"/>
        </w:rPr>
        <w:t>5</w:t>
      </w:r>
      <w:r>
        <w:rPr>
          <w:snapToGrid w:val="0"/>
        </w:rPr>
        <w:t>.</w:t>
      </w:r>
      <w:r>
        <w:rPr>
          <w:snapToGrid w:val="0"/>
        </w:rPr>
        <w:tab/>
        <w:t>Crown to be bound</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Western Australia but also, so far as the legislative power of the Parliament permits, the Crown in all its other capacities.</w:t>
      </w:r>
    </w:p>
    <w:p>
      <w:pPr>
        <w:pStyle w:val="Footnotesection"/>
      </w:pPr>
      <w:bookmarkStart w:id="31" w:name="_Toc471185524"/>
      <w:bookmarkStart w:id="32" w:name="_Toc501848446"/>
      <w:bookmarkStart w:id="33" w:name="_Toc134844658"/>
      <w:r>
        <w:tab/>
        <w:t>[Section 5 amended by No. 16 of 2009 s. 28.]</w:t>
      </w:r>
    </w:p>
    <w:p>
      <w:pPr>
        <w:pStyle w:val="Ednotesection"/>
      </w:pPr>
      <w:bookmarkStart w:id="34" w:name="_Toc80435905"/>
      <w:bookmarkStart w:id="35" w:name="_Toc81016880"/>
      <w:bookmarkStart w:id="36" w:name="_Toc83455433"/>
      <w:bookmarkStart w:id="37" w:name="_Toc84325454"/>
      <w:bookmarkStart w:id="38" w:name="_Toc85251955"/>
      <w:bookmarkStart w:id="39" w:name="_Toc88889093"/>
      <w:bookmarkStart w:id="40" w:name="_Toc131826508"/>
      <w:bookmarkStart w:id="41" w:name="_Toc131826710"/>
      <w:bookmarkStart w:id="42" w:name="_Toc134844661"/>
      <w:bookmarkStart w:id="43" w:name="_Toc134844892"/>
      <w:bookmarkStart w:id="44" w:name="_Toc157910372"/>
      <w:bookmarkStart w:id="45" w:name="_Toc196120563"/>
      <w:bookmarkStart w:id="46" w:name="_Toc199754509"/>
      <w:bookmarkStart w:id="47" w:name="_Toc202169224"/>
      <w:bookmarkStart w:id="48" w:name="_Toc223847924"/>
      <w:bookmarkStart w:id="49" w:name="_Toc239668090"/>
      <w:bookmarkStart w:id="50" w:name="_Toc239668366"/>
      <w:bookmarkStart w:id="51" w:name="_Toc239737103"/>
      <w:bookmarkStart w:id="52" w:name="_Toc248036087"/>
      <w:bookmarkEnd w:id="31"/>
      <w:bookmarkEnd w:id="32"/>
      <w:bookmarkEnd w:id="33"/>
      <w:r>
        <w:t>[</w:t>
      </w:r>
      <w:r>
        <w:rPr>
          <w:b/>
          <w:bCs/>
        </w:rPr>
        <w:t>6-8.</w:t>
      </w:r>
      <w:r>
        <w:tab/>
        <w:t>Deleted by No. 16 of 2009 s. 29.]</w:t>
      </w:r>
    </w:p>
    <w:p>
      <w:pPr>
        <w:pStyle w:val="Ednotepart"/>
      </w:pPr>
      <w:bookmarkStart w:id="53" w:name="_Toc80435924"/>
      <w:bookmarkStart w:id="54" w:name="_Toc81016899"/>
      <w:bookmarkStart w:id="55" w:name="_Toc83455452"/>
      <w:bookmarkStart w:id="56" w:name="_Toc84325473"/>
      <w:bookmarkStart w:id="57" w:name="_Toc85251974"/>
      <w:bookmarkStart w:id="58" w:name="_Toc88889112"/>
      <w:bookmarkStart w:id="59" w:name="_Toc131826527"/>
      <w:bookmarkStart w:id="60" w:name="_Toc131826729"/>
      <w:bookmarkStart w:id="61" w:name="_Toc134844680"/>
      <w:bookmarkStart w:id="62" w:name="_Toc134844911"/>
      <w:bookmarkStart w:id="63" w:name="_Toc157910391"/>
      <w:bookmarkStart w:id="64" w:name="_Toc196120582"/>
      <w:bookmarkStart w:id="65" w:name="_Toc199754528"/>
      <w:bookmarkStart w:id="66" w:name="_Toc202169243"/>
      <w:bookmarkStart w:id="67" w:name="_Toc223847943"/>
      <w:bookmarkStart w:id="68" w:name="_Toc239668109"/>
      <w:bookmarkStart w:id="69" w:name="_Toc239668385"/>
      <w:bookmarkStart w:id="70" w:name="_Toc239737122"/>
      <w:bookmarkStart w:id="71" w:name="_Toc248036106"/>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t>[Parts 2 to 5 (s. 9-25) deleted by No. 16 of 2009 s. 30.]</w:t>
      </w:r>
    </w:p>
    <w:p>
      <w:pPr>
        <w:pStyle w:val="Heading2"/>
      </w:pPr>
      <w:bookmarkStart w:id="72" w:name="_Toc249239151"/>
      <w:bookmarkStart w:id="73" w:name="_Toc249239244"/>
      <w:bookmarkStart w:id="74" w:name="_Toc249239303"/>
      <w:bookmarkStart w:id="75" w:name="_Toc249242443"/>
      <w:bookmarkStart w:id="76" w:name="_Toc249419403"/>
      <w:bookmarkStart w:id="77" w:name="_Toc80435925"/>
      <w:bookmarkStart w:id="78" w:name="_Toc81016900"/>
      <w:bookmarkStart w:id="79" w:name="_Toc83455453"/>
      <w:bookmarkStart w:id="80" w:name="_Toc84325474"/>
      <w:bookmarkStart w:id="81" w:name="_Toc85251975"/>
      <w:bookmarkStart w:id="82" w:name="_Toc88889113"/>
      <w:bookmarkStart w:id="83" w:name="_Toc131826528"/>
      <w:bookmarkStart w:id="84" w:name="_Toc131826730"/>
      <w:bookmarkStart w:id="85" w:name="_Toc134844681"/>
      <w:bookmarkStart w:id="86" w:name="_Toc134844912"/>
      <w:bookmarkStart w:id="87" w:name="_Toc157910392"/>
      <w:bookmarkStart w:id="88" w:name="_Toc196120583"/>
      <w:bookmarkStart w:id="89" w:name="_Toc199754529"/>
      <w:bookmarkStart w:id="90" w:name="_Toc202169244"/>
      <w:bookmarkStart w:id="91" w:name="_Toc223847944"/>
      <w:bookmarkStart w:id="92" w:name="_Toc239668110"/>
      <w:bookmarkStart w:id="93" w:name="_Toc239668386"/>
      <w:bookmarkStart w:id="94" w:name="_Toc239737123"/>
      <w:bookmarkStart w:id="95" w:name="_Toc248036107"/>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PartNo"/>
        </w:rPr>
        <w:t>Part 6</w:t>
      </w:r>
      <w:r>
        <w:rPr>
          <w:rStyle w:val="CharDivNo"/>
        </w:rPr>
        <w:t> </w:t>
      </w:r>
      <w:r>
        <w:t>—</w:t>
      </w:r>
      <w:r>
        <w:rPr>
          <w:rStyle w:val="CharDivText"/>
        </w:rPr>
        <w:t> </w:t>
      </w:r>
      <w:r>
        <w:rPr>
          <w:rStyle w:val="CharPartText"/>
        </w:rPr>
        <w:t>Review board and arbitrator</w:t>
      </w:r>
      <w:bookmarkEnd w:id="72"/>
      <w:bookmarkEnd w:id="73"/>
      <w:bookmarkEnd w:id="74"/>
      <w:bookmarkEnd w:id="75"/>
      <w:bookmarkEnd w:id="76"/>
    </w:p>
    <w:p>
      <w:pPr>
        <w:pStyle w:val="Footnoteheading"/>
      </w:pPr>
      <w:r>
        <w:tab/>
        <w:t>[Heading inserted by No. 16 of 2009 s. 31.]</w:t>
      </w:r>
    </w:p>
    <w:p>
      <w:pPr>
        <w:pStyle w:val="Ednotesubdivision"/>
      </w:pPr>
      <w:bookmarkStart w:id="96" w:name="_Toc80435929"/>
      <w:bookmarkStart w:id="97" w:name="_Toc81016904"/>
      <w:bookmarkStart w:id="98" w:name="_Toc83455457"/>
      <w:bookmarkStart w:id="99" w:name="_Toc84325478"/>
      <w:bookmarkStart w:id="100" w:name="_Toc85251979"/>
      <w:bookmarkStart w:id="101" w:name="_Toc88889117"/>
      <w:bookmarkStart w:id="102" w:name="_Toc131826532"/>
      <w:bookmarkStart w:id="103" w:name="_Toc131826734"/>
      <w:bookmarkStart w:id="104" w:name="_Toc134844685"/>
      <w:bookmarkStart w:id="105" w:name="_Toc134844916"/>
      <w:bookmarkStart w:id="106" w:name="_Toc157910396"/>
      <w:bookmarkStart w:id="107" w:name="_Toc196120587"/>
      <w:bookmarkStart w:id="108" w:name="_Toc199754533"/>
      <w:bookmarkStart w:id="109" w:name="_Toc202169248"/>
      <w:bookmarkStart w:id="110" w:name="_Toc223847948"/>
      <w:bookmarkStart w:id="111" w:name="_Toc239668114"/>
      <w:bookmarkStart w:id="112" w:name="_Toc239668390"/>
      <w:bookmarkStart w:id="113" w:name="_Toc239737127"/>
      <w:bookmarkStart w:id="114" w:name="_Toc248036111"/>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t>[Division 1:</w:t>
      </w:r>
      <w:r>
        <w:tab/>
        <w:t>Subdivision 1 heading deleted by No. 67 of 2003 s. 62;</w:t>
      </w:r>
      <w:r>
        <w:br/>
      </w:r>
      <w:r>
        <w:tab/>
      </w:r>
      <w:r>
        <w:tab/>
        <w:t>s. 26 deleted by No. 16 of 2009 s. 32;</w:t>
      </w:r>
      <w:r>
        <w:br/>
      </w:r>
      <w:r>
        <w:tab/>
      </w:r>
      <w:r>
        <w:tab/>
        <w:t>Subdivision 2 (s. 27</w:t>
      </w:r>
      <w:r>
        <w:noBreakHyphen/>
        <w:t>35) deleted by No. 67 of 2003 s. 62;</w:t>
      </w:r>
      <w:r>
        <w:br/>
      </w:r>
      <w:r>
        <w:tab/>
      </w:r>
      <w:r>
        <w:tab/>
        <w:t>Subdivision 3 heading deleted by No. 67 of 2003 s. 62;</w:t>
      </w:r>
      <w:r>
        <w:br/>
      </w:r>
      <w:r>
        <w:tab/>
      </w:r>
      <w:r>
        <w:tab/>
        <w:t>s. 36 deleted by No. 16 of 2009 s. 32;</w:t>
      </w:r>
      <w:r>
        <w:br/>
      </w:r>
      <w:r>
        <w:tab/>
      </w:r>
      <w:r>
        <w:tab/>
        <w:t>s.</w:t>
      </w:r>
      <w:r>
        <w:rPr>
          <w:b/>
        </w:rPr>
        <w:t xml:space="preserve"> </w:t>
      </w:r>
      <w:r>
        <w:rPr>
          <w:bCs/>
        </w:rPr>
        <w:t>37 d</w:t>
      </w:r>
      <w:r>
        <w:t>eleted by No. 67 of 2003 s. 62;</w:t>
      </w:r>
      <w:r>
        <w:br/>
      </w:r>
      <w:r>
        <w:tab/>
      </w:r>
      <w:r>
        <w:tab/>
        <w:t>s. 38 deleted by No. 16 of 2009 s. 32;</w:t>
      </w:r>
      <w:r>
        <w:br/>
      </w:r>
      <w:r>
        <w:tab/>
      </w:r>
      <w:r>
        <w:tab/>
        <w:t xml:space="preserve">s. </w:t>
      </w:r>
      <w:r>
        <w:rPr>
          <w:bCs/>
        </w:rPr>
        <w:t>39</w:t>
      </w:r>
      <w:r>
        <w:rPr>
          <w:bCs/>
        </w:rPr>
        <w:noBreakHyphen/>
        <w:t>41</w:t>
      </w:r>
      <w:r>
        <w:rPr>
          <w:b/>
        </w:rPr>
        <w:t xml:space="preserve"> </w:t>
      </w:r>
      <w:r>
        <w:t>deleted by No. 67 of 2003 s. 62;</w:t>
      </w:r>
      <w:r>
        <w:br/>
      </w:r>
      <w:r>
        <w:tab/>
      </w:r>
      <w:r>
        <w:tab/>
        <w:t>Subdivisions 4-6 (s. 42</w:t>
      </w:r>
      <w:r>
        <w:noBreakHyphen/>
        <w:t xml:space="preserve">48) deleted by No. 67 of 2003 </w:t>
      </w:r>
      <w:r>
        <w:tab/>
      </w:r>
      <w:r>
        <w:tab/>
        <w:t>s. 62.]</w:t>
      </w:r>
    </w:p>
    <w:p>
      <w:pPr>
        <w:pStyle w:val="Heading3"/>
      </w:pPr>
      <w:bookmarkStart w:id="115" w:name="_Toc249239154"/>
      <w:bookmarkStart w:id="116" w:name="_Toc249239247"/>
      <w:bookmarkStart w:id="117" w:name="_Toc249239306"/>
      <w:bookmarkStart w:id="118" w:name="_Toc249242449"/>
      <w:bookmarkStart w:id="119" w:name="_Toc249419404"/>
      <w:bookmarkStart w:id="120" w:name="_Toc80435930"/>
      <w:bookmarkStart w:id="121" w:name="_Toc81016905"/>
      <w:bookmarkStart w:id="122" w:name="_Toc83455458"/>
      <w:bookmarkStart w:id="123" w:name="_Toc84325479"/>
      <w:bookmarkStart w:id="124" w:name="_Toc85251980"/>
      <w:bookmarkStart w:id="125" w:name="_Toc88889118"/>
      <w:bookmarkStart w:id="126" w:name="_Toc131826533"/>
      <w:bookmarkStart w:id="127" w:name="_Toc131826735"/>
      <w:bookmarkStart w:id="128" w:name="_Toc134844686"/>
      <w:bookmarkStart w:id="129" w:name="_Toc134844917"/>
      <w:bookmarkStart w:id="130" w:name="_Toc157910397"/>
      <w:bookmarkStart w:id="131" w:name="_Toc196120588"/>
      <w:bookmarkStart w:id="132" w:name="_Toc199754534"/>
      <w:bookmarkStart w:id="133" w:name="_Toc202169249"/>
      <w:bookmarkStart w:id="134" w:name="_Toc223847949"/>
      <w:bookmarkStart w:id="135" w:name="_Toc239668115"/>
      <w:bookmarkStart w:id="136" w:name="_Toc239668391"/>
      <w:bookmarkStart w:id="137" w:name="_Toc239737128"/>
      <w:bookmarkStart w:id="138" w:name="_Toc248036112"/>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DivNo"/>
        </w:rPr>
        <w:t>Division 2</w:t>
      </w:r>
      <w:r>
        <w:t> — </w:t>
      </w:r>
      <w:r>
        <w:rPr>
          <w:rStyle w:val="CharDivText"/>
        </w:rPr>
        <w:t>Review board</w:t>
      </w:r>
      <w:bookmarkEnd w:id="115"/>
      <w:bookmarkEnd w:id="116"/>
      <w:bookmarkEnd w:id="117"/>
      <w:bookmarkEnd w:id="118"/>
      <w:bookmarkEnd w:id="119"/>
    </w:p>
    <w:p>
      <w:pPr>
        <w:pStyle w:val="Footnoteheading"/>
      </w:pPr>
      <w:r>
        <w:tab/>
        <w:t>[Heading inserted by No. 16 of 2009 s. 33.]</w:t>
      </w:r>
    </w:p>
    <w:p>
      <w:pPr>
        <w:pStyle w:val="Heading4"/>
        <w:rPr>
          <w:snapToGrid w:val="0"/>
        </w:rPr>
      </w:pPr>
      <w:bookmarkStart w:id="139" w:name="_Toc249242450"/>
      <w:bookmarkStart w:id="140" w:name="_Toc249419405"/>
      <w:r>
        <w:rPr>
          <w:snapToGrid w:val="0"/>
        </w:rPr>
        <w:t>Subdivision 1 — Preliminary</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snapToGrid w:val="0"/>
        </w:rPr>
        <w:t xml:space="preserve"> </w:t>
      </w:r>
    </w:p>
    <w:p>
      <w:pPr>
        <w:pStyle w:val="Heading5"/>
        <w:rPr>
          <w:snapToGrid w:val="0"/>
        </w:rPr>
      </w:pPr>
      <w:bookmarkStart w:id="141" w:name="_Toc471185567"/>
      <w:bookmarkStart w:id="142" w:name="_Toc501848489"/>
      <w:bookmarkStart w:id="143" w:name="_Toc134844687"/>
      <w:bookmarkStart w:id="144" w:name="_Toc249419406"/>
      <w:r>
        <w:rPr>
          <w:rStyle w:val="CharSectno"/>
        </w:rPr>
        <w:t>49</w:t>
      </w:r>
      <w:r>
        <w:rPr>
          <w:snapToGrid w:val="0"/>
        </w:rPr>
        <w:t>.</w:t>
      </w:r>
      <w:r>
        <w:rPr>
          <w:snapToGrid w:val="0"/>
        </w:rPr>
        <w:tab/>
        <w:t>Definitions</w:t>
      </w:r>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 No. 16 of 2009 s. 34.]</w:t>
      </w:r>
    </w:p>
    <w:p>
      <w:pPr>
        <w:pStyle w:val="Heading4"/>
      </w:pPr>
      <w:bookmarkStart w:id="145" w:name="_Toc249239157"/>
      <w:bookmarkStart w:id="146" w:name="_Toc249239250"/>
      <w:bookmarkStart w:id="147" w:name="_Toc249239309"/>
      <w:bookmarkStart w:id="148" w:name="_Toc249419407"/>
      <w:bookmarkStart w:id="149" w:name="_Toc471185568"/>
      <w:bookmarkStart w:id="150" w:name="_Toc501848490"/>
      <w:bookmarkStart w:id="151" w:name="_Toc134844689"/>
      <w:r>
        <w:t>Subdivision 2 — Western Australian Electricity Review Board established</w:t>
      </w:r>
      <w:bookmarkEnd w:id="145"/>
      <w:bookmarkEnd w:id="146"/>
      <w:bookmarkEnd w:id="147"/>
      <w:bookmarkEnd w:id="148"/>
    </w:p>
    <w:p>
      <w:pPr>
        <w:pStyle w:val="Footnoteheading"/>
      </w:pPr>
      <w:r>
        <w:tab/>
        <w:t>[Heading inserted by No. 16 of 2009 s. 35.]</w:t>
      </w:r>
    </w:p>
    <w:p>
      <w:pPr>
        <w:pStyle w:val="Heading5"/>
        <w:rPr>
          <w:snapToGrid w:val="0"/>
        </w:rPr>
      </w:pPr>
      <w:bookmarkStart w:id="152" w:name="_Toc249419408"/>
      <w:r>
        <w:rPr>
          <w:rStyle w:val="CharSectno"/>
        </w:rPr>
        <w:t>50</w:t>
      </w:r>
      <w:r>
        <w:rPr>
          <w:snapToGrid w:val="0"/>
        </w:rPr>
        <w:t>.</w:t>
      </w:r>
      <w:r>
        <w:rPr>
          <w:snapToGrid w:val="0"/>
        </w:rPr>
        <w:tab/>
      </w:r>
      <w:bookmarkEnd w:id="149"/>
      <w:bookmarkEnd w:id="150"/>
      <w:bookmarkEnd w:id="151"/>
      <w:r>
        <w:t>Western Australian Electricity Review Board</w:t>
      </w:r>
      <w:bookmarkEnd w:id="152"/>
    </w:p>
    <w:p>
      <w:pPr>
        <w:pStyle w:val="Subsection"/>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functions under the </w:t>
      </w:r>
      <w:r>
        <w:rPr>
          <w:i/>
          <w:iCs/>
        </w:rPr>
        <w:t>Electricity Industry Act 2004</w:t>
      </w:r>
      <w:r>
        <w:t>.</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pPr>
      <w:bookmarkStart w:id="153" w:name="_Toc471185569"/>
      <w:bookmarkStart w:id="154" w:name="_Toc501848491"/>
      <w:bookmarkStart w:id="155" w:name="_Toc134844690"/>
      <w:r>
        <w:tab/>
        <w:t>[Section 50 amended by No. 16 of 2009 s. 36.]</w:t>
      </w:r>
    </w:p>
    <w:p>
      <w:pPr>
        <w:pStyle w:val="Heading5"/>
        <w:rPr>
          <w:snapToGrid w:val="0"/>
        </w:rPr>
      </w:pPr>
      <w:bookmarkStart w:id="156" w:name="_Toc249419409"/>
      <w:r>
        <w:rPr>
          <w:rStyle w:val="CharSectno"/>
        </w:rPr>
        <w:t>51</w:t>
      </w:r>
      <w:r>
        <w:rPr>
          <w:snapToGrid w:val="0"/>
        </w:rPr>
        <w:t>.</w:t>
      </w:r>
      <w:r>
        <w:rPr>
          <w:snapToGrid w:val="0"/>
        </w:rPr>
        <w:tab/>
        <w:t>Constitution of Board</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157" w:name="_Toc471185570"/>
      <w:bookmarkStart w:id="158" w:name="_Toc501848492"/>
      <w:bookmarkStart w:id="159" w:name="_Toc134844691"/>
      <w:bookmarkStart w:id="160" w:name="_Toc249419410"/>
      <w:r>
        <w:rPr>
          <w:rStyle w:val="CharSectno"/>
        </w:rPr>
        <w:t>52</w:t>
      </w:r>
      <w:r>
        <w:rPr>
          <w:snapToGrid w:val="0"/>
        </w:rPr>
        <w:t>.</w:t>
      </w:r>
      <w:r>
        <w:rPr>
          <w:snapToGrid w:val="0"/>
        </w:rPr>
        <w:tab/>
        <w:t>Panels</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161" w:name="_Toc471185571"/>
      <w:bookmarkStart w:id="162" w:name="_Toc501848493"/>
      <w:bookmarkStart w:id="163" w:name="_Toc134844692"/>
      <w:bookmarkStart w:id="164" w:name="_Toc249419411"/>
      <w:r>
        <w:rPr>
          <w:rStyle w:val="CharSectno"/>
        </w:rPr>
        <w:t>53</w:t>
      </w:r>
      <w:r>
        <w:rPr>
          <w:snapToGrid w:val="0"/>
        </w:rPr>
        <w:t>.</w:t>
      </w:r>
      <w:r>
        <w:rPr>
          <w:snapToGrid w:val="0"/>
        </w:rPr>
        <w:tab/>
        <w:t>Disclosure of interests</w:t>
      </w:r>
      <w:bookmarkEnd w:id="161"/>
      <w:bookmarkEnd w:id="162"/>
      <w:bookmarkEnd w:id="163"/>
      <w:bookmarkEnd w:id="164"/>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165" w:name="_Toc471185572"/>
      <w:bookmarkStart w:id="166" w:name="_Toc501848494"/>
      <w:bookmarkStart w:id="167" w:name="_Toc134844693"/>
      <w:bookmarkStart w:id="168" w:name="_Toc249419412"/>
      <w:r>
        <w:rPr>
          <w:rStyle w:val="CharSectno"/>
        </w:rPr>
        <w:t>54</w:t>
      </w:r>
      <w:r>
        <w:rPr>
          <w:snapToGrid w:val="0"/>
        </w:rPr>
        <w:t>.</w:t>
      </w:r>
      <w:r>
        <w:rPr>
          <w:snapToGrid w:val="0"/>
        </w:rPr>
        <w:tab/>
        <w:t>Resignation and removal</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169" w:name="_Toc471185573"/>
      <w:bookmarkStart w:id="170" w:name="_Toc501848495"/>
      <w:bookmarkStart w:id="171" w:name="_Toc134844694"/>
      <w:bookmarkStart w:id="172" w:name="_Toc249419413"/>
      <w:r>
        <w:rPr>
          <w:rStyle w:val="CharSectno"/>
        </w:rPr>
        <w:t>55</w:t>
      </w:r>
      <w:r>
        <w:rPr>
          <w:snapToGrid w:val="0"/>
        </w:rPr>
        <w:t>.</w:t>
      </w:r>
      <w:r>
        <w:rPr>
          <w:snapToGrid w:val="0"/>
        </w:rPr>
        <w:tab/>
        <w:t>Remuneration</w:t>
      </w:r>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173" w:name="_Toc471185574"/>
      <w:bookmarkStart w:id="174" w:name="_Toc501848496"/>
      <w:bookmarkStart w:id="175" w:name="_Toc134844695"/>
      <w:bookmarkStart w:id="176" w:name="_Toc249419414"/>
      <w:r>
        <w:rPr>
          <w:rStyle w:val="CharSectno"/>
        </w:rPr>
        <w:t>56</w:t>
      </w:r>
      <w:r>
        <w:rPr>
          <w:snapToGrid w:val="0"/>
        </w:rPr>
        <w:t>.</w:t>
      </w:r>
      <w:r>
        <w:rPr>
          <w:snapToGrid w:val="0"/>
        </w:rPr>
        <w:tab/>
        <w:t>Administrative support</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177" w:name="_Toc80435940"/>
      <w:bookmarkStart w:id="178" w:name="_Toc81016915"/>
      <w:bookmarkStart w:id="179" w:name="_Toc83455468"/>
      <w:bookmarkStart w:id="180" w:name="_Toc84325489"/>
      <w:bookmarkStart w:id="181" w:name="_Toc85251990"/>
      <w:bookmarkStart w:id="182" w:name="_Toc88889128"/>
      <w:bookmarkStart w:id="183" w:name="_Toc131826543"/>
      <w:bookmarkStart w:id="184" w:name="_Toc131826745"/>
      <w:bookmarkStart w:id="185" w:name="_Toc134844696"/>
      <w:bookmarkStart w:id="186" w:name="_Toc134844927"/>
      <w:bookmarkStart w:id="187" w:name="_Toc157910407"/>
      <w:bookmarkStart w:id="188" w:name="_Toc196120598"/>
      <w:bookmarkStart w:id="189" w:name="_Toc199754544"/>
      <w:bookmarkStart w:id="190" w:name="_Toc202169259"/>
      <w:bookmarkStart w:id="191" w:name="_Toc223847959"/>
      <w:bookmarkStart w:id="192" w:name="_Toc239668125"/>
      <w:bookmarkStart w:id="193" w:name="_Toc239668401"/>
      <w:bookmarkStart w:id="194" w:name="_Toc239737138"/>
      <w:bookmarkStart w:id="195" w:name="_Toc248036122"/>
      <w:bookmarkStart w:id="196" w:name="_Toc249242460"/>
      <w:bookmarkStart w:id="197" w:name="_Toc249419415"/>
      <w:r>
        <w:rPr>
          <w:snapToGrid w:val="0"/>
        </w:rPr>
        <w:t>Subdivision 3 — Proceedings before the Board</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snapToGrid w:val="0"/>
        </w:rPr>
        <w:t xml:space="preserve"> </w:t>
      </w:r>
    </w:p>
    <w:p>
      <w:pPr>
        <w:pStyle w:val="Heading5"/>
        <w:rPr>
          <w:snapToGrid w:val="0"/>
        </w:rPr>
      </w:pPr>
      <w:bookmarkStart w:id="198" w:name="_Toc471185575"/>
      <w:bookmarkStart w:id="199" w:name="_Toc501848497"/>
      <w:bookmarkStart w:id="200" w:name="_Toc134844697"/>
      <w:bookmarkStart w:id="201" w:name="_Toc249419416"/>
      <w:r>
        <w:rPr>
          <w:rStyle w:val="CharSectno"/>
        </w:rPr>
        <w:t>57</w:t>
      </w:r>
      <w:r>
        <w:rPr>
          <w:snapToGrid w:val="0"/>
        </w:rPr>
        <w:t>.</w:t>
      </w:r>
      <w:r>
        <w:rPr>
          <w:snapToGrid w:val="0"/>
        </w:rPr>
        <w:tab/>
        <w:t>Principles governing hearings</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bookmarkStart w:id="202" w:name="_Toc471185576"/>
      <w:bookmarkStart w:id="203" w:name="_Toc501848498"/>
      <w:bookmarkStart w:id="204" w:name="_Toc134844698"/>
      <w:r>
        <w:tab/>
        <w:t>[Section 57 amended by No. 16 of 2009 s. 37.]</w:t>
      </w:r>
    </w:p>
    <w:p>
      <w:pPr>
        <w:pStyle w:val="Heading5"/>
        <w:rPr>
          <w:snapToGrid w:val="0"/>
        </w:rPr>
      </w:pPr>
      <w:bookmarkStart w:id="205" w:name="_Toc249419417"/>
      <w:r>
        <w:rPr>
          <w:rStyle w:val="CharSectno"/>
        </w:rPr>
        <w:t>58</w:t>
      </w:r>
      <w:r>
        <w:rPr>
          <w:snapToGrid w:val="0"/>
        </w:rPr>
        <w:t>.</w:t>
      </w:r>
      <w:r>
        <w:rPr>
          <w:snapToGrid w:val="0"/>
        </w:rPr>
        <w:tab/>
        <w:t>Powers in respect of evidence and information</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206" w:name="_Toc471185577"/>
      <w:bookmarkStart w:id="207" w:name="_Toc501848499"/>
      <w:bookmarkStart w:id="208" w:name="_Toc134844699"/>
      <w:bookmarkStart w:id="209" w:name="_Toc249419418"/>
      <w:r>
        <w:rPr>
          <w:rStyle w:val="CharSectno"/>
        </w:rPr>
        <w:t>59</w:t>
      </w:r>
      <w:r>
        <w:rPr>
          <w:snapToGrid w:val="0"/>
        </w:rPr>
        <w:t>.</w:t>
      </w:r>
      <w:r>
        <w:rPr>
          <w:snapToGrid w:val="0"/>
        </w:rPr>
        <w:tab/>
        <w:t>Practice and procedures</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bookmarkStart w:id="210" w:name="_Toc80435944"/>
      <w:bookmarkStart w:id="211" w:name="_Toc81016919"/>
      <w:bookmarkStart w:id="212" w:name="_Toc83455472"/>
      <w:bookmarkStart w:id="213" w:name="_Toc84325493"/>
      <w:bookmarkStart w:id="214" w:name="_Toc85251994"/>
      <w:bookmarkStart w:id="215" w:name="_Toc88889132"/>
      <w:bookmarkStart w:id="216" w:name="_Toc131826547"/>
      <w:bookmarkStart w:id="217" w:name="_Toc131826749"/>
      <w:bookmarkStart w:id="218" w:name="_Toc134844700"/>
      <w:bookmarkStart w:id="219" w:name="_Toc134844931"/>
      <w:bookmarkStart w:id="220" w:name="_Toc157910411"/>
      <w:bookmarkStart w:id="221" w:name="_Toc196120602"/>
      <w:bookmarkStart w:id="222" w:name="_Toc199754548"/>
      <w:bookmarkStart w:id="223" w:name="_Toc202169263"/>
      <w:bookmarkStart w:id="224" w:name="_Toc223847963"/>
      <w:bookmarkStart w:id="225" w:name="_Toc239668129"/>
      <w:bookmarkStart w:id="226" w:name="_Toc239668405"/>
      <w:bookmarkStart w:id="227" w:name="_Toc239737142"/>
      <w:bookmarkStart w:id="228" w:name="_Toc248036126"/>
      <w:bookmarkStart w:id="229" w:name="_Toc249242464"/>
      <w:r>
        <w:tab/>
        <w:t>[Section 59 amended by No. 16 of 2009 s. 38.]</w:t>
      </w:r>
    </w:p>
    <w:p>
      <w:pPr>
        <w:pStyle w:val="Heading4"/>
        <w:rPr>
          <w:snapToGrid w:val="0"/>
        </w:rPr>
      </w:pPr>
      <w:bookmarkStart w:id="230" w:name="_Toc249419419"/>
      <w:r>
        <w:rPr>
          <w:snapToGrid w:val="0"/>
        </w:rPr>
        <w:t>Subdivision 4 — General</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snapToGrid w:val="0"/>
        </w:rPr>
        <w:t xml:space="preserve"> </w:t>
      </w:r>
    </w:p>
    <w:p>
      <w:pPr>
        <w:pStyle w:val="Heading5"/>
        <w:rPr>
          <w:snapToGrid w:val="0"/>
        </w:rPr>
      </w:pPr>
      <w:bookmarkStart w:id="231" w:name="_Toc471185578"/>
      <w:bookmarkStart w:id="232" w:name="_Toc501848500"/>
      <w:bookmarkStart w:id="233" w:name="_Toc134844701"/>
      <w:bookmarkStart w:id="234" w:name="_Toc249419420"/>
      <w:r>
        <w:rPr>
          <w:rStyle w:val="CharSectno"/>
        </w:rPr>
        <w:t>60</w:t>
      </w:r>
      <w:r>
        <w:rPr>
          <w:snapToGrid w:val="0"/>
        </w:rPr>
        <w:t>.</w:t>
      </w:r>
      <w:r>
        <w:rPr>
          <w:snapToGrid w:val="0"/>
        </w:rPr>
        <w:tab/>
        <w:t>Immunity</w:t>
      </w:r>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235" w:name="_Toc80435946"/>
      <w:bookmarkStart w:id="236" w:name="_Toc81016921"/>
      <w:bookmarkStart w:id="237" w:name="_Toc83455474"/>
      <w:bookmarkStart w:id="238" w:name="_Toc84325495"/>
      <w:bookmarkStart w:id="239" w:name="_Toc85251996"/>
      <w:bookmarkStart w:id="240" w:name="_Toc88889134"/>
      <w:bookmarkStart w:id="241" w:name="_Toc131826549"/>
      <w:bookmarkStart w:id="242" w:name="_Toc131826751"/>
      <w:bookmarkStart w:id="243" w:name="_Toc134844702"/>
      <w:bookmarkStart w:id="244" w:name="_Toc134844933"/>
      <w:bookmarkStart w:id="245" w:name="_Toc157910413"/>
      <w:bookmarkStart w:id="246" w:name="_Toc196120604"/>
      <w:bookmarkStart w:id="247" w:name="_Toc199754550"/>
      <w:bookmarkStart w:id="248" w:name="_Toc202169265"/>
      <w:bookmarkStart w:id="249" w:name="_Toc223847965"/>
      <w:bookmarkStart w:id="250" w:name="_Toc239668131"/>
      <w:bookmarkStart w:id="251" w:name="_Toc239668407"/>
      <w:bookmarkStart w:id="252" w:name="_Toc239737144"/>
      <w:bookmarkStart w:id="253" w:name="_Toc248036128"/>
      <w:bookmarkStart w:id="254" w:name="_Toc249242466"/>
      <w:bookmarkStart w:id="255" w:name="_Toc249419421"/>
      <w:r>
        <w:rPr>
          <w:rStyle w:val="CharDivNo"/>
        </w:rPr>
        <w:t>Division 3</w:t>
      </w:r>
      <w:r>
        <w:rPr>
          <w:snapToGrid w:val="0"/>
        </w:rPr>
        <w:t> — </w:t>
      </w:r>
      <w:r>
        <w:rPr>
          <w:rStyle w:val="CharDivText"/>
        </w:rPr>
        <w:t>Arbitrator</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DivText"/>
        </w:rPr>
        <w:t xml:space="preserve"> </w:t>
      </w:r>
    </w:p>
    <w:p>
      <w:pPr>
        <w:pStyle w:val="Heading4"/>
        <w:spacing w:before="180"/>
        <w:rPr>
          <w:snapToGrid w:val="0"/>
        </w:rPr>
      </w:pPr>
      <w:bookmarkStart w:id="256" w:name="_Toc80435947"/>
      <w:bookmarkStart w:id="257" w:name="_Toc81016922"/>
      <w:bookmarkStart w:id="258" w:name="_Toc83455475"/>
      <w:bookmarkStart w:id="259" w:name="_Toc84325496"/>
      <w:bookmarkStart w:id="260" w:name="_Toc85251997"/>
      <w:bookmarkStart w:id="261" w:name="_Toc88889135"/>
      <w:bookmarkStart w:id="262" w:name="_Toc131826550"/>
      <w:bookmarkStart w:id="263" w:name="_Toc131826752"/>
      <w:bookmarkStart w:id="264" w:name="_Toc134844703"/>
      <w:bookmarkStart w:id="265" w:name="_Toc134844934"/>
      <w:bookmarkStart w:id="266" w:name="_Toc157910414"/>
      <w:bookmarkStart w:id="267" w:name="_Toc196120605"/>
      <w:bookmarkStart w:id="268" w:name="_Toc199754551"/>
      <w:bookmarkStart w:id="269" w:name="_Toc202169266"/>
      <w:bookmarkStart w:id="270" w:name="_Toc223847966"/>
      <w:bookmarkStart w:id="271" w:name="_Toc239668132"/>
      <w:bookmarkStart w:id="272" w:name="_Toc239668408"/>
      <w:bookmarkStart w:id="273" w:name="_Toc239737145"/>
      <w:bookmarkStart w:id="274" w:name="_Toc248036129"/>
      <w:bookmarkStart w:id="275" w:name="_Toc249242467"/>
      <w:bookmarkStart w:id="276" w:name="_Toc249419422"/>
      <w:r>
        <w:rPr>
          <w:snapToGrid w:val="0"/>
        </w:rPr>
        <w:t>Subdivision 1 — Preliminary</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snapToGrid w:val="0"/>
        </w:rPr>
        <w:t xml:space="preserve"> </w:t>
      </w:r>
    </w:p>
    <w:p>
      <w:pPr>
        <w:pStyle w:val="Heading5"/>
        <w:spacing w:before="180"/>
        <w:rPr>
          <w:snapToGrid w:val="0"/>
        </w:rPr>
      </w:pPr>
      <w:bookmarkStart w:id="277" w:name="_Toc471185579"/>
      <w:bookmarkStart w:id="278" w:name="_Toc501848501"/>
      <w:bookmarkStart w:id="279" w:name="_Toc134844704"/>
      <w:bookmarkStart w:id="280" w:name="_Toc249419423"/>
      <w:r>
        <w:rPr>
          <w:rStyle w:val="CharSectno"/>
        </w:rPr>
        <w:t>61</w:t>
      </w:r>
      <w:r>
        <w:rPr>
          <w:snapToGrid w:val="0"/>
        </w:rPr>
        <w:t>.</w:t>
      </w:r>
      <w:r>
        <w:rPr>
          <w:snapToGrid w:val="0"/>
        </w:rPr>
        <w:tab/>
        <w:t>Definition</w:t>
      </w:r>
      <w:bookmarkEnd w:id="277"/>
      <w:bookmarkEnd w:id="278"/>
      <w:bookmarkEnd w:id="279"/>
      <w:bookmarkEnd w:id="280"/>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bookmarkStart w:id="281" w:name="_Toc80435949"/>
      <w:bookmarkStart w:id="282" w:name="_Toc81016924"/>
      <w:bookmarkStart w:id="283" w:name="_Toc83455477"/>
      <w:bookmarkStart w:id="284" w:name="_Toc84325498"/>
      <w:bookmarkStart w:id="285" w:name="_Toc85251999"/>
      <w:bookmarkStart w:id="286" w:name="_Toc88889137"/>
      <w:bookmarkStart w:id="287" w:name="_Toc131826552"/>
      <w:bookmarkStart w:id="288" w:name="_Toc131826754"/>
      <w:bookmarkStart w:id="289" w:name="_Toc134844705"/>
      <w:bookmarkStart w:id="290" w:name="_Toc134844936"/>
      <w:bookmarkStart w:id="291" w:name="_Toc157910416"/>
      <w:bookmarkStart w:id="292" w:name="_Toc196120607"/>
      <w:bookmarkStart w:id="293" w:name="_Toc199754553"/>
      <w:bookmarkStart w:id="294" w:name="_Toc202169268"/>
      <w:bookmarkStart w:id="295" w:name="_Toc223847968"/>
      <w:bookmarkStart w:id="296" w:name="_Toc239668134"/>
      <w:bookmarkStart w:id="297" w:name="_Toc239668410"/>
      <w:bookmarkStart w:id="298" w:name="_Toc239737147"/>
      <w:bookmarkStart w:id="299" w:name="_Toc248036131"/>
      <w:bookmarkStart w:id="300" w:name="_Toc249242469"/>
      <w:r>
        <w:tab/>
        <w:t>[Section 61 amended by No. 16 of 2009 s. 39.]</w:t>
      </w:r>
    </w:p>
    <w:p>
      <w:pPr>
        <w:pStyle w:val="Heading4"/>
        <w:spacing w:before="180"/>
        <w:rPr>
          <w:snapToGrid w:val="0"/>
        </w:rPr>
      </w:pPr>
      <w:bookmarkStart w:id="301" w:name="_Toc249419424"/>
      <w:r>
        <w:rPr>
          <w:snapToGrid w:val="0"/>
        </w:rPr>
        <w:t>Subdivision 2 — Office of Western Australian Energy Disputes Arbitrator established</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snapToGrid w:val="0"/>
        </w:rPr>
        <w:t xml:space="preserve"> </w:t>
      </w:r>
    </w:p>
    <w:p>
      <w:pPr>
        <w:pStyle w:val="Footnoteheading"/>
      </w:pPr>
      <w:bookmarkStart w:id="302" w:name="_Toc471185580"/>
      <w:bookmarkStart w:id="303" w:name="_Toc501848502"/>
      <w:bookmarkStart w:id="304" w:name="_Toc134844706"/>
      <w:r>
        <w:tab/>
        <w:t>[Heading amended by No. 16 of 2009 s. 40.]</w:t>
      </w:r>
    </w:p>
    <w:p>
      <w:pPr>
        <w:pStyle w:val="Heading5"/>
        <w:rPr>
          <w:snapToGrid w:val="0"/>
        </w:rPr>
      </w:pPr>
      <w:bookmarkStart w:id="305" w:name="_Toc249419425"/>
      <w:r>
        <w:rPr>
          <w:rStyle w:val="CharSectno"/>
        </w:rPr>
        <w:t>62</w:t>
      </w:r>
      <w:r>
        <w:rPr>
          <w:snapToGrid w:val="0"/>
        </w:rPr>
        <w:t>.</w:t>
      </w:r>
      <w:r>
        <w:rPr>
          <w:snapToGrid w:val="0"/>
        </w:rPr>
        <w:tab/>
        <w:t>Western Australian Energy Disputes Arbitrator</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bookmarkStart w:id="306" w:name="_Toc471185581"/>
      <w:bookmarkStart w:id="307" w:name="_Toc501848503"/>
      <w:bookmarkStart w:id="308" w:name="_Toc134844707"/>
      <w:r>
        <w:tab/>
        <w:t>[Section 62 amended by No. 16 of 2009 s. 41.]</w:t>
      </w:r>
    </w:p>
    <w:p>
      <w:pPr>
        <w:pStyle w:val="Heading5"/>
        <w:rPr>
          <w:snapToGrid w:val="0"/>
        </w:rPr>
      </w:pPr>
      <w:bookmarkStart w:id="309" w:name="_Toc249419426"/>
      <w:r>
        <w:rPr>
          <w:rStyle w:val="CharSectno"/>
        </w:rPr>
        <w:t>63</w:t>
      </w:r>
      <w:r>
        <w:rPr>
          <w:snapToGrid w:val="0"/>
        </w:rPr>
        <w:t>.</w:t>
      </w:r>
      <w:r>
        <w:rPr>
          <w:snapToGrid w:val="0"/>
        </w:rPr>
        <w:tab/>
        <w:t>Appointment of arbitrator</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 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Commissioner</w:t>
      </w:r>
      <w:r>
        <w:t xml:space="preserve"> means the Commissioner for Public Sector Standards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Heading5"/>
        <w:rPr>
          <w:snapToGrid w:val="0"/>
        </w:rPr>
      </w:pPr>
      <w:bookmarkStart w:id="310" w:name="_Toc471185582"/>
      <w:bookmarkStart w:id="311" w:name="_Toc501848504"/>
      <w:bookmarkStart w:id="312" w:name="_Toc134844708"/>
      <w:bookmarkStart w:id="313" w:name="_Toc249419427"/>
      <w:r>
        <w:rPr>
          <w:rStyle w:val="CharSectno"/>
        </w:rPr>
        <w:t>64</w:t>
      </w:r>
      <w:r>
        <w:rPr>
          <w:snapToGrid w:val="0"/>
        </w:rPr>
        <w:t>.</w:t>
      </w:r>
      <w:r>
        <w:rPr>
          <w:snapToGrid w:val="0"/>
        </w:rPr>
        <w:tab/>
        <w:t xml:space="preserve">Application of </w:t>
      </w:r>
      <w:r>
        <w:rPr>
          <w:i/>
          <w:snapToGrid w:val="0"/>
        </w:rPr>
        <w:t>Public Sector Management Act 1994</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314" w:name="_Toc471185583"/>
      <w:bookmarkStart w:id="315" w:name="_Toc501848505"/>
      <w:bookmarkStart w:id="316" w:name="_Toc134844709"/>
      <w:bookmarkStart w:id="317" w:name="_Toc249419428"/>
      <w:r>
        <w:rPr>
          <w:rStyle w:val="CharSectno"/>
        </w:rPr>
        <w:t>65</w:t>
      </w:r>
      <w:r>
        <w:rPr>
          <w:snapToGrid w:val="0"/>
        </w:rPr>
        <w:t>.</w:t>
      </w:r>
      <w:r>
        <w:rPr>
          <w:snapToGrid w:val="0"/>
        </w:rPr>
        <w:tab/>
        <w:t>Term of office</w:t>
      </w:r>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318" w:name="_Toc471185584"/>
      <w:bookmarkStart w:id="319" w:name="_Toc501848506"/>
      <w:bookmarkStart w:id="320" w:name="_Toc134844710"/>
      <w:bookmarkStart w:id="321" w:name="_Toc249419429"/>
      <w:r>
        <w:rPr>
          <w:rStyle w:val="CharSectno"/>
        </w:rPr>
        <w:t>66</w:t>
      </w:r>
      <w:r>
        <w:rPr>
          <w:snapToGrid w:val="0"/>
        </w:rPr>
        <w:t>.</w:t>
      </w:r>
      <w:r>
        <w:rPr>
          <w:snapToGrid w:val="0"/>
        </w:rPr>
        <w:tab/>
        <w:t>Resignation</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322" w:name="_Toc471185585"/>
      <w:bookmarkStart w:id="323" w:name="_Toc501848507"/>
      <w:bookmarkStart w:id="324" w:name="_Toc134844711"/>
      <w:bookmarkStart w:id="325" w:name="_Toc249419430"/>
      <w:r>
        <w:rPr>
          <w:rStyle w:val="CharSectno"/>
        </w:rPr>
        <w:t>67</w:t>
      </w:r>
      <w:r>
        <w:rPr>
          <w:snapToGrid w:val="0"/>
        </w:rPr>
        <w:t>.</w:t>
      </w:r>
      <w:r>
        <w:rPr>
          <w:snapToGrid w:val="0"/>
        </w:rPr>
        <w:tab/>
        <w:t>Suspension of arbitrator</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rPr>
          <w:snapToGrid w:val="0"/>
        </w:rPr>
      </w:pPr>
      <w:bookmarkStart w:id="326" w:name="_Toc471185586"/>
      <w:bookmarkStart w:id="327" w:name="_Toc501848508"/>
      <w:bookmarkStart w:id="328" w:name="_Toc134844712"/>
      <w:bookmarkStart w:id="329" w:name="_Toc249419431"/>
      <w:r>
        <w:rPr>
          <w:rStyle w:val="CharSectno"/>
        </w:rPr>
        <w:t>68</w:t>
      </w:r>
      <w:r>
        <w:rPr>
          <w:snapToGrid w:val="0"/>
        </w:rPr>
        <w:t>.</w:t>
      </w:r>
      <w:r>
        <w:rPr>
          <w:snapToGrid w:val="0"/>
        </w:rPr>
        <w:tab/>
        <w:t>Removal of arbitrator</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rPr>
          <w:snapToGrid w:val="0"/>
        </w:rPr>
      </w:pPr>
      <w:bookmarkStart w:id="330" w:name="_Toc471185587"/>
      <w:bookmarkStart w:id="331" w:name="_Toc501848509"/>
      <w:bookmarkStart w:id="332" w:name="_Toc134844713"/>
      <w:bookmarkStart w:id="333" w:name="_Toc249419432"/>
      <w:r>
        <w:rPr>
          <w:rStyle w:val="CharSectno"/>
        </w:rPr>
        <w:t>69</w:t>
      </w:r>
      <w:r>
        <w:rPr>
          <w:snapToGrid w:val="0"/>
        </w:rPr>
        <w:t>.</w:t>
      </w:r>
      <w:r>
        <w:rPr>
          <w:snapToGrid w:val="0"/>
        </w:rPr>
        <w:tab/>
        <w:t>Remuneration and conditions of office</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rPr>
          <w:snapToGrid w:val="0"/>
        </w:rPr>
      </w:pPr>
      <w:bookmarkStart w:id="334" w:name="_Toc471185588"/>
      <w:bookmarkStart w:id="335" w:name="_Toc501848510"/>
      <w:bookmarkStart w:id="336" w:name="_Toc134844714"/>
      <w:bookmarkStart w:id="337" w:name="_Toc249419433"/>
      <w:r>
        <w:rPr>
          <w:rStyle w:val="CharSectno"/>
        </w:rPr>
        <w:t>70</w:t>
      </w:r>
      <w:r>
        <w:rPr>
          <w:snapToGrid w:val="0"/>
        </w:rPr>
        <w:t>.</w:t>
      </w:r>
      <w:r>
        <w:rPr>
          <w:snapToGrid w:val="0"/>
        </w:rPr>
        <w:tab/>
        <w:t>Oath of office</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rPr>
          <w:snapToGrid w:val="0"/>
        </w:rPr>
      </w:pPr>
      <w:r>
        <w:rPr>
          <w:snapToGrid w:val="0"/>
        </w:rPr>
        <w:tab/>
        <w:t>(2)</w:t>
      </w:r>
      <w:r>
        <w:rPr>
          <w:snapToGrid w:val="0"/>
        </w:rPr>
        <w:tab/>
        <w:t>The oath or affirmation is to be administered by a Judge.</w:t>
      </w:r>
    </w:p>
    <w:p>
      <w:pPr>
        <w:pStyle w:val="Heading5"/>
        <w:rPr>
          <w:snapToGrid w:val="0"/>
        </w:rPr>
      </w:pPr>
      <w:bookmarkStart w:id="338" w:name="_Toc471185589"/>
      <w:bookmarkStart w:id="339" w:name="_Toc501848511"/>
      <w:bookmarkStart w:id="340" w:name="_Toc134844715"/>
      <w:bookmarkStart w:id="341" w:name="_Toc249419434"/>
      <w:r>
        <w:rPr>
          <w:rStyle w:val="CharSectno"/>
        </w:rPr>
        <w:t>71</w:t>
      </w:r>
      <w:r>
        <w:rPr>
          <w:snapToGrid w:val="0"/>
        </w:rPr>
        <w:t>.</w:t>
      </w:r>
      <w:r>
        <w:rPr>
          <w:snapToGrid w:val="0"/>
        </w:rPr>
        <w:tab/>
        <w:t>Acting arbitrator</w:t>
      </w:r>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rPr>
          <w:snapToGrid w:val="0"/>
        </w:rPr>
      </w:pPr>
      <w:bookmarkStart w:id="342" w:name="_Toc471185590"/>
      <w:bookmarkStart w:id="343" w:name="_Toc501848512"/>
      <w:bookmarkStart w:id="344" w:name="_Toc134844716"/>
      <w:bookmarkStart w:id="345" w:name="_Toc249419435"/>
      <w:r>
        <w:rPr>
          <w:rStyle w:val="CharSectno"/>
        </w:rPr>
        <w:t>72</w:t>
      </w:r>
      <w:r>
        <w:rPr>
          <w:snapToGrid w:val="0"/>
        </w:rPr>
        <w:t>.</w:t>
      </w:r>
      <w:r>
        <w:rPr>
          <w:snapToGrid w:val="0"/>
        </w:rPr>
        <w:tab/>
        <w:t>Duties may be performed concurrently</w:t>
      </w:r>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346" w:name="_Toc80435961"/>
      <w:bookmarkStart w:id="347" w:name="_Toc81016936"/>
      <w:bookmarkStart w:id="348" w:name="_Toc83455489"/>
      <w:bookmarkStart w:id="349" w:name="_Toc84325510"/>
      <w:bookmarkStart w:id="350" w:name="_Toc85252011"/>
      <w:bookmarkStart w:id="351" w:name="_Toc88889149"/>
      <w:bookmarkStart w:id="352" w:name="_Toc131826564"/>
      <w:bookmarkStart w:id="353" w:name="_Toc131826766"/>
      <w:bookmarkStart w:id="354" w:name="_Toc134844717"/>
      <w:bookmarkStart w:id="355" w:name="_Toc134844948"/>
      <w:bookmarkStart w:id="356" w:name="_Toc157910428"/>
      <w:bookmarkStart w:id="357" w:name="_Toc196120619"/>
      <w:bookmarkStart w:id="358" w:name="_Toc199754565"/>
      <w:bookmarkStart w:id="359" w:name="_Toc202169280"/>
      <w:bookmarkStart w:id="360" w:name="_Toc223847980"/>
      <w:bookmarkStart w:id="361" w:name="_Toc239668146"/>
      <w:bookmarkStart w:id="362" w:name="_Toc239668422"/>
      <w:bookmarkStart w:id="363" w:name="_Toc239737159"/>
      <w:bookmarkStart w:id="364" w:name="_Toc248036143"/>
      <w:bookmarkStart w:id="365" w:name="_Toc249242481"/>
      <w:bookmarkStart w:id="366" w:name="_Toc249419436"/>
      <w:r>
        <w:rPr>
          <w:snapToGrid w:val="0"/>
        </w:rPr>
        <w:t>Subdivision 3 — Functions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snapToGrid w:val="0"/>
        </w:rPr>
        <w:t xml:space="preserve"> </w:t>
      </w:r>
    </w:p>
    <w:p>
      <w:pPr>
        <w:pStyle w:val="Heading5"/>
        <w:rPr>
          <w:snapToGrid w:val="0"/>
        </w:rPr>
      </w:pPr>
      <w:bookmarkStart w:id="367" w:name="_Toc471185591"/>
      <w:bookmarkStart w:id="368" w:name="_Toc501848513"/>
      <w:bookmarkStart w:id="369" w:name="_Toc134844718"/>
      <w:bookmarkStart w:id="370" w:name="_Toc249419437"/>
      <w:r>
        <w:rPr>
          <w:rStyle w:val="CharSectno"/>
        </w:rPr>
        <w:t>73</w:t>
      </w:r>
      <w:r>
        <w:rPr>
          <w:snapToGrid w:val="0"/>
        </w:rPr>
        <w:t>.</w:t>
      </w:r>
      <w:r>
        <w:rPr>
          <w:snapToGrid w:val="0"/>
        </w:rPr>
        <w:tab/>
        <w:t>Functions</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pPr>
      <w:r>
        <w:tab/>
        <w:t>[Section 73 amended by No. 53 of 2003 s. 117; No. 16 of 2009 s. 42.]</w:t>
      </w:r>
    </w:p>
    <w:p>
      <w:pPr>
        <w:pStyle w:val="Heading5"/>
        <w:rPr>
          <w:snapToGrid w:val="0"/>
        </w:rPr>
      </w:pPr>
      <w:bookmarkStart w:id="371" w:name="_Toc471185592"/>
      <w:bookmarkStart w:id="372" w:name="_Toc501848514"/>
      <w:bookmarkStart w:id="373" w:name="_Toc134844719"/>
      <w:bookmarkStart w:id="374" w:name="_Toc249419438"/>
      <w:r>
        <w:rPr>
          <w:rStyle w:val="CharSectno"/>
        </w:rPr>
        <w:t>74</w:t>
      </w:r>
      <w:r>
        <w:rPr>
          <w:snapToGrid w:val="0"/>
        </w:rPr>
        <w:t>.</w:t>
      </w:r>
      <w:r>
        <w:rPr>
          <w:snapToGrid w:val="0"/>
        </w:rPr>
        <w:tab/>
        <w:t>Additional functions may be prescribed</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keepNext/>
        <w:keepLines/>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by No. 58 of 1999 s. 96; No. 16 of 2009 s. 43.]</w:t>
      </w:r>
    </w:p>
    <w:p>
      <w:pPr>
        <w:pStyle w:val="Heading5"/>
        <w:rPr>
          <w:snapToGrid w:val="0"/>
        </w:rPr>
      </w:pPr>
      <w:bookmarkStart w:id="375" w:name="_Toc471185593"/>
      <w:bookmarkStart w:id="376" w:name="_Toc501848515"/>
      <w:bookmarkStart w:id="377" w:name="_Toc134844720"/>
      <w:bookmarkStart w:id="378" w:name="_Toc249419439"/>
      <w:r>
        <w:rPr>
          <w:rStyle w:val="CharSectno"/>
        </w:rPr>
        <w:t>75</w:t>
      </w:r>
      <w:r>
        <w:rPr>
          <w:snapToGrid w:val="0"/>
        </w:rPr>
        <w:t>.</w:t>
      </w:r>
      <w:r>
        <w:rPr>
          <w:snapToGrid w:val="0"/>
        </w:rPr>
        <w:tab/>
        <w:t>Independence of arbitrator</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pPr>
      <w:r>
        <w:tab/>
        <w:t>[Section 75 amended by No. 77 of 2006 s. 17.]</w:t>
      </w:r>
    </w:p>
    <w:p>
      <w:pPr>
        <w:pStyle w:val="Heading5"/>
        <w:rPr>
          <w:snapToGrid w:val="0"/>
        </w:rPr>
      </w:pPr>
      <w:bookmarkStart w:id="379" w:name="_Toc471185594"/>
      <w:bookmarkStart w:id="380" w:name="_Toc501848516"/>
      <w:bookmarkStart w:id="381" w:name="_Toc134844721"/>
      <w:bookmarkStart w:id="382" w:name="_Toc249419440"/>
      <w:r>
        <w:rPr>
          <w:rStyle w:val="CharSectno"/>
        </w:rPr>
        <w:t>76</w:t>
      </w:r>
      <w:r>
        <w:rPr>
          <w:snapToGrid w:val="0"/>
        </w:rPr>
        <w:t>.</w:t>
      </w:r>
      <w:r>
        <w:rPr>
          <w:snapToGrid w:val="0"/>
        </w:rPr>
        <w:tab/>
        <w:t>Copies of decisions to be given to the local Regulator</w:t>
      </w:r>
      <w:bookmarkEnd w:id="379"/>
      <w:bookmarkEnd w:id="380"/>
      <w:bookmarkEnd w:id="381"/>
      <w:bookmarkEnd w:id="382"/>
      <w:r>
        <w:rPr>
          <w:snapToGrid w:val="0"/>
        </w:rPr>
        <w:t xml:space="preserve"> </w:t>
      </w:r>
    </w:p>
    <w:p>
      <w:pPr>
        <w:pStyle w:val="Subsection"/>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pPr>
      <w:r>
        <w:tab/>
        <w:t>[Section 76 amended by No. 67 of 2003 s. 62; No. 16 of 2009 s. 44.]</w:t>
      </w:r>
    </w:p>
    <w:p>
      <w:pPr>
        <w:pStyle w:val="Heading5"/>
        <w:rPr>
          <w:snapToGrid w:val="0"/>
        </w:rPr>
      </w:pPr>
      <w:bookmarkStart w:id="383" w:name="_Toc471185595"/>
      <w:bookmarkStart w:id="384" w:name="_Toc501848517"/>
      <w:bookmarkStart w:id="385" w:name="_Toc134844722"/>
      <w:bookmarkStart w:id="386" w:name="_Toc249419441"/>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bookmarkStart w:id="387" w:name="_Toc471185596"/>
      <w:bookmarkStart w:id="388" w:name="_Toc501848518"/>
      <w:bookmarkStart w:id="389" w:name="_Toc134844723"/>
      <w:r>
        <w:tab/>
        <w:t>[Section 77 amended by No. 16 of 2009 s. 45.]</w:t>
      </w:r>
    </w:p>
    <w:p>
      <w:pPr>
        <w:pStyle w:val="Heading5"/>
        <w:rPr>
          <w:snapToGrid w:val="0"/>
        </w:rPr>
      </w:pPr>
      <w:bookmarkStart w:id="390" w:name="_Toc249419442"/>
      <w:r>
        <w:rPr>
          <w:rStyle w:val="CharSectno"/>
        </w:rPr>
        <w:t>78</w:t>
      </w:r>
      <w:r>
        <w:rPr>
          <w:snapToGrid w:val="0"/>
        </w:rPr>
        <w:t>.</w:t>
      </w:r>
      <w:r>
        <w:rPr>
          <w:snapToGrid w:val="0"/>
        </w:rPr>
        <w:tab/>
        <w:t>Delegation</w:t>
      </w:r>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391" w:name="_Toc471185597"/>
      <w:bookmarkStart w:id="392" w:name="_Toc501848519"/>
      <w:bookmarkStart w:id="393" w:name="_Toc134844724"/>
      <w:bookmarkStart w:id="394" w:name="_Toc249419443"/>
      <w:r>
        <w:rPr>
          <w:rStyle w:val="CharSectno"/>
        </w:rPr>
        <w:t>79</w:t>
      </w:r>
      <w:r>
        <w:rPr>
          <w:snapToGrid w:val="0"/>
        </w:rPr>
        <w:t>.</w:t>
      </w:r>
      <w:r>
        <w:rPr>
          <w:snapToGrid w:val="0"/>
        </w:rPr>
        <w:tab/>
        <w:t>Conflict of interest</w:t>
      </w:r>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395" w:name="_Toc80435969"/>
      <w:bookmarkStart w:id="396" w:name="_Toc81016944"/>
      <w:bookmarkStart w:id="397" w:name="_Toc83455497"/>
      <w:bookmarkStart w:id="398" w:name="_Toc84325518"/>
      <w:bookmarkStart w:id="399" w:name="_Toc85252019"/>
      <w:bookmarkStart w:id="400" w:name="_Toc88889157"/>
      <w:bookmarkStart w:id="401" w:name="_Toc131826572"/>
      <w:bookmarkStart w:id="402" w:name="_Toc131826774"/>
      <w:bookmarkStart w:id="403" w:name="_Toc134844725"/>
      <w:bookmarkStart w:id="404" w:name="_Toc134844956"/>
      <w:bookmarkStart w:id="405" w:name="_Toc157910436"/>
      <w:bookmarkStart w:id="406" w:name="_Toc196120627"/>
      <w:bookmarkStart w:id="407" w:name="_Toc199754573"/>
      <w:bookmarkStart w:id="408" w:name="_Toc202169288"/>
      <w:bookmarkStart w:id="409" w:name="_Toc223847988"/>
      <w:bookmarkStart w:id="410" w:name="_Toc239668154"/>
      <w:bookmarkStart w:id="411" w:name="_Toc239668430"/>
      <w:bookmarkStart w:id="412" w:name="_Toc239737167"/>
      <w:bookmarkStart w:id="413" w:name="_Toc248036151"/>
      <w:bookmarkStart w:id="414" w:name="_Toc249242489"/>
      <w:bookmarkStart w:id="415" w:name="_Toc249419444"/>
      <w:r>
        <w:rPr>
          <w:snapToGrid w:val="0"/>
        </w:rPr>
        <w:t>Subdivision 4 — Staff and consultants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snapToGrid w:val="0"/>
        </w:rPr>
        <w:t xml:space="preserve"> </w:t>
      </w:r>
    </w:p>
    <w:p>
      <w:pPr>
        <w:pStyle w:val="Heading5"/>
        <w:rPr>
          <w:snapToGrid w:val="0"/>
        </w:rPr>
      </w:pPr>
      <w:bookmarkStart w:id="416" w:name="_Toc471185598"/>
      <w:bookmarkStart w:id="417" w:name="_Toc501848520"/>
      <w:bookmarkStart w:id="418" w:name="_Toc134844726"/>
      <w:bookmarkStart w:id="419" w:name="_Toc249419445"/>
      <w:r>
        <w:rPr>
          <w:rStyle w:val="CharSectno"/>
        </w:rPr>
        <w:t>80</w:t>
      </w:r>
      <w:r>
        <w:rPr>
          <w:snapToGrid w:val="0"/>
        </w:rPr>
        <w:t>.</w:t>
      </w:r>
      <w:r>
        <w:rPr>
          <w:snapToGrid w:val="0"/>
        </w:rPr>
        <w:tab/>
        <w:t>Use of government staff etc.</w:t>
      </w:r>
      <w:bookmarkEnd w:id="416"/>
      <w:bookmarkEnd w:id="417"/>
      <w:bookmarkEnd w:id="418"/>
      <w:bookmarkEnd w:id="419"/>
      <w:r>
        <w:rPr>
          <w:snapToGrid w:val="0"/>
        </w:rPr>
        <w:t xml:space="preserve"> </w:t>
      </w:r>
    </w:p>
    <w:p>
      <w:pPr>
        <w:pStyle w:val="Subsection"/>
        <w:spacing w:before="120"/>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spacing w:before="120"/>
        <w:rPr>
          <w:snapToGrid w:val="0"/>
        </w:rPr>
      </w:pPr>
      <w:r>
        <w:rPr>
          <w:snapToGrid w:val="0"/>
        </w:rPr>
        <w:tab/>
      </w:r>
      <w:r>
        <w:rPr>
          <w:snapToGrid w:val="0"/>
        </w:rPr>
        <w:tab/>
        <w:t>other than an officer or employee of an electricity corporation.</w:t>
      </w:r>
    </w:p>
    <w:p>
      <w:pPr>
        <w:pStyle w:val="Subsection"/>
        <w:spacing w:before="120"/>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spacing w:before="120"/>
        <w:rPr>
          <w:snapToGrid w:val="0"/>
        </w:rPr>
      </w:pPr>
      <w:r>
        <w:rPr>
          <w:snapToGrid w:val="0"/>
        </w:rPr>
        <w:tab/>
      </w:r>
      <w:r>
        <w:rPr>
          <w:snapToGrid w:val="0"/>
        </w:rPr>
        <w:tab/>
        <w:t>make use of any facilities of the department, agency or instrumentality.</w:t>
      </w:r>
    </w:p>
    <w:p>
      <w:pPr>
        <w:pStyle w:val="Subsection"/>
        <w:spacing w:before="120"/>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pPr>
      <w:bookmarkStart w:id="420" w:name="_Toc471185599"/>
      <w:bookmarkStart w:id="421" w:name="_Toc501848521"/>
      <w:r>
        <w:tab/>
        <w:t>(5)</w:t>
      </w:r>
      <w:r>
        <w:tab/>
        <w:t xml:space="preserve">In this section — </w:t>
      </w:r>
    </w:p>
    <w:p>
      <w:pPr>
        <w:pStyle w:val="Defstart"/>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422" w:name="_Toc134844727"/>
      <w:bookmarkStart w:id="423" w:name="_Toc249419446"/>
      <w:r>
        <w:rPr>
          <w:rStyle w:val="CharSectno"/>
        </w:rPr>
        <w:t>81</w:t>
      </w:r>
      <w:r>
        <w:rPr>
          <w:snapToGrid w:val="0"/>
        </w:rPr>
        <w:t>.</w:t>
      </w:r>
      <w:r>
        <w:rPr>
          <w:snapToGrid w:val="0"/>
        </w:rPr>
        <w:tab/>
        <w:t>Consultants</w:t>
      </w:r>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bookmarkStart w:id="424" w:name="_Toc80435972"/>
      <w:bookmarkStart w:id="425" w:name="_Toc81016947"/>
      <w:bookmarkStart w:id="426" w:name="_Toc83455500"/>
      <w:bookmarkStart w:id="427" w:name="_Toc84325521"/>
      <w:bookmarkStart w:id="428" w:name="_Toc85252022"/>
      <w:bookmarkStart w:id="429" w:name="_Toc88889160"/>
      <w:bookmarkStart w:id="430" w:name="_Toc131826575"/>
      <w:bookmarkStart w:id="431" w:name="_Toc131826777"/>
      <w:bookmarkStart w:id="432" w:name="_Toc134844728"/>
      <w:bookmarkStart w:id="433" w:name="_Toc134844959"/>
      <w:bookmarkStart w:id="434" w:name="_Toc157910439"/>
      <w:bookmarkStart w:id="435" w:name="_Toc196120630"/>
      <w:bookmarkStart w:id="436" w:name="_Toc199754576"/>
      <w:bookmarkStart w:id="437" w:name="_Toc202169291"/>
      <w:bookmarkStart w:id="438" w:name="_Toc223847991"/>
      <w:bookmarkStart w:id="439" w:name="_Toc239668157"/>
      <w:bookmarkStart w:id="440" w:name="_Toc239668433"/>
      <w:bookmarkStart w:id="441" w:name="_Toc239737170"/>
      <w:bookmarkStart w:id="442" w:name="_Toc248036154"/>
      <w:bookmarkStart w:id="443" w:name="_Toc249242492"/>
      <w:r>
        <w:tab/>
        <w:t>[Section 81 amended by No. 16 of 2009 s. 46.]</w:t>
      </w:r>
    </w:p>
    <w:p>
      <w:pPr>
        <w:pStyle w:val="Heading4"/>
        <w:rPr>
          <w:snapToGrid w:val="0"/>
        </w:rPr>
      </w:pPr>
      <w:bookmarkStart w:id="444" w:name="_Toc249419447"/>
      <w:r>
        <w:rPr>
          <w:snapToGrid w:val="0"/>
        </w:rPr>
        <w:t>Subdivision 5 — Financial provisions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snapToGrid w:val="0"/>
        </w:rPr>
        <w:t xml:space="preserve"> </w:t>
      </w:r>
    </w:p>
    <w:p>
      <w:pPr>
        <w:pStyle w:val="Heading5"/>
        <w:rPr>
          <w:snapToGrid w:val="0"/>
        </w:rPr>
      </w:pPr>
      <w:bookmarkStart w:id="445" w:name="_Toc471185600"/>
      <w:bookmarkStart w:id="446" w:name="_Toc501848522"/>
      <w:bookmarkStart w:id="447" w:name="_Toc134844729"/>
      <w:bookmarkStart w:id="448" w:name="_Toc249419448"/>
      <w:r>
        <w:rPr>
          <w:rStyle w:val="CharSectno"/>
        </w:rPr>
        <w:t>82</w:t>
      </w:r>
      <w:r>
        <w:rPr>
          <w:snapToGrid w:val="0"/>
        </w:rPr>
        <w:t>.</w:t>
      </w:r>
      <w:r>
        <w:rPr>
          <w:snapToGrid w:val="0"/>
        </w:rPr>
        <w:tab/>
        <w:t>Bank account</w:t>
      </w:r>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bookmarkStart w:id="449" w:name="_Toc471185601"/>
      <w:bookmarkStart w:id="450" w:name="_Toc501848523"/>
      <w:bookmarkStart w:id="451" w:name="_Toc134844730"/>
      <w:r>
        <w:tab/>
        <w:t>[Section 82 amended by No. 16 of 2009 s. 47.]</w:t>
      </w:r>
    </w:p>
    <w:p>
      <w:pPr>
        <w:pStyle w:val="Heading5"/>
        <w:rPr>
          <w:snapToGrid w:val="0"/>
        </w:rPr>
      </w:pPr>
      <w:bookmarkStart w:id="452" w:name="_Toc249419449"/>
      <w:r>
        <w:rPr>
          <w:rStyle w:val="CharSectno"/>
        </w:rPr>
        <w:t>83</w:t>
      </w:r>
      <w:r>
        <w:rPr>
          <w:snapToGrid w:val="0"/>
        </w:rPr>
        <w:t>.</w:t>
      </w:r>
      <w:r>
        <w:rPr>
          <w:snapToGrid w:val="0"/>
        </w:rPr>
        <w:tab/>
        <w:t>Borrowing from Treasurer</w:t>
      </w:r>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453" w:name="_Toc471185602"/>
      <w:bookmarkStart w:id="454" w:name="_Toc501848524"/>
      <w:bookmarkStart w:id="455" w:name="_Toc134844731"/>
      <w:bookmarkStart w:id="456" w:name="_Toc249419450"/>
      <w:r>
        <w:rPr>
          <w:rStyle w:val="CharSectno"/>
        </w:rPr>
        <w:t>84</w:t>
      </w:r>
      <w:r>
        <w:rPr>
          <w:snapToGrid w:val="0"/>
        </w:rPr>
        <w:t>.</w:t>
      </w:r>
      <w:r>
        <w:rPr>
          <w:snapToGrid w:val="0"/>
        </w:rPr>
        <w:tab/>
        <w:t xml:space="preserve">Application of </w:t>
      </w:r>
      <w:bookmarkEnd w:id="453"/>
      <w:bookmarkEnd w:id="454"/>
      <w:bookmarkEnd w:id="455"/>
      <w:r>
        <w:rPr>
          <w:i/>
          <w:iCs/>
        </w:rPr>
        <w:t>Financial Management Act 2006</w:t>
      </w:r>
      <w:r>
        <w:t xml:space="preserve"> and </w:t>
      </w:r>
      <w:r>
        <w:rPr>
          <w:i/>
          <w:iCs/>
        </w:rPr>
        <w:t>Auditor General Act 2006</w:t>
      </w:r>
      <w:bookmarkEnd w:id="456"/>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pPr>
      <w:r>
        <w:tab/>
        <w:t>[Section 84 amended by No. 77 of 2006 s. 17.]</w:t>
      </w:r>
    </w:p>
    <w:p>
      <w:pPr>
        <w:pStyle w:val="Heading4"/>
        <w:rPr>
          <w:snapToGrid w:val="0"/>
        </w:rPr>
      </w:pPr>
      <w:bookmarkStart w:id="457" w:name="_Toc80435976"/>
      <w:bookmarkStart w:id="458" w:name="_Toc81016951"/>
      <w:bookmarkStart w:id="459" w:name="_Toc83455504"/>
      <w:bookmarkStart w:id="460" w:name="_Toc84325525"/>
      <w:bookmarkStart w:id="461" w:name="_Toc85252026"/>
      <w:bookmarkStart w:id="462" w:name="_Toc88889164"/>
      <w:bookmarkStart w:id="463" w:name="_Toc131826579"/>
      <w:bookmarkStart w:id="464" w:name="_Toc131826781"/>
      <w:bookmarkStart w:id="465" w:name="_Toc134844732"/>
      <w:bookmarkStart w:id="466" w:name="_Toc134844963"/>
      <w:bookmarkStart w:id="467" w:name="_Toc157910443"/>
      <w:bookmarkStart w:id="468" w:name="_Toc196120634"/>
      <w:bookmarkStart w:id="469" w:name="_Toc199754580"/>
      <w:bookmarkStart w:id="470" w:name="_Toc202169295"/>
      <w:bookmarkStart w:id="471" w:name="_Toc223847995"/>
      <w:bookmarkStart w:id="472" w:name="_Toc239668161"/>
      <w:bookmarkStart w:id="473" w:name="_Toc239668437"/>
      <w:bookmarkStart w:id="474" w:name="_Toc239737174"/>
      <w:bookmarkStart w:id="475" w:name="_Toc248036158"/>
      <w:bookmarkStart w:id="476" w:name="_Toc249242496"/>
      <w:bookmarkStart w:id="477" w:name="_Toc249419451"/>
      <w:r>
        <w:rPr>
          <w:snapToGrid w:val="0"/>
        </w:rPr>
        <w:t>Subdivision 6 — General</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snapToGrid w:val="0"/>
        </w:rPr>
        <w:t xml:space="preserve"> </w:t>
      </w:r>
    </w:p>
    <w:p>
      <w:pPr>
        <w:pStyle w:val="Heading5"/>
        <w:rPr>
          <w:snapToGrid w:val="0"/>
        </w:rPr>
      </w:pPr>
      <w:bookmarkStart w:id="478" w:name="_Toc471185603"/>
      <w:bookmarkStart w:id="479" w:name="_Toc501848525"/>
      <w:bookmarkStart w:id="480" w:name="_Toc134844733"/>
      <w:bookmarkStart w:id="481" w:name="_Toc249419452"/>
      <w:r>
        <w:rPr>
          <w:rStyle w:val="CharSectno"/>
        </w:rPr>
        <w:t>85</w:t>
      </w:r>
      <w:r>
        <w:rPr>
          <w:snapToGrid w:val="0"/>
        </w:rPr>
        <w:t>.</w:t>
      </w:r>
      <w:r>
        <w:rPr>
          <w:snapToGrid w:val="0"/>
        </w:rPr>
        <w:tab/>
        <w:t>Immunity</w:t>
      </w:r>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482" w:name="_Toc80435978"/>
      <w:bookmarkStart w:id="483" w:name="_Toc81016953"/>
      <w:bookmarkStart w:id="484" w:name="_Toc83455506"/>
      <w:bookmarkStart w:id="485" w:name="_Toc84325527"/>
      <w:bookmarkStart w:id="486" w:name="_Toc85252028"/>
      <w:bookmarkStart w:id="487" w:name="_Toc88889166"/>
      <w:bookmarkStart w:id="488" w:name="_Toc131826581"/>
      <w:bookmarkStart w:id="489" w:name="_Toc131826783"/>
      <w:bookmarkStart w:id="490" w:name="_Toc134844734"/>
      <w:bookmarkStart w:id="491" w:name="_Toc134844965"/>
      <w:bookmarkStart w:id="492" w:name="_Toc157910445"/>
      <w:bookmarkStart w:id="493" w:name="_Toc196120636"/>
      <w:bookmarkStart w:id="494" w:name="_Toc199754582"/>
      <w:bookmarkStart w:id="495" w:name="_Toc202169297"/>
      <w:bookmarkStart w:id="496" w:name="_Toc223847997"/>
      <w:bookmarkStart w:id="497" w:name="_Toc239668163"/>
      <w:bookmarkStart w:id="498" w:name="_Toc239668439"/>
      <w:bookmarkStart w:id="499" w:name="_Toc239737176"/>
      <w:bookmarkStart w:id="500" w:name="_Toc248036160"/>
      <w:bookmarkStart w:id="501" w:name="_Toc249242498"/>
      <w:bookmarkStart w:id="502" w:name="_Toc249419453"/>
      <w:r>
        <w:rPr>
          <w:rStyle w:val="CharDivNo"/>
        </w:rPr>
        <w:t>Division 4</w:t>
      </w:r>
      <w:r>
        <w:rPr>
          <w:snapToGrid w:val="0"/>
        </w:rPr>
        <w:t> — </w:t>
      </w:r>
      <w:r>
        <w:rPr>
          <w:rStyle w:val="CharDivText"/>
        </w:rPr>
        <w:t>Miscellaneous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DivText"/>
        </w:rPr>
        <w:t xml:space="preserve"> </w:t>
      </w:r>
    </w:p>
    <w:p>
      <w:pPr>
        <w:pStyle w:val="Heading5"/>
        <w:rPr>
          <w:snapToGrid w:val="0"/>
        </w:rPr>
      </w:pPr>
      <w:bookmarkStart w:id="503" w:name="_Toc471185604"/>
      <w:bookmarkStart w:id="504" w:name="_Toc501848526"/>
      <w:bookmarkStart w:id="505" w:name="_Toc134844735"/>
      <w:bookmarkStart w:id="506" w:name="_Toc249419454"/>
      <w:r>
        <w:rPr>
          <w:rStyle w:val="CharSectno"/>
        </w:rPr>
        <w:t>86</w:t>
      </w:r>
      <w:r>
        <w:rPr>
          <w:snapToGrid w:val="0"/>
        </w:rPr>
        <w:t>.</w:t>
      </w:r>
      <w:r>
        <w:rPr>
          <w:snapToGrid w:val="0"/>
        </w:rPr>
        <w:tab/>
        <w:t>Regulations</w:t>
      </w:r>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pPr>
      <w:bookmarkStart w:id="507" w:name="_Toc471185606"/>
      <w:bookmarkStart w:id="508" w:name="_Toc501848528"/>
      <w:bookmarkStart w:id="509" w:name="_Toc134844737"/>
      <w:r>
        <w:t>[</w:t>
      </w:r>
      <w:r>
        <w:rPr>
          <w:b/>
          <w:bCs/>
        </w:rPr>
        <w:t>87.</w:t>
      </w:r>
      <w:r>
        <w:tab/>
        <w:t>Deleted by No. 16 of 2009 s. 48.]</w:t>
      </w:r>
    </w:p>
    <w:bookmarkEnd w:id="507"/>
    <w:bookmarkEnd w:id="508"/>
    <w:bookmarkEnd w:id="509"/>
    <w:p>
      <w:pPr>
        <w:pStyle w:val="Ednotesection"/>
      </w:pPr>
      <w:r>
        <w:t>[</w:t>
      </w:r>
      <w:r>
        <w:rPr>
          <w:b/>
          <w:bCs/>
        </w:rPr>
        <w:t>88.</w:t>
      </w:r>
      <w:r>
        <w:tab/>
        <w:t>Deleted by No. 16 of 2009 s. 49.]</w:t>
      </w:r>
    </w:p>
    <w:p>
      <w:pPr>
        <w:pStyle w:val="Ednotepart"/>
      </w:pPr>
      <w:r>
        <w:t>[Parts 7 and 8 (s. 89-97) deleted by No. 16 of 2009 s. 50.]</w:t>
      </w:r>
    </w:p>
    <w:p>
      <w:pPr>
        <w:pStyle w:val="yEdnoteschedule"/>
      </w:pPr>
      <w:r>
        <w:t>[Schedules 1-3 deleted by No. 16 of 2009 s. 51.]</w:t>
      </w:r>
    </w:p>
    <w:p>
      <w:pPr>
        <w:rPr>
          <w:rStyle w:val="CharDivText"/>
        </w:r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nHeading2"/>
        <w:outlineLvl w:val="0"/>
      </w:pPr>
      <w:bookmarkStart w:id="510" w:name="_Toc80436095"/>
      <w:bookmarkStart w:id="511" w:name="_Toc81017070"/>
      <w:bookmarkStart w:id="512" w:name="_Toc83455623"/>
      <w:bookmarkStart w:id="513" w:name="_Toc84325644"/>
      <w:bookmarkStart w:id="514" w:name="_Toc85252146"/>
      <w:bookmarkStart w:id="515" w:name="_Toc88889284"/>
      <w:bookmarkStart w:id="516" w:name="_Toc131826699"/>
      <w:bookmarkStart w:id="517" w:name="_Toc131826901"/>
      <w:bookmarkStart w:id="518" w:name="_Toc134844852"/>
      <w:bookmarkStart w:id="519" w:name="_Toc134845083"/>
      <w:bookmarkStart w:id="520" w:name="_Toc157910563"/>
      <w:bookmarkStart w:id="521" w:name="_Toc196120754"/>
      <w:bookmarkStart w:id="522" w:name="_Toc199754700"/>
      <w:bookmarkStart w:id="523" w:name="_Toc202169415"/>
      <w:bookmarkStart w:id="524" w:name="_Toc223848115"/>
      <w:bookmarkStart w:id="525" w:name="_Toc239668281"/>
      <w:bookmarkStart w:id="526" w:name="_Toc239668557"/>
      <w:bookmarkStart w:id="527" w:name="_Toc239737294"/>
      <w:bookmarkStart w:id="528" w:name="_Toc248036278"/>
      <w:bookmarkStart w:id="529" w:name="_Toc249242616"/>
      <w:bookmarkStart w:id="530" w:name="_Toc249419455"/>
      <w:r>
        <w:t>Notes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Energy Arbitration and Review Act 1998 </w:t>
      </w:r>
      <w:r>
        <w:rPr>
          <w:snapToGrid w:val="0"/>
        </w:rPr>
        <w:t>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531" w:name="_Toc134844853"/>
      <w:bookmarkStart w:id="532" w:name="_Toc249419456"/>
      <w:r>
        <w:rPr>
          <w:snapToGrid w:val="0"/>
        </w:rPr>
        <w:t>Compilation table</w:t>
      </w:r>
      <w:bookmarkEnd w:id="531"/>
      <w:bookmarkEnd w:id="53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rPr>
            </w:pPr>
            <w:r>
              <w:rPr>
                <w:i/>
                <w:sz w:val="19"/>
              </w:rPr>
              <w:t>Gas Pipelines Access (Western Australia) Act 1998 </w:t>
            </w:r>
            <w:r>
              <w:rPr>
                <w:iCs/>
                <w:sz w:val="19"/>
                <w:vertAlign w:val="superscript"/>
              </w:rPr>
              <w:t>9</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 xml:space="preserve">Act other than Sch. 3 Div. 2 Subdiv. 3 and Div. 7 Subdiv. 3: 9 Feb 1999 (see s. 2 and </w:t>
            </w:r>
            <w:r>
              <w:rPr>
                <w:i/>
                <w:sz w:val="19"/>
              </w:rPr>
              <w:t>Gazette</w:t>
            </w:r>
            <w:r>
              <w:rPr>
                <w:sz w:val="19"/>
              </w:rPr>
              <w:t xml:space="preserve"> 8 Feb 1999 p. 441); Sch. 3 Div. 2 Subdiv. 3 and Div. 7 Subdiv. 3: 1 Jan 2000 (see s. 2(1)) </w:t>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7</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8</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2006</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Cs/>
                <w:sz w:val="19"/>
              </w:rPr>
            </w:pPr>
            <w:r>
              <w:rPr>
                <w:i/>
                <w:sz w:val="19"/>
              </w:rPr>
              <w:t>National Gas Access (WA) Act 2009</w:t>
            </w:r>
            <w:r>
              <w:rPr>
                <w:iCs/>
                <w:sz w:val="19"/>
              </w:rPr>
              <w:t xml:space="preserve"> Pt. 7 Div. 1</w:t>
            </w:r>
          </w:p>
        </w:tc>
        <w:tc>
          <w:tcPr>
            <w:tcW w:w="1134" w:type="dxa"/>
            <w:tcBorders>
              <w:bottom w:val="single" w:sz="8" w:space="0" w:color="auto"/>
            </w:tcBorders>
          </w:tcPr>
          <w:p>
            <w:pPr>
              <w:pStyle w:val="nTable"/>
              <w:spacing w:after="40"/>
              <w:rPr>
                <w:sz w:val="19"/>
              </w:rPr>
            </w:pPr>
            <w:r>
              <w:rPr>
                <w:sz w:val="19"/>
              </w:rPr>
              <w:t>16 of 2009</w:t>
            </w:r>
          </w:p>
        </w:tc>
        <w:tc>
          <w:tcPr>
            <w:tcW w:w="1134" w:type="dxa"/>
            <w:tcBorders>
              <w:bottom w:val="single" w:sz="8" w:space="0" w:color="auto"/>
            </w:tcBorders>
          </w:tcPr>
          <w:p>
            <w:pPr>
              <w:pStyle w:val="nTable"/>
              <w:spacing w:after="40"/>
              <w:rPr>
                <w:sz w:val="19"/>
              </w:rPr>
            </w:pPr>
            <w:r>
              <w:rPr>
                <w:sz w:val="19"/>
              </w:rPr>
              <w:t>1 Sep 2009</w:t>
            </w:r>
          </w:p>
        </w:tc>
        <w:tc>
          <w:tcPr>
            <w:tcW w:w="2552" w:type="dxa"/>
            <w:tcBorders>
              <w:bottom w:val="single" w:sz="8" w:space="0" w:color="auto"/>
            </w:tcBorders>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bl>
    <w:p>
      <w:pPr>
        <w:pStyle w:val="nHeading3"/>
      </w:pPr>
      <w:bookmarkStart w:id="533" w:name="_Toc223840285"/>
      <w:bookmarkStart w:id="534" w:name="_Toc249419457"/>
      <w:r>
        <w:t>Provisions that have not come into operation</w:t>
      </w:r>
      <w:bookmarkEnd w:id="533"/>
      <w:bookmarkEnd w:id="53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68" w:type="dxa"/>
            <w:tcBorders>
              <w:bottom w:val="single" w:sz="4" w:space="0" w:color="auto"/>
            </w:tcBorders>
          </w:tcPr>
          <w:p>
            <w:pPr>
              <w:pStyle w:val="nTable"/>
              <w:spacing w:after="40"/>
              <w:rPr>
                <w:iCs/>
                <w:snapToGrid w:val="0"/>
                <w:sz w:val="19"/>
              </w:rPr>
            </w:pPr>
            <w:r>
              <w:rPr>
                <w:i/>
                <w:snapToGrid w:val="0"/>
                <w:sz w:val="19"/>
              </w:rPr>
              <w:t>Gas Supply (Gas Quality Specifications) Act 2009</w:t>
            </w:r>
            <w:r>
              <w:rPr>
                <w:iCs/>
                <w:snapToGrid w:val="0"/>
                <w:sz w:val="19"/>
              </w:rPr>
              <w:t xml:space="preserve"> Pt. 7 Div. 2 </w:t>
            </w:r>
            <w:r>
              <w:rPr>
                <w:iCs/>
                <w:snapToGrid w:val="0"/>
                <w:sz w:val="19"/>
                <w:vertAlign w:val="superscript"/>
              </w:rPr>
              <w:t>10</w:t>
            </w:r>
          </w:p>
        </w:tc>
        <w:tc>
          <w:tcPr>
            <w:tcW w:w="1134" w:type="dxa"/>
            <w:tcBorders>
              <w:bottom w:val="single" w:sz="4" w:space="0" w:color="auto"/>
            </w:tcBorders>
          </w:tcPr>
          <w:p>
            <w:pPr>
              <w:pStyle w:val="nTable"/>
              <w:spacing w:after="40"/>
              <w:rPr>
                <w:sz w:val="19"/>
              </w:rPr>
            </w:pPr>
            <w:r>
              <w:rPr>
                <w:sz w:val="19"/>
              </w:rPr>
              <w:t>35 of 2009</w:t>
            </w:r>
          </w:p>
        </w:tc>
        <w:tc>
          <w:tcPr>
            <w:tcW w:w="1134" w:type="dxa"/>
            <w:tcBorders>
              <w:bottom w:val="single" w:sz="4" w:space="0" w:color="auto"/>
            </w:tcBorders>
          </w:tcPr>
          <w:p>
            <w:pPr>
              <w:pStyle w:val="nTable"/>
              <w:spacing w:after="40"/>
              <w:rPr>
                <w:sz w:val="19"/>
              </w:rPr>
            </w:pPr>
            <w:r>
              <w:rPr>
                <w:sz w:val="19"/>
              </w:rPr>
              <w:t>3 Dec 2009</w:t>
            </w:r>
          </w:p>
        </w:tc>
        <w:tc>
          <w:tcPr>
            <w:tcW w:w="2559" w:type="dxa"/>
            <w:tcBorders>
              <w:bottom w:val="single" w:sz="4" w:space="0" w:color="auto"/>
            </w:tcBorders>
          </w:tcPr>
          <w:p>
            <w:pPr>
              <w:pStyle w:val="nTable"/>
              <w:spacing w:after="40"/>
              <w:rPr>
                <w:sz w:val="19"/>
              </w:rPr>
            </w:pPr>
            <w:r>
              <w:rPr>
                <w:sz w:val="19"/>
              </w:rPr>
              <w:t>To be proclaimed (see s. 2(b))</w:t>
            </w:r>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snapToGrid w:val="0"/>
        </w:rPr>
      </w:pPr>
      <w:r>
        <w:rPr>
          <w:snapToGrid w:val="0"/>
          <w:vertAlign w:val="superscript"/>
        </w:rPr>
        <w:t>3</w:t>
      </w:r>
      <w:r>
        <w:rPr>
          <w:snapToGrid w:val="0"/>
        </w:rPr>
        <w:tab/>
        <w:t>The copy of the Code reproduced in Schedule 2 is a copy of the Code in its original form, as agreed by the Council of Australian Governments on 7 November 1997.  It does not include subsequent amendments to the Code. Copies of the Code as amended are available from the Code Registrar in accordance with Schedule 1 clause 7.</w:t>
      </w:r>
    </w:p>
    <w:p>
      <w:pPr>
        <w:pStyle w:val="nSubsection"/>
        <w:rPr>
          <w:bCs/>
          <w:snapToGrid w:val="0"/>
        </w:rPr>
      </w:pPr>
      <w:r>
        <w:rPr>
          <w:snapToGrid w:val="0"/>
          <w:vertAlign w:val="superscript"/>
        </w:rPr>
        <w:t>4</w:t>
      </w:r>
      <w:r>
        <w:rPr>
          <w:snapToGrid w:val="0"/>
        </w:rPr>
        <w:tab/>
        <w:t xml:space="preserve">Repealed by the </w:t>
      </w:r>
      <w:r>
        <w:rPr>
          <w:i/>
        </w:rPr>
        <w:t xml:space="preserve">Gas Pipelines Access (Western Australia) Act 1998 </w:t>
      </w:r>
      <w:r>
        <w:rPr>
          <w:bCs/>
          <w:spacing w:val="-2"/>
        </w:rPr>
        <w:t>Sch. 3 cl. 31(1) on approval of Access Arrangement on 18 July 2000</w:t>
      </w:r>
      <w:r>
        <w:rPr>
          <w:bCs/>
          <w:snapToGrid w:val="0"/>
        </w:rPr>
        <w:t>.</w:t>
      </w:r>
    </w:p>
    <w:p>
      <w:pPr>
        <w:pStyle w:val="nSubsection"/>
        <w:rPr>
          <w:bCs/>
          <w:snapToGrid w:val="0"/>
        </w:rPr>
      </w:pPr>
      <w:r>
        <w:rPr>
          <w:snapToGrid w:val="0"/>
          <w:vertAlign w:val="superscript"/>
        </w:rPr>
        <w:t>5</w:t>
      </w:r>
      <w:r>
        <w:rPr>
          <w:snapToGrid w:val="0"/>
        </w:rPr>
        <w:tab/>
        <w:t xml:space="preserve">Enacted as the </w:t>
      </w:r>
      <w:r>
        <w:rPr>
          <w:i/>
          <w:iCs/>
          <w:snapToGrid w:val="0"/>
        </w:rPr>
        <w:t>Gas Pipelines Access (Commonwealth) Act 1998</w:t>
      </w:r>
      <w:r>
        <w:rPr>
          <w:snapToGrid w:val="0"/>
        </w:rPr>
        <w:t>.</w:t>
      </w:r>
    </w:p>
    <w:p>
      <w:pPr>
        <w:pStyle w:val="nSubsection"/>
        <w:rPr>
          <w:bCs/>
          <w:snapToGrid w:val="0"/>
        </w:rPr>
      </w:pPr>
      <w:r>
        <w:rPr>
          <w:snapToGrid w:val="0"/>
          <w:vertAlign w:val="superscript"/>
        </w:rPr>
        <w:t>6</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repealed before the amendment purported to come into operation</w:t>
      </w:r>
      <w:r>
        <w:rPr>
          <w:bCs/>
          <w:snapToGrid w:val="0"/>
        </w:rPr>
        <w:t>.</w:t>
      </w:r>
    </w:p>
    <w:p>
      <w:pPr>
        <w:pStyle w:val="nSubsection"/>
        <w:rPr>
          <w:bCs/>
          <w:snapToGrid w:val="0"/>
        </w:rPr>
      </w:pPr>
      <w:r>
        <w:rPr>
          <w:snapToGrid w:val="0"/>
          <w:vertAlign w:val="superscript"/>
        </w:rPr>
        <w:t>7</w:t>
      </w:r>
      <w:r>
        <w:rPr>
          <w:snapToGrid w:val="0"/>
        </w:rPr>
        <w:tab/>
        <w:t xml:space="preserve">The amendment in the </w:t>
      </w:r>
      <w:r>
        <w:rPr>
          <w:i/>
        </w:rPr>
        <w:t xml:space="preserve">Gas Corporation (Business Disposal) Act 1999 </w:t>
      </w:r>
      <w:r>
        <w:t>s. </w:t>
      </w:r>
      <w:r>
        <w:rPr>
          <w:snapToGrid w:val="0"/>
        </w:rPr>
        <w:t xml:space="preserve">111 is not included because it was repealed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keepNext/>
        <w:keepLines/>
      </w:pPr>
      <w:r>
        <w:rPr>
          <w:vertAlign w:val="superscript"/>
        </w:rPr>
        <w:t>8</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MiscClose"/>
        <w:keepNext/>
      </w:pPr>
      <w:r>
        <w:t>”.</w:t>
      </w:r>
    </w:p>
    <w:p>
      <w:pPr>
        <w:pStyle w:val="nSubsection"/>
      </w:pPr>
      <w:r>
        <w:tab/>
        <w:t>Schedule 3 reads as follows:</w:t>
      </w:r>
    </w:p>
    <w:p>
      <w:pPr>
        <w:pStyle w:val="MiscOpen"/>
      </w:pPr>
      <w:r>
        <w:t>“</w:t>
      </w:r>
    </w:p>
    <w:p>
      <w:pPr>
        <w:pStyle w:val="nzHeading3"/>
      </w:pPr>
      <w:bookmarkStart w:id="535" w:name="_Toc26174504"/>
      <w:bookmarkStart w:id="536" w:name="_Toc26177398"/>
      <w:bookmarkStart w:id="537" w:name="_Toc58032168"/>
      <w:r>
        <w:rPr>
          <w:rStyle w:val="CharSchNo"/>
        </w:rPr>
        <w:t>Schedule 3</w:t>
      </w:r>
      <w:r>
        <w:t> — </w:t>
      </w:r>
      <w:r>
        <w:rPr>
          <w:rStyle w:val="CharSchText"/>
        </w:rPr>
        <w:t>Transitional and saving provisions for amendments in Schedule 2 Divisions 8, 12 and 18</w:t>
      </w:r>
      <w:bookmarkEnd w:id="535"/>
      <w:bookmarkEnd w:id="536"/>
      <w:bookmarkEnd w:id="537"/>
    </w:p>
    <w:p>
      <w:pPr>
        <w:pStyle w:val="yShoulderClause"/>
      </w:pPr>
      <w:r>
        <w:t>[s. 63(1)]</w:t>
      </w:r>
    </w:p>
    <w:p>
      <w:pPr>
        <w:pStyle w:val="nzHeading5"/>
      </w:pPr>
      <w:bookmarkStart w:id="538" w:name="_Toc12070351"/>
      <w:bookmarkStart w:id="539" w:name="_Toc58032169"/>
      <w:r>
        <w:t>1.</w:t>
      </w:r>
      <w:r>
        <w:tab/>
        <w:t>Definitions</w:t>
      </w:r>
      <w:bookmarkEnd w:id="538"/>
      <w:bookmarkEnd w:id="539"/>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540" w:name="_Toc12070352"/>
      <w:bookmarkStart w:id="541" w:name="_Toc58032170"/>
      <w:r>
        <w:t>2.</w:t>
      </w:r>
      <w:r>
        <w:tab/>
      </w:r>
      <w:r>
        <w:rPr>
          <w:i/>
        </w:rPr>
        <w:t>Interpretation Act 1984</w:t>
      </w:r>
      <w:r>
        <w:t xml:space="preserve"> to apply</w:t>
      </w:r>
      <w:bookmarkEnd w:id="540"/>
      <w:bookmarkEnd w:id="541"/>
    </w:p>
    <w:p>
      <w:pPr>
        <w:pStyle w:val="nzSubsection"/>
      </w:pPr>
      <w:r>
        <w:tab/>
      </w:r>
      <w:r>
        <w:tab/>
        <w:t xml:space="preserve">This Schedule does not limit the operation of the </w:t>
      </w:r>
      <w:r>
        <w:rPr>
          <w:i/>
        </w:rPr>
        <w:t>Interpretation Act 1984</w:t>
      </w:r>
      <w:r>
        <w:t>.</w:t>
      </w:r>
    </w:p>
    <w:p>
      <w:pPr>
        <w:pStyle w:val="nzHeading5"/>
      </w:pPr>
      <w:bookmarkStart w:id="542" w:name="_Toc58032171"/>
      <w:r>
        <w:t>3.</w:t>
      </w:r>
      <w:r>
        <w:tab/>
        <w:t>Decisions of Gas Pipelines Access Regulator</w:t>
      </w:r>
      <w:bookmarkEnd w:id="542"/>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543" w:name="_Toc58032172"/>
      <w:r>
        <w:t>4.</w:t>
      </w:r>
      <w:r>
        <w:tab/>
        <w:t>Decisions of Rail Access Regulator</w:t>
      </w:r>
      <w:bookmarkEnd w:id="543"/>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544" w:name="_Toc58032173"/>
      <w:r>
        <w:t>5.</w:t>
      </w:r>
      <w:r>
        <w:tab/>
        <w:t xml:space="preserve">Licences under Part 3 of the </w:t>
      </w:r>
      <w:r>
        <w:rPr>
          <w:i/>
        </w:rPr>
        <w:t>Water Services Coordination Act 1995</w:t>
      </w:r>
      <w:bookmarkEnd w:id="544"/>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545" w:name="_Toc58032174"/>
      <w:r>
        <w:t>6.</w:t>
      </w:r>
      <w:r>
        <w:tab/>
        <w:t>Continuing effect of things done</w:t>
      </w:r>
      <w:bookmarkEnd w:id="545"/>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546" w:name="_Toc58032175"/>
      <w:r>
        <w:t>7.</w:t>
      </w:r>
      <w:r>
        <w:tab/>
        <w:t>Completion of things begun</w:t>
      </w:r>
      <w:bookmarkEnd w:id="546"/>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547" w:name="_Toc58032176"/>
      <w:r>
        <w:t>8.</w:t>
      </w:r>
      <w:r>
        <w:tab/>
        <w:t>Proceedings etc.</w:t>
      </w:r>
      <w:bookmarkEnd w:id="547"/>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548" w:name="_Toc58032177"/>
      <w:r>
        <w:t>9.</w:t>
      </w:r>
      <w:r>
        <w:tab/>
        <w:t>Records</w:t>
      </w:r>
      <w:bookmarkEnd w:id="548"/>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549" w:name="_Toc58032178"/>
      <w:r>
        <w:t>10.</w:t>
      </w:r>
      <w:r>
        <w:tab/>
        <w:t>Bank accounts</w:t>
      </w:r>
      <w:bookmarkEnd w:id="549"/>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550" w:name="_Hlt17789400"/>
      <w:r>
        <w:t> </w:t>
      </w:r>
      <w:bookmarkEnd w:id="550"/>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551" w:name="_Toc12070355"/>
      <w:bookmarkStart w:id="552" w:name="_Toc58032179"/>
      <w:r>
        <w:t>11.</w:t>
      </w:r>
      <w:r>
        <w:tab/>
        <w:t>References to former official in agreements and instruments</w:t>
      </w:r>
      <w:bookmarkEnd w:id="551"/>
      <w:bookmarkEnd w:id="552"/>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553" w:name="_Toc12070356"/>
      <w:bookmarkStart w:id="554" w:name="_Toc58032180"/>
      <w:r>
        <w:t>12.</w:t>
      </w:r>
      <w:r>
        <w:tab/>
        <w:t>References to former official in written law</w:t>
      </w:r>
      <w:bookmarkEnd w:id="553"/>
      <w:bookmarkEnd w:id="554"/>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555" w:name="_Toc12070359"/>
      <w:bookmarkStart w:id="556" w:name="_Toc58032181"/>
      <w:r>
        <w:t>13.</w:t>
      </w:r>
      <w:r>
        <w:tab/>
        <w:t>Immunity</w:t>
      </w:r>
      <w:bookmarkEnd w:id="555"/>
      <w:r>
        <w:t xml:space="preserve"> to continue</w:t>
      </w:r>
      <w:bookmarkEnd w:id="556"/>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557" w:name="_Toc12070362"/>
      <w:bookmarkStart w:id="558" w:name="_Toc58032182"/>
      <w:r>
        <w:t>14.</w:t>
      </w:r>
      <w:r>
        <w:tab/>
        <w:t>Saving</w:t>
      </w:r>
      <w:bookmarkEnd w:id="557"/>
      <w:bookmarkEnd w:id="558"/>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snapToGrid w:val="0"/>
        </w:rPr>
      </w:pPr>
      <w:bookmarkStart w:id="559" w:name="AutoSch"/>
      <w:bookmarkEnd w:id="559"/>
      <w:r>
        <w:rPr>
          <w:snapToGrid w:val="0"/>
          <w:vertAlign w:val="superscript"/>
        </w:rPr>
        <w:t>9</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rPr>
        <w:t>Gas Supply (Gas Quality Specifications) Act 2009</w:t>
      </w:r>
      <w:r>
        <w:rPr>
          <w:iCs/>
          <w:snapToGrid w:val="0"/>
        </w:rPr>
        <w:t xml:space="preserve"> Pt. 7 Div. 2</w:t>
      </w:r>
      <w:r>
        <w:rPr>
          <w:snapToGrid w:val="0"/>
        </w:rPr>
        <w:t xml:space="preserve"> had not come into operation.  It reads as follows:</w:t>
      </w:r>
    </w:p>
    <w:p>
      <w:pPr>
        <w:pStyle w:val="BlankOpen"/>
        <w:rPr>
          <w:snapToGrid w:val="0"/>
        </w:rPr>
      </w:pPr>
    </w:p>
    <w:p>
      <w:pPr>
        <w:pStyle w:val="nzHeading2"/>
      </w:pPr>
      <w:bookmarkStart w:id="560" w:name="_Toc238276805"/>
      <w:bookmarkStart w:id="561" w:name="_Toc238277086"/>
      <w:bookmarkStart w:id="562" w:name="_Toc238277195"/>
      <w:bookmarkStart w:id="563" w:name="_Toc238277336"/>
      <w:bookmarkStart w:id="564" w:name="_Toc246763267"/>
      <w:bookmarkStart w:id="565" w:name="_Toc246763318"/>
      <w:bookmarkStart w:id="566" w:name="_Toc247688818"/>
      <w:r>
        <w:rPr>
          <w:rStyle w:val="CharPartNo"/>
        </w:rPr>
        <w:t>Part 7</w:t>
      </w:r>
      <w:r>
        <w:t> — </w:t>
      </w:r>
      <w:r>
        <w:rPr>
          <w:rStyle w:val="CharPartText"/>
        </w:rPr>
        <w:t>Acts amended</w:t>
      </w:r>
      <w:bookmarkEnd w:id="560"/>
      <w:bookmarkEnd w:id="561"/>
      <w:bookmarkEnd w:id="562"/>
      <w:bookmarkEnd w:id="563"/>
      <w:bookmarkEnd w:id="564"/>
      <w:bookmarkEnd w:id="565"/>
      <w:bookmarkEnd w:id="566"/>
    </w:p>
    <w:p>
      <w:pPr>
        <w:pStyle w:val="nzHeading3"/>
      </w:pPr>
      <w:bookmarkStart w:id="567" w:name="_Toc238276809"/>
      <w:bookmarkStart w:id="568" w:name="_Toc238277090"/>
      <w:bookmarkStart w:id="569" w:name="_Toc238277199"/>
      <w:bookmarkStart w:id="570" w:name="_Toc238277340"/>
      <w:bookmarkStart w:id="571" w:name="_Toc246763271"/>
      <w:bookmarkStart w:id="572" w:name="_Toc246763322"/>
      <w:bookmarkStart w:id="573" w:name="_Toc247688822"/>
      <w:r>
        <w:rPr>
          <w:rStyle w:val="CharDivNo"/>
        </w:rPr>
        <w:t>Division 2</w:t>
      </w:r>
      <w:r>
        <w:t> — </w:t>
      </w:r>
      <w:r>
        <w:rPr>
          <w:i/>
          <w:iCs/>
        </w:rPr>
        <w:t>Gas</w:t>
      </w:r>
      <w:r>
        <w:rPr>
          <w:rStyle w:val="CharPartText"/>
          <w:i/>
        </w:rPr>
        <w:t xml:space="preserve"> Pipelines Access (Western Australia) Act </w:t>
      </w:r>
      <w:r>
        <w:rPr>
          <w:rStyle w:val="CharPartText"/>
          <w:i/>
          <w:iCs/>
        </w:rPr>
        <w:t>1998</w:t>
      </w:r>
      <w:r>
        <w:rPr>
          <w:rStyle w:val="CharPartText"/>
        </w:rPr>
        <w:t> amended</w:t>
      </w:r>
      <w:bookmarkEnd w:id="567"/>
      <w:bookmarkEnd w:id="568"/>
      <w:bookmarkEnd w:id="569"/>
      <w:bookmarkEnd w:id="570"/>
      <w:bookmarkEnd w:id="571"/>
      <w:bookmarkEnd w:id="572"/>
      <w:bookmarkEnd w:id="573"/>
    </w:p>
    <w:p>
      <w:pPr>
        <w:pStyle w:val="nzHeading5"/>
      </w:pPr>
      <w:bookmarkStart w:id="574" w:name="_Toc246763323"/>
      <w:bookmarkStart w:id="575" w:name="_Toc247688823"/>
      <w:r>
        <w:rPr>
          <w:rStyle w:val="CharSectno"/>
        </w:rPr>
        <w:t>37</w:t>
      </w:r>
      <w:r>
        <w:t>.</w:t>
      </w:r>
      <w:r>
        <w:tab/>
        <w:t>Act amended</w:t>
      </w:r>
      <w:bookmarkEnd w:id="574"/>
      <w:bookmarkEnd w:id="575"/>
    </w:p>
    <w:p>
      <w:pPr>
        <w:pStyle w:val="nzSubsection"/>
      </w:pPr>
      <w:r>
        <w:tab/>
      </w:r>
      <w:r>
        <w:tab/>
        <w:t xml:space="preserve">This Division amends — </w:t>
      </w:r>
    </w:p>
    <w:p>
      <w:pPr>
        <w:pStyle w:val="nzIndenta"/>
      </w:pPr>
      <w:r>
        <w:tab/>
        <w:t>(a)</w:t>
      </w:r>
      <w:r>
        <w:tab/>
        <w:t xml:space="preserve">if this section comes into operation before the day on which the </w:t>
      </w:r>
      <w:r>
        <w:rPr>
          <w:i/>
          <w:iCs/>
        </w:rPr>
        <w:t>National Gas Access (WA) Act 2009</w:t>
      </w:r>
      <w:r>
        <w:t xml:space="preserve"> section 26 comes into operation — the </w:t>
      </w:r>
      <w:r>
        <w:rPr>
          <w:i/>
          <w:iCs/>
        </w:rPr>
        <w:t>Gas Pipelines Access (Western Australia) Act 1998</w:t>
      </w:r>
      <w:r>
        <w:t>; or</w:t>
      </w:r>
    </w:p>
    <w:p>
      <w:pPr>
        <w:pStyle w:val="nzIndenta"/>
      </w:pPr>
      <w:r>
        <w:tab/>
        <w:t>(b)</w:t>
      </w:r>
      <w:r>
        <w:tab/>
        <w:t xml:space="preserve">otherwise — the </w:t>
      </w:r>
      <w:r>
        <w:rPr>
          <w:i/>
          <w:iCs/>
        </w:rPr>
        <w:t xml:space="preserve">Gas Pipelines Access (Western Australia) Act 1998 </w:t>
      </w:r>
      <w:r>
        <w:t xml:space="preserve">(as amended by the </w:t>
      </w:r>
      <w:r>
        <w:rPr>
          <w:i/>
          <w:iCs/>
        </w:rPr>
        <w:t>National Gas Access (WA) Act 2009</w:t>
      </w:r>
      <w:r>
        <w:t xml:space="preserve"> and cited as the </w:t>
      </w:r>
      <w:r>
        <w:rPr>
          <w:i/>
          <w:iCs/>
        </w:rPr>
        <w:t>Energy Arbitration and Review Act 1998</w:t>
      </w:r>
      <w:r>
        <w:t>).</w:t>
      </w:r>
    </w:p>
    <w:p>
      <w:pPr>
        <w:pStyle w:val="nzHeading5"/>
      </w:pPr>
      <w:bookmarkStart w:id="576" w:name="_Toc246763324"/>
      <w:bookmarkStart w:id="577" w:name="_Toc247688824"/>
      <w:r>
        <w:rPr>
          <w:rStyle w:val="CharSectno"/>
        </w:rPr>
        <w:t>38</w:t>
      </w:r>
      <w:r>
        <w:t>.</w:t>
      </w:r>
      <w:r>
        <w:tab/>
        <w:t>Section 73 amended</w:t>
      </w:r>
      <w:bookmarkEnd w:id="576"/>
      <w:bookmarkEnd w:id="577"/>
    </w:p>
    <w:p>
      <w:pPr>
        <w:pStyle w:val="nzSubsection"/>
      </w:pPr>
      <w:r>
        <w:tab/>
      </w:r>
      <w:r>
        <w:tab/>
        <w:t>Before section 73(1)(d) insert:</w:t>
      </w:r>
    </w:p>
    <w:p>
      <w:pPr>
        <w:pStyle w:val="BlankOpen"/>
      </w:pPr>
    </w:p>
    <w:p>
      <w:pPr>
        <w:pStyle w:val="nzIndenta"/>
        <w:rPr>
          <w:iCs/>
        </w:rPr>
      </w:pPr>
      <w:r>
        <w:tab/>
        <w:t>(da)</w:t>
      </w:r>
      <w:r>
        <w:tab/>
        <w:t>under the Gas Supply (Gas Quality Specifications) Act 2009</w:t>
      </w:r>
      <w:r>
        <w:rPr>
          <w:iCs/>
        </w:rPr>
        <w:t>; or</w:t>
      </w:r>
    </w:p>
    <w:p>
      <w:pPr>
        <w:pStyle w:val="BlankClose"/>
      </w:pPr>
    </w:p>
    <w:p>
      <w:pPr>
        <w:pStyle w:val="BlankClose"/>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02-m0-03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011"/>
    <w:docVar w:name="WAFER_20151207123011" w:val="RemoveTrackChanges"/>
    <w:docVar w:name="WAFER_20151207123011_GUID" w:val="87d2b9f4-e57b-4cc8-9362-1adbd59fbc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7529</Words>
  <Characters>35766</Characters>
  <Application>Microsoft Office Word</Application>
  <DocSecurity>0</DocSecurity>
  <Lines>1051</Lines>
  <Paragraphs>666</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42629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1998 - 02-m0-03</dc:title>
  <dc:subject/>
  <dc:creator/>
  <cp:keywords/>
  <dc:description/>
  <cp:lastModifiedBy>svcMRProcess</cp:lastModifiedBy>
  <cp:revision>4</cp:revision>
  <cp:lastPrinted>2009-12-24T03:29:00Z</cp:lastPrinted>
  <dcterms:created xsi:type="dcterms:W3CDTF">2018-08-30T01:26:00Z</dcterms:created>
  <dcterms:modified xsi:type="dcterms:W3CDTF">2018-08-30T01:26:00Z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20100101</vt:lpwstr>
  </property>
  <property fmtid="{D5CDD505-2E9C-101B-9397-08002B2CF9AE}" pid="4" name="DocumentType">
    <vt:lpwstr>Act</vt:lpwstr>
  </property>
  <property fmtid="{D5CDD505-2E9C-101B-9397-08002B2CF9AE}" pid="5" name="OwlsUID">
    <vt:i4>1923</vt:i4>
  </property>
  <property fmtid="{D5CDD505-2E9C-101B-9397-08002B2CF9AE}" pid="6" name="AsAtDate">
    <vt:lpwstr>01 Jan 2010</vt:lpwstr>
  </property>
  <property fmtid="{D5CDD505-2E9C-101B-9397-08002B2CF9AE}" pid="7" name="Suffix">
    <vt:lpwstr>02-m0-03</vt:lpwstr>
  </property>
</Properties>
</file>