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(Urine Sampling and Analysis) Regulations 1983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(Urine Sampling and Analysis) Regulations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_Toc249930862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_Toc249930863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_Toc249930864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Application</w:t>
      </w:r>
      <w:r>
        <w:tab/>
      </w:r>
      <w:r>
        <w:fldChar w:fldCharType="begin"/>
      </w:r>
      <w:r>
        <w:instrText xml:space="preserve"> PAGEREF _Toc249930865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Urine sampling equipment to be provided by approved body</w:t>
      </w:r>
      <w:r>
        <w:tab/>
      </w:r>
      <w:r>
        <w:fldChar w:fldCharType="begin"/>
      </w:r>
      <w:r>
        <w:instrText xml:space="preserve"> PAGEREF _Toc249930866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Urine sampling equipment</w:t>
      </w:r>
      <w:r>
        <w:tab/>
      </w:r>
      <w:r>
        <w:fldChar w:fldCharType="begin"/>
      </w:r>
      <w:r>
        <w:instrText xml:space="preserve"> PAGEREF _Toc249930867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Preparation of urine sampling equipment</w:t>
      </w:r>
      <w:r>
        <w:tab/>
      </w:r>
      <w:r>
        <w:fldChar w:fldCharType="begin"/>
      </w:r>
      <w:r>
        <w:instrText xml:space="preserve"> PAGEREF _Toc249930868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8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Method of collecting urine</w:t>
      </w:r>
      <w:r>
        <w:tab/>
      </w:r>
      <w:r>
        <w:fldChar w:fldCharType="begin"/>
      </w:r>
      <w:r>
        <w:instrText xml:space="preserve"> PAGEREF _Toc249930869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9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Certification of urine samples</w:t>
      </w:r>
      <w:r>
        <w:tab/>
      </w:r>
      <w:r>
        <w:fldChar w:fldCharType="begin"/>
      </w:r>
      <w:r>
        <w:instrText xml:space="preserve"> PAGEREF _Toc249930870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Form of certificate (Form 3)</w:t>
      </w:r>
      <w:r>
        <w:tab/>
      </w:r>
      <w:r>
        <w:fldChar w:fldCharType="begin"/>
      </w:r>
      <w:r>
        <w:instrText xml:space="preserve"> PAGEREF _Toc249930871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_Toc249930874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Road Traffic Act 1974</w:t>
      </w:r>
    </w:p>
    <w:p>
      <w:pPr>
        <w:pStyle w:val="NameofActReg"/>
        <w:spacing w:after="520"/>
      </w:pPr>
      <w:r>
        <w:t>Road Traffic (Urine Sampling and Analysis) Regulations 1983</w:t>
      </w:r>
    </w:p>
    <w:p>
      <w:pPr>
        <w:pStyle w:val="Heading5"/>
        <w:rPr>
          <w:snapToGrid w:val="0"/>
        </w:rPr>
      </w:pPr>
      <w:bookmarkStart w:id="1" w:name="_Toc505502301"/>
      <w:bookmarkStart w:id="2" w:name="_Toc9413796"/>
      <w:bookmarkStart w:id="3" w:name="_Toc14685766"/>
      <w:bookmarkStart w:id="4" w:name="_Toc24993086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505502302"/>
      <w:bookmarkStart w:id="6" w:name="_Toc9413797"/>
      <w:bookmarkStart w:id="7" w:name="_Toc14685767"/>
      <w:bookmarkStart w:id="8" w:name="_Toc24993086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>
      <w:pPr>
        <w:pStyle w:val="Heading5"/>
        <w:rPr>
          <w:snapToGrid w:val="0"/>
        </w:rPr>
      </w:pPr>
      <w:bookmarkStart w:id="9" w:name="_Toc505502303"/>
      <w:bookmarkStart w:id="10" w:name="_Toc9413798"/>
      <w:bookmarkStart w:id="11" w:name="_Toc14685768"/>
      <w:bookmarkStart w:id="12" w:name="_Toc24993086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In these regulations unless the contrary intention appears — </w:t>
      </w:r>
    </w:p>
    <w:p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one of the forms set out in the Schedule;</w:t>
      </w:r>
    </w:p>
    <w:p>
      <w:pPr>
        <w:pStyle w:val="Defstart"/>
      </w:pPr>
      <w:r>
        <w:tab/>
      </w:r>
      <w:r>
        <w:rPr>
          <w:rStyle w:val="CharDefText"/>
        </w:rPr>
        <w:t>subject</w:t>
      </w:r>
      <w:r>
        <w:t xml:space="preserve"> means a person required to submit himself and allow a sample of his urine to be collected for analysis pursuant to section 66 or 66B of the Act;</w:t>
      </w:r>
    </w:p>
    <w:p>
      <w:pPr>
        <w:pStyle w:val="Defstart"/>
      </w:pPr>
      <w:r>
        <w:rPr>
          <w:b/>
        </w:rPr>
        <w:tab/>
      </w:r>
      <w:bookmarkStart w:id="13" w:name="endcomma"/>
      <w:bookmarkEnd w:id="13"/>
      <w:r>
        <w:rPr>
          <w:rStyle w:val="CharDefText"/>
        </w:rPr>
        <w:t>technologist</w:t>
      </w:r>
      <w:r>
        <w:t xml:space="preserve"> </w:t>
      </w:r>
      <w:bookmarkStart w:id="14" w:name="comma"/>
      <w:bookmarkEnd w:id="14"/>
      <w:r>
        <w:t>means —</w:t>
      </w:r>
    </w:p>
    <w:p>
      <w:pPr>
        <w:pStyle w:val="Defpara"/>
      </w:pPr>
      <w:r>
        <w:tab/>
        <w:t>(a)</w:t>
      </w:r>
      <w:r>
        <w:tab/>
        <w:t xml:space="preserve">a person registered as an analyst under section 203 of the </w:t>
      </w:r>
      <w:r>
        <w:rPr>
          <w:i/>
        </w:rPr>
        <w:t>Health Act 1911</w:t>
      </w:r>
      <w:r>
        <w:t>; or</w:t>
      </w:r>
    </w:p>
    <w:p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>
      <w:pPr>
        <w:pStyle w:val="Footnotesection"/>
        <w:ind w:left="890" w:hanging="890"/>
      </w:pPr>
      <w:r>
        <w:tab/>
        <w:t>[Regulation 3 amended in Gazette 30 Jan 2001 p. 626; 11 Oct 2007 p. 5481.]</w:t>
      </w:r>
    </w:p>
    <w:p>
      <w:pPr>
        <w:pStyle w:val="Heading5"/>
        <w:rPr>
          <w:snapToGrid w:val="0"/>
        </w:rPr>
      </w:pPr>
      <w:bookmarkStart w:id="15" w:name="_Toc505502304"/>
      <w:bookmarkStart w:id="16" w:name="_Toc9413799"/>
      <w:bookmarkStart w:id="17" w:name="_Toc14685769"/>
      <w:bookmarkStart w:id="18" w:name="_Toc24993086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>
      <w:pPr>
        <w:pStyle w:val="Heading5"/>
        <w:rPr>
          <w:snapToGrid w:val="0"/>
        </w:rPr>
      </w:pPr>
      <w:bookmarkStart w:id="19" w:name="_Toc505502305"/>
      <w:bookmarkStart w:id="20" w:name="_Toc9413800"/>
      <w:bookmarkStart w:id="21" w:name="_Toc14685770"/>
      <w:bookmarkStart w:id="22" w:name="_Toc24993086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Urine sampling equipment to be provided </w:t>
      </w:r>
      <w:bookmarkEnd w:id="19"/>
      <w:bookmarkEnd w:id="20"/>
      <w:r>
        <w:rPr>
          <w:snapToGrid w:val="0"/>
        </w:rPr>
        <w:t>by approved body</w:t>
      </w:r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r>
        <w:rPr>
          <w:b/>
          <w:snapToGrid w:val="0"/>
        </w:rPr>
        <w:t>“urine sampling equipment”</w:t>
      </w:r>
      <w:r>
        <w:rPr>
          <w:snapToGrid w:val="0"/>
        </w:rPr>
        <w:t xml:space="preserve">)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>
      <w:pPr>
        <w:pStyle w:val="Footnotesection"/>
      </w:pPr>
      <w:r>
        <w:tab/>
        <w:t xml:space="preserve">[Regulation 5 amended in Gazette 29 Jun 1984 p. 1795; 30 Jan 2001 p. 626.] </w:t>
      </w:r>
    </w:p>
    <w:p>
      <w:pPr>
        <w:pStyle w:val="Heading5"/>
        <w:rPr>
          <w:snapToGrid w:val="0"/>
        </w:rPr>
      </w:pPr>
      <w:bookmarkStart w:id="23" w:name="_Toc505502306"/>
      <w:bookmarkStart w:id="24" w:name="_Toc9413801"/>
      <w:bookmarkStart w:id="25" w:name="_Toc14685771"/>
      <w:bookmarkStart w:id="26" w:name="_Toc24993086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23"/>
      <w:bookmarkEnd w:id="24"/>
      <w:bookmarkEnd w:id="25"/>
      <w:bookmarkEnd w:id="2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>
      <w:pPr>
        <w:pStyle w:val="Footnotesection"/>
      </w:pPr>
      <w:r>
        <w:tab/>
        <w:t xml:space="preserve">[Regulation 6 amended in Gazette 30 Jan 2001 p. 626.] </w:t>
      </w:r>
    </w:p>
    <w:p>
      <w:pPr>
        <w:pStyle w:val="Heading5"/>
        <w:rPr>
          <w:snapToGrid w:val="0"/>
        </w:rPr>
      </w:pPr>
      <w:bookmarkStart w:id="27" w:name="_Toc505502307"/>
      <w:bookmarkStart w:id="28" w:name="_Toc9413802"/>
      <w:bookmarkStart w:id="29" w:name="_Toc14685772"/>
      <w:bookmarkStart w:id="30" w:name="_Toc24993086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27"/>
      <w:bookmarkEnd w:id="28"/>
      <w:bookmarkEnd w:id="29"/>
      <w:bookmarkEnd w:id="3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>
      <w:pPr>
        <w:pStyle w:val="Footnotesection"/>
      </w:pPr>
      <w:r>
        <w:tab/>
        <w:t xml:space="preserve">[Regulation 7 amended in Gazette 29 Jun 1984 p. 1795; 30 Jan 2001 p. 626.] </w:t>
      </w:r>
    </w:p>
    <w:p>
      <w:pPr>
        <w:pStyle w:val="Heading5"/>
        <w:rPr>
          <w:snapToGrid w:val="0"/>
        </w:rPr>
      </w:pPr>
      <w:bookmarkStart w:id="31" w:name="_Toc505502308"/>
      <w:bookmarkStart w:id="32" w:name="_Toc9413803"/>
      <w:bookmarkStart w:id="33" w:name="_Toc14685773"/>
      <w:bookmarkStart w:id="34" w:name="_Toc24993086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31"/>
      <w:bookmarkEnd w:id="32"/>
      <w:bookmarkEnd w:id="33"/>
      <w:bookmarkEnd w:id="3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medical practitioner </w:t>
      </w:r>
      <w:r>
        <w:t>or registered nurse</w:t>
      </w:r>
      <w:r>
        <w:rPr>
          <w:snapToGrid w:val="0"/>
        </w:rPr>
        <w:t xml:space="preserve"> in the container for collecting urine provided in the urine sampling equipment and no other.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collect a sample of urine from the subject;</w:t>
      </w:r>
    </w:p>
    <w:p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>
      <w:pPr>
        <w:pStyle w:val="Footnotesection"/>
      </w:pPr>
      <w:r>
        <w:tab/>
        <w:t xml:space="preserve">[Regulation 8 amended in Gazette 30 Jan 2001 p. 626 and 627.] </w:t>
      </w:r>
    </w:p>
    <w:p>
      <w:pPr>
        <w:pStyle w:val="Heading5"/>
        <w:rPr>
          <w:snapToGrid w:val="0"/>
        </w:rPr>
      </w:pPr>
      <w:bookmarkStart w:id="35" w:name="_Toc505502309"/>
      <w:bookmarkStart w:id="36" w:name="_Toc9413804"/>
      <w:bookmarkStart w:id="37" w:name="_Toc14685774"/>
      <w:bookmarkStart w:id="38" w:name="_Toc249930870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35"/>
      <w:bookmarkEnd w:id="36"/>
      <w:bookmarkEnd w:id="37"/>
      <w:bookmarkEnd w:id="3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 complete and sign Part 1;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member of the Police Force who was present when the sample was collected shall complete and sign Part 2,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Upon the completion of 2 copies of Form 2, each of the specimen containers containing a portion of the urine sample shall be sealed in a separate package by the medical practitioner</w:t>
      </w:r>
      <w:r>
        <w:t xml:space="preserve"> or registered nurse</w:t>
      </w:r>
      <w:r>
        <w:rPr>
          <w:snapToGrid w:val="0"/>
        </w:rPr>
        <w:t xml:space="preserve"> and the member of the Police Force mentioned in this regulation.</w:t>
      </w:r>
    </w:p>
    <w:p>
      <w:pPr>
        <w:pStyle w:val="Footnotesection"/>
      </w:pPr>
      <w:r>
        <w:tab/>
        <w:t xml:space="preserve">[Regulation 9 amended in Gazette 30 Jan 2001 p. 626 and 627; 31 Dec 2009 p. 5318.] </w:t>
      </w:r>
    </w:p>
    <w:p>
      <w:pPr>
        <w:pStyle w:val="Ednotesection"/>
      </w:pPr>
      <w:r>
        <w:t>[</w:t>
      </w:r>
      <w:r>
        <w:rPr>
          <w:b/>
          <w:bCs/>
        </w:rPr>
        <w:t>10.</w:t>
      </w:r>
      <w:r>
        <w:tab/>
        <w:t>Deleted in Gazette 28 Nov 2006 p. 4898.]</w:t>
      </w:r>
    </w:p>
    <w:p>
      <w:pPr>
        <w:pStyle w:val="Heading5"/>
        <w:rPr>
          <w:snapToGrid w:val="0"/>
        </w:rPr>
      </w:pPr>
      <w:bookmarkStart w:id="39" w:name="_Toc505502311"/>
      <w:bookmarkStart w:id="40" w:name="_Toc9413806"/>
      <w:bookmarkStart w:id="41" w:name="_Toc14685776"/>
      <w:bookmarkStart w:id="42" w:name="_Toc249930871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Form of certificate</w:t>
      </w:r>
      <w:bookmarkEnd w:id="39"/>
      <w:bookmarkEnd w:id="40"/>
      <w:r>
        <w:rPr>
          <w:snapToGrid w:val="0"/>
        </w:rPr>
        <w:t xml:space="preserve"> (Form 3)</w:t>
      </w:r>
      <w:bookmarkEnd w:id="41"/>
      <w:bookmarkEnd w:id="42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certificate for the purposes of section 70(3b)(a) of the Act shall be in the form of Form 3.</w:t>
      </w:r>
    </w:p>
    <w:p>
      <w:pPr>
        <w:pStyle w:val="Subsection"/>
      </w:pPr>
      <w:r>
        <w:tab/>
        <w:t>(2)</w:t>
      </w:r>
      <w:r>
        <w:tab/>
        <w:t xml:space="preserve">The </w:t>
      </w:r>
      <w:r>
        <w:rPr>
          <w:i/>
          <w:iCs/>
        </w:rPr>
        <w:t>Road Traffic (Drug Driving) Regulations 2007</w:t>
      </w:r>
      <w:r>
        <w:t xml:space="preserve"> Schedule 1 Form 1 is prescribed for the purposes of section 70(3b)(f) of the Act as the form to be used by a drugs analyst for either or both of the following — </w:t>
      </w:r>
    </w:p>
    <w:p>
      <w:pPr>
        <w:pStyle w:val="Indenta"/>
      </w:pPr>
      <w:r>
        <w:tab/>
        <w:t>(a)</w:t>
      </w:r>
      <w:r>
        <w:tab/>
        <w:t>that an identified sample of urine provided by a named person was analysed for drugs;</w:t>
      </w:r>
    </w:p>
    <w:p>
      <w:pPr>
        <w:pStyle w:val="Indenta"/>
      </w:pPr>
      <w:r>
        <w:tab/>
        <w:t>(b)</w:t>
      </w:r>
      <w:r>
        <w:tab/>
        <w:t>the analysis result obtained from the analysis.</w:t>
      </w:r>
    </w:p>
    <w:p>
      <w:pPr>
        <w:pStyle w:val="Footnotesection"/>
      </w:pPr>
      <w:r>
        <w:tab/>
        <w:t>[Regulation 11 amended in Gazette 11 Oct 2007 p. 5482.]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3" w:name="_Toc14685777"/>
      <w:bookmarkStart w:id="44" w:name="_Toc152647467"/>
      <w:bookmarkStart w:id="45" w:name="_Toc152737306"/>
      <w:bookmarkStart w:id="46" w:name="_Toc179870181"/>
      <w:bookmarkStart w:id="47" w:name="_Toc179873829"/>
      <w:bookmarkStart w:id="48" w:name="_Toc249930872"/>
      <w:r>
        <w:rPr>
          <w:rStyle w:val="CharSchNo"/>
        </w:rPr>
        <w:t>Schedule</w:t>
      </w:r>
      <w:bookmarkEnd w:id="43"/>
      <w:bookmarkEnd w:id="44"/>
      <w:bookmarkEnd w:id="45"/>
      <w:bookmarkEnd w:id="46"/>
      <w:bookmarkEnd w:id="47"/>
      <w:bookmarkEnd w:id="48"/>
    </w:p>
    <w:p>
      <w:pPr>
        <w:pStyle w:val="MiscellaneousHeading"/>
        <w:spacing w:before="120"/>
      </w:pPr>
      <w:r>
        <w:t>Form 1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>
      <w:pPr>
        <w:pStyle w:val="yTable"/>
        <w:jc w:val="right"/>
      </w:pPr>
      <w:r>
        <w:t>..............................................................</w:t>
      </w:r>
    </w:p>
    <w:p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>
      <w:pPr>
        <w:pStyle w:val="yTable"/>
        <w:jc w:val="center"/>
      </w:pPr>
      <w:r>
        <w:rPr>
          <w:noProof/>
          <w:lang w:eastAsia="en-AU"/>
        </w:rPr>
        <w:drawing>
          <wp:inline distT="0" distB="0" distL="0" distR="0">
            <wp:extent cx="4495800" cy="1504950"/>
            <wp:effectExtent l="0" t="0" r="0" b="0"/>
            <wp:docPr id="1" name="Picture 1" descr="ur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rine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Table"/>
        <w:spacing w:before="0"/>
      </w:pPr>
      <w:r>
        <w:t>Note:   This package should be opened by cutting along this fold.</w:t>
      </w:r>
    </w:p>
    <w:p>
      <w:pPr>
        <w:pStyle w:val="MiscellaneousHeading"/>
        <w:pageBreakBefore/>
      </w:pPr>
      <w:r>
        <w:t>Form 2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9)</w:t>
      </w:r>
    </w:p>
    <w:p>
      <w:pPr>
        <w:pStyle w:val="MiscellaneousHeading"/>
        <w:spacing w:before="120"/>
      </w:pPr>
      <w:r>
        <w:t>PART 1.</w:t>
      </w:r>
    </w:p>
    <w:p>
      <w:pPr>
        <w:pStyle w:val="yTable"/>
        <w:spacing w:before="120"/>
      </w:pPr>
      <w:r>
        <w:t>By Medical Practitioner or Registered Nurse: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 duly qualified medical practitioner or registered nurse, hereby certify that — </w:t>
      </w:r>
    </w:p>
    <w:p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........................................................................................................... portion of which sample is now contained in the enclosed specimen container numbered..............</w:t>
      </w:r>
    </w:p>
    <w:p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 me by ........................................................................................................ and that package was sealed and intact prior to being opened by me.</w:t>
      </w:r>
    </w:p>
    <w:p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>
      <w:pPr>
        <w:pStyle w:val="yTable"/>
        <w:pageBreakBefore/>
        <w:jc w:val="center"/>
        <w:rPr>
          <w:sz w:val="24"/>
        </w:rPr>
      </w:pPr>
      <w:r>
        <w:rPr>
          <w:sz w:val="24"/>
        </w:rPr>
        <w:t>PART 2.</w:t>
      </w:r>
    </w:p>
    <w:p>
      <w:pPr>
        <w:pStyle w:val="yTable"/>
      </w:pPr>
      <w:r>
        <w:t>By a member of the Police Force:</w:t>
      </w:r>
    </w:p>
    <w:p>
      <w:pPr>
        <w:pStyle w:val="yTable"/>
      </w:pPr>
      <w:r>
        <w:t>Name of subject: ....................................................................................................</w:t>
      </w:r>
    </w:p>
    <w:p>
      <w:pPr>
        <w:pStyle w:val="yTable"/>
      </w:pPr>
      <w:r>
        <w:t>Medical practitioner or registered nurse: ...............................................................</w:t>
      </w:r>
    </w:p>
    <w:p>
      <w:pPr>
        <w:pStyle w:val="yTable"/>
      </w:pPr>
      <w:r>
        <w:t>Time and date of collecting urine sample: ..........  .m. on ......................................</w:t>
      </w:r>
    </w:p>
    <w:p>
      <w:pPr>
        <w:pStyle w:val="yTable"/>
        <w:tabs>
          <w:tab w:val="left" w:pos="567"/>
        </w:tabs>
        <w:ind w:left="567" w:hanging="567"/>
      </w:pPr>
      <w:r>
        <w:t>Time of occurrence of driving or incident giving rise to requirement of urine sample: ....... .m. on the ........................................ of ........................................... 20..............</w:t>
      </w:r>
    </w:p>
    <w:p>
      <w:pPr>
        <w:pStyle w:val="yTable"/>
      </w:pPr>
      <w:r>
        <w:tab/>
      </w:r>
      <w:r>
        <w:tab/>
        <w:t>......................................................................................................</w:t>
      </w:r>
    </w:p>
    <w:p>
      <w:pPr>
        <w:pStyle w:val="yTable"/>
        <w:spacing w:before="0"/>
        <w:ind w:left="2880" w:firstLine="720"/>
        <w:jc w:val="center"/>
      </w:pPr>
      <w:r>
        <w:t>Signature, rank and number.</w:t>
      </w:r>
    </w:p>
    <w:p>
      <w:pPr>
        <w:pStyle w:val="yFootnotesection"/>
        <w:rPr>
          <w:lang w:val="en-US"/>
        </w:rPr>
      </w:pPr>
      <w:r>
        <w:rPr>
          <w:lang w:val="en-US"/>
        </w:rPr>
        <w:tab/>
        <w:t>[Form 2 amended in Gazette 31 Dec 2009 p. 5318.]</w:t>
      </w:r>
    </w:p>
    <w:p>
      <w:pPr>
        <w:pStyle w:val="yTable"/>
      </w:pPr>
      <w:r>
        <w:rPr>
          <w:noProof/>
        </w:rPr>
        <w:pict>
          <v:group id="_x0000_s1030" style="position:absolute;margin-left:16.55pt;margin-top:20.45pt;width:307.65pt;height:97.5pt;z-index:251657728" coordorigin="1683,2427" coordsize="6153,1950" o:allowincell="f">
            <v:line id="_x0000_s1031" style="position:absolute" from="2055,2585" to="2830,3566" strokeweight="1pt"/>
            <v:line id="_x0000_s1032" style="position:absolute;flip:x" from="7156,2596" to="7836,3533" strokeweight="1pt"/>
            <v:line id="_x0000_s1033" style="position:absolute" from="3287,3614" to="6783,3615" strokeweight="1pt"/>
            <v:line id="_x0000_s1034" style="position:absolute;flip:y" from="2486,2679" to="3707,3912" strokeweight="1pt">
              <v:stroke dashstyle="dash"/>
            </v:line>
            <v:line id="_x0000_s1035" style="position:absolute" from="6218,2613" to="7625,4036" strokeweight="1pt">
              <v:stroke dashstyle="dash"/>
            </v:lin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6" type="#_x0000_t136" style="position:absolute;left:1683;top:3424;width:2805;height:210;rotation:315" fillcolor="black" strokeweight="0">
              <v:shadow color="#868686"/>
              <v:textpath style="font-family:&quot;Times New Roman&quot;;font-size:8pt;v-text-kern:t" trim="t" fitpath="t" string="Medical Practitioner or Registered Nurse"/>
            </v:shape>
            <v:shape id="_x0000_s1037" type="#_x0000_t136" style="position:absolute;left:5850;top:3321;width:1950;height:161;rotation:45" fillcolor="black" strokeweight="0">
              <v:shadow color="#868686"/>
              <v:textpath style="font-family:&quot;Times New Roman&quot;;font-size:8pt;v-text-kern:t" trim="t" fitpath="t" string="Member of the Police Force"/>
            </v:shape>
          </v:group>
        </w:pict>
      </w:r>
    </w:p>
    <w:p>
      <w:pPr>
        <w:pStyle w:val="MiscellaneousHeading"/>
        <w:pageBreakBefore/>
      </w:pPr>
      <w:r>
        <w:t>Form 3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Act 1974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11(a))</w:t>
      </w:r>
    </w:p>
    <w:p>
      <w:pPr>
        <w:pStyle w:val="yTable"/>
      </w:pPr>
      <w:r>
        <w:t>..........................................................., chief executive officer of the Chemistry Centre (WA), hereby certify that .......................................................................................... of .............................................................................* is a drugs analyst/* was as at ................................................................ a drugs analyst.</w:t>
      </w:r>
    </w:p>
    <w:p>
      <w:pPr>
        <w:pStyle w:val="yTable"/>
        <w:jc w:val="right"/>
      </w:pPr>
      <w:r>
        <w:t>.............................................................</w:t>
      </w:r>
    </w:p>
    <w:p>
      <w:pPr>
        <w:pStyle w:val="yTable"/>
        <w:spacing w:before="0"/>
        <w:ind w:left="2160" w:firstLine="720"/>
      </w:pPr>
      <w:r>
        <w:tab/>
        <w:t>chief executive officer, Chemistry Centre (WA).</w:t>
      </w:r>
    </w:p>
    <w:p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>
      <w:pPr>
        <w:pStyle w:val="yFootnotesection"/>
      </w:pPr>
      <w:r>
        <w:tab/>
        <w:t>[Form 3 amended in Gazette 14 Mar 2008 p. 834.]</w:t>
      </w:r>
    </w:p>
    <w:p>
      <w:pPr>
        <w:pStyle w:val="yFootnotesection"/>
      </w:pPr>
      <w:r>
        <w:tab/>
        <w:t>[Schedule amended in Gazette 29 Jun 1984 p. 1795; 9 Aug 1991 p. 4233; 30 Jan 2001 p. 627; 14 Mar 2008 p. 834.]</w:t>
      </w:r>
    </w:p>
    <w:p>
      <w:pPr>
        <w:sectPr>
          <w:headerReference w:type="even" r:id="rId27"/>
          <w:headerReference w:type="default" r:id="rId28"/>
          <w:headerReference w:type="first" r:id="rId29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9" w:name="_Toc152647468"/>
      <w:bookmarkStart w:id="50" w:name="_Toc152737307"/>
      <w:bookmarkStart w:id="51" w:name="_Toc179870182"/>
      <w:bookmarkStart w:id="52" w:name="_Toc179873830"/>
      <w:bookmarkStart w:id="53" w:name="_Toc249930873"/>
      <w:r>
        <w:t>Notes</w:t>
      </w:r>
      <w:bookmarkEnd w:id="49"/>
      <w:bookmarkEnd w:id="50"/>
      <w:bookmarkEnd w:id="51"/>
      <w:bookmarkEnd w:id="52"/>
      <w:bookmarkEnd w:id="5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54" w:name="_Toc14685778"/>
      <w:bookmarkStart w:id="55" w:name="_Toc249930874"/>
      <w:r>
        <w:rPr>
          <w:snapToGrid w:val="0"/>
        </w:rPr>
        <w:t>Compilation table</w:t>
      </w:r>
      <w:bookmarkEnd w:id="54"/>
      <w:bookmarkEnd w:id="55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25 Feb 1983 p. 651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 Mar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 Jun 1984 </w:t>
            </w:r>
            <w:r>
              <w:rPr>
                <w:spacing w:val="-2"/>
                <w:sz w:val="19"/>
              </w:rPr>
              <w:br/>
              <w:t>p. 1795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Jul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18 Dec 1987 p. 4458</w:t>
            </w:r>
            <w:r>
              <w:rPr>
                <w:spacing w:val="-2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18 Dec 1987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Amendment Regulations 1991</w:t>
            </w:r>
            <w:r>
              <w:rPr>
                <w:spacing w:val="-2"/>
                <w:sz w:val="19"/>
              </w:rP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9 Aug 1991 p. 4232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 Aug 1991 (see r. 2 and </w:t>
            </w:r>
            <w:r>
              <w:rPr>
                <w:i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9 Aug 1991 p. 4101)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 p. 625</w:t>
            </w:r>
            <w:r>
              <w:rPr>
                <w:spacing w:val="-2"/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14 Jun 2002 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Nov 2006 p. 4897</w:t>
            </w:r>
            <w:r>
              <w:rPr>
                <w:spacing w:val="-2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 Dec 2006 (see r. 2 and </w:t>
            </w:r>
            <w:r>
              <w:rPr>
                <w:i/>
                <w:iCs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28 Nov 2006 p. 4889)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11 Oct 2007 p. 5481-2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r</w:t>
            </w:r>
            <w:r>
              <w:rPr>
                <w:spacing w:val="-2"/>
                <w:sz w:val="19"/>
              </w:rPr>
              <w:t>.</w:t>
            </w:r>
            <w:r>
              <w:rPr>
                <w:sz w:val="19"/>
              </w:rPr>
              <w:t> 1 and 2: 11 Oct 2007 (see r. 2(a));</w:t>
            </w:r>
          </w:p>
          <w:p>
            <w:pPr>
              <w:pStyle w:val="nTable"/>
              <w:spacing w:before="0"/>
              <w:rPr>
                <w:spacing w:val="-2"/>
                <w:sz w:val="19"/>
              </w:rPr>
            </w:pPr>
            <w:r>
              <w:rPr>
                <w:sz w:val="19"/>
              </w:rPr>
              <w:t xml:space="preserve">Regulations other than r. 1 and 2: 12 Oct 2007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11 Oct 2007 p. 5475)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Legislation Amendment Regulations 2008</w:t>
            </w:r>
            <w:r>
              <w:rPr>
                <w:i/>
                <w:iCs/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Pt. 6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14 Mar 2008 p. 832-4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15</w:t>
            </w:r>
            <w:r>
              <w:rPr>
                <w:sz w:val="19"/>
              </w:rPr>
              <w:t xml:space="preserve"> Mar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14 Mar 2008 p. 829)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31 Dec 2009 p. 5317-18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r. 1 and 2: 31 Dec 2009 (see r. 2(a));</w:t>
            </w:r>
            <w:r>
              <w:rPr>
                <w:spacing w:val="-2"/>
                <w:sz w:val="19"/>
              </w:rPr>
              <w:br/>
              <w:t>Regulations other than r. 1 and 2: 1 Jan 2010 (see r. 2(b))</w:t>
            </w:r>
          </w:p>
        </w:tc>
      </w:tr>
    </w:tbl>
    <w:p>
      <w:bookmarkStart w:id="56" w:name="UpToHere"/>
      <w:bookmarkEnd w:id="56"/>
    </w:p>
    <w:p>
      <w:pPr>
        <w:sectPr>
          <w:headerReference w:type="even" r:id="rId30"/>
          <w:headerReference w:type="default" r:id="rId31"/>
          <w:headerReference w:type="first" r:id="rId3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Jan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Jan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Jan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Jan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Jan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Jan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Jan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Jan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Jan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>
            <w:rPr>
              <w:i w:val="0"/>
              <w:noProof/>
            </w:rPr>
            <w:t>Road Traffic (Urine Sampling and Analysis) Regulations 1983</w:t>
          </w:r>
          <w:r>
            <w:rPr>
              <w:i w:val="0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4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6F78AA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12B05A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23228"/>
    <w:docVar w:name="WAFER_20151209123228" w:val="RemoveTrackChanges"/>
    <w:docVar w:name="WAFER_20151209123228_GUID" w:val="a33cbe70-b2e3-47c2-b391-bdc4d10f244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1.png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1637</Words>
  <Characters>9773</Characters>
  <Application>Microsoft Office Word</Application>
  <DocSecurity>0</DocSecurity>
  <Lines>287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Traffic (Urine Sampling and Analysis) Regulations 1983</vt:lpstr>
    </vt:vector>
  </TitlesOfParts>
  <Manager/>
  <Company/>
  <LinksUpToDate>false</LinksUpToDate>
  <CharactersWithSpaces>11220</CharactersWithSpaces>
  <SharedDoc>false</SharedDoc>
  <HLinks>
    <vt:vector size="6" baseType="variant">
      <vt:variant>
        <vt:i4>2949241</vt:i4>
      </vt:variant>
      <vt:variant>
        <vt:i4>7641</vt:i4>
      </vt:variant>
      <vt:variant>
        <vt:i4>1025</vt:i4>
      </vt:variant>
      <vt:variant>
        <vt:i4>1</vt:i4>
      </vt:variant>
      <vt:variant>
        <vt:lpwstr>urine1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1983 - 01-e0-02</dc:title>
  <dc:subject/>
  <dc:creator/>
  <cp:keywords/>
  <dc:description/>
  <cp:lastModifiedBy>svcMRProcess</cp:lastModifiedBy>
  <cp:revision>4</cp:revision>
  <cp:lastPrinted>2002-06-18T04:13:00Z</cp:lastPrinted>
  <dcterms:created xsi:type="dcterms:W3CDTF">2015-12-13T03:37:00Z</dcterms:created>
  <dcterms:modified xsi:type="dcterms:W3CDTF">2015-12-13T03:37:00Z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CommencementDate">
    <vt:lpwstr>20100101</vt:lpwstr>
  </property>
  <property fmtid="{D5CDD505-2E9C-101B-9397-08002B2CF9AE}" pid="4" name="DocumentType">
    <vt:lpwstr>Reg</vt:lpwstr>
  </property>
  <property fmtid="{D5CDD505-2E9C-101B-9397-08002B2CF9AE}" pid="5" name="OwlsUID">
    <vt:i4>4758</vt:i4>
  </property>
  <property fmtid="{D5CDD505-2E9C-101B-9397-08002B2CF9AE}" pid="6" name="AsAtDate">
    <vt:lpwstr>01 Jan 2010</vt:lpwstr>
  </property>
  <property fmtid="{D5CDD505-2E9C-101B-9397-08002B2CF9AE}" pid="7" name="Suffix">
    <vt:lpwstr>01-e0-02</vt:lpwstr>
  </property>
</Properties>
</file>