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_Toc389745127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_Toc389745128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_Toc389745129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_Toc389745130 \h </w:instrText>
      </w:r>
      <w:r>
        <w:fldChar w:fldCharType="separate"/>
      </w:r>
      <w:r>
        <w:t>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_Toc389745131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_Toc389745132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_Toc389745133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_Toc389745135 \h </w:instrText>
      </w:r>
      <w:r>
        <w:fldChar w:fldCharType="separate"/>
      </w:r>
      <w:r>
        <w:t>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_Toc389745136 \h </w:instrText>
      </w:r>
      <w:r>
        <w:fldChar w:fldCharType="separate"/>
      </w:r>
      <w:r>
        <w:t>9</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_Toc389745137 \h </w:instrText>
      </w:r>
      <w:r>
        <w:fldChar w:fldCharType="separate"/>
      </w:r>
      <w:r>
        <w:t>10</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_Toc389745138 \h </w:instrText>
      </w:r>
      <w:r>
        <w:fldChar w:fldCharType="separate"/>
      </w:r>
      <w:r>
        <w:t>11</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_Toc389745139 \h </w:instrText>
      </w:r>
      <w:r>
        <w:fldChar w:fldCharType="separate"/>
      </w:r>
      <w:r>
        <w:t>11</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_Toc389745140 \h </w:instrText>
      </w:r>
      <w:r>
        <w:fldChar w:fldCharType="separate"/>
      </w:r>
      <w:r>
        <w:t>12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_Toc389745141 \h </w:instrText>
      </w:r>
      <w:r>
        <w:fldChar w:fldCharType="separate"/>
      </w:r>
      <w:r>
        <w:t>12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_Toc389745142 \h </w:instrText>
      </w:r>
      <w:r>
        <w:fldChar w:fldCharType="separate"/>
      </w:r>
      <w:r>
        <w:t>12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_Toc389745143 \h </w:instrText>
      </w:r>
      <w:r>
        <w:fldChar w:fldCharType="separate"/>
      </w:r>
      <w:r>
        <w:t>12</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_Toc389745144 \h </w:instrText>
      </w:r>
      <w:r>
        <w:fldChar w:fldCharType="separate"/>
      </w:r>
      <w:r>
        <w:t>13</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_Toc389745145 \h </w:instrText>
      </w:r>
      <w:r>
        <w:fldChar w:fldCharType="separate"/>
      </w:r>
      <w:r>
        <w:t>13</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_Toc389745146 \h </w:instrText>
      </w:r>
      <w:r>
        <w:fldChar w:fldCharType="separate"/>
      </w:r>
      <w:r>
        <w:t>14</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_Toc389745149 \h </w:instrText>
      </w:r>
      <w:r>
        <w:fldChar w:fldCharType="separate"/>
      </w:r>
      <w:r>
        <w:t>15</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_Toc389745150 \h </w:instrText>
      </w:r>
      <w:r>
        <w:fldChar w:fldCharType="separate"/>
      </w:r>
      <w:r>
        <w:t>16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_Toc389745151 \h </w:instrText>
      </w:r>
      <w:r>
        <w:fldChar w:fldCharType="separate"/>
      </w:r>
      <w:r>
        <w:t>17</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_Toc389745152 \h </w:instrText>
      </w:r>
      <w:r>
        <w:fldChar w:fldCharType="separate"/>
      </w:r>
      <w:r>
        <w:t>17</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_Toc389745153 \h </w:instrText>
      </w:r>
      <w:r>
        <w:fldChar w:fldCharType="separate"/>
      </w:r>
      <w:r>
        <w:t>18</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_Toc389745154 \h </w:instrText>
      </w:r>
      <w:r>
        <w:fldChar w:fldCharType="separate"/>
      </w:r>
      <w:r>
        <w:t>18</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_Toc389745156 \h </w:instrText>
      </w:r>
      <w:r>
        <w:fldChar w:fldCharType="separate"/>
      </w:r>
      <w:r>
        <w:t>18</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_Toc389745157 \h </w:instrText>
      </w:r>
      <w:r>
        <w:fldChar w:fldCharType="separate"/>
      </w:r>
      <w:r>
        <w:t>20</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_Toc389745158 \h </w:instrText>
      </w:r>
      <w:r>
        <w:fldChar w:fldCharType="separate"/>
      </w:r>
      <w:r>
        <w:t>22</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_Toc389745159 \h </w:instrText>
      </w:r>
      <w:r>
        <w:fldChar w:fldCharType="separate"/>
      </w:r>
      <w:r>
        <w:t>22</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_Toc389745160 \h </w:instrText>
      </w:r>
      <w:r>
        <w:fldChar w:fldCharType="separate"/>
      </w:r>
      <w:r>
        <w:t>23</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_Toc389745161 \h </w:instrText>
      </w:r>
      <w:r>
        <w:fldChar w:fldCharType="separate"/>
      </w:r>
      <w:r>
        <w:t>23</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_Toc389745162 \h </w:instrText>
      </w:r>
      <w:r>
        <w:fldChar w:fldCharType="separate"/>
      </w:r>
      <w:r>
        <w:t>24</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_Toc389745163 \h </w:instrText>
      </w:r>
      <w:r>
        <w:fldChar w:fldCharType="separate"/>
      </w:r>
      <w:r>
        <w:t>24</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_Toc389745164 \h </w:instrText>
      </w:r>
      <w:r>
        <w:fldChar w:fldCharType="separate"/>
      </w:r>
      <w:r>
        <w:t>24</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_Toc389745165 \h </w:instrText>
      </w:r>
      <w:r>
        <w:fldChar w:fldCharType="separate"/>
      </w:r>
      <w:r>
        <w:t>25</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_Toc389745167 \h </w:instrText>
      </w:r>
      <w:r>
        <w:fldChar w:fldCharType="separate"/>
      </w:r>
      <w:r>
        <w:t>25</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_Toc389745168 \h </w:instrText>
      </w:r>
      <w:r>
        <w:fldChar w:fldCharType="separate"/>
      </w:r>
      <w:r>
        <w:t>26</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_Toc389745169 \h </w:instrText>
      </w:r>
      <w:r>
        <w:fldChar w:fldCharType="separate"/>
      </w:r>
      <w:r>
        <w:t>26</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_Toc389745170 \h </w:instrText>
      </w:r>
      <w:r>
        <w:fldChar w:fldCharType="separate"/>
      </w:r>
      <w:r>
        <w:t>27</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_Toc389745171 \h </w:instrText>
      </w:r>
      <w:r>
        <w:fldChar w:fldCharType="separate"/>
      </w:r>
      <w:r>
        <w:t>27</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_Toc389745172 \h </w:instrText>
      </w:r>
      <w:r>
        <w:fldChar w:fldCharType="separate"/>
      </w:r>
      <w:r>
        <w:t>27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_Toc389745173 \h </w:instrText>
      </w:r>
      <w:r>
        <w:fldChar w:fldCharType="separate"/>
      </w:r>
      <w:r>
        <w:t>28</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_Toc389745174 \h </w:instrText>
      </w:r>
      <w:r>
        <w:fldChar w:fldCharType="separate"/>
      </w:r>
      <w:r>
        <w:t>28</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_Toc389745176 \h </w:instrText>
      </w:r>
      <w:r>
        <w:fldChar w:fldCharType="separate"/>
      </w:r>
      <w:r>
        <w:t>30</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_Toc389745177 \h </w:instrText>
      </w:r>
      <w:r>
        <w:fldChar w:fldCharType="separate"/>
      </w:r>
      <w:r>
        <w:t>30</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_Toc389745178 \h </w:instrText>
      </w:r>
      <w:r>
        <w:fldChar w:fldCharType="separate"/>
      </w:r>
      <w:r>
        <w:t>31</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_Toc389745179 \h </w:instrText>
      </w:r>
      <w:r>
        <w:fldChar w:fldCharType="separate"/>
      </w:r>
      <w:r>
        <w:t>32</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_Toc389745181 \h </w:instrText>
      </w:r>
      <w:r>
        <w:fldChar w:fldCharType="separate"/>
      </w:r>
      <w:r>
        <w:t>33</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_Toc389745182 \h </w:instrText>
      </w:r>
      <w:r>
        <w:fldChar w:fldCharType="separate"/>
      </w:r>
      <w:r>
        <w:t>33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_Toc389745183 \h </w:instrText>
      </w:r>
      <w:r>
        <w:fldChar w:fldCharType="separate"/>
      </w:r>
      <w:r>
        <w:t>33</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_Toc389745184 \h </w:instrText>
      </w:r>
      <w:r>
        <w:fldChar w:fldCharType="separate"/>
      </w:r>
      <w:r>
        <w:t>34</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_Toc389745185 \h </w:instrText>
      </w:r>
      <w:r>
        <w:fldChar w:fldCharType="separate"/>
      </w:r>
      <w:r>
        <w:t>35</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_Toc389745187 \h </w:instrText>
      </w:r>
      <w:r>
        <w:fldChar w:fldCharType="separate"/>
      </w:r>
      <w:r>
        <w:t>36</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_Toc389745188 \h </w:instrText>
      </w:r>
      <w:r>
        <w:fldChar w:fldCharType="separate"/>
      </w:r>
      <w:r>
        <w:t>36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_Toc389745189 \h </w:instrText>
      </w:r>
      <w:r>
        <w:fldChar w:fldCharType="separate"/>
      </w:r>
      <w:r>
        <w:t>36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_Toc389745190 \h </w:instrText>
      </w:r>
      <w:r>
        <w:fldChar w:fldCharType="separate"/>
      </w:r>
      <w:r>
        <w:t>37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_Toc389745191 \h </w:instrText>
      </w:r>
      <w:r>
        <w:fldChar w:fldCharType="separate"/>
      </w:r>
      <w:r>
        <w:t>38</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_Toc389745192 \h </w:instrText>
      </w:r>
      <w:r>
        <w:fldChar w:fldCharType="separate"/>
      </w:r>
      <w:r>
        <w:t>39</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_Toc389745193 \h </w:instrText>
      </w:r>
      <w:r>
        <w:fldChar w:fldCharType="separate"/>
      </w:r>
      <w:r>
        <w:t>39</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_Toc389745194 \h </w:instrText>
      </w:r>
      <w:r>
        <w:fldChar w:fldCharType="separate"/>
      </w:r>
      <w:r>
        <w:t>40</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_Toc389745195 \h </w:instrText>
      </w:r>
      <w:r>
        <w:fldChar w:fldCharType="separate"/>
      </w:r>
      <w:r>
        <w:t>40</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_Toc389745196 \h </w:instrText>
      </w:r>
      <w:r>
        <w:fldChar w:fldCharType="separate"/>
      </w:r>
      <w:r>
        <w:t>40</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_Toc389745197 \h </w:instrText>
      </w:r>
      <w:r>
        <w:fldChar w:fldCharType="separate"/>
      </w:r>
      <w:r>
        <w:t>41</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_Toc389745198 \h </w:instrText>
      </w:r>
      <w:r>
        <w:fldChar w:fldCharType="separate"/>
      </w:r>
      <w:r>
        <w:t>41</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_Toc389745199 \h </w:instrText>
      </w:r>
      <w:r>
        <w:fldChar w:fldCharType="separate"/>
      </w:r>
      <w:r>
        <w:t>43</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_Toc389745200 \h </w:instrText>
      </w:r>
      <w:r>
        <w:fldChar w:fldCharType="separate"/>
      </w:r>
      <w:r>
        <w:t>43</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_Toc389745201 \h </w:instrText>
      </w:r>
      <w:r>
        <w:fldChar w:fldCharType="separate"/>
      </w:r>
      <w:r>
        <w:t>44</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_Toc389745202 \h </w:instrText>
      </w:r>
      <w:r>
        <w:fldChar w:fldCharType="separate"/>
      </w:r>
      <w:r>
        <w:t>45</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_Toc389745203 \h </w:instrText>
      </w:r>
      <w:r>
        <w:fldChar w:fldCharType="separate"/>
      </w:r>
      <w:r>
        <w:t>46</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_Toc389745204 \h </w:instrText>
      </w:r>
      <w:r>
        <w:fldChar w:fldCharType="separate"/>
      </w:r>
      <w:r>
        <w:t>46</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_Toc389745205 \h </w:instrText>
      </w:r>
      <w:r>
        <w:fldChar w:fldCharType="separate"/>
      </w:r>
      <w:r>
        <w:t>46</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_Toc389745206 \h </w:instrText>
      </w:r>
      <w:r>
        <w:fldChar w:fldCharType="separate"/>
      </w:r>
      <w:r>
        <w:t>47</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_Toc389745207 \h </w:instrText>
      </w:r>
      <w:r>
        <w:fldChar w:fldCharType="separate"/>
      </w:r>
      <w:r>
        <w:t>47</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_Toc389745208 \h </w:instrText>
      </w:r>
      <w:r>
        <w:fldChar w:fldCharType="separate"/>
      </w:r>
      <w:r>
        <w:t>52</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_Toc389745209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_Toc389745211 \h </w:instrText>
      </w:r>
      <w:r>
        <w:fldChar w:fldCharType="separate"/>
      </w:r>
      <w:r>
        <w:t>54</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_Toc389745224 \h </w:instrText>
      </w:r>
      <w:r>
        <w:fldChar w:fldCharType="separate"/>
      </w:r>
      <w:r>
        <w:t>66</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_Toc389745225 \h </w:instrText>
      </w:r>
      <w:r>
        <w:fldChar w:fldCharType="separate"/>
      </w:r>
      <w:r>
        <w:t>68</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126"/>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127"/>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128"/>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129"/>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5" w:name="_Toc389745130"/>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131"/>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132"/>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133"/>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134"/>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135"/>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Director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w:t>
      </w:r>
    </w:p>
    <w:p>
      <w:pPr>
        <w:pStyle w:val="Heading5"/>
        <w:rPr>
          <w:snapToGrid w:val="0"/>
        </w:rPr>
      </w:pPr>
      <w:bookmarkStart w:id="11" w:name="_Toc389745136"/>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137"/>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138"/>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139"/>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140"/>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141"/>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142"/>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143"/>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144"/>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145"/>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146"/>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147"/>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148"/>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149"/>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150"/>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151"/>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152"/>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153"/>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154"/>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155"/>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156"/>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157"/>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158"/>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159"/>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160"/>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161"/>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162"/>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163"/>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164"/>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165"/>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166"/>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167"/>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168"/>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169"/>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170"/>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171"/>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172"/>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173"/>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174"/>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175"/>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176"/>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177"/>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178"/>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179"/>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180"/>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181"/>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182"/>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183"/>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184"/>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185"/>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186"/>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187"/>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188"/>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189"/>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 xml:space="preserve">The powers conferred by this section upon police officers are in addition to and not in diminution of the powers conferred on police officers by the provisions of the </w:t>
      </w:r>
      <w:r>
        <w:rPr>
          <w:i/>
          <w:snapToGrid w:val="0"/>
        </w:rPr>
        <w:t>Police Act 1892</w:t>
      </w:r>
      <w:r>
        <w:rPr>
          <w:snapToGrid w:val="0"/>
        </w:rPr>
        <w:t>, or of any other Act.</w:t>
      </w:r>
    </w:p>
    <w:p>
      <w:pPr>
        <w:pStyle w:val="Footnotesection"/>
        <w:keepLines w:val="0"/>
        <w:spacing w:before="80"/>
        <w:ind w:left="890" w:hanging="890"/>
      </w:pPr>
      <w:r>
        <w:tab/>
        <w:t xml:space="preserve">[Section 53 amended by No. 23 of 1966 s. 13; No. 48 of 1995 s. 30.] </w:t>
      </w:r>
    </w:p>
    <w:p>
      <w:pPr>
        <w:pStyle w:val="Heading5"/>
        <w:rPr>
          <w:snapToGrid w:val="0"/>
        </w:rPr>
      </w:pPr>
      <w:bookmarkStart w:id="65" w:name="_Toc389745190"/>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191"/>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192"/>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193"/>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194"/>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195"/>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196"/>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197"/>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198"/>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199"/>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200"/>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201"/>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202"/>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78" w:name="_Toc389745203"/>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204"/>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205"/>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206"/>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207"/>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208"/>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209"/>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210"/>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211"/>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212"/>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213"/>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214"/>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215"/>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216"/>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217"/>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218"/>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219"/>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220"/>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221"/>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222"/>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223"/>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224"/>
      <w:r>
        <w:rPr>
          <w:snapToGrid w:val="0"/>
        </w:rPr>
        <w:t>Compilation table</w:t>
      </w:r>
      <w:bookmarkEnd w:id="99"/>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0"/>
        <w:gridCol w:w="985"/>
        <w:gridCol w:w="9"/>
        <w:gridCol w:w="51"/>
        <w:gridCol w:w="6"/>
        <w:gridCol w:w="32"/>
        <w:gridCol w:w="11"/>
        <w:gridCol w:w="39"/>
        <w:gridCol w:w="2303"/>
        <w:gridCol w:w="33"/>
        <w:gridCol w:w="15"/>
        <w:gridCol w:w="61"/>
        <w:gridCol w:w="7"/>
        <w:gridCol w:w="8"/>
        <w:gridCol w:w="44"/>
        <w:gridCol w:w="24"/>
        <w:gridCol w:w="56"/>
        <w:gridCol w:w="11"/>
      </w:tblGrid>
      <w:tr>
        <w:trPr>
          <w:gridAfter w:val="9"/>
          <w:wAfter w:w="259"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59"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26"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26"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26"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26"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26"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26"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26"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11"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11"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0"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0"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0"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0"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43"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43"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43"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35"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35"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91"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91"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91"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91"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67"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67"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67"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1"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2" w:type="dxa"/>
            <w:gridSpan w:val="8"/>
          </w:tcPr>
          <w:p>
            <w:pPr>
              <w:pStyle w:val="nTable"/>
              <w:keepNext/>
              <w:spacing w:after="40"/>
              <w:rPr>
                <w:sz w:val="19"/>
              </w:rPr>
            </w:pPr>
            <w:r>
              <w:rPr>
                <w:sz w:val="19"/>
              </w:rPr>
              <w:t>1 of 2004</w:t>
            </w:r>
          </w:p>
        </w:tc>
        <w:tc>
          <w:tcPr>
            <w:tcW w:w="1133" w:type="dxa"/>
            <w:gridSpan w:val="7"/>
          </w:tcPr>
          <w:p>
            <w:pPr>
              <w:pStyle w:val="nTable"/>
              <w:spacing w:after="40"/>
              <w:rPr>
                <w:sz w:val="19"/>
              </w:rPr>
            </w:pPr>
            <w:r>
              <w:rPr>
                <w:sz w:val="19"/>
              </w:rPr>
              <w:t>12 Mar 2004</w:t>
            </w:r>
          </w:p>
        </w:tc>
        <w:tc>
          <w:tcPr>
            <w:tcW w:w="2551"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1" w:type="dxa"/>
          <w:cantSplit/>
        </w:trPr>
        <w:tc>
          <w:tcPr>
            <w:tcW w:w="7076"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2" w:type="dxa"/>
            <w:gridSpan w:val="8"/>
            <w:tcBorders>
              <w:top w:val="nil"/>
              <w:bottom w:val="nil"/>
            </w:tcBorders>
          </w:tcPr>
          <w:p>
            <w:pPr>
              <w:pStyle w:val="nTable"/>
              <w:spacing w:after="40"/>
              <w:rPr>
                <w:snapToGrid w:val="0"/>
                <w:sz w:val="19"/>
              </w:rPr>
            </w:pPr>
            <w:r>
              <w:rPr>
                <w:snapToGrid w:val="0"/>
                <w:sz w:val="19"/>
              </w:rPr>
              <w:t>59 of 2004</w:t>
            </w:r>
          </w:p>
        </w:tc>
        <w:tc>
          <w:tcPr>
            <w:tcW w:w="1133" w:type="dxa"/>
            <w:gridSpan w:val="7"/>
            <w:tcBorders>
              <w:top w:val="nil"/>
              <w:bottom w:val="nil"/>
            </w:tcBorders>
          </w:tcPr>
          <w:p>
            <w:pPr>
              <w:pStyle w:val="nTable"/>
              <w:spacing w:after="40"/>
              <w:rPr>
                <w:sz w:val="19"/>
              </w:rPr>
            </w:pPr>
            <w:r>
              <w:rPr>
                <w:sz w:val="19"/>
              </w:rPr>
              <w:t>23 Nov 2004</w:t>
            </w:r>
          </w:p>
        </w:tc>
        <w:tc>
          <w:tcPr>
            <w:tcW w:w="2551"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2" w:type="dxa"/>
            <w:gridSpan w:val="8"/>
            <w:tcBorders>
              <w:top w:val="nil"/>
              <w:bottom w:val="nil"/>
            </w:tcBorders>
          </w:tcPr>
          <w:p>
            <w:pPr>
              <w:pStyle w:val="nTable"/>
              <w:spacing w:after="40"/>
              <w:rPr>
                <w:sz w:val="19"/>
              </w:rPr>
            </w:pPr>
            <w:r>
              <w:rPr>
                <w:sz w:val="19"/>
              </w:rPr>
              <w:t>55 of 2004</w:t>
            </w:r>
          </w:p>
        </w:tc>
        <w:tc>
          <w:tcPr>
            <w:tcW w:w="1133" w:type="dxa"/>
            <w:gridSpan w:val="7"/>
            <w:tcBorders>
              <w:top w:val="nil"/>
              <w:bottom w:val="nil"/>
            </w:tcBorders>
          </w:tcPr>
          <w:p>
            <w:pPr>
              <w:pStyle w:val="nTable"/>
              <w:spacing w:after="40"/>
              <w:rPr>
                <w:sz w:val="19"/>
              </w:rPr>
            </w:pPr>
            <w:r>
              <w:rPr>
                <w:sz w:val="19"/>
              </w:rPr>
              <w:t>24 Nov 2004</w:t>
            </w:r>
          </w:p>
        </w:tc>
        <w:tc>
          <w:tcPr>
            <w:tcW w:w="2551"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1"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2" w:type="dxa"/>
            <w:gridSpan w:val="8"/>
            <w:tcBorders>
              <w:top w:val="nil"/>
              <w:bottom w:val="nil"/>
            </w:tcBorders>
          </w:tcPr>
          <w:p>
            <w:pPr>
              <w:pStyle w:val="nTable"/>
              <w:spacing w:after="40"/>
              <w:rPr>
                <w:sz w:val="19"/>
              </w:rPr>
            </w:pPr>
            <w:r>
              <w:rPr>
                <w:snapToGrid w:val="0"/>
                <w:sz w:val="19"/>
              </w:rPr>
              <w:t>84 of 2004</w:t>
            </w:r>
          </w:p>
        </w:tc>
        <w:tc>
          <w:tcPr>
            <w:tcW w:w="1133" w:type="dxa"/>
            <w:gridSpan w:val="7"/>
            <w:tcBorders>
              <w:top w:val="nil"/>
              <w:bottom w:val="nil"/>
            </w:tcBorders>
          </w:tcPr>
          <w:p>
            <w:pPr>
              <w:pStyle w:val="nTable"/>
              <w:spacing w:after="40"/>
              <w:rPr>
                <w:sz w:val="19"/>
              </w:rPr>
            </w:pPr>
            <w:r>
              <w:rPr>
                <w:sz w:val="19"/>
              </w:rPr>
              <w:t>16 Dec 2004</w:t>
            </w:r>
          </w:p>
        </w:tc>
        <w:tc>
          <w:tcPr>
            <w:tcW w:w="2551"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1"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2" w:type="dxa"/>
            <w:gridSpan w:val="8"/>
          </w:tcPr>
          <w:p>
            <w:pPr>
              <w:pStyle w:val="nTable"/>
              <w:spacing w:after="40"/>
              <w:rPr>
                <w:snapToGrid w:val="0"/>
                <w:sz w:val="19"/>
              </w:rPr>
            </w:pPr>
            <w:r>
              <w:rPr>
                <w:snapToGrid w:val="0"/>
                <w:sz w:val="19"/>
              </w:rPr>
              <w:t>28 of 2006</w:t>
            </w:r>
          </w:p>
        </w:tc>
        <w:tc>
          <w:tcPr>
            <w:tcW w:w="1133" w:type="dxa"/>
            <w:gridSpan w:val="7"/>
          </w:tcPr>
          <w:p>
            <w:pPr>
              <w:pStyle w:val="nTable"/>
              <w:spacing w:after="40"/>
              <w:rPr>
                <w:sz w:val="19"/>
              </w:rPr>
            </w:pPr>
            <w:r>
              <w:rPr>
                <w:sz w:val="19"/>
              </w:rPr>
              <w:t>26 Jun 2006</w:t>
            </w:r>
          </w:p>
        </w:tc>
        <w:tc>
          <w:tcPr>
            <w:tcW w:w="2551"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87" w:type="dxa"/>
            <w:gridSpan w:val="34"/>
            <w:tcBorders>
              <w:bottom w:val="single" w:sz="8" w:space="0" w:color="auto"/>
            </w:tcBorders>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225"/>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80"/>
        <w:gridCol w:w="1080"/>
        <w:gridCol w:w="1200"/>
        <w:gridCol w:w="2511"/>
        <w:gridCol w:w="9"/>
      </w:tblGrid>
      <w:tr>
        <w:trPr>
          <w:gridAfter w:val="1"/>
          <w:wAfter w:w="9" w:type="dxa"/>
        </w:trPr>
        <w:tc>
          <w:tcPr>
            <w:tcW w:w="2280"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80"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11"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80" w:type="dxa"/>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80"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11"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80" w:type="dxa"/>
          </w:tcPr>
          <w:p>
            <w:pPr>
              <w:pStyle w:val="nTable"/>
              <w:spacing w:after="40"/>
              <w:rPr>
                <w:i/>
                <w:noProof/>
                <w:snapToGrid w:val="0"/>
                <w:sz w:val="19"/>
                <w:vertAlign w:val="superscript"/>
              </w:rPr>
            </w:pPr>
            <w:r>
              <w:rPr>
                <w:i/>
                <w:iCs/>
                <w:snapToGrid w:val="0"/>
                <w:sz w:val="19"/>
              </w:rPr>
              <w:t>Nurses and Midwives Act 2006</w:t>
            </w:r>
            <w:r>
              <w:rPr>
                <w:snapToGrid w:val="0"/>
                <w:sz w:val="19"/>
              </w:rPr>
              <w:t xml:space="preserve"> s. 114 </w:t>
            </w:r>
            <w:r>
              <w:rPr>
                <w:snapToGrid w:val="0"/>
                <w:sz w:val="19"/>
                <w:vertAlign w:val="superscript"/>
              </w:rPr>
              <w:t>8</w:t>
            </w:r>
          </w:p>
        </w:tc>
        <w:tc>
          <w:tcPr>
            <w:tcW w:w="1080" w:type="dxa"/>
          </w:tcPr>
          <w:p>
            <w:pPr>
              <w:pStyle w:val="nTable"/>
              <w:spacing w:after="40"/>
              <w:rPr>
                <w:sz w:val="19"/>
              </w:rPr>
            </w:pPr>
            <w:r>
              <w:rPr>
                <w:snapToGrid w:val="0"/>
                <w:sz w:val="19"/>
              </w:rPr>
              <w:t>50 of 2006</w:t>
            </w:r>
          </w:p>
        </w:tc>
        <w:tc>
          <w:tcPr>
            <w:tcW w:w="1200" w:type="dxa"/>
          </w:tcPr>
          <w:p>
            <w:pPr>
              <w:pStyle w:val="nTable"/>
              <w:spacing w:after="40"/>
              <w:rPr>
                <w:sz w:val="19"/>
              </w:rPr>
            </w:pPr>
            <w:r>
              <w:rPr>
                <w:snapToGrid w:val="0"/>
                <w:sz w:val="19"/>
              </w:rPr>
              <w:t>6 Oct 2006</w:t>
            </w:r>
          </w:p>
        </w:tc>
        <w:tc>
          <w:tcPr>
            <w:tcW w:w="2520" w:type="dxa"/>
            <w:gridSpan w:val="2"/>
          </w:tcPr>
          <w:p>
            <w:pPr>
              <w:pStyle w:val="nTable"/>
              <w:spacing w:after="40"/>
              <w:rPr>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80" w:type="dxa"/>
            <w:tcBorders>
              <w:bottom w:val="single" w:sz="4" w:space="0" w:color="auto"/>
            </w:tcBorders>
          </w:tcPr>
          <w:p>
            <w:pPr>
              <w:pStyle w:val="nTable"/>
              <w:spacing w:after="40"/>
              <w:rPr>
                <w:i/>
                <w:iCs/>
                <w:snapToGrid w:val="0"/>
                <w:sz w:val="19"/>
              </w:rPr>
            </w:pPr>
            <w:r>
              <w:rPr>
                <w:i/>
                <w:iCs/>
                <w:snapToGrid w:val="0"/>
                <w:sz w:val="19"/>
              </w:rPr>
              <w:t>Criminal Investigation (Consequential Provisions) Act 2006</w:t>
            </w:r>
            <w:r>
              <w:rPr>
                <w:snapToGrid w:val="0"/>
                <w:sz w:val="19"/>
              </w:rPr>
              <w:t xml:space="preserve"> s. 73</w:t>
            </w:r>
            <w:r>
              <w:rPr>
                <w:snapToGrid w:val="0"/>
                <w:sz w:val="19"/>
                <w:vertAlign w:val="superscript"/>
              </w:rPr>
              <w:t> 9</w:t>
            </w:r>
          </w:p>
        </w:tc>
        <w:tc>
          <w:tcPr>
            <w:tcW w:w="1080" w:type="dxa"/>
            <w:tcBorders>
              <w:bottom w:val="single" w:sz="4" w:space="0" w:color="auto"/>
            </w:tcBorders>
          </w:tcPr>
          <w:p>
            <w:pPr>
              <w:pStyle w:val="nTable"/>
              <w:spacing w:after="40"/>
              <w:rPr>
                <w:snapToGrid w:val="0"/>
                <w:sz w:val="19"/>
              </w:rPr>
            </w:pPr>
            <w:r>
              <w:rPr>
                <w:snapToGrid w:val="0"/>
                <w:sz w:val="19"/>
              </w:rPr>
              <w:t>59 of 2006</w:t>
            </w:r>
          </w:p>
        </w:tc>
        <w:tc>
          <w:tcPr>
            <w:tcW w:w="1200" w:type="dxa"/>
            <w:tcBorders>
              <w:bottom w:val="single" w:sz="4" w:space="0" w:color="auto"/>
            </w:tcBorders>
          </w:tcPr>
          <w:p>
            <w:pPr>
              <w:pStyle w:val="nTable"/>
              <w:spacing w:after="40"/>
              <w:rPr>
                <w:snapToGrid w:val="0"/>
                <w:sz w:val="19"/>
              </w:rPr>
            </w:pPr>
            <w:r>
              <w:rPr>
                <w:snapToGrid w:val="0"/>
                <w:sz w:val="19"/>
              </w:rPr>
              <w:t>16 Nov 2006</w:t>
            </w:r>
          </w:p>
        </w:tc>
        <w:tc>
          <w:tcPr>
            <w:tcW w:w="2520" w:type="dxa"/>
            <w:gridSpan w:val="2"/>
            <w:tcBorders>
              <w:bottom w:val="single" w:sz="4" w:space="0" w:color="auto"/>
            </w:tcBorders>
          </w:tcPr>
          <w:p>
            <w:pPr>
              <w:pStyle w:val="nTable"/>
              <w:spacing w:after="40"/>
              <w:rPr>
                <w:snapToGrid w:val="0"/>
                <w:sz w:val="19"/>
              </w:rPr>
            </w:pPr>
            <w:r>
              <w:rPr>
                <w:snapToGrid w:val="0"/>
                <w:sz w:val="19"/>
              </w:rPr>
              <w:t>To be proclaimed (see s. 2)</w:t>
            </w:r>
          </w:p>
        </w:tc>
      </w:tr>
    </w:tbl>
    <w:p>
      <w:pPr>
        <w:pStyle w:val="nSubsection"/>
        <w:keepLines/>
        <w:spacing w:before="160"/>
        <w:rPr>
          <w:vertAlign w:val="superscript"/>
        </w:rPr>
      </w:pPr>
    </w:p>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snapToGrid w:val="0"/>
        </w:rPr>
      </w:pPr>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p>
    <w:p>
      <w:pPr>
        <w:pStyle w:val="MiscOpen"/>
        <w:rPr>
          <w:snapToGrid w:val="0"/>
        </w:rPr>
      </w:pPr>
      <w:r>
        <w:rPr>
          <w:snapToGrid w:val="0"/>
        </w:rPr>
        <w:t>“</w:t>
      </w:r>
    </w:p>
    <w:p>
      <w:pPr>
        <w:pStyle w:val="nzHeading5"/>
        <w:rPr>
          <w:snapToGrid w:val="0"/>
        </w:rPr>
      </w:pPr>
      <w:r>
        <w:rPr>
          <w:rStyle w:val="CharSectno"/>
        </w:rPr>
        <w:t>114</w:t>
      </w:r>
      <w:r>
        <w:t>.</w:t>
      </w:r>
      <w:r>
        <w:tab/>
      </w:r>
      <w:r>
        <w:rPr>
          <w:snapToGrid w:val="0"/>
        </w:rPr>
        <w:t xml:space="preserve">Consequential amendments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snapToGrid w:val="0"/>
        </w:rPr>
      </w:pPr>
      <w:r>
        <w:rPr>
          <w:snapToGrid w:val="0"/>
        </w:rPr>
        <w:tab/>
        <w:t>Schedule 3 cl. 17 reads as follows:</w:t>
      </w:r>
    </w:p>
    <w:p>
      <w:pPr>
        <w:pStyle w:val="nSubsectio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p>
    <w:p>
      <w:pPr>
        <w:pStyle w:val="nzMiscellaneousBody"/>
        <w:jc w:val="right"/>
      </w:pPr>
      <w:r>
        <w:t>[s. 114]</w:t>
      </w:r>
    </w:p>
    <w:p>
      <w:pPr>
        <w:pStyle w:val="nzHeading5"/>
      </w:pPr>
      <w:r>
        <w:rPr>
          <w:rStyle w:val="CharSClsNo"/>
        </w:rPr>
        <w:t>17</w:t>
      </w:r>
      <w:r>
        <w:t>.</w:t>
      </w:r>
      <w:r>
        <w:tab/>
      </w:r>
      <w:r>
        <w:rPr>
          <w:i/>
          <w:iCs/>
        </w:rPr>
        <w:t>Poisons Act 1964</w:t>
      </w:r>
      <w:r>
        <w:t xml:space="preserve"> amended</w:t>
      </w:r>
    </w:p>
    <w:p>
      <w:pPr>
        <w:pStyle w:val="nzSubsection"/>
      </w:pPr>
      <w:r>
        <w:tab/>
        <w:t>(1)</w:t>
      </w:r>
      <w:r>
        <w:tab/>
        <w:t xml:space="preserve">The amendments in this clause are to the </w:t>
      </w:r>
      <w:r>
        <w:rPr>
          <w:i/>
          <w:iCs/>
        </w:rPr>
        <w:t>Poisons Act 1964</w:t>
      </w:r>
      <w:r>
        <w:t xml:space="preserve">. </w:t>
      </w:r>
    </w:p>
    <w:p>
      <w:pPr>
        <w:pStyle w:val="nzSubsection"/>
      </w:pPr>
      <w:r>
        <w:tab/>
        <w:t>(2)</w:t>
      </w:r>
      <w:r>
        <w:tab/>
        <w:t xml:space="preserve">Section 5(1) is amended in the definition of “nurse practitioner” by deleting “the </w:t>
      </w:r>
      <w:r>
        <w:rPr>
          <w:i/>
          <w:iCs/>
        </w:rPr>
        <w:t>Nurses Act 1992</w:t>
      </w:r>
      <w:r>
        <w:t>;” and inserting instead —</w:t>
      </w:r>
    </w:p>
    <w:p>
      <w:pPr>
        <w:pStyle w:val="nzSubsection"/>
      </w:pPr>
      <w:r>
        <w:tab/>
      </w:r>
      <w:r>
        <w:tab/>
        <w:t xml:space="preserve">“    </w:t>
      </w:r>
      <w:r>
        <w:rPr>
          <w:sz w:val="24"/>
        </w:rPr>
        <w:t>section 3 of the</w:t>
      </w:r>
      <w:r>
        <w:t xml:space="preserve"> </w:t>
      </w:r>
      <w:r>
        <w:rPr>
          <w:i/>
          <w:sz w:val="24"/>
        </w:rPr>
        <w:t>Nurses and Midwives Act 2006</w:t>
      </w:r>
      <w:r>
        <w:rPr>
          <w:iCs/>
          <w:sz w:val="24"/>
        </w:rPr>
        <w:t>;</w:t>
      </w:r>
      <w:r>
        <w:t xml:space="preserve">    ”.</w:t>
      </w:r>
    </w:p>
    <w:p>
      <w:pPr>
        <w:pStyle w:val="nzSubsection"/>
      </w:pPr>
      <w:r>
        <w:tab/>
        <w:t>(3)</w:t>
      </w:r>
      <w:r>
        <w:tab/>
        <w:t xml:space="preserve">Section 61(b)(ia) is amended by deleting “Nurses Board of Western Australia constituted under the </w:t>
      </w:r>
      <w:r>
        <w:rPr>
          <w:i/>
          <w:iCs/>
        </w:rPr>
        <w:t>Nurses Act 1992</w:t>
      </w:r>
      <w:r>
        <w:t xml:space="preserve">;” and inserting instead — </w:t>
      </w:r>
    </w:p>
    <w:p>
      <w:pPr>
        <w:pStyle w:val="MiscOpen"/>
        <w:tabs>
          <w:tab w:val="clear" w:pos="893"/>
        </w:tabs>
        <w:ind w:left="879" w:firstLine="1673"/>
        <w:rPr>
          <w:sz w:val="22"/>
        </w:rPr>
      </w:pPr>
      <w:r>
        <w:rPr>
          <w:sz w:val="22"/>
        </w:rPr>
        <w:t xml:space="preserve">“    </w:t>
      </w:r>
    </w:p>
    <w:p>
      <w:pPr>
        <w:pStyle w:val="nzIndenti"/>
      </w:pPr>
      <w:r>
        <w:tab/>
      </w:r>
      <w:r>
        <w:tab/>
        <w:t xml:space="preserve">Nurses and Midwives Board of Western Australia established under the </w:t>
      </w:r>
      <w:r>
        <w:rPr>
          <w:i/>
        </w:rPr>
        <w:t>Nurses and Midwives Act 2006</w:t>
      </w:r>
      <w:r>
        <w:rPr>
          <w:iCs/>
        </w:rPr>
        <w:t>;</w:t>
      </w:r>
    </w:p>
    <w:p>
      <w:pPr>
        <w:pStyle w:val="MiscClose"/>
        <w:ind w:right="376"/>
        <w:rPr>
          <w:sz w:val="22"/>
        </w:rPr>
      </w:pPr>
      <w:r>
        <w:rPr>
          <w:sz w:val="22"/>
        </w:rPr>
        <w:t xml:space="preserve">    ”.</w:t>
      </w:r>
    </w:p>
    <w:p>
      <w:pPr>
        <w:pStyle w:val="MiscClose"/>
        <w:rPr>
          <w:sz w:val="22"/>
        </w:rPr>
      </w:pPr>
      <w:r>
        <w:rPr>
          <w:sz w:val="22"/>
        </w:rPr>
        <w:t xml:space="preserve">    ”.</w:t>
      </w:r>
    </w:p>
    <w:p>
      <w:pPr>
        <w:pStyle w:val="nSubsection"/>
        <w:rPr>
          <w:snapToGrid w:val="0"/>
        </w:rPr>
      </w:pPr>
      <w:r>
        <w:rPr>
          <w:snapToGrid w:val="0"/>
          <w:vertAlign w:val="superscript"/>
        </w:rPr>
        <w:t>9</w:t>
      </w:r>
      <w:r>
        <w:rPr>
          <w:snapToGrid w:val="0"/>
        </w:rPr>
        <w:tab/>
        <w:t xml:space="preserve">On the date as at which this compilation was prepared, the </w:t>
      </w:r>
      <w:r>
        <w:rPr>
          <w:i/>
          <w:snapToGrid w:val="0"/>
        </w:rPr>
        <w:t>Criminal Investigation (Consequential Provisions) Act 2006</w:t>
      </w:r>
      <w:r>
        <w:rPr>
          <w:iCs/>
          <w:snapToGrid w:val="0"/>
        </w:rPr>
        <w:t xml:space="preserve"> s. 73 which gives effect to Sch. 1 it. 10 </w:t>
      </w:r>
      <w:r>
        <w:rPr>
          <w:snapToGrid w:val="0"/>
        </w:rPr>
        <w:t>had not come into operation.  They read as follows:</w:t>
      </w:r>
    </w:p>
    <w:p>
      <w:pPr>
        <w:pStyle w:val="MiscOpen"/>
        <w:rPr>
          <w:snapToGrid w:val="0"/>
        </w:rPr>
      </w:pPr>
      <w:r>
        <w:rPr>
          <w:snapToGrid w:val="0"/>
        </w:rPr>
        <w:t>“</w:t>
      </w:r>
    </w:p>
    <w:p>
      <w:pPr>
        <w:pStyle w:val="nzHeading5"/>
      </w:pPr>
      <w:r>
        <w:rPr>
          <w:rStyle w:val="CharSectno"/>
        </w:rPr>
        <w:t>73</w:t>
      </w:r>
      <w:r>
        <w:t>.</w:t>
      </w:r>
      <w:r>
        <w:tab/>
        <w:t>Various Acts amended (Sch. 1)</w:t>
      </w:r>
    </w:p>
    <w:p>
      <w:pPr>
        <w:pStyle w:val="nzSubsection"/>
      </w:pPr>
      <w:r>
        <w:tab/>
      </w:r>
      <w:r>
        <w:tab/>
        <w:t>Each Act listed in Schedule 1 is amended as set out in that Schedule immediately below the short title of the Act.</w:t>
      </w:r>
    </w:p>
    <w:p>
      <w:pPr>
        <w:pStyle w:val="MiscClose"/>
      </w:pPr>
      <w:r>
        <w:t>”.</w:t>
      </w:r>
    </w:p>
    <w:p>
      <w:pPr>
        <w:pStyle w:val="nzSubsection"/>
      </w:pPr>
      <w:r>
        <w:t>Schedule 1 item 10 reads as follows:</w:t>
      </w:r>
    </w:p>
    <w:p>
      <w:pPr>
        <w:pStyle w:val="MiscOpen"/>
        <w:rPr>
          <w:snapToGrid w:val="0"/>
        </w:rPr>
      </w:pPr>
      <w:r>
        <w:rPr>
          <w:snapToGrid w:val="0"/>
        </w:rPr>
        <w:t>“</w:t>
      </w:r>
    </w:p>
    <w:p>
      <w:pPr>
        <w:pStyle w:val="nzHeading2"/>
      </w:pPr>
      <w:r>
        <w:rPr>
          <w:rStyle w:val="CharSchNo"/>
        </w:rPr>
        <w:t>Schedule 1</w:t>
      </w:r>
      <w:r>
        <w:rPr>
          <w:rStyle w:val="CharSDivNo"/>
        </w:rPr>
        <w:t> </w:t>
      </w:r>
      <w:r>
        <w:t>—</w:t>
      </w:r>
      <w:bookmarkStart w:id="101" w:name="AutoSch"/>
      <w:bookmarkEnd w:id="101"/>
      <w:r>
        <w:rPr>
          <w:rStyle w:val="CharSDivText"/>
        </w:rPr>
        <w:t> </w:t>
      </w:r>
      <w:r>
        <w:rPr>
          <w:rStyle w:val="CharSchText"/>
        </w:rPr>
        <w:t>Various Acts amended</w:t>
      </w:r>
    </w:p>
    <w:p>
      <w:pPr>
        <w:pStyle w:val="nzMiscellaneousBody"/>
        <w:jc w:val="right"/>
      </w:pPr>
      <w:r>
        <w:t>[s. 73]</w:t>
      </w:r>
    </w:p>
    <w:p>
      <w:pPr>
        <w:pStyle w:val="nzHeading5"/>
      </w:pPr>
      <w:r>
        <w:rPr>
          <w:rStyle w:val="CharSClsNo"/>
        </w:rPr>
        <w:t>10</w:t>
      </w:r>
      <w:r>
        <w:t>.</w:t>
      </w:r>
      <w:r>
        <w:tab/>
      </w:r>
      <w:r>
        <w:rPr>
          <w:i/>
        </w:rPr>
        <w:t>Poisons Act 1964</w:t>
      </w:r>
    </w:p>
    <w:tbl>
      <w:tblPr>
        <w:tblW w:w="6240" w:type="dxa"/>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20"/>
        <w:gridCol w:w="4920"/>
      </w:tblGrid>
      <w:tr>
        <w:trPr>
          <w:cantSplit/>
        </w:trPr>
        <w:tc>
          <w:tcPr>
            <w:tcW w:w="1320" w:type="dxa"/>
          </w:tcPr>
          <w:p>
            <w:pPr>
              <w:pStyle w:val="nzTable"/>
            </w:pPr>
            <w:r>
              <w:t>s. 53(2)</w:t>
            </w:r>
          </w:p>
        </w:tc>
        <w:tc>
          <w:tcPr>
            <w:tcW w:w="4920" w:type="dxa"/>
          </w:tcPr>
          <w:p>
            <w:pPr>
              <w:pStyle w:val="nzTable"/>
            </w:pPr>
            <w:r>
              <w:t xml:space="preserve">Delete “the </w:t>
            </w:r>
            <w:r>
              <w:rPr>
                <w:i/>
              </w:rPr>
              <w:t>Police Act 1892</w:t>
            </w:r>
            <w:r>
              <w:t>, or o</w:t>
            </w:r>
            <w:r>
              <w:rPr>
                <w:spacing w:val="40"/>
              </w:rPr>
              <w:t>f</w:t>
            </w:r>
            <w:r>
              <w:t>”.</w:t>
            </w:r>
          </w:p>
        </w:tc>
      </w:tr>
    </w:tbl>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72</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16 Nov 2006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0937"/>
    <w:docVar w:name="WAFER_20140605150937" w:val="RemoveTocBookmarks,RemoveUnusedBookmarks,RemoveLanguageTags,UsedStyles,ResetPageSize"/>
    <w:docVar w:name="WAFER_20140605150937_GUID" w:val="f09faaae-1e0f-4866-ae96-1d18e67d781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78</Pages>
  <Words>16928</Words>
  <Characters>79395</Characters>
  <Application>Microsoft Office Word</Application>
  <DocSecurity>0</DocSecurity>
  <Lines>2205</Lines>
  <Paragraphs>1267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1964 - 07-c0-03</dc:title>
  <dc:subject/>
  <dc:creator/>
  <cp:keywords/>
  <dc:description/>
  <cp:lastModifiedBy>svcMRProcess</cp:lastModifiedBy>
  <cp:revision>4</cp:revision>
  <cp:lastPrinted>2006-09-06T01:41:00Z</cp:lastPrinted>
  <dcterms:created xsi:type="dcterms:W3CDTF">2018-09-06T19:18:00Z</dcterms:created>
  <dcterms:modified xsi:type="dcterms:W3CDTF">2018-09-06T19:19:00Z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16 Nov 2006</vt:lpwstr>
  </property>
  <property fmtid="{D5CDD505-2E9C-101B-9397-08002B2CF9AE}" pid="8" name="Suffix">
    <vt:lpwstr>07-c0-03</vt:lpwstr>
  </property>
</Properties>
</file>