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Act 1954</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_Toc377998978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_Toc377998979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_Toc377998980 \h </w:instrText>
      </w:r>
      <w:r>
        <w:fldChar w:fldCharType="separate"/>
      </w:r>
      <w:r>
        <w:t>2</w:t>
      </w:r>
      <w:r>
        <w:fldChar w:fldCharType="end"/>
      </w:r>
    </w:p>
    <w:p>
      <w:pPr>
        <w:pStyle w:val="TOC8"/>
        <w:rPr>
          <w:rFonts w:asciiTheme="minorHAnsi" w:eastAsiaTheme="minorEastAsia" w:hAnsiTheme="minorHAnsi" w:cstheme="minorBidi"/>
          <w:szCs w:val="22"/>
        </w:rPr>
      </w:pPr>
      <w:r>
        <w:t>4AA.</w:t>
      </w:r>
      <w:r>
        <w:tab/>
        <w:t>Meaning of “betting exchange”</w:t>
      </w:r>
      <w:r>
        <w:tab/>
      </w:r>
      <w:r>
        <w:fldChar w:fldCharType="begin"/>
      </w:r>
      <w:r>
        <w:instrText xml:space="preserve"> PAGEREF _Toc377998981 \h </w:instrText>
      </w:r>
      <w:r>
        <w:fldChar w:fldCharType="separate"/>
      </w:r>
      <w:r>
        <w:t>7</w:t>
      </w:r>
      <w:r>
        <w:fldChar w:fldCharType="end"/>
      </w:r>
    </w:p>
    <w:p>
      <w:pPr>
        <w:pStyle w:val="TOC8"/>
        <w:rPr>
          <w:rFonts w:asciiTheme="minorHAnsi" w:eastAsiaTheme="minorEastAsia" w:hAnsiTheme="minorHAnsi" w:cstheme="minorBidi"/>
          <w:szCs w:val="22"/>
        </w:rPr>
      </w:pPr>
      <w:r>
        <w:t>4A.</w:t>
      </w:r>
      <w:r>
        <w:tab/>
        <w:t>Application of this Act to certain sporting events other than races</w:t>
      </w:r>
      <w:r>
        <w:tab/>
      </w:r>
      <w:r>
        <w:fldChar w:fldCharType="begin"/>
      </w:r>
      <w:r>
        <w:instrText xml:space="preserve"> PAGEREF _Toc377998982 \h </w:instrText>
      </w:r>
      <w:r>
        <w:fldChar w:fldCharType="separate"/>
      </w:r>
      <w:r>
        <w:t>8</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Application of this Act to sporting events</w:t>
      </w:r>
      <w:r>
        <w:tab/>
      </w:r>
      <w:r>
        <w:fldChar w:fldCharType="begin"/>
      </w:r>
      <w:r>
        <w:instrText xml:space="preserve"> PAGEREF _Toc377998983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Legalisation of betting with bookmakers</w:t>
      </w:r>
      <w:r>
        <w:tab/>
      </w:r>
      <w:r>
        <w:fldChar w:fldCharType="begin"/>
      </w:r>
      <w:r>
        <w:instrText xml:space="preserve"> PAGEREF _Toc377998984 \h </w:instrText>
      </w:r>
      <w:r>
        <w:fldChar w:fldCharType="separate"/>
      </w:r>
      <w:r>
        <w:t>10</w:t>
      </w:r>
      <w:r>
        <w:fldChar w:fldCharType="end"/>
      </w:r>
    </w:p>
    <w:p>
      <w:pPr>
        <w:pStyle w:val="TOC8"/>
        <w:rPr>
          <w:rFonts w:asciiTheme="minorHAnsi" w:eastAsiaTheme="minorEastAsia" w:hAnsiTheme="minorHAnsi" w:cstheme="minorBidi"/>
          <w:szCs w:val="22"/>
        </w:rPr>
      </w:pPr>
      <w:r>
        <w:t>5A.</w:t>
      </w:r>
      <w:r>
        <w:tab/>
        <w:t>Communication and broadcasting of information</w:t>
      </w:r>
      <w:r>
        <w:tab/>
      </w:r>
      <w:r>
        <w:fldChar w:fldCharType="begin"/>
      </w:r>
      <w:r>
        <w:instrText xml:space="preserve"> PAGEREF _Toc377998985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Licences, approvals and permits</w:t>
      </w:r>
    </w:p>
    <w:p>
      <w:pPr>
        <w:pStyle w:val="TOC8"/>
        <w:rPr>
          <w:rFonts w:asciiTheme="minorHAnsi" w:eastAsiaTheme="minorEastAsia" w:hAnsiTheme="minorHAnsi" w:cstheme="minorBidi"/>
          <w:szCs w:val="22"/>
        </w:rPr>
      </w:pPr>
      <w:r>
        <w:t>11.</w:t>
      </w:r>
      <w:r>
        <w:tab/>
        <w:t>Licences and approvals relating to bookmaking</w:t>
      </w:r>
      <w:r>
        <w:tab/>
      </w:r>
      <w:r>
        <w:fldChar w:fldCharType="begin"/>
      </w:r>
      <w:r>
        <w:instrText xml:space="preserve"> PAGEREF _Toc377998987 \h </w:instrText>
      </w:r>
      <w:r>
        <w:fldChar w:fldCharType="separate"/>
      </w:r>
      <w:r>
        <w:t>13</w:t>
      </w:r>
      <w:r>
        <w:fldChar w:fldCharType="end"/>
      </w:r>
    </w:p>
    <w:p>
      <w:pPr>
        <w:pStyle w:val="TOC8"/>
        <w:rPr>
          <w:rFonts w:asciiTheme="minorHAnsi" w:eastAsiaTheme="minorEastAsia" w:hAnsiTheme="minorHAnsi" w:cstheme="minorBidi"/>
          <w:szCs w:val="22"/>
        </w:rPr>
      </w:pPr>
      <w:r>
        <w:t>11A.</w:t>
      </w:r>
      <w:r>
        <w:tab/>
        <w:t>Bookmaker’s licence — natural person</w:t>
      </w:r>
      <w:r>
        <w:tab/>
      </w:r>
      <w:r>
        <w:fldChar w:fldCharType="begin"/>
      </w:r>
      <w:r>
        <w:instrText xml:space="preserve"> PAGEREF _Toc377998988 \h </w:instrText>
      </w:r>
      <w:r>
        <w:fldChar w:fldCharType="separate"/>
      </w:r>
      <w:r>
        <w:t>15</w:t>
      </w:r>
      <w:r>
        <w:fldChar w:fldCharType="end"/>
      </w:r>
    </w:p>
    <w:p>
      <w:pPr>
        <w:pStyle w:val="TOC8"/>
        <w:rPr>
          <w:rFonts w:asciiTheme="minorHAnsi" w:eastAsiaTheme="minorEastAsia" w:hAnsiTheme="minorHAnsi" w:cstheme="minorBidi"/>
          <w:szCs w:val="22"/>
        </w:rPr>
      </w:pPr>
      <w:r>
        <w:t>11B.</w:t>
      </w:r>
      <w:r>
        <w:tab/>
        <w:t>Bookmaker’s licence — partnership</w:t>
      </w:r>
      <w:r>
        <w:tab/>
      </w:r>
      <w:r>
        <w:fldChar w:fldCharType="begin"/>
      </w:r>
      <w:r>
        <w:instrText xml:space="preserve"> PAGEREF _Toc377998989 \h </w:instrText>
      </w:r>
      <w:r>
        <w:fldChar w:fldCharType="separate"/>
      </w:r>
      <w:r>
        <w:t>16</w:t>
      </w:r>
      <w:r>
        <w:fldChar w:fldCharType="end"/>
      </w:r>
    </w:p>
    <w:p>
      <w:pPr>
        <w:pStyle w:val="TOC8"/>
        <w:rPr>
          <w:rFonts w:asciiTheme="minorHAnsi" w:eastAsiaTheme="minorEastAsia" w:hAnsiTheme="minorHAnsi" w:cstheme="minorBidi"/>
          <w:szCs w:val="22"/>
        </w:rPr>
      </w:pPr>
      <w:r>
        <w:t>11C.</w:t>
      </w:r>
      <w:r>
        <w:tab/>
        <w:t>Bookmaker’s licences — body corporate</w:t>
      </w:r>
      <w:r>
        <w:tab/>
      </w:r>
      <w:r>
        <w:fldChar w:fldCharType="begin"/>
      </w:r>
      <w:r>
        <w:instrText xml:space="preserve"> PAGEREF _Toc377998990 \h </w:instrText>
      </w:r>
      <w:r>
        <w:fldChar w:fldCharType="separate"/>
      </w:r>
      <w:r>
        <w:t>19</w:t>
      </w:r>
      <w:r>
        <w:fldChar w:fldCharType="end"/>
      </w:r>
    </w:p>
    <w:p>
      <w:pPr>
        <w:pStyle w:val="TOC8"/>
        <w:rPr>
          <w:rFonts w:asciiTheme="minorHAnsi" w:eastAsiaTheme="minorEastAsia" w:hAnsiTheme="minorHAnsi" w:cstheme="minorBidi"/>
          <w:szCs w:val="22"/>
        </w:rPr>
      </w:pPr>
      <w:r>
        <w:t>11D.</w:t>
      </w:r>
      <w:r>
        <w:tab/>
        <w:t>Licences — manager or employee</w:t>
      </w:r>
      <w:r>
        <w:tab/>
      </w:r>
      <w:r>
        <w:fldChar w:fldCharType="begin"/>
      </w:r>
      <w:r>
        <w:instrText xml:space="preserve"> PAGEREF _Toc377998991 \h </w:instrText>
      </w:r>
      <w:r>
        <w:fldChar w:fldCharType="separate"/>
      </w:r>
      <w:r>
        <w:t>23</w:t>
      </w:r>
      <w:r>
        <w:fldChar w:fldCharType="end"/>
      </w:r>
    </w:p>
    <w:p>
      <w:pPr>
        <w:pStyle w:val="TOC8"/>
        <w:rPr>
          <w:rFonts w:asciiTheme="minorHAnsi" w:eastAsiaTheme="minorEastAsia" w:hAnsiTheme="minorHAnsi" w:cstheme="minorBidi"/>
          <w:szCs w:val="22"/>
        </w:rPr>
      </w:pPr>
      <w:r>
        <w:t>11E.</w:t>
      </w:r>
      <w:r>
        <w:tab/>
        <w:t>Security</w:t>
      </w:r>
      <w:r>
        <w:tab/>
      </w:r>
      <w:r>
        <w:fldChar w:fldCharType="begin"/>
      </w:r>
      <w:r>
        <w:instrText xml:space="preserve"> PAGEREF _Toc377998992 \h </w:instrText>
      </w:r>
      <w:r>
        <w:fldChar w:fldCharType="separate"/>
      </w:r>
      <w:r>
        <w:t>26</w:t>
      </w:r>
      <w:r>
        <w:fldChar w:fldCharType="end"/>
      </w:r>
    </w:p>
    <w:p>
      <w:pPr>
        <w:pStyle w:val="TOC8"/>
        <w:rPr>
          <w:rFonts w:asciiTheme="minorHAnsi" w:eastAsiaTheme="minorEastAsia" w:hAnsiTheme="minorHAnsi" w:cstheme="minorBidi"/>
          <w:szCs w:val="22"/>
        </w:rPr>
      </w:pPr>
      <w:r>
        <w:t>11F.</w:t>
      </w:r>
      <w:r>
        <w:tab/>
        <w:t>Notification of Commission in relation to licensed manager</w:t>
      </w:r>
      <w:r>
        <w:tab/>
      </w:r>
      <w:r>
        <w:fldChar w:fldCharType="begin"/>
      </w:r>
      <w:r>
        <w:instrText xml:space="preserve"> PAGEREF _Toc377998993 \h </w:instrText>
      </w:r>
      <w:r>
        <w:fldChar w:fldCharType="separate"/>
      </w:r>
      <w:r>
        <w:t>29</w:t>
      </w:r>
      <w:r>
        <w:fldChar w:fldCharType="end"/>
      </w:r>
    </w:p>
    <w:p>
      <w:pPr>
        <w:pStyle w:val="TOC8"/>
        <w:rPr>
          <w:rFonts w:asciiTheme="minorHAnsi" w:eastAsiaTheme="minorEastAsia" w:hAnsiTheme="minorHAnsi" w:cstheme="minorBidi"/>
          <w:szCs w:val="22"/>
        </w:rPr>
      </w:pPr>
      <w:r>
        <w:t>11G.</w:t>
      </w:r>
      <w:r>
        <w:tab/>
        <w:t>Offences</w:t>
      </w:r>
      <w:r>
        <w:tab/>
      </w:r>
      <w:r>
        <w:fldChar w:fldCharType="begin"/>
      </w:r>
      <w:r>
        <w:instrText xml:space="preserve"> PAGEREF _Toc377998994 \h </w:instrText>
      </w:r>
      <w:r>
        <w:fldChar w:fldCharType="separate"/>
      </w:r>
      <w:r>
        <w:t>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Permits required to bet on race courses etc.</w:t>
      </w:r>
      <w:r>
        <w:tab/>
      </w:r>
      <w:r>
        <w:fldChar w:fldCharType="begin"/>
      </w:r>
      <w:r>
        <w:instrText xml:space="preserve"> PAGEREF _Toc377998995 \h </w:instrText>
      </w:r>
      <w:r>
        <w:fldChar w:fldCharType="separate"/>
      </w:r>
      <w:r>
        <w:t>31</w:t>
      </w:r>
      <w:r>
        <w:fldChar w:fldCharType="end"/>
      </w:r>
    </w:p>
    <w:p>
      <w:pPr>
        <w:pStyle w:val="TOC8"/>
        <w:rPr>
          <w:rFonts w:asciiTheme="minorHAnsi" w:eastAsiaTheme="minorEastAsia" w:hAnsiTheme="minorHAnsi" w:cstheme="minorBidi"/>
          <w:szCs w:val="22"/>
        </w:rPr>
      </w:pPr>
      <w:r>
        <w:t>12A.</w:t>
      </w:r>
      <w:r>
        <w:tab/>
        <w:t>Temporary bookmakers’ employees’ licences</w:t>
      </w:r>
      <w:r>
        <w:tab/>
      </w:r>
      <w:r>
        <w:fldChar w:fldCharType="begin"/>
      </w:r>
      <w:r>
        <w:instrText xml:space="preserve"> PAGEREF _Toc377998996 \h </w:instrText>
      </w:r>
      <w:r>
        <w:fldChar w:fldCharType="separate"/>
      </w:r>
      <w:r>
        <w:t>35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Bookmakers’ annual licence fee</w:t>
      </w:r>
      <w:r>
        <w:tab/>
      </w:r>
      <w:r>
        <w:fldChar w:fldCharType="begin"/>
      </w:r>
      <w:r>
        <w:instrText xml:space="preserve"> PAGEREF _Toc377998997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3</w:t>
      </w:r>
      <w:r>
        <w:rPr>
          <w:b w:val="0"/>
        </w:rPr>
        <w:t> </w:t>
      </w:r>
      <w:r>
        <w:t>—</w:t>
      </w:r>
      <w:r>
        <w:rPr>
          <w:b w:val="0"/>
        </w:rPr>
        <w:t> </w:t>
      </w:r>
      <w:r>
        <w:t>Levies and totalisators</w:t>
      </w:r>
    </w:p>
    <w:p>
      <w:pPr>
        <w:pStyle w:val="TOC8"/>
        <w:rPr>
          <w:rFonts w:asciiTheme="minorHAnsi" w:eastAsiaTheme="minorEastAsia" w:hAnsiTheme="minorHAnsi" w:cstheme="minorBidi"/>
          <w:szCs w:val="22"/>
        </w:rPr>
      </w:pPr>
      <w:r>
        <w:t>14A.</w:t>
      </w:r>
      <w:r>
        <w:tab/>
        <w:t>Betting operators’ liability to lodge returns and to pay racing bets levy</w:t>
      </w:r>
      <w:r>
        <w:tab/>
      </w:r>
      <w:r>
        <w:fldChar w:fldCharType="begin"/>
      </w:r>
      <w:r>
        <w:instrText xml:space="preserve"> PAGEREF _Toc377998999 \h </w:instrText>
      </w:r>
      <w:r>
        <w:fldChar w:fldCharType="separate"/>
      </w:r>
      <w:r>
        <w:t>40</w:t>
      </w:r>
      <w:r>
        <w:fldChar w:fldCharType="end"/>
      </w:r>
    </w:p>
    <w:p>
      <w:pPr>
        <w:pStyle w:val="TOC8"/>
        <w:rPr>
          <w:rFonts w:asciiTheme="minorHAnsi" w:eastAsiaTheme="minorEastAsia" w:hAnsiTheme="minorHAnsi" w:cstheme="minorBidi"/>
          <w:szCs w:val="22"/>
        </w:rPr>
      </w:pPr>
      <w:r>
        <w:t>14B.</w:t>
      </w:r>
      <w:r>
        <w:tab/>
        <w:t>Transitional</w:t>
      </w:r>
      <w:r>
        <w:tab/>
      </w:r>
      <w:r>
        <w:fldChar w:fldCharType="begin"/>
      </w:r>
      <w:r>
        <w:instrText xml:space="preserve"> PAGEREF _Toc377999000 \h </w:instrText>
      </w:r>
      <w:r>
        <w:fldChar w:fldCharType="separate"/>
      </w:r>
      <w:r>
        <w:t>41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Bookmakers’ liability to pay bookmakers’ betting levy</w:t>
      </w:r>
      <w:r>
        <w:tab/>
      </w:r>
      <w:r>
        <w:fldChar w:fldCharType="begin"/>
      </w:r>
      <w:r>
        <w:instrText xml:space="preserve"> PAGEREF _Toc377999001 \h </w:instrText>
      </w:r>
      <w:r>
        <w:fldChar w:fldCharType="separate"/>
      </w:r>
      <w:r>
        <w:t>42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Payment of levy by bookmakers on bets made at race meetings</w:t>
      </w:r>
      <w:r>
        <w:tab/>
      </w:r>
      <w:r>
        <w:fldChar w:fldCharType="begin"/>
      </w:r>
      <w:r>
        <w:instrText xml:space="preserve"> PAGEREF _Toc377999002 \h </w:instrText>
      </w:r>
      <w:r>
        <w:fldChar w:fldCharType="separate"/>
      </w:r>
      <w:r>
        <w:t>43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Payment of levy by bookmakers on bets made at registered premises</w:t>
      </w:r>
      <w:r>
        <w:tab/>
      </w:r>
      <w:r>
        <w:fldChar w:fldCharType="begin"/>
      </w:r>
      <w:r>
        <w:instrText xml:space="preserve"> PAGEREF _Toc377999003 \h </w:instrText>
      </w:r>
      <w:r>
        <w:fldChar w:fldCharType="separate"/>
      </w:r>
      <w:r>
        <w:t>46</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Books of account, records etc.</w:t>
      </w:r>
      <w:r>
        <w:tab/>
      </w:r>
      <w:r>
        <w:fldChar w:fldCharType="begin"/>
      </w:r>
      <w:r>
        <w:instrText xml:space="preserve"> PAGEREF _Toc377999004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Effect on liability for payment of levy where racing authority declares bets off etc.</w:t>
      </w:r>
      <w:r>
        <w:tab/>
      </w:r>
      <w:r>
        <w:fldChar w:fldCharType="begin"/>
      </w:r>
      <w:r>
        <w:instrText xml:space="preserve"> PAGEREF _Toc377999005 \h </w:instrText>
      </w:r>
      <w:r>
        <w:fldChar w:fldCharType="separate"/>
      </w:r>
      <w:r>
        <w:t>51</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Annual licence fee in respect of totalisators</w:t>
      </w:r>
      <w:r>
        <w:tab/>
      </w:r>
      <w:r>
        <w:fldChar w:fldCharType="begin"/>
      </w:r>
      <w:r>
        <w:instrText xml:space="preserve"> PAGEREF _Toc377999006 \h </w:instrText>
      </w:r>
      <w:r>
        <w:fldChar w:fldCharType="separate"/>
      </w:r>
      <w:r>
        <w:t>51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Use of the totalisator by racing clubs</w:t>
      </w:r>
      <w:r>
        <w:tab/>
      </w:r>
      <w:r>
        <w:fldChar w:fldCharType="begin"/>
      </w:r>
      <w:r>
        <w:instrText xml:space="preserve"> PAGEREF _Toc377999007 \h </w:instrText>
      </w:r>
      <w:r>
        <w:fldChar w:fldCharType="separate"/>
      </w:r>
      <w:r>
        <w:t>53</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Making of bets on designated sporting events not authorised</w:t>
      </w:r>
      <w:r>
        <w:tab/>
      </w:r>
      <w:r>
        <w:fldChar w:fldCharType="begin"/>
      </w:r>
      <w:r>
        <w:instrText xml:space="preserve"> PAGEREF _Toc377999008 \h </w:instrText>
      </w:r>
      <w:r>
        <w:fldChar w:fldCharType="separate"/>
      </w:r>
      <w:r>
        <w:t>55</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r>
      <w:r>
        <w:t>Commission</w:t>
      </w:r>
      <w:r>
        <w:rPr>
          <w:snapToGrid w:val="0"/>
        </w:rPr>
        <w:t xml:space="preserve"> may authorise possession and operation of a totalisator by a racing club</w:t>
      </w:r>
      <w:r>
        <w:tab/>
      </w:r>
      <w:r>
        <w:fldChar w:fldCharType="begin"/>
      </w:r>
      <w:r>
        <w:instrText xml:space="preserve"> PAGEREF _Toc377999009 \h </w:instrText>
      </w:r>
      <w:r>
        <w:fldChar w:fldCharType="separate"/>
      </w:r>
      <w:r>
        <w:t>55</w:t>
      </w:r>
      <w:r>
        <w:fldChar w:fldCharType="end"/>
      </w:r>
    </w:p>
    <w:p>
      <w:pPr>
        <w:pStyle w:val="TOC8"/>
        <w:rPr>
          <w:rFonts w:asciiTheme="minorHAnsi" w:eastAsiaTheme="minorEastAsia" w:hAnsiTheme="minorHAnsi" w:cstheme="minorBidi"/>
          <w:szCs w:val="22"/>
        </w:rPr>
      </w:pPr>
      <w:r>
        <w:t>17E</w:t>
      </w:r>
      <w:r>
        <w:rPr>
          <w:snapToGrid w:val="0"/>
        </w:rPr>
        <w:t>.</w:t>
      </w:r>
      <w:r>
        <w:rPr>
          <w:snapToGrid w:val="0"/>
        </w:rPr>
        <w:tab/>
        <w:t>Percentage of off course bets to belong to RWWA</w:t>
      </w:r>
      <w:r>
        <w:tab/>
      </w:r>
      <w:r>
        <w:fldChar w:fldCharType="begin"/>
      </w:r>
      <w:r>
        <w:instrText xml:space="preserve"> PAGEREF _Toc377999010 \h </w:instrText>
      </w:r>
      <w:r>
        <w:fldChar w:fldCharType="separate"/>
      </w:r>
      <w:r>
        <w:t>56</w:t>
      </w:r>
      <w:r>
        <w:fldChar w:fldCharType="end"/>
      </w:r>
    </w:p>
    <w:p>
      <w:pPr>
        <w:pStyle w:val="TOC8"/>
        <w:rPr>
          <w:rFonts w:asciiTheme="minorHAnsi" w:eastAsiaTheme="minorEastAsia" w:hAnsiTheme="minorHAnsi" w:cstheme="minorBidi"/>
          <w:szCs w:val="22"/>
        </w:rPr>
      </w:pPr>
      <w:r>
        <w:t>17EA.</w:t>
      </w:r>
      <w:r>
        <w:tab/>
        <w:t xml:space="preserve">Management of fixed odds </w:t>
      </w:r>
      <w:r>
        <w:rPr>
          <w:snapToGrid w:val="0"/>
        </w:rPr>
        <w:t>—</w:t>
      </w:r>
      <w:r>
        <w:t xml:space="preserve"> prescribed margin</w:t>
      </w:r>
      <w:r>
        <w:tab/>
      </w:r>
      <w:r>
        <w:fldChar w:fldCharType="begin"/>
      </w:r>
      <w:r>
        <w:instrText xml:space="preserve"> PAGEREF _Toc377999011 \h </w:instrText>
      </w:r>
      <w:r>
        <w:fldChar w:fldCharType="separate"/>
      </w:r>
      <w:r>
        <w:t>57</w:t>
      </w:r>
      <w:r>
        <w:fldChar w:fldCharType="end"/>
      </w:r>
    </w:p>
    <w:p>
      <w:pPr>
        <w:pStyle w:val="TOC8"/>
        <w:rPr>
          <w:rFonts w:asciiTheme="minorHAnsi" w:eastAsiaTheme="minorEastAsia" w:hAnsiTheme="minorHAnsi" w:cstheme="minorBidi"/>
          <w:szCs w:val="22"/>
        </w:rPr>
      </w:pPr>
      <w:r>
        <w:t>17F</w:t>
      </w:r>
      <w:r>
        <w:rPr>
          <w:snapToGrid w:val="0"/>
        </w:rPr>
        <w:t>.</w:t>
      </w:r>
      <w:r>
        <w:rPr>
          <w:snapToGrid w:val="0"/>
        </w:rPr>
        <w:tab/>
        <w:t>Percentage of bets to belong to racing club</w:t>
      </w:r>
      <w:r>
        <w:tab/>
      </w:r>
      <w:r>
        <w:fldChar w:fldCharType="begin"/>
      </w:r>
      <w:r>
        <w:instrText xml:space="preserve"> PAGEREF _Toc377999012 \h </w:instrText>
      </w:r>
      <w:r>
        <w:fldChar w:fldCharType="separate"/>
      </w:r>
      <w:r>
        <w:t>57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Omission of bets from records or returns does not affect liability for levy or penalty</w:t>
      </w:r>
      <w:r>
        <w:tab/>
      </w:r>
      <w:r>
        <w:fldChar w:fldCharType="begin"/>
      </w:r>
      <w:r>
        <w:instrText xml:space="preserve"> PAGEREF _Toc377999013 \h </w:instrText>
      </w:r>
      <w:r>
        <w:fldChar w:fldCharType="separate"/>
      </w:r>
      <w:r>
        <w:t>58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Payment of levy</w:t>
      </w:r>
      <w:r>
        <w:tab/>
      </w:r>
      <w:r>
        <w:fldChar w:fldCharType="begin"/>
      </w:r>
      <w:r>
        <w:instrText xml:space="preserve"> PAGEREF _Toc377999014 \h </w:instrText>
      </w:r>
      <w:r>
        <w:fldChar w:fldCharType="separate"/>
      </w:r>
      <w:r>
        <w:t>58</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Assessments, and additional levy</w:t>
      </w:r>
      <w:r>
        <w:tab/>
      </w:r>
      <w:r>
        <w:fldChar w:fldCharType="begin"/>
      </w:r>
      <w:r>
        <w:instrText xml:space="preserve"> PAGEREF _Toc377999015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Enforcement and offences</w:t>
      </w:r>
    </w:p>
    <w:p>
      <w:pPr>
        <w:pStyle w:val="TOC8"/>
        <w:rPr>
          <w:rFonts w:asciiTheme="minorHAnsi" w:eastAsiaTheme="minorEastAsia" w:hAnsiTheme="minorHAnsi" w:cstheme="minorBidi"/>
          <w:szCs w:val="22"/>
        </w:rPr>
      </w:pPr>
      <w:r>
        <w:t>19</w:t>
      </w:r>
      <w:r>
        <w:rPr>
          <w:snapToGrid w:val="0"/>
        </w:rPr>
        <w:t>.</w:t>
      </w:r>
      <w:r>
        <w:rPr>
          <w:snapToGrid w:val="0"/>
        </w:rPr>
        <w:tab/>
      </w:r>
      <w:r>
        <w:t>Commission</w:t>
      </w:r>
      <w:r>
        <w:rPr>
          <w:snapToGrid w:val="0"/>
        </w:rPr>
        <w:t xml:space="preserve"> may sue bookmaker for unpaid levy</w:t>
      </w:r>
      <w:r>
        <w:tab/>
      </w:r>
      <w:r>
        <w:fldChar w:fldCharType="begin"/>
      </w:r>
      <w:r>
        <w:instrText xml:space="preserve"> PAGEREF _Toc377999017 \h </w:instrText>
      </w:r>
      <w:r>
        <w:fldChar w:fldCharType="separate"/>
      </w:r>
      <w:r>
        <w:t>62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r>
      <w:r>
        <w:t>Commission</w:t>
      </w:r>
      <w:r>
        <w:rPr>
          <w:snapToGrid w:val="0"/>
        </w:rPr>
        <w:t xml:space="preserve"> may recover unpaid money in respect of an annual licence fee</w:t>
      </w:r>
      <w:r>
        <w:tab/>
      </w:r>
      <w:r>
        <w:fldChar w:fldCharType="begin"/>
      </w:r>
      <w:r>
        <w:instrText xml:space="preserve"> PAGEREF _Toc377999018 \h </w:instrText>
      </w:r>
      <w:r>
        <w:fldChar w:fldCharType="separate"/>
      </w:r>
      <w:r>
        <w:t>62</w:t>
      </w:r>
      <w:r>
        <w:fldChar w:fldCharType="end"/>
      </w:r>
    </w:p>
    <w:p>
      <w:pPr>
        <w:pStyle w:val="TOC8"/>
        <w:rPr>
          <w:rFonts w:asciiTheme="minorHAnsi" w:eastAsiaTheme="minorEastAsia" w:hAnsiTheme="minorHAnsi" w:cstheme="minorBidi"/>
          <w:szCs w:val="22"/>
        </w:rPr>
      </w:pPr>
      <w:r>
        <w:t>20.</w:t>
      </w:r>
      <w:r>
        <w:tab/>
        <w:t>Entry and inspection of race courses and certain other premises</w:t>
      </w:r>
      <w:r>
        <w:tab/>
      </w:r>
      <w:r>
        <w:fldChar w:fldCharType="begin"/>
      </w:r>
      <w:r>
        <w:instrText xml:space="preserve"> PAGEREF _Toc377999019 \h </w:instrText>
      </w:r>
      <w:r>
        <w:fldChar w:fldCharType="separate"/>
      </w:r>
      <w:r>
        <w:t>63</w:t>
      </w:r>
      <w:r>
        <w:fldChar w:fldCharType="end"/>
      </w:r>
    </w:p>
    <w:p>
      <w:pPr>
        <w:pStyle w:val="TOC8"/>
        <w:rPr>
          <w:rFonts w:asciiTheme="minorHAnsi" w:eastAsiaTheme="minorEastAsia" w:hAnsiTheme="minorHAnsi" w:cstheme="minorBidi"/>
          <w:szCs w:val="22"/>
        </w:rPr>
      </w:pPr>
      <w:r>
        <w:t>20A.</w:t>
      </w:r>
      <w:r>
        <w:tab/>
        <w:t>Powers of Commission representative</w:t>
      </w:r>
      <w:r>
        <w:tab/>
      </w:r>
      <w:r>
        <w:fldChar w:fldCharType="begin"/>
      </w:r>
      <w:r>
        <w:instrText xml:space="preserve"> PAGEREF _Toc377999020 \h </w:instrText>
      </w:r>
      <w:r>
        <w:fldChar w:fldCharType="separate"/>
      </w:r>
      <w:r>
        <w:t>64</w:t>
      </w:r>
      <w:r>
        <w:fldChar w:fldCharType="end"/>
      </w:r>
    </w:p>
    <w:p>
      <w:pPr>
        <w:pStyle w:val="TOC8"/>
        <w:rPr>
          <w:rFonts w:asciiTheme="minorHAnsi" w:eastAsiaTheme="minorEastAsia" w:hAnsiTheme="minorHAnsi" w:cstheme="minorBidi"/>
          <w:szCs w:val="22"/>
        </w:rPr>
      </w:pPr>
      <w:r>
        <w:t>20B.</w:t>
      </w:r>
      <w:r>
        <w:tab/>
        <w:t>Requirement to provide information</w:t>
      </w:r>
      <w:r>
        <w:tab/>
      </w:r>
      <w:r>
        <w:fldChar w:fldCharType="begin"/>
      </w:r>
      <w:r>
        <w:instrText xml:space="preserve"> PAGEREF _Toc377999021 \h </w:instrText>
      </w:r>
      <w:r>
        <w:fldChar w:fldCharType="separate"/>
      </w:r>
      <w:r>
        <w:t>67</w:t>
      </w:r>
      <w:r>
        <w:fldChar w:fldCharType="end"/>
      </w:r>
    </w:p>
    <w:p>
      <w:pPr>
        <w:pStyle w:val="TOC8"/>
        <w:rPr>
          <w:rFonts w:asciiTheme="minorHAnsi" w:eastAsiaTheme="minorEastAsia" w:hAnsiTheme="minorHAnsi" w:cstheme="minorBidi"/>
          <w:szCs w:val="22"/>
        </w:rPr>
      </w:pPr>
      <w:r>
        <w:t>20C.</w:t>
      </w:r>
      <w:r>
        <w:tab/>
        <w:t>Complying with information requirements</w:t>
      </w:r>
      <w:r>
        <w:tab/>
      </w:r>
      <w:r>
        <w:fldChar w:fldCharType="begin"/>
      </w:r>
      <w:r>
        <w:instrText xml:space="preserve"> PAGEREF _Toc377999022 \h </w:instrText>
      </w:r>
      <w:r>
        <w:fldChar w:fldCharType="separate"/>
      </w:r>
      <w:r>
        <w:t>68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Prohibition of betting with minors, intoxicated persons, etc.</w:t>
      </w:r>
      <w:r>
        <w:tab/>
      </w:r>
      <w:r>
        <w:fldChar w:fldCharType="begin"/>
      </w:r>
      <w:r>
        <w:instrText xml:space="preserve"> PAGEREF _Toc377999023 \h </w:instrText>
      </w:r>
      <w:r>
        <w:fldChar w:fldCharType="separate"/>
      </w:r>
      <w:r>
        <w:t>68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Offences by minors</w:t>
      </w:r>
      <w:r>
        <w:tab/>
      </w:r>
      <w:r>
        <w:fldChar w:fldCharType="begin"/>
      </w:r>
      <w:r>
        <w:instrText xml:space="preserve"> PAGEREF _Toc377999024 \h </w:instrText>
      </w:r>
      <w:r>
        <w:fldChar w:fldCharType="separate"/>
      </w:r>
      <w:r>
        <w:t>70</w:t>
      </w:r>
      <w:r>
        <w:fldChar w:fldCharType="end"/>
      </w:r>
    </w:p>
    <w:p>
      <w:pPr>
        <w:pStyle w:val="TOC8"/>
        <w:rPr>
          <w:rFonts w:asciiTheme="minorHAnsi" w:eastAsiaTheme="minorEastAsia" w:hAnsiTheme="minorHAnsi" w:cstheme="minorBidi"/>
          <w:szCs w:val="22"/>
        </w:rPr>
      </w:pPr>
      <w:r>
        <w:t>22A.</w:t>
      </w:r>
      <w:r>
        <w:tab/>
        <w:t>Prohibition on assisting minors to bet</w:t>
      </w:r>
      <w:r>
        <w:tab/>
      </w:r>
      <w:r>
        <w:fldChar w:fldCharType="begin"/>
      </w:r>
      <w:r>
        <w:instrText xml:space="preserve"> PAGEREF _Toc377999025 \h </w:instrText>
      </w:r>
      <w:r>
        <w:fldChar w:fldCharType="separate"/>
      </w:r>
      <w:r>
        <w:t>71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Prohibition of betting on races unless in accordance with this Act</w:t>
      </w:r>
      <w:r>
        <w:tab/>
      </w:r>
      <w:r>
        <w:fldChar w:fldCharType="begin"/>
      </w:r>
      <w:r>
        <w:instrText xml:space="preserve"> PAGEREF _Toc377999026 \h </w:instrText>
      </w:r>
      <w:r>
        <w:fldChar w:fldCharType="separate"/>
      </w:r>
      <w:r>
        <w:t>72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Unlawful betting</w:t>
      </w:r>
      <w:r>
        <w:tab/>
      </w:r>
      <w:r>
        <w:fldChar w:fldCharType="begin"/>
      </w:r>
      <w:r>
        <w:instrText xml:space="preserve"> PAGEREF _Toc377999027 \h </w:instrText>
      </w:r>
      <w:r>
        <w:fldChar w:fldCharType="separate"/>
      </w:r>
      <w:r>
        <w:t>73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Bookmakers may be ordered not to bet</w:t>
      </w:r>
      <w:r>
        <w:tab/>
      </w:r>
      <w:r>
        <w:fldChar w:fldCharType="begin"/>
      </w:r>
      <w:r>
        <w:instrText xml:space="preserve"> PAGEREF _Toc377999028 \h </w:instrText>
      </w:r>
      <w:r>
        <w:fldChar w:fldCharType="separate"/>
      </w:r>
      <w:r>
        <w:t>75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Loitering in street or public place</w:t>
      </w:r>
      <w:r>
        <w:tab/>
      </w:r>
      <w:r>
        <w:fldChar w:fldCharType="begin"/>
      </w:r>
      <w:r>
        <w:instrText xml:space="preserve"> PAGEREF _Toc377999029 \h </w:instrText>
      </w:r>
      <w:r>
        <w:fldChar w:fldCharType="separate"/>
      </w:r>
      <w:r>
        <w:t>75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Removal of persons</w:t>
      </w:r>
      <w:r>
        <w:tab/>
      </w:r>
      <w:r>
        <w:fldChar w:fldCharType="begin"/>
      </w:r>
      <w:r>
        <w:instrText xml:space="preserve"> PAGEREF _Toc377999030 \h </w:instrText>
      </w:r>
      <w:r>
        <w:fldChar w:fldCharType="separate"/>
      </w:r>
      <w:r>
        <w:t>76</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Penalty for persons warning offenders of the approach of a member of the Police Force</w:t>
      </w:r>
      <w:r>
        <w:tab/>
      </w:r>
      <w:r>
        <w:fldChar w:fldCharType="begin"/>
      </w:r>
      <w:r>
        <w:instrText xml:space="preserve"> PAGEREF _Toc377999031 \h </w:instrText>
      </w:r>
      <w:r>
        <w:fldChar w:fldCharType="separate"/>
      </w:r>
      <w:r>
        <w:t>76</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Unlawful betting on licensed premises</w:t>
      </w:r>
      <w:r>
        <w:tab/>
      </w:r>
      <w:r>
        <w:fldChar w:fldCharType="begin"/>
      </w:r>
      <w:r>
        <w:instrText xml:space="preserve"> PAGEREF _Toc377999032 \h </w:instrText>
      </w:r>
      <w:r>
        <w:fldChar w:fldCharType="separate"/>
      </w:r>
      <w:r>
        <w:t>77</w:t>
      </w:r>
      <w:r>
        <w:fldChar w:fldCharType="end"/>
      </w:r>
    </w:p>
    <w:p>
      <w:pPr>
        <w:pStyle w:val="TOC8"/>
        <w:rPr>
          <w:rFonts w:asciiTheme="minorHAnsi" w:eastAsiaTheme="minorEastAsia" w:hAnsiTheme="minorHAnsi" w:cstheme="minorBidi"/>
          <w:szCs w:val="22"/>
        </w:rPr>
      </w:pPr>
      <w:r>
        <w:t>27.</w:t>
      </w:r>
      <w:r>
        <w:tab/>
        <w:t>Penalty on owner or occupier of premises used for unlawful betting</w:t>
      </w:r>
      <w:r>
        <w:tab/>
      </w:r>
      <w:r>
        <w:fldChar w:fldCharType="begin"/>
      </w:r>
      <w:r>
        <w:instrText xml:space="preserve"> PAGEREF _Toc377999033 \h </w:instrText>
      </w:r>
      <w:r>
        <w:fldChar w:fldCharType="separate"/>
      </w:r>
      <w:r>
        <w:t>78</w:t>
      </w:r>
      <w:r>
        <w:fldChar w:fldCharType="end"/>
      </w:r>
    </w:p>
    <w:p>
      <w:pPr>
        <w:pStyle w:val="TOC8"/>
        <w:rPr>
          <w:rFonts w:asciiTheme="minorHAnsi" w:eastAsiaTheme="minorEastAsia" w:hAnsiTheme="minorHAnsi" w:cstheme="minorBidi"/>
          <w:szCs w:val="22"/>
        </w:rPr>
      </w:pPr>
      <w:r>
        <w:t>27A.</w:t>
      </w:r>
      <w:r>
        <w:tab/>
        <w:t>Offshore betting</w:t>
      </w:r>
      <w:r>
        <w:tab/>
      </w:r>
      <w:r>
        <w:fldChar w:fldCharType="begin"/>
      </w:r>
      <w:r>
        <w:instrText xml:space="preserve"> PAGEREF _Toc377999034 \h </w:instrText>
      </w:r>
      <w:r>
        <w:fldChar w:fldCharType="separate"/>
      </w:r>
      <w:r>
        <w:t>79</w:t>
      </w:r>
      <w:r>
        <w:fldChar w:fldCharType="end"/>
      </w:r>
    </w:p>
    <w:p>
      <w:pPr>
        <w:pStyle w:val="TOC8"/>
        <w:rPr>
          <w:rFonts w:asciiTheme="minorHAnsi" w:eastAsiaTheme="minorEastAsia" w:hAnsiTheme="minorHAnsi" w:cstheme="minorBidi"/>
          <w:szCs w:val="22"/>
        </w:rPr>
      </w:pPr>
      <w:r>
        <w:t>27D.</w:t>
      </w:r>
      <w:r>
        <w:tab/>
        <w:t>Publication of WA race fields restricted</w:t>
      </w:r>
      <w:r>
        <w:tab/>
      </w:r>
      <w:r>
        <w:fldChar w:fldCharType="begin"/>
      </w:r>
      <w:r>
        <w:instrText xml:space="preserve"> PAGEREF _Toc377999035 \h </w:instrText>
      </w:r>
      <w:r>
        <w:fldChar w:fldCharType="separate"/>
      </w:r>
      <w:r>
        <w:t>81</w:t>
      </w:r>
      <w:r>
        <w:fldChar w:fldCharType="end"/>
      </w:r>
    </w:p>
    <w:p>
      <w:pPr>
        <w:pStyle w:val="TOC8"/>
        <w:rPr>
          <w:rFonts w:asciiTheme="minorHAnsi" w:eastAsiaTheme="minorEastAsia" w:hAnsiTheme="minorHAnsi" w:cstheme="minorBidi"/>
          <w:szCs w:val="22"/>
        </w:rPr>
      </w:pPr>
      <w:r>
        <w:t>27E.</w:t>
      </w:r>
      <w:r>
        <w:tab/>
        <w:t>Confidentiality</w:t>
      </w:r>
      <w:r>
        <w:tab/>
      </w:r>
      <w:r>
        <w:fldChar w:fldCharType="begin"/>
      </w:r>
      <w:r>
        <w:instrText xml:space="preserve"> PAGEREF _Toc377999036 \h </w:instrText>
      </w:r>
      <w:r>
        <w:fldChar w:fldCharType="separate"/>
      </w:r>
      <w:r>
        <w:t>83</w:t>
      </w:r>
      <w:r>
        <w:fldChar w:fldCharType="end"/>
      </w:r>
    </w:p>
    <w:p>
      <w:pPr>
        <w:pStyle w:val="TOC8"/>
        <w:rPr>
          <w:rFonts w:asciiTheme="minorHAnsi" w:eastAsiaTheme="minorEastAsia" w:hAnsiTheme="minorHAnsi" w:cstheme="minorBidi"/>
          <w:szCs w:val="22"/>
        </w:rPr>
      </w:pPr>
      <w:r>
        <w:t>27F.</w:t>
      </w:r>
      <w:r>
        <w:tab/>
        <w:t>Authorisation of publication of WA race fields by domestic betting operators</w:t>
      </w:r>
      <w:r>
        <w:tab/>
      </w:r>
      <w:r>
        <w:fldChar w:fldCharType="begin"/>
      </w:r>
      <w:r>
        <w:instrText xml:space="preserve"> PAGEREF _Toc377999037 \h </w:instrText>
      </w:r>
      <w:r>
        <w:fldChar w:fldCharType="separate"/>
      </w:r>
      <w:r>
        <w:t>84</w:t>
      </w:r>
      <w:r>
        <w:fldChar w:fldCharType="end"/>
      </w:r>
    </w:p>
    <w:p>
      <w:pPr>
        <w:pStyle w:val="TOC8"/>
        <w:rPr>
          <w:rFonts w:asciiTheme="minorHAnsi" w:eastAsiaTheme="minorEastAsia" w:hAnsiTheme="minorHAnsi" w:cstheme="minorBidi"/>
          <w:szCs w:val="22"/>
        </w:rPr>
      </w:pPr>
      <w:r>
        <w:t>27G.</w:t>
      </w:r>
      <w:r>
        <w:tab/>
        <w:t>Liability of persons who occupy a position of authority in a body corporate</w:t>
      </w:r>
      <w:r>
        <w:tab/>
      </w:r>
      <w:r>
        <w:fldChar w:fldCharType="begin"/>
      </w:r>
      <w:r>
        <w:instrText xml:space="preserve"> PAGEREF _Toc377999038 \h </w:instrText>
      </w:r>
      <w:r>
        <w:fldChar w:fldCharType="separate"/>
      </w:r>
      <w:r>
        <w:t>86</w:t>
      </w:r>
      <w:r>
        <w:fldChar w:fldCharType="end"/>
      </w:r>
    </w:p>
    <w:p>
      <w:pPr>
        <w:pStyle w:val="TOC8"/>
        <w:rPr>
          <w:rFonts w:asciiTheme="minorHAnsi" w:eastAsiaTheme="minorEastAsia" w:hAnsiTheme="minorHAnsi" w:cstheme="minorBidi"/>
          <w:szCs w:val="22"/>
        </w:rPr>
      </w:pPr>
      <w:r>
        <w:t>27H.</w:t>
      </w:r>
      <w:r>
        <w:tab/>
        <w:t>Liability of natural persons, partners, bodies corporate and officers</w:t>
      </w:r>
      <w:r>
        <w:tab/>
      </w:r>
      <w:r>
        <w:fldChar w:fldCharType="begin"/>
      </w:r>
      <w:r>
        <w:instrText xml:space="preserve"> PAGEREF _Toc377999039 \h </w:instrText>
      </w:r>
      <w:r>
        <w:fldChar w:fldCharType="separate"/>
      </w:r>
      <w:r>
        <w:t>86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Forfeiture of betting material and money in certain cases</w:t>
      </w:r>
      <w:r>
        <w:tab/>
      </w:r>
      <w:r>
        <w:fldChar w:fldCharType="begin"/>
      </w:r>
      <w:r>
        <w:instrText xml:space="preserve"> PAGEREF _Toc377999040 \h </w:instrText>
      </w:r>
      <w:r>
        <w:fldChar w:fldCharType="separate"/>
      </w:r>
      <w:r>
        <w:t>87</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Search warrant</w:t>
      </w:r>
      <w:r>
        <w:tab/>
      </w:r>
      <w:r>
        <w:fldChar w:fldCharType="begin"/>
      </w:r>
      <w:r>
        <w:instrText xml:space="preserve"> PAGEREF _Toc377999041 \h </w:instrText>
      </w:r>
      <w:r>
        <w:fldChar w:fldCharType="separate"/>
      </w:r>
      <w:r>
        <w:t>88</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Prima facie evidence of offence</w:t>
      </w:r>
      <w:r>
        <w:tab/>
      </w:r>
      <w:r>
        <w:fldChar w:fldCharType="begin"/>
      </w:r>
      <w:r>
        <w:instrText xml:space="preserve"> PAGEREF _Toc377999042 \h </w:instrText>
      </w:r>
      <w:r>
        <w:fldChar w:fldCharType="separate"/>
      </w:r>
      <w:r>
        <w:t>89</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Offences in respect of conducting totalisator agencies</w:t>
      </w:r>
      <w:r>
        <w:tab/>
      </w:r>
      <w:r>
        <w:fldChar w:fldCharType="begin"/>
      </w:r>
      <w:r>
        <w:instrText xml:space="preserve"> PAGEREF _Toc377999043 \h </w:instrText>
      </w:r>
      <w:r>
        <w:fldChar w:fldCharType="separate"/>
      </w:r>
      <w:r>
        <w:t>90</w:t>
      </w:r>
      <w:r>
        <w:fldChar w:fldCharType="end"/>
      </w:r>
    </w:p>
    <w:p>
      <w:pPr>
        <w:pStyle w:val="TOC8"/>
        <w:rPr>
          <w:rFonts w:asciiTheme="minorHAnsi" w:eastAsiaTheme="minorEastAsia" w:hAnsiTheme="minorHAnsi" w:cstheme="minorBidi"/>
          <w:szCs w:val="22"/>
        </w:rPr>
      </w:pPr>
      <w:r>
        <w:t>28D</w:t>
      </w:r>
      <w:r>
        <w:rPr>
          <w:snapToGrid w:val="0"/>
        </w:rPr>
        <w:t>.</w:t>
      </w:r>
      <w:r>
        <w:rPr>
          <w:snapToGrid w:val="0"/>
        </w:rPr>
        <w:tab/>
        <w:t>Penalty for acting as totalisator agent</w:t>
      </w:r>
      <w:r>
        <w:tab/>
      </w:r>
      <w:r>
        <w:fldChar w:fldCharType="begin"/>
      </w:r>
      <w:r>
        <w:instrText xml:space="preserve"> PAGEREF _Toc377999044 \h </w:instrText>
      </w:r>
      <w:r>
        <w:fldChar w:fldCharType="separate"/>
      </w:r>
      <w:r>
        <w:t>91</w:t>
      </w:r>
      <w:r>
        <w:fldChar w:fldCharType="end"/>
      </w:r>
    </w:p>
    <w:p>
      <w:pPr>
        <w:pStyle w:val="TOC8"/>
        <w:rPr>
          <w:rFonts w:asciiTheme="minorHAnsi" w:eastAsiaTheme="minorEastAsia" w:hAnsiTheme="minorHAnsi" w:cstheme="minorBidi"/>
          <w:szCs w:val="22"/>
        </w:rPr>
      </w:pPr>
      <w: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r>
        <w:tab/>
      </w:r>
      <w:r>
        <w:fldChar w:fldCharType="begin"/>
      </w:r>
      <w:r>
        <w:instrText xml:space="preserve"> PAGEREF _Toc377999045 \h </w:instrText>
      </w:r>
      <w:r>
        <w:fldChar w:fldCharType="separate"/>
      </w:r>
      <w:r>
        <w:t>92</w:t>
      </w:r>
      <w:r>
        <w:fldChar w:fldCharType="end"/>
      </w:r>
    </w:p>
    <w:p>
      <w:pPr>
        <w:pStyle w:val="TOC8"/>
        <w:rPr>
          <w:rFonts w:asciiTheme="minorHAnsi" w:eastAsiaTheme="minorEastAsia" w:hAnsiTheme="minorHAnsi" w:cstheme="minorBidi"/>
          <w:szCs w:val="22"/>
        </w:rPr>
      </w:pPr>
      <w:r>
        <w:t>28F</w:t>
      </w:r>
      <w:r>
        <w:rPr>
          <w:snapToGrid w:val="0"/>
        </w:rPr>
        <w:t>.</w:t>
      </w:r>
      <w:r>
        <w:rPr>
          <w:snapToGrid w:val="0"/>
        </w:rPr>
        <w:tab/>
        <w:t>Non</w:t>
      </w:r>
      <w:r>
        <w:rPr>
          <w:snapToGrid w:val="0"/>
        </w:rPr>
        <w:noBreakHyphen/>
        <w:t>application of sections 28D and 28E</w:t>
      </w:r>
      <w:r>
        <w:tab/>
      </w:r>
      <w:r>
        <w:fldChar w:fldCharType="begin"/>
      </w:r>
      <w:r>
        <w:instrText xml:space="preserve"> PAGEREF _Toc377999046 \h </w:instrText>
      </w:r>
      <w:r>
        <w:fldChar w:fldCharType="separate"/>
      </w:r>
      <w:r>
        <w:t>92</w:t>
      </w:r>
      <w:r>
        <w:fldChar w:fldCharType="end"/>
      </w:r>
    </w:p>
    <w:p>
      <w:pPr>
        <w:pStyle w:val="TOC8"/>
        <w:rPr>
          <w:rFonts w:asciiTheme="minorHAnsi" w:eastAsiaTheme="minorEastAsia" w:hAnsiTheme="minorHAnsi" w:cstheme="minorBidi"/>
          <w:szCs w:val="22"/>
        </w:rPr>
      </w:pPr>
      <w:r>
        <w:t>28G</w:t>
      </w:r>
      <w:r>
        <w:rPr>
          <w:snapToGrid w:val="0"/>
        </w:rPr>
        <w:t>.</w:t>
      </w:r>
      <w:r>
        <w:rPr>
          <w:snapToGrid w:val="0"/>
        </w:rPr>
        <w:tab/>
        <w:t>Penalty for accepting bets after closing time</w:t>
      </w:r>
      <w:r>
        <w:tab/>
      </w:r>
      <w:r>
        <w:fldChar w:fldCharType="begin"/>
      </w:r>
      <w:r>
        <w:instrText xml:space="preserve"> PAGEREF _Toc377999047 \h </w:instrText>
      </w:r>
      <w:r>
        <w:fldChar w:fldCharType="separate"/>
      </w:r>
      <w:r>
        <w:t>93</w:t>
      </w:r>
      <w:r>
        <w:fldChar w:fldCharType="end"/>
      </w:r>
    </w:p>
    <w:p>
      <w:pPr>
        <w:pStyle w:val="TOC8"/>
        <w:rPr>
          <w:rFonts w:asciiTheme="minorHAnsi" w:eastAsiaTheme="minorEastAsia" w:hAnsiTheme="minorHAnsi" w:cstheme="minorBidi"/>
          <w:szCs w:val="22"/>
        </w:rPr>
      </w:pPr>
      <w:r>
        <w:t>29.</w:t>
      </w:r>
      <w:r>
        <w:tab/>
        <w:t>Penalty for providing credit</w:t>
      </w:r>
      <w:r>
        <w:tab/>
      </w:r>
      <w:r>
        <w:fldChar w:fldCharType="begin"/>
      </w:r>
      <w:r>
        <w:instrText xml:space="preserve"> PAGEREF _Toc377999048 \h </w:instrText>
      </w:r>
      <w:r>
        <w:fldChar w:fldCharType="separate"/>
      </w:r>
      <w:r>
        <w:t>94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penalty</w:t>
      </w:r>
      <w:r>
        <w:tab/>
      </w:r>
      <w:r>
        <w:fldChar w:fldCharType="begin"/>
      </w:r>
      <w:r>
        <w:instrText xml:space="preserve"> PAGEREF _Toc377999049 \h </w:instrText>
      </w:r>
      <w:r>
        <w:fldChar w:fldCharType="separate"/>
      </w:r>
      <w:r>
        <w:t>94</w:t>
      </w:r>
      <w:r>
        <w:fldChar w:fldCharType="end"/>
      </w:r>
    </w:p>
    <w:p>
      <w:pPr>
        <w:pStyle w:val="TOC8"/>
        <w:rPr>
          <w:rFonts w:asciiTheme="minorHAnsi" w:eastAsiaTheme="minorEastAsia" w:hAnsiTheme="minorHAnsi" w:cstheme="minorBidi"/>
          <w:szCs w:val="22"/>
        </w:rPr>
      </w:pPr>
      <w:r>
        <w:t>30A.</w:t>
      </w:r>
      <w:r>
        <w:tab/>
      </w:r>
      <w:r>
        <w:rPr>
          <w:snapToGrid w:val="0"/>
        </w:rPr>
        <w:t>Offences to be dealt with by a magistrate</w:t>
      </w:r>
      <w:r>
        <w:tab/>
      </w:r>
      <w:r>
        <w:fldChar w:fldCharType="begin"/>
      </w:r>
      <w:r>
        <w:instrText xml:space="preserve"> PAGEREF _Toc377999050 \h </w:instrText>
      </w:r>
      <w:r>
        <w:fldChar w:fldCharType="separate"/>
      </w:r>
      <w:r>
        <w:t>95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Conduct of betting</w:t>
      </w:r>
      <w:r>
        <w:tab/>
      </w:r>
      <w:r>
        <w:fldChar w:fldCharType="begin"/>
      </w:r>
      <w:r>
        <w:instrText xml:space="preserve"> PAGEREF _Toc377999051 \h </w:instrText>
      </w:r>
      <w:r>
        <w:fldChar w:fldCharType="separate"/>
      </w:r>
      <w:r>
        <w:t>95</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Evidence</w:t>
      </w:r>
      <w:r>
        <w:tab/>
      </w:r>
      <w:r>
        <w:fldChar w:fldCharType="begin"/>
      </w:r>
      <w:r>
        <w:instrText xml:space="preserve"> PAGEREF _Toc377999052 \h </w:instrText>
      </w:r>
      <w:r>
        <w:fldChar w:fldCharType="separate"/>
      </w:r>
      <w:r>
        <w:t>96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Disputes as to bets with bookmakers</w:t>
      </w:r>
      <w:r>
        <w:tab/>
      </w:r>
      <w:r>
        <w:fldChar w:fldCharType="begin"/>
      </w:r>
      <w:r>
        <w:instrText xml:space="preserve"> PAGEREF _Toc377999053 \h </w:instrText>
      </w:r>
      <w:r>
        <w:fldChar w:fldCharType="separate"/>
      </w:r>
      <w:r>
        <w:t>99</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Disciplinary powers</w:t>
      </w:r>
      <w:r>
        <w:tab/>
      </w:r>
      <w:r>
        <w:fldChar w:fldCharType="begin"/>
      </w:r>
      <w:r>
        <w:instrText xml:space="preserve"> PAGEREF _Toc377999054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Miscellaneous</w:t>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_Toc377999056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Schedule 3 — Requirements for licensing of a body corporate and continuation of the licence of a body corporate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_Toc377999059 \h </w:instrText>
      </w:r>
      <w:r>
        <w:fldChar w:fldCharType="separate"/>
      </w:r>
      <w:r>
        <w:t>109</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other betting operators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No. 70 of 2006 s. 4; No. 29 of 2009 s. 4.] </w:t>
      </w:r>
    </w:p>
    <w:p>
      <w:pPr>
        <w:pStyle w:val="Heading2"/>
      </w:pPr>
      <w:bookmarkStart w:id="1" w:name="_Toc377998977"/>
      <w:r>
        <w:rPr>
          <w:rStyle w:val="CharPartNo"/>
        </w:rPr>
        <w:t>Part 1</w:t>
      </w:r>
      <w:r>
        <w:rPr>
          <w:b w:val="0"/>
        </w:rPr>
        <w:t> </w:t>
      </w:r>
      <w:r>
        <w:t>—</w:t>
      </w:r>
      <w:r>
        <w:rPr>
          <w:b w:val="0"/>
        </w:rPr>
        <w:t> </w:t>
      </w:r>
      <w:r>
        <w:rPr>
          <w:rStyle w:val="CharPartText"/>
        </w:rPr>
        <w:t>Preliminary</w:t>
      </w:r>
      <w:bookmarkEnd w:id="1"/>
    </w:p>
    <w:p>
      <w:pPr>
        <w:pStyle w:val="Footnoteheading"/>
        <w:tabs>
          <w:tab w:val="left" w:pos="851"/>
        </w:tabs>
      </w:pPr>
      <w:r>
        <w:tab/>
        <w:t>[Heading inserted by No. 35 of 2003 s. 101(1).]</w:t>
      </w:r>
    </w:p>
    <w:p>
      <w:pPr>
        <w:pStyle w:val="Heading5"/>
        <w:spacing w:before="180"/>
        <w:rPr>
          <w:snapToGrid w:val="0"/>
        </w:rPr>
      </w:pPr>
      <w:bookmarkStart w:id="2" w:name="_Toc377998978"/>
      <w:r>
        <w:rPr>
          <w:rStyle w:val="CharSectno"/>
        </w:rPr>
        <w:t>1</w:t>
      </w:r>
      <w:r>
        <w:rPr>
          <w:snapToGrid w:val="0"/>
        </w:rPr>
        <w:t>.</w:t>
      </w:r>
      <w:r>
        <w:rPr>
          <w:snapToGrid w:val="0"/>
        </w:rPr>
        <w:tab/>
        <w:t>Short title</w:t>
      </w:r>
      <w:bookmarkEnd w:id="2"/>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3" w:name="_Toc37799897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80"/>
        <w:ind w:left="890" w:hanging="890"/>
      </w:pPr>
      <w:r>
        <w:t>[</w:t>
      </w:r>
      <w:r>
        <w:rPr>
          <w:b/>
        </w:rPr>
        <w:t>3.</w:t>
      </w:r>
      <w:r>
        <w:tab/>
        <w:t>Deleted by No. 11 of 1992 s. 26.]</w:t>
      </w:r>
    </w:p>
    <w:p>
      <w:pPr>
        <w:pStyle w:val="Heading5"/>
        <w:spacing w:before="180"/>
        <w:rPr>
          <w:snapToGrid w:val="0"/>
        </w:rPr>
      </w:pPr>
      <w:bookmarkStart w:id="4" w:name="_Toc377998980"/>
      <w:r>
        <w:rPr>
          <w:rStyle w:val="CharSectno"/>
        </w:rPr>
        <w:t>4</w:t>
      </w:r>
      <w:r>
        <w:rPr>
          <w:snapToGrid w:val="0"/>
        </w:rPr>
        <w:t>.</w:t>
      </w:r>
      <w:r>
        <w:rPr>
          <w:snapToGrid w:val="0"/>
        </w:rPr>
        <w:tab/>
        <w:t>Terms used in this Act</w:t>
      </w:r>
      <w:bookmarkEnd w:id="4"/>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spacing w:before="60"/>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 xml:space="preserve"> (whether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fixed odds bet</w:t>
      </w:r>
      <w:r>
        <w:t xml:space="preserve"> has the meaning given to that term in the RWWA Act;</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races or sporting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 race or sporting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No. 29 of 2009 s. 5.] </w:t>
      </w:r>
    </w:p>
    <w:p>
      <w:pPr>
        <w:pStyle w:val="Heading5"/>
      </w:pPr>
      <w:bookmarkStart w:id="5" w:name="_Toc377998981"/>
      <w:r>
        <w:rPr>
          <w:rStyle w:val="CharSectno"/>
        </w:rPr>
        <w:t>4AA</w:t>
      </w:r>
      <w:r>
        <w:t>.</w:t>
      </w:r>
      <w:r>
        <w:tab/>
        <w:t>Meaning of “betting exchange”</w:t>
      </w:r>
      <w:bookmarkEnd w:id="5"/>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6" w:name="_Toc377998982"/>
      <w:r>
        <w:rPr>
          <w:rStyle w:val="CharSectno"/>
        </w:rPr>
        <w:t>4A</w:t>
      </w:r>
      <w:r>
        <w:t>.</w:t>
      </w:r>
      <w:r>
        <w:tab/>
        <w:t>Application of this Act to certain sporting events other than races</w:t>
      </w:r>
      <w:bookmarkEnd w:id="6"/>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pPr>
      <w:r>
        <w:tab/>
        <w:t>(4)</w:t>
      </w:r>
      <w:r>
        <w:tab/>
        <w:t>The Commission may — </w:t>
      </w:r>
    </w:p>
    <w:p>
      <w:pPr>
        <w:pStyle w:val="Indenta"/>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7" w:name="_Toc377998983"/>
      <w:r>
        <w:rPr>
          <w:rStyle w:val="CharSectno"/>
        </w:rPr>
        <w:t>4B</w:t>
      </w:r>
      <w:r>
        <w:rPr>
          <w:snapToGrid w:val="0"/>
        </w:rPr>
        <w:t>.</w:t>
      </w:r>
      <w:r>
        <w:rPr>
          <w:snapToGrid w:val="0"/>
        </w:rPr>
        <w:tab/>
        <w:t>Application of this Act to sporting events</w:t>
      </w:r>
      <w:bookmarkEnd w:id="7"/>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8" w:name="_Toc377998984"/>
      <w:r>
        <w:rPr>
          <w:rStyle w:val="CharSectno"/>
        </w:rPr>
        <w:t>5</w:t>
      </w:r>
      <w:r>
        <w:rPr>
          <w:snapToGrid w:val="0"/>
        </w:rPr>
        <w:t>.</w:t>
      </w:r>
      <w:r>
        <w:rPr>
          <w:snapToGrid w:val="0"/>
        </w:rPr>
        <w:tab/>
        <w:t>Legalisation of betting with bookmakers</w:t>
      </w:r>
      <w:bookmarkEnd w:id="8"/>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9" w:name="_Toc377998985"/>
      <w:r>
        <w:rPr>
          <w:rStyle w:val="CharSectno"/>
        </w:rPr>
        <w:t>5A</w:t>
      </w:r>
      <w:r>
        <w:t>.</w:t>
      </w:r>
      <w:r>
        <w:tab/>
        <w:t>Communication and broadcasting of information</w:t>
      </w:r>
      <w:bookmarkEnd w:id="9"/>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p>
      <w:pPr>
        <w:pStyle w:val="Ednotesection"/>
        <w:ind w:left="890" w:hanging="890"/>
      </w:pPr>
      <w:r>
        <w:t>[</w:t>
      </w:r>
      <w:r>
        <w:rPr>
          <w:b/>
        </w:rPr>
        <w:t>6, 6A</w:t>
      </w:r>
      <w:r>
        <w:rPr>
          <w:b/>
        </w:rPr>
        <w:noBreakHyphen/>
        <w:t>6G, 7.</w:t>
      </w:r>
      <w:r>
        <w:rPr>
          <w:b/>
        </w:rPr>
        <w:tab/>
      </w:r>
      <w:r>
        <w:t>Deleted by No. 35 of 2003 s. 79.]</w:t>
      </w:r>
    </w:p>
    <w:p>
      <w:pPr>
        <w:pStyle w:val="Ednotesection"/>
        <w:ind w:left="890" w:hanging="890"/>
      </w:pPr>
      <w:r>
        <w:t>[</w:t>
      </w:r>
      <w:r>
        <w:rPr>
          <w:b/>
        </w:rPr>
        <w:t>8.</w:t>
      </w:r>
      <w:r>
        <w:tab/>
        <w:t xml:space="preserve">Deleted by No. 6 of 1987 s. 8] </w:t>
      </w:r>
    </w:p>
    <w:p>
      <w:pPr>
        <w:pStyle w:val="Ednotesection"/>
        <w:ind w:left="890" w:hanging="890"/>
      </w:pPr>
      <w:r>
        <w:t>[</w:t>
      </w:r>
      <w:r>
        <w:rPr>
          <w:b/>
        </w:rPr>
        <w:t>9, 10.</w:t>
      </w:r>
      <w:r>
        <w:rPr>
          <w:b/>
        </w:rPr>
        <w:tab/>
      </w:r>
      <w:r>
        <w:t>Deleted by No. 35 of 2003 s. 79.]</w:t>
      </w:r>
    </w:p>
    <w:p>
      <w:pPr>
        <w:pStyle w:val="Heading2"/>
      </w:pPr>
      <w:bookmarkStart w:id="10" w:name="_Toc377998986"/>
      <w:r>
        <w:rPr>
          <w:rStyle w:val="CharPartNo"/>
        </w:rPr>
        <w:t>Part 2</w:t>
      </w:r>
      <w:r>
        <w:rPr>
          <w:b w:val="0"/>
        </w:rPr>
        <w:t> </w:t>
      </w:r>
      <w:r>
        <w:t>—</w:t>
      </w:r>
      <w:r>
        <w:rPr>
          <w:b w:val="0"/>
        </w:rPr>
        <w:t> </w:t>
      </w:r>
      <w:r>
        <w:rPr>
          <w:rStyle w:val="CharPartText"/>
        </w:rPr>
        <w:t>Licences, approvals and permits</w:t>
      </w:r>
      <w:bookmarkEnd w:id="10"/>
    </w:p>
    <w:p>
      <w:pPr>
        <w:pStyle w:val="Footnoteheading"/>
        <w:tabs>
          <w:tab w:val="left" w:pos="851"/>
        </w:tabs>
      </w:pPr>
      <w:r>
        <w:tab/>
        <w:t>[Heading inserted by No. 35 of 2003 s. 101(2).]</w:t>
      </w:r>
    </w:p>
    <w:p>
      <w:pPr>
        <w:pStyle w:val="Heading5"/>
      </w:pPr>
      <w:bookmarkStart w:id="11" w:name="_Toc377998987"/>
      <w:r>
        <w:rPr>
          <w:rStyle w:val="CharSectno"/>
        </w:rPr>
        <w:t>11</w:t>
      </w:r>
      <w:r>
        <w:t>.</w:t>
      </w:r>
      <w:r>
        <w:tab/>
        <w:t>Licences and approvals relating to bookmaking</w:t>
      </w:r>
      <w:bookmarkEnd w:id="11"/>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spacing w:before="180"/>
      </w:pPr>
      <w:bookmarkStart w:id="12" w:name="_Toc377998988"/>
      <w:r>
        <w:rPr>
          <w:rStyle w:val="CharSectno"/>
        </w:rPr>
        <w:t>11A</w:t>
      </w:r>
      <w:r>
        <w:t>.</w:t>
      </w:r>
      <w:r>
        <w:tab/>
        <w:t>Bookmaker’s licence — natural person</w:t>
      </w:r>
      <w:bookmarkEnd w:id="12"/>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2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2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spacing w:before="100"/>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2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spacing w:before="100"/>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spacing w:before="100"/>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 No. 18 of 2009 s. 11(2).]</w:t>
      </w:r>
    </w:p>
    <w:p>
      <w:pPr>
        <w:pStyle w:val="Heading5"/>
        <w:spacing w:before="180"/>
      </w:pPr>
      <w:bookmarkStart w:id="13" w:name="_Toc377998989"/>
      <w:r>
        <w:rPr>
          <w:rStyle w:val="CharSectno"/>
        </w:rPr>
        <w:t>11B</w:t>
      </w:r>
      <w:r>
        <w:t>.</w:t>
      </w:r>
      <w:r>
        <w:tab/>
        <w:t>Bookmaker’s licence — partnership</w:t>
      </w:r>
      <w:bookmarkEnd w:id="13"/>
    </w:p>
    <w:p>
      <w:pPr>
        <w:pStyle w:val="Subsection"/>
        <w:spacing w:before="12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keepLines/>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2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2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spacing w:before="60"/>
      </w:pPr>
      <w:r>
        <w:rPr>
          <w:snapToGrid w:val="0"/>
        </w:rPr>
        <w:tab/>
        <w:t>(a)</w:t>
      </w:r>
      <w:r>
        <w:rPr>
          <w:snapToGrid w:val="0"/>
        </w:rPr>
        <w:tab/>
      </w:r>
      <w:r>
        <w:t>the person is not a member of another partnership that holds a bookmaker’s licence;</w:t>
      </w:r>
    </w:p>
    <w:p>
      <w:pPr>
        <w:pStyle w:val="Indenta"/>
        <w:spacing w:before="60"/>
      </w:pPr>
      <w:r>
        <w:tab/>
        <w:t>(b)</w:t>
      </w:r>
      <w:r>
        <w:tab/>
        <w:t>the person does not hold a bookmaker’s licence;</w:t>
      </w:r>
    </w:p>
    <w:p>
      <w:pPr>
        <w:pStyle w:val="Indenta"/>
        <w:spacing w:before="60"/>
      </w:pPr>
      <w:r>
        <w:tab/>
        <w:t>(c)</w:t>
      </w:r>
      <w:r>
        <w:tab/>
        <w:t>the person does not hold a position of authority in a body corporate that holds a bookmaker’s licence;</w:t>
      </w:r>
    </w:p>
    <w:p>
      <w:pPr>
        <w:pStyle w:val="Indenta"/>
        <w:spacing w:before="60"/>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2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2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2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2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spacing w:before="120"/>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spacing w:before="50"/>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spacing w:before="50"/>
        <w:rPr>
          <w:snapToGrid w:val="0"/>
        </w:rPr>
      </w:pPr>
      <w:r>
        <w:rPr>
          <w:snapToGrid w:val="0"/>
        </w:rPr>
        <w:tab/>
        <w:t>(b)</w:t>
      </w:r>
      <w:r>
        <w:rPr>
          <w:snapToGrid w:val="0"/>
        </w:rPr>
        <w:tab/>
        <w:t>at a place, upon an occasion and in respect of an event authorised under section 5(2).</w:t>
      </w:r>
    </w:p>
    <w:p>
      <w:pPr>
        <w:pStyle w:val="Subsection"/>
        <w:spacing w:before="180"/>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spacing w:before="180"/>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spacing w:before="180"/>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 No. 18 of 2009 s. 11(3) and (4).]</w:t>
      </w:r>
    </w:p>
    <w:p>
      <w:pPr>
        <w:pStyle w:val="Heading5"/>
        <w:keepNext w:val="0"/>
        <w:keepLines w:val="0"/>
      </w:pPr>
      <w:bookmarkStart w:id="14" w:name="_Toc377998990"/>
      <w:r>
        <w:rPr>
          <w:rStyle w:val="CharSectno"/>
        </w:rPr>
        <w:t>11C</w:t>
      </w:r>
      <w:r>
        <w:t>.</w:t>
      </w:r>
      <w:r>
        <w:tab/>
        <w:t>Bookmaker’s licences — body corporate</w:t>
      </w:r>
      <w:bookmarkEnd w:id="14"/>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t>(c)</w:t>
      </w:r>
      <w:r>
        <w:tab/>
        <w:t>shall be satisfied that each person who occupies a position of authority in the body corporate has been approved by the Commission to occupy that position;</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 xml:space="preserve">shall be satisfied that the person is not, according to the </w:t>
      </w:r>
      <w:r>
        <w:rPr>
          <w:i/>
          <w:iCs/>
        </w:rPr>
        <w:t>Interpretation Act 1984</w:t>
      </w:r>
      <w:r>
        <w:t xml:space="preserve"> section 13D, a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 No. 18 of 2009 s. 11(5) and (6).]</w:t>
      </w:r>
    </w:p>
    <w:p>
      <w:pPr>
        <w:pStyle w:val="Heading5"/>
      </w:pPr>
      <w:bookmarkStart w:id="15" w:name="_Toc377998991"/>
      <w:r>
        <w:rPr>
          <w:rStyle w:val="CharSectno"/>
        </w:rPr>
        <w:t>11D</w:t>
      </w:r>
      <w:r>
        <w:t>.</w:t>
      </w:r>
      <w:r>
        <w:tab/>
        <w:t>Licences — manager or employee</w:t>
      </w:r>
      <w:bookmarkEnd w:id="15"/>
    </w:p>
    <w:p>
      <w:pPr>
        <w:pStyle w:val="Subsection"/>
        <w:spacing w:before="180"/>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80"/>
      </w:pPr>
      <w:r>
        <w:tab/>
        <w:t>(2)</w:t>
      </w:r>
      <w:r>
        <w:tab/>
        <w:t>The Commission shall not grant a bookmaker’s manager licence or a bookmaker’s employee licence to a body corporate or a partnership.</w:t>
      </w:r>
    </w:p>
    <w:p>
      <w:pPr>
        <w:pStyle w:val="Subsection"/>
        <w:spacing w:before="180"/>
      </w:pPr>
      <w:r>
        <w:tab/>
        <w:t>(2a)</w:t>
      </w:r>
      <w:r>
        <w:tab/>
        <w:t>The Commission shall not grant a bookmaker’s manager licence or a bookmaker’s employee licence to a person under the age of 18 years.</w:t>
      </w:r>
    </w:p>
    <w:p>
      <w:pPr>
        <w:pStyle w:val="Subsection"/>
        <w:spacing w:before="180"/>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spacing w:before="180"/>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spacing w:before="180"/>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6" w:name="_Toc377998992"/>
      <w:r>
        <w:rPr>
          <w:rStyle w:val="CharSectno"/>
        </w:rPr>
        <w:t>11E</w:t>
      </w:r>
      <w:r>
        <w:t>.</w:t>
      </w:r>
      <w:r>
        <w:tab/>
        <w:t>Security</w:t>
      </w:r>
      <w:bookmarkEnd w:id="16"/>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7" w:name="_Toc377998993"/>
      <w:r>
        <w:rPr>
          <w:rStyle w:val="CharSectno"/>
        </w:rPr>
        <w:t>11F</w:t>
      </w:r>
      <w:r>
        <w:t>.</w:t>
      </w:r>
      <w:r>
        <w:tab/>
        <w:t>Notification of Commission in relation to licensed manager</w:t>
      </w:r>
      <w:bookmarkEnd w:id="17"/>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8" w:name="_Toc377998994"/>
      <w:r>
        <w:rPr>
          <w:rStyle w:val="CharSectno"/>
        </w:rPr>
        <w:t>11G</w:t>
      </w:r>
      <w:r>
        <w:t>.</w:t>
      </w:r>
      <w:r>
        <w:tab/>
        <w:t>Offences</w:t>
      </w:r>
      <w:bookmarkEnd w:id="18"/>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Deleted by No. 70 of 2006 s. 10(2).]</w:t>
      </w:r>
    </w:p>
    <w:p>
      <w:pPr>
        <w:pStyle w:val="Heading5"/>
        <w:rPr>
          <w:snapToGrid w:val="0"/>
        </w:rPr>
      </w:pPr>
      <w:bookmarkStart w:id="19" w:name="_Toc377998995"/>
      <w:r>
        <w:rPr>
          <w:rStyle w:val="CharSectno"/>
        </w:rPr>
        <w:t>12</w:t>
      </w:r>
      <w:r>
        <w:rPr>
          <w:snapToGrid w:val="0"/>
        </w:rPr>
        <w:t>.</w:t>
      </w:r>
      <w:r>
        <w:rPr>
          <w:snapToGrid w:val="0"/>
        </w:rPr>
        <w:tab/>
        <w:t>Permits required to bet on race courses etc.</w:t>
      </w:r>
      <w:bookmarkEnd w:id="19"/>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No. 8 of 2007 s. 4.] </w:t>
      </w:r>
    </w:p>
    <w:p>
      <w:pPr>
        <w:pStyle w:val="Heading5"/>
      </w:pPr>
      <w:bookmarkStart w:id="20" w:name="_Toc377998996"/>
      <w:r>
        <w:rPr>
          <w:rStyle w:val="CharSectno"/>
        </w:rPr>
        <w:t>12A</w:t>
      </w:r>
      <w:r>
        <w:t>.</w:t>
      </w:r>
      <w:r>
        <w:tab/>
        <w:t>Temporary bookmakers’ employees’ licences</w:t>
      </w:r>
      <w:bookmarkEnd w:id="20"/>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21" w:name="_Toc377998997"/>
      <w:r>
        <w:rPr>
          <w:rStyle w:val="CharSectno"/>
        </w:rPr>
        <w:t>13</w:t>
      </w:r>
      <w:r>
        <w:rPr>
          <w:snapToGrid w:val="0"/>
        </w:rPr>
        <w:t>.</w:t>
      </w:r>
      <w:r>
        <w:rPr>
          <w:snapToGrid w:val="0"/>
        </w:rPr>
        <w:tab/>
        <w:t>Bookmakers’ annual licence fee</w:t>
      </w:r>
      <w:bookmarkEnd w:id="21"/>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22" w:name="_Toc377998998"/>
      <w:r>
        <w:rPr>
          <w:rStyle w:val="CharPartNo"/>
        </w:rPr>
        <w:t>Part 3</w:t>
      </w:r>
      <w:r>
        <w:rPr>
          <w:b w:val="0"/>
        </w:rPr>
        <w:t> </w:t>
      </w:r>
      <w:r>
        <w:t>—</w:t>
      </w:r>
      <w:r>
        <w:rPr>
          <w:b w:val="0"/>
        </w:rPr>
        <w:t> </w:t>
      </w:r>
      <w:r>
        <w:rPr>
          <w:rStyle w:val="CharPartText"/>
        </w:rPr>
        <w:t>Levies and totalisators</w:t>
      </w:r>
      <w:bookmarkEnd w:id="22"/>
    </w:p>
    <w:p>
      <w:pPr>
        <w:pStyle w:val="Footnoteheading"/>
        <w:tabs>
          <w:tab w:val="left" w:pos="851"/>
        </w:tabs>
      </w:pPr>
      <w:r>
        <w:tab/>
        <w:t>[Heading inserted by No. 35 of 2003 s. 101(3).]</w:t>
      </w:r>
    </w:p>
    <w:p>
      <w:pPr>
        <w:pStyle w:val="Heading5"/>
      </w:pPr>
      <w:bookmarkStart w:id="23" w:name="_Toc377998999"/>
      <w:r>
        <w:rPr>
          <w:rStyle w:val="CharSectno"/>
        </w:rPr>
        <w:t>14A</w:t>
      </w:r>
      <w:r>
        <w:t>.</w:t>
      </w:r>
      <w:r>
        <w:tab/>
        <w:t>Betting operators’ liability to lodge returns and to pay racing bets levy</w:t>
      </w:r>
      <w:bookmarkEnd w:id="23"/>
    </w:p>
    <w:p>
      <w:pPr>
        <w:pStyle w:val="Subsection"/>
      </w:pPr>
      <w:r>
        <w:tab/>
        <w:t>(1)</w:t>
      </w:r>
      <w:r>
        <w:tab/>
        <w:t xml:space="preserve">In this section — </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charges, commission, consideration, earnings, fees, reward or other remuneration (however described) payable to or received by a betting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the total amount of racing bets and includes bet backs placed on the backers side of the bets by one bookmaker with another bookmaker solely for the purpose of lowering the risk incurred by the bookmaker on bets already accepted from a customer.</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t>Penalty:</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bookmaker’s betting levy were a reference to the racing bets levy; and</w:t>
      </w:r>
    </w:p>
    <w:p>
      <w:pPr>
        <w:pStyle w:val="Indenta"/>
      </w:pPr>
      <w:r>
        <w:tab/>
        <w:t>(b)</w:t>
      </w:r>
      <w:r>
        <w:tab/>
        <w:t>to a bookmaker were a reference to a betting operator.</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by No. 29 of 2009 s. 6.]</w:t>
      </w:r>
    </w:p>
    <w:p>
      <w:pPr>
        <w:pStyle w:val="Heading5"/>
      </w:pPr>
      <w:bookmarkStart w:id="24" w:name="_Toc377999000"/>
      <w:r>
        <w:rPr>
          <w:rStyle w:val="CharSectno"/>
        </w:rPr>
        <w:t>14B</w:t>
      </w:r>
      <w:r>
        <w:t>.</w:t>
      </w:r>
      <w:r>
        <w:tab/>
        <w:t>Transitional</w:t>
      </w:r>
      <w:bookmarkEnd w:id="24"/>
    </w:p>
    <w:p>
      <w:pPr>
        <w:pStyle w:val="Subsection"/>
      </w:pPr>
      <w:r>
        <w:tab/>
      </w:r>
      <w:r>
        <w:tab/>
        <w:t>If a bookmaker has paid an amount of levy under section 14(2)(b) in relation to a racing bet (as defined in section 14A(1)) placed with the bookmaker in the period beginning on 1 September 2008 and ending on the day on which this Act receives the Royal Assent, that amount is to be credited against any amount that the bookmaker is liable to pay under section 14A(2)(b).</w:t>
      </w:r>
    </w:p>
    <w:p>
      <w:pPr>
        <w:pStyle w:val="Footnotesection"/>
      </w:pPr>
      <w:r>
        <w:tab/>
        <w:t>[Section 14B inserted by No. 29 of 2009 s. 6.]</w:t>
      </w:r>
    </w:p>
    <w:p>
      <w:pPr>
        <w:pStyle w:val="Heading5"/>
        <w:rPr>
          <w:snapToGrid w:val="0"/>
        </w:rPr>
      </w:pPr>
      <w:bookmarkStart w:id="25" w:name="_Toc377999001"/>
      <w:r>
        <w:rPr>
          <w:rStyle w:val="CharSectno"/>
        </w:rPr>
        <w:t>14</w:t>
      </w:r>
      <w:r>
        <w:rPr>
          <w:snapToGrid w:val="0"/>
        </w:rPr>
        <w:t>.</w:t>
      </w:r>
      <w:r>
        <w:rPr>
          <w:snapToGrid w:val="0"/>
        </w:rPr>
        <w:tab/>
        <w:t>Bookmakers’ liability to pay bookmakers’ betting levy</w:t>
      </w:r>
      <w:bookmarkEnd w:id="2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levy</w:t>
      </w:r>
      <w:r>
        <w:t xml:space="preserve"> means bookmakers’ betting levy payable under this Act, as imposed by the </w:t>
      </w:r>
      <w:r>
        <w:rPr>
          <w:i/>
        </w:rPr>
        <w:t>Bookmakers Betting Levy Act 1954</w:t>
      </w:r>
      <w:r>
        <w:t>;</w:t>
      </w:r>
    </w:p>
    <w:p>
      <w:pPr>
        <w:pStyle w:val="Defstart"/>
      </w:pPr>
      <w:r>
        <w:rPr>
          <w:b/>
        </w:rPr>
        <w:tab/>
      </w:r>
      <w:r>
        <w:rPr>
          <w:rStyle w:val="CharDefText"/>
        </w:rPr>
        <w:t>on</w:t>
      </w:r>
      <w:r>
        <w:rPr>
          <w:rStyle w:val="CharDefText"/>
        </w:rPr>
        <w:noBreakHyphen/>
        <w:t>course turnover</w:t>
      </w:r>
      <w:r>
        <w:t xml:space="preserve"> means the turnover which relates to bets of the kind referred to in section 15;</w:t>
      </w:r>
    </w:p>
    <w:p>
      <w:pPr>
        <w:pStyle w:val="Defstart"/>
      </w:pPr>
      <w:r>
        <w:rPr>
          <w:b/>
        </w:rPr>
        <w:tab/>
      </w:r>
      <w:r>
        <w:rPr>
          <w:rStyle w:val="CharDefText"/>
        </w:rPr>
        <w:t>turnover</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26" w:name="_Toc377999002"/>
      <w:r>
        <w:rPr>
          <w:rStyle w:val="CharSectno"/>
        </w:rPr>
        <w:t>15</w:t>
      </w:r>
      <w:r>
        <w:rPr>
          <w:snapToGrid w:val="0"/>
        </w:rPr>
        <w:t>.</w:t>
      </w:r>
      <w:r>
        <w:rPr>
          <w:snapToGrid w:val="0"/>
        </w:rPr>
        <w:tab/>
        <w:t>Payment of levy by bookmakers on bets made at race meetings</w:t>
      </w:r>
      <w:bookmarkEnd w:id="26"/>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pPr>
      <w:r>
        <w:tab/>
        <w:t>(ii)</w:t>
      </w:r>
      <w:r>
        <w:tab/>
        <w:t>any portion of that sum that relates to betting to which section 4B applies,</w:t>
      </w:r>
    </w:p>
    <w:p>
      <w:pPr>
        <w:pStyle w:val="Ednotesubpara"/>
      </w:pPr>
      <w:r>
        <w:tab/>
        <w:t>[(iii)</w:t>
      </w:r>
      <w:r>
        <w:tab/>
        <w:t>deleted]</w:t>
      </w:r>
    </w:p>
    <w:p>
      <w:pPr>
        <w:pStyle w:val="Indenta"/>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15 amended by No. 50 of 1956 s. 3; No. 75 of 1970 s. 3; No. 77 of 1976 s. 14; No. 11 of 1992 s. 36; No. 63 of 1995 s. 51; No. 17 of 1998 s. 14; No. 13 of 2002 s. 11; No. 35 of 2003 s. 83 and 102; No. 8 of 2007 s. 5; No. 29 of 2009 s. 7.] </w:t>
      </w:r>
    </w:p>
    <w:p>
      <w:pPr>
        <w:pStyle w:val="Heading5"/>
        <w:spacing w:before="240"/>
        <w:rPr>
          <w:snapToGrid w:val="0"/>
        </w:rPr>
      </w:pPr>
      <w:bookmarkStart w:id="27" w:name="_Toc377999003"/>
      <w:r>
        <w:rPr>
          <w:rStyle w:val="CharSectno"/>
        </w:rPr>
        <w:t>16</w:t>
      </w:r>
      <w:r>
        <w:rPr>
          <w:snapToGrid w:val="0"/>
        </w:rPr>
        <w:t>.</w:t>
      </w:r>
      <w:r>
        <w:rPr>
          <w:snapToGrid w:val="0"/>
        </w:rPr>
        <w:tab/>
        <w:t>Payment of levy by bookmakers on bets made at registered premises</w:t>
      </w:r>
      <w:bookmarkEnd w:id="27"/>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w:t>
      </w:r>
    </w:p>
    <w:p>
      <w:pPr>
        <w:pStyle w:val="Indenta"/>
        <w:rPr>
          <w:snapToGrid w:val="0"/>
        </w:rPr>
      </w:pPr>
      <w:r>
        <w:rPr>
          <w:snapToGrid w:val="0"/>
        </w:rPr>
        <w:tab/>
        <w:t>(b)</w:t>
      </w:r>
      <w:r>
        <w:rPr>
          <w:snapToGrid w:val="0"/>
        </w:rPr>
        <w:tab/>
        <w:t>races of driven horses held or to be held in this State;</w:t>
      </w:r>
    </w:p>
    <w:p>
      <w:pPr>
        <w:pStyle w:val="Indenta"/>
        <w:rPr>
          <w:snapToGrid w:val="0"/>
        </w:rPr>
      </w:pPr>
      <w:r>
        <w:rPr>
          <w:snapToGrid w:val="0"/>
        </w:rPr>
        <w:tab/>
        <w:t>(c)</w:t>
      </w:r>
      <w:r>
        <w:rPr>
          <w:snapToGrid w:val="0"/>
        </w:rPr>
        <w:tab/>
        <w:t>races of horses whether ridden or driven, held or to be held elsewhere than in this State;</w:t>
      </w:r>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spacing w:before="180"/>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w:t>
      </w:r>
      <w:r>
        <w:t xml:space="preserve"> applies,</w:t>
      </w:r>
    </w:p>
    <w:p>
      <w:pPr>
        <w:pStyle w:val="Ednotesubpara"/>
      </w:pPr>
      <w:r>
        <w:tab/>
        <w:t>[(iii)</w:t>
      </w:r>
      <w:r>
        <w:tab/>
        <w:t>deleted]</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rStyle w:val="CharDefText"/>
        </w:rPr>
        <w:t>the relevant person</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keepLines/>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16 amended by No. 50 of 1956 s. 4; No. 49 of 1960 s. 9; No. 77 of 1976 s. 15; No. 78 of 1978 s. 5; No. 6 of 1987 s. 10; No. 11 of 1992 s. 37; No. 63 of 1995 s. 52; No. 17 of 1998 s. 15; No. 13 of 2002 s. 12; No. 35 of 2003 s. 84 and 102; No. 29 of 2009 s. 8.] </w:t>
      </w:r>
    </w:p>
    <w:p>
      <w:pPr>
        <w:pStyle w:val="Heading5"/>
        <w:spacing w:before="240"/>
        <w:rPr>
          <w:snapToGrid w:val="0"/>
        </w:rPr>
      </w:pPr>
      <w:bookmarkStart w:id="28" w:name="_Toc377999004"/>
      <w:r>
        <w:rPr>
          <w:rStyle w:val="CharSectno"/>
        </w:rPr>
        <w:t>16A</w:t>
      </w:r>
      <w:r>
        <w:rPr>
          <w:snapToGrid w:val="0"/>
        </w:rPr>
        <w:t>.</w:t>
      </w:r>
      <w:r>
        <w:rPr>
          <w:snapToGrid w:val="0"/>
        </w:rPr>
        <w:tab/>
        <w:t>Books of account, records etc.</w:t>
      </w:r>
      <w:bookmarkEnd w:id="28"/>
      <w:r>
        <w:rPr>
          <w:snapToGrid w:val="0"/>
        </w:rPr>
        <w:t xml:space="preserve"> </w:t>
      </w:r>
    </w:p>
    <w:p>
      <w:pPr>
        <w:pStyle w:val="Subsection"/>
        <w:spacing w:before="18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keepNext/>
        <w:spacing w:before="90"/>
        <w:rPr>
          <w:snapToGrid w:val="0"/>
        </w:rPr>
      </w:pPr>
      <w:r>
        <w:rPr>
          <w:snapToGrid w:val="0"/>
        </w:rPr>
        <w:tab/>
        <w:t>(ii)</w:t>
      </w:r>
      <w:r>
        <w:rPr>
          <w:snapToGrid w:val="0"/>
        </w:rPr>
        <w:tab/>
        <w:t>make the required entries in numerical sequence; and</w:t>
      </w:r>
    </w:p>
    <w:p>
      <w:pPr>
        <w:pStyle w:val="Indenti"/>
        <w:spacing w:before="90"/>
        <w:rPr>
          <w:snapToGrid w:val="0"/>
        </w:rPr>
      </w:pPr>
      <w:r>
        <w:rPr>
          <w:snapToGrid w:val="0"/>
        </w:rPr>
        <w:tab/>
        <w:t>(iii)</w:t>
      </w:r>
      <w:r>
        <w:rPr>
          <w:snapToGrid w:val="0"/>
        </w:rPr>
        <w:tab/>
        <w:t>ensure that the requirements of the regulations as to the use of tickets are complied with;</w:t>
      </w:r>
    </w:p>
    <w:p>
      <w:pPr>
        <w:pStyle w:val="Indenta"/>
        <w:spacing w:before="90"/>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spacing w:before="9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90"/>
        <w:rPr>
          <w:snapToGrid w:val="0"/>
        </w:rPr>
      </w:pPr>
      <w:r>
        <w:rPr>
          <w:snapToGrid w:val="0"/>
        </w:rPr>
        <w:tab/>
        <w:t>(i)</w:t>
      </w:r>
      <w:r>
        <w:rPr>
          <w:snapToGrid w:val="0"/>
        </w:rPr>
        <w:tab/>
        <w:t>rule through the incorrect entry, preserving its legibility; and</w:t>
      </w:r>
    </w:p>
    <w:p>
      <w:pPr>
        <w:pStyle w:val="Indenti"/>
        <w:spacing w:before="90"/>
        <w:rPr>
          <w:snapToGrid w:val="0"/>
        </w:rPr>
      </w:pPr>
      <w:r>
        <w:rPr>
          <w:snapToGrid w:val="0"/>
        </w:rPr>
        <w:tab/>
        <w:t>(ii)</w:t>
      </w:r>
      <w:r>
        <w:rPr>
          <w:snapToGrid w:val="0"/>
        </w:rPr>
        <w:tab/>
        <w:t>make the correct entry immediately under it,</w:t>
      </w:r>
    </w:p>
    <w:p>
      <w:pPr>
        <w:pStyle w:val="Indenta"/>
        <w:spacing w:before="90"/>
        <w:rPr>
          <w:snapToGrid w:val="0"/>
        </w:rPr>
      </w:pPr>
      <w:r>
        <w:rPr>
          <w:snapToGrid w:val="0"/>
        </w:rPr>
        <w:tab/>
      </w:r>
      <w:r>
        <w:rPr>
          <w:snapToGrid w:val="0"/>
        </w:rPr>
        <w:tab/>
        <w:t>and if the record was made using a computer — </w:t>
      </w:r>
    </w:p>
    <w:p>
      <w:pPr>
        <w:pStyle w:val="Indenti"/>
        <w:spacing w:before="90"/>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spacing w:before="90"/>
        <w:rPr>
          <w:snapToGrid w:val="0"/>
        </w:rPr>
      </w:pPr>
      <w:r>
        <w:rPr>
          <w:snapToGrid w:val="0"/>
        </w:rPr>
        <w:tab/>
        <w:t>(iv)</w:t>
      </w:r>
      <w:r>
        <w:rPr>
          <w:snapToGrid w:val="0"/>
        </w:rPr>
        <w:tab/>
        <w:t>make the correct entry immediately thereafter;</w:t>
      </w:r>
    </w:p>
    <w:p>
      <w:pPr>
        <w:pStyle w:val="Indenta"/>
        <w:spacing w:before="90"/>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spacing w:before="90"/>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spacing w:before="90"/>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spacing w:before="90"/>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before="0"/>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80"/>
        <w:ind w:left="0" w:firstLine="0"/>
      </w:pPr>
      <w:r>
        <w:t>[</w:t>
      </w:r>
      <w:r>
        <w:rPr>
          <w:b/>
        </w:rPr>
        <w:t>16B, 16C.</w:t>
      </w:r>
      <w:r>
        <w:tab/>
        <w:t xml:space="preserve">Deleted by No. 49 of 1960 s. 11.] </w:t>
      </w:r>
    </w:p>
    <w:p>
      <w:pPr>
        <w:pStyle w:val="Heading5"/>
        <w:spacing w:before="180"/>
        <w:rPr>
          <w:snapToGrid w:val="0"/>
        </w:rPr>
      </w:pPr>
      <w:bookmarkStart w:id="29" w:name="_Toc377999005"/>
      <w:r>
        <w:rPr>
          <w:rStyle w:val="CharSectno"/>
        </w:rPr>
        <w:t>17</w:t>
      </w:r>
      <w:r>
        <w:rPr>
          <w:snapToGrid w:val="0"/>
        </w:rPr>
        <w:t>.</w:t>
      </w:r>
      <w:r>
        <w:rPr>
          <w:snapToGrid w:val="0"/>
        </w:rPr>
        <w:tab/>
        <w:t>Effect on liability for payment of levy where racing authority declares bets off etc.</w:t>
      </w:r>
      <w:bookmarkEnd w:id="29"/>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spacing w:before="0"/>
        <w:ind w:left="890" w:hanging="890"/>
      </w:pPr>
      <w:r>
        <w:tab/>
        <w:t xml:space="preserve">[Section 17 amended by No. 6 of 1987 s. 12; No. 11 of 1992 s. 39; No. 63 of 1995 s. 54; No. 13 of 2002 s. 14; No. 35 of 2003 s. 102.] </w:t>
      </w:r>
    </w:p>
    <w:p>
      <w:pPr>
        <w:pStyle w:val="Heading5"/>
        <w:rPr>
          <w:snapToGrid w:val="0"/>
        </w:rPr>
      </w:pPr>
      <w:bookmarkStart w:id="30" w:name="_Toc377999006"/>
      <w:r>
        <w:rPr>
          <w:rStyle w:val="CharSectno"/>
        </w:rPr>
        <w:t>17A</w:t>
      </w:r>
      <w:r>
        <w:rPr>
          <w:snapToGrid w:val="0"/>
        </w:rPr>
        <w:t>.</w:t>
      </w:r>
      <w:r>
        <w:rPr>
          <w:snapToGrid w:val="0"/>
        </w:rPr>
        <w:tab/>
        <w:t>Annual licence fee in respect of totalisators</w:t>
      </w:r>
      <w:bookmarkEnd w:id="30"/>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31" w:name="_Toc377999007"/>
      <w:r>
        <w:rPr>
          <w:rStyle w:val="CharSectno"/>
        </w:rPr>
        <w:t>17B</w:t>
      </w:r>
      <w:r>
        <w:rPr>
          <w:snapToGrid w:val="0"/>
        </w:rPr>
        <w:t>.</w:t>
      </w:r>
      <w:r>
        <w:rPr>
          <w:snapToGrid w:val="0"/>
        </w:rPr>
        <w:tab/>
        <w:t>Use of the totalisator by racing clubs</w:t>
      </w:r>
      <w:bookmarkEnd w:id="31"/>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32" w:name="_Toc377999008"/>
      <w:r>
        <w:rPr>
          <w:rStyle w:val="CharSectno"/>
        </w:rPr>
        <w:t>17C</w:t>
      </w:r>
      <w:r>
        <w:rPr>
          <w:snapToGrid w:val="0"/>
        </w:rPr>
        <w:t>.</w:t>
      </w:r>
      <w:r>
        <w:rPr>
          <w:snapToGrid w:val="0"/>
        </w:rPr>
        <w:tab/>
        <w:t>Making of bets on designated sporting events not authorised</w:t>
      </w:r>
      <w:bookmarkEnd w:id="32"/>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33" w:name="_Toc377999009"/>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33"/>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34" w:name="_Toc377999010"/>
      <w:r>
        <w:rPr>
          <w:rStyle w:val="CharSectno"/>
        </w:rPr>
        <w:t>17E</w:t>
      </w:r>
      <w:r>
        <w:rPr>
          <w:snapToGrid w:val="0"/>
        </w:rPr>
        <w:t>.</w:t>
      </w:r>
      <w:r>
        <w:rPr>
          <w:snapToGrid w:val="0"/>
        </w:rPr>
        <w:tab/>
        <w:t>Percentage of off course bets to belong to RWWA</w:t>
      </w:r>
      <w:bookmarkEnd w:id="34"/>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35" w:name="_Toc377999011"/>
      <w:r>
        <w:rPr>
          <w:rStyle w:val="CharSectno"/>
        </w:rPr>
        <w:t>17EA</w:t>
      </w:r>
      <w:r>
        <w:t>.</w:t>
      </w:r>
      <w:r>
        <w:tab/>
        <w:t xml:space="preserve">Management of fixed odds </w:t>
      </w:r>
      <w:r>
        <w:rPr>
          <w:snapToGrid w:val="0"/>
        </w:rPr>
        <w:t>—</w:t>
      </w:r>
      <w:r>
        <w:t xml:space="preserve"> prescribed margin</w:t>
      </w:r>
      <w:bookmarkEnd w:id="35"/>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object w:dxaOrig="33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o:ole="">
            <v:imagedata r:id="rId21" o:title=""/>
          </v:shape>
          <o:OLEObject Type="Embed" ProgID="Equation.3" ShapeID="_x0000_i1025" DrawAspect="Content" ObjectID="_1643148107" r:id="rId22"/>
        </w:obje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36" w:name="_Toc377999012"/>
      <w:r>
        <w:rPr>
          <w:rStyle w:val="CharSectno"/>
        </w:rPr>
        <w:t>17F</w:t>
      </w:r>
      <w:r>
        <w:rPr>
          <w:snapToGrid w:val="0"/>
        </w:rPr>
        <w:t>.</w:t>
      </w:r>
      <w:r>
        <w:rPr>
          <w:snapToGrid w:val="0"/>
        </w:rPr>
        <w:tab/>
        <w:t>Percentage of bets to belong to racing club</w:t>
      </w:r>
      <w:bookmarkEnd w:id="36"/>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spacing w:before="240"/>
        <w:rPr>
          <w:snapToGrid w:val="0"/>
        </w:rPr>
      </w:pPr>
      <w:bookmarkStart w:id="37" w:name="_Toc377999013"/>
      <w:r>
        <w:rPr>
          <w:rStyle w:val="CharSectno"/>
        </w:rPr>
        <w:t>18</w:t>
      </w:r>
      <w:r>
        <w:rPr>
          <w:snapToGrid w:val="0"/>
        </w:rPr>
        <w:t>.</w:t>
      </w:r>
      <w:r>
        <w:rPr>
          <w:snapToGrid w:val="0"/>
        </w:rPr>
        <w:tab/>
        <w:t>Omission of bets from records or returns does not affect liability for levy or penalty</w:t>
      </w:r>
      <w:bookmarkEnd w:id="37"/>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240"/>
        <w:rPr>
          <w:snapToGrid w:val="0"/>
        </w:rPr>
      </w:pPr>
      <w:bookmarkStart w:id="38" w:name="_Toc377999014"/>
      <w:r>
        <w:rPr>
          <w:rStyle w:val="CharSectno"/>
        </w:rPr>
        <w:t>18A</w:t>
      </w:r>
      <w:r>
        <w:rPr>
          <w:snapToGrid w:val="0"/>
        </w:rPr>
        <w:t>.</w:t>
      </w:r>
      <w:r>
        <w:rPr>
          <w:snapToGrid w:val="0"/>
        </w:rPr>
        <w:tab/>
        <w:t>Payment of levy</w:t>
      </w:r>
      <w:bookmarkEnd w:id="38"/>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39" w:name="_Toc377999015"/>
      <w:r>
        <w:rPr>
          <w:rStyle w:val="CharSectno"/>
        </w:rPr>
        <w:t>18B</w:t>
      </w:r>
      <w:r>
        <w:rPr>
          <w:snapToGrid w:val="0"/>
        </w:rPr>
        <w:t>.</w:t>
      </w:r>
      <w:r>
        <w:rPr>
          <w:snapToGrid w:val="0"/>
        </w:rPr>
        <w:tab/>
        <w:t>Assessments, and additional levy</w:t>
      </w:r>
      <w:bookmarkEnd w:id="39"/>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40" w:name="_Toc377999016"/>
      <w:r>
        <w:rPr>
          <w:rStyle w:val="CharPartNo"/>
        </w:rPr>
        <w:t>Part 4</w:t>
      </w:r>
      <w:r>
        <w:rPr>
          <w:b w:val="0"/>
        </w:rPr>
        <w:t> </w:t>
      </w:r>
      <w:r>
        <w:t>—</w:t>
      </w:r>
      <w:r>
        <w:rPr>
          <w:b w:val="0"/>
        </w:rPr>
        <w:t> </w:t>
      </w:r>
      <w:r>
        <w:rPr>
          <w:rStyle w:val="CharPartText"/>
        </w:rPr>
        <w:t>Enforcement and offences</w:t>
      </w:r>
      <w:bookmarkEnd w:id="40"/>
    </w:p>
    <w:p>
      <w:pPr>
        <w:pStyle w:val="Footnoteheading"/>
        <w:tabs>
          <w:tab w:val="left" w:pos="851"/>
        </w:tabs>
      </w:pPr>
      <w:r>
        <w:tab/>
        <w:t>[Heading inserted by No. 35 of 2003 s. 101(4).]</w:t>
      </w:r>
    </w:p>
    <w:p>
      <w:pPr>
        <w:pStyle w:val="Heading5"/>
        <w:rPr>
          <w:snapToGrid w:val="0"/>
        </w:rPr>
      </w:pPr>
      <w:bookmarkStart w:id="41" w:name="_Toc377999017"/>
      <w:r>
        <w:rPr>
          <w:rStyle w:val="CharSectno"/>
        </w:rPr>
        <w:t>19</w:t>
      </w:r>
      <w:r>
        <w:rPr>
          <w:snapToGrid w:val="0"/>
        </w:rPr>
        <w:t>.</w:t>
      </w:r>
      <w:r>
        <w:rPr>
          <w:snapToGrid w:val="0"/>
        </w:rPr>
        <w:tab/>
      </w:r>
      <w:r>
        <w:t>Commission</w:t>
      </w:r>
      <w:r>
        <w:rPr>
          <w:snapToGrid w:val="0"/>
        </w:rPr>
        <w:t xml:space="preserve"> may sue bookmaker for unpaid levy</w:t>
      </w:r>
      <w:bookmarkEnd w:id="41"/>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42" w:name="_Toc377999018"/>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42"/>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43" w:name="_Toc377999019"/>
      <w:r>
        <w:rPr>
          <w:rStyle w:val="CharSectno"/>
        </w:rPr>
        <w:t>20</w:t>
      </w:r>
      <w:r>
        <w:t>.</w:t>
      </w:r>
      <w:r>
        <w:tab/>
        <w:t>Entry and inspection of race courses and certain other premises</w:t>
      </w:r>
      <w:bookmarkEnd w:id="43"/>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 amended by No. 8 of 2009 s. 25.]</w:t>
      </w:r>
    </w:p>
    <w:p>
      <w:pPr>
        <w:pStyle w:val="Heading5"/>
      </w:pPr>
      <w:bookmarkStart w:id="44" w:name="_Toc377999020"/>
      <w:r>
        <w:rPr>
          <w:rStyle w:val="CharSectno"/>
        </w:rPr>
        <w:t>20A</w:t>
      </w:r>
      <w:r>
        <w:t>.</w:t>
      </w:r>
      <w:r>
        <w:tab/>
        <w:t>Powers of Commission representative</w:t>
      </w:r>
      <w:bookmarkEnd w:id="44"/>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45" w:name="_Toc377999021"/>
      <w:r>
        <w:rPr>
          <w:rStyle w:val="CharSectno"/>
        </w:rPr>
        <w:t>20B</w:t>
      </w:r>
      <w:r>
        <w:t>.</w:t>
      </w:r>
      <w:r>
        <w:tab/>
        <w:t>Requirement to provide information</w:t>
      </w:r>
      <w:bookmarkEnd w:id="4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46" w:name="_Toc377999022"/>
      <w:r>
        <w:rPr>
          <w:rStyle w:val="CharSectno"/>
        </w:rPr>
        <w:t>20C</w:t>
      </w:r>
      <w:r>
        <w:t>.</w:t>
      </w:r>
      <w:r>
        <w:tab/>
        <w:t>Complying with information requirements</w:t>
      </w:r>
      <w:bookmarkEnd w:id="46"/>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47" w:name="_Toc377999023"/>
      <w:r>
        <w:rPr>
          <w:rStyle w:val="CharSectno"/>
        </w:rPr>
        <w:t>21</w:t>
      </w:r>
      <w:r>
        <w:rPr>
          <w:snapToGrid w:val="0"/>
        </w:rPr>
        <w:t>.</w:t>
      </w:r>
      <w:r>
        <w:rPr>
          <w:snapToGrid w:val="0"/>
        </w:rPr>
        <w:tab/>
        <w:t>Prohibition of betting with minors, intoxicated persons, etc.</w:t>
      </w:r>
      <w:bookmarkEnd w:id="47"/>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 xml:space="preserve">accept a bet from, or pay moneys or deliver a totalisator ticket to, any person apparently under the age of 18 years; </w:t>
      </w:r>
    </w:p>
    <w:p>
      <w:pPr>
        <w:pStyle w:val="Indenta"/>
        <w:rPr>
          <w:snapToGrid w:val="0"/>
        </w:rPr>
      </w:pPr>
      <w:r>
        <w:rPr>
          <w:snapToGrid w:val="0"/>
        </w:rPr>
        <w:tab/>
        <w:t>(b)</w:t>
      </w:r>
      <w:r>
        <w:rPr>
          <w:snapToGrid w:val="0"/>
        </w:rPr>
        <w:tab/>
        <w:t xml:space="preserve">accept a bet from, or pay moneys or deliver a totalisator ticket to, a person apparently under the influence of intoxicating liquor; </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spacing w:before="120"/>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48" w:name="_Toc377999024"/>
      <w:r>
        <w:rPr>
          <w:rStyle w:val="CharSectno"/>
        </w:rPr>
        <w:t>22</w:t>
      </w:r>
      <w:r>
        <w:rPr>
          <w:snapToGrid w:val="0"/>
        </w:rPr>
        <w:t>.</w:t>
      </w:r>
      <w:r>
        <w:rPr>
          <w:snapToGrid w:val="0"/>
        </w:rPr>
        <w:tab/>
        <w:t>Offences by minors</w:t>
      </w:r>
      <w:bookmarkEnd w:id="48"/>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49" w:name="_Toc377999025"/>
      <w:r>
        <w:rPr>
          <w:rStyle w:val="CharSectno"/>
        </w:rPr>
        <w:t>22A</w:t>
      </w:r>
      <w:r>
        <w:t>.</w:t>
      </w:r>
      <w:r>
        <w:tab/>
        <w:t>Prohibition on assisting minors to bet</w:t>
      </w:r>
      <w:bookmarkEnd w:id="49"/>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rPr>
          <w:snapToGrid w:val="0"/>
        </w:rPr>
      </w:pPr>
      <w:bookmarkStart w:id="50" w:name="_Toc377999026"/>
      <w:r>
        <w:rPr>
          <w:rStyle w:val="CharSectno"/>
        </w:rPr>
        <w:t>23</w:t>
      </w:r>
      <w:r>
        <w:rPr>
          <w:snapToGrid w:val="0"/>
        </w:rPr>
        <w:t>.</w:t>
      </w:r>
      <w:r>
        <w:rPr>
          <w:snapToGrid w:val="0"/>
        </w:rPr>
        <w:tab/>
        <w:t>Prohibition of betting on races unless in accordance with this Act</w:t>
      </w:r>
      <w:bookmarkEnd w:id="50"/>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w:t>
      </w:r>
    </w:p>
    <w:p>
      <w:pPr>
        <w:pStyle w:val="Indenti"/>
      </w:pPr>
      <w:r>
        <w:tab/>
        <w:t>(ii)</w:t>
      </w:r>
      <w:r>
        <w:tab/>
        <w:t xml:space="preserve">a race course where a race meeting is being held under a licence issued by RWWA under the RWWA Act or the </w:t>
      </w:r>
      <w:r>
        <w:rPr>
          <w:i/>
        </w:rPr>
        <w:t>Racing Restriction Act 2003</w:t>
      </w:r>
      <w:r>
        <w:t>;</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t>(d)</w:t>
      </w:r>
      <w:r>
        <w:tab/>
        <w:t xml:space="preserve">the bet is made — </w:t>
      </w:r>
    </w:p>
    <w:p>
      <w:pPr>
        <w:pStyle w:val="Indenti"/>
      </w:pPr>
      <w:r>
        <w:tab/>
        <w:t>(i)</w:t>
      </w:r>
      <w:r>
        <w:tab/>
        <w:t>by means of a totalisator authorised to operate under a written law;</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w:t>
      </w:r>
    </w:p>
    <w:p>
      <w:pPr>
        <w:pStyle w:val="Heading5"/>
        <w:rPr>
          <w:snapToGrid w:val="0"/>
        </w:rPr>
      </w:pPr>
      <w:bookmarkStart w:id="51" w:name="_Toc377999027"/>
      <w:r>
        <w:rPr>
          <w:rStyle w:val="CharSectno"/>
        </w:rPr>
        <w:t>24</w:t>
      </w:r>
      <w:r>
        <w:rPr>
          <w:snapToGrid w:val="0"/>
        </w:rPr>
        <w:t>.</w:t>
      </w:r>
      <w:r>
        <w:rPr>
          <w:snapToGrid w:val="0"/>
        </w:rPr>
        <w:tab/>
        <w:t>Unlawful betting</w:t>
      </w:r>
      <w:bookmarkEnd w:id="51"/>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t>Penalty: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race or sporting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No. 29 of 2009 s. 10.] </w:t>
      </w:r>
    </w:p>
    <w:p>
      <w:pPr>
        <w:pStyle w:val="Heading5"/>
        <w:rPr>
          <w:snapToGrid w:val="0"/>
        </w:rPr>
      </w:pPr>
      <w:bookmarkStart w:id="52" w:name="_Toc377999028"/>
      <w:r>
        <w:rPr>
          <w:rStyle w:val="CharSectno"/>
        </w:rPr>
        <w:t>25</w:t>
      </w:r>
      <w:r>
        <w:rPr>
          <w:snapToGrid w:val="0"/>
        </w:rPr>
        <w:t>.</w:t>
      </w:r>
      <w:r>
        <w:rPr>
          <w:snapToGrid w:val="0"/>
        </w:rPr>
        <w:tab/>
        <w:t>Bookmakers may be ordered not to bet</w:t>
      </w:r>
      <w:bookmarkEnd w:id="52"/>
      <w:r>
        <w:rPr>
          <w:snapToGrid w:val="0"/>
        </w:rPr>
        <w:t xml:space="preserve"> </w:t>
      </w:r>
    </w:p>
    <w:p>
      <w:pPr>
        <w:pStyle w:val="Subsection"/>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deleted]</w:t>
      </w:r>
    </w:p>
    <w:p>
      <w:pPr>
        <w:pStyle w:val="Subsection"/>
        <w:rPr>
          <w:snapToGrid w:val="0"/>
        </w:rPr>
      </w:pPr>
      <w:r>
        <w:rPr>
          <w:snapToGrid w:val="0"/>
        </w:rPr>
        <w:tab/>
        <w:t>(5)</w:t>
      </w:r>
      <w:r>
        <w:rPr>
          <w:snapToGrid w:val="0"/>
        </w:rPr>
        <w:tab/>
        <w:t>An order made under this section may be revoked by the Court.</w:t>
      </w:r>
    </w:p>
    <w:p>
      <w:pPr>
        <w:pStyle w:val="Subsection"/>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53" w:name="_Toc377999029"/>
      <w:r>
        <w:rPr>
          <w:rStyle w:val="CharSectno"/>
        </w:rPr>
        <w:t>26</w:t>
      </w:r>
      <w:r>
        <w:rPr>
          <w:snapToGrid w:val="0"/>
        </w:rPr>
        <w:t>.</w:t>
      </w:r>
      <w:r>
        <w:rPr>
          <w:snapToGrid w:val="0"/>
        </w:rPr>
        <w:tab/>
        <w:t>Loitering in street or public place</w:t>
      </w:r>
      <w:bookmarkEnd w:id="53"/>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54" w:name="_Toc377999030"/>
      <w:r>
        <w:rPr>
          <w:rStyle w:val="CharSectno"/>
        </w:rPr>
        <w:t>26A</w:t>
      </w:r>
      <w:r>
        <w:rPr>
          <w:snapToGrid w:val="0"/>
        </w:rPr>
        <w:t>.</w:t>
      </w:r>
      <w:r>
        <w:rPr>
          <w:snapToGrid w:val="0"/>
        </w:rPr>
        <w:tab/>
        <w:t>Removal of persons</w:t>
      </w:r>
      <w:bookmarkEnd w:id="54"/>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55" w:name="_Toc377999031"/>
      <w:r>
        <w:rPr>
          <w:rStyle w:val="CharSectno"/>
        </w:rPr>
        <w:t>26B</w:t>
      </w:r>
      <w:r>
        <w:rPr>
          <w:snapToGrid w:val="0"/>
        </w:rPr>
        <w:t>.</w:t>
      </w:r>
      <w:r>
        <w:rPr>
          <w:snapToGrid w:val="0"/>
        </w:rPr>
        <w:tab/>
        <w:t>Penalty for persons warning offenders of the approach of a member of the Police Force</w:t>
      </w:r>
      <w:bookmarkEnd w:id="55"/>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 xml:space="preserve">[Section 26B inserted by No. 63 of 1995 s. 72.] </w:t>
      </w:r>
    </w:p>
    <w:p>
      <w:pPr>
        <w:pStyle w:val="Heading5"/>
        <w:spacing w:before="180"/>
        <w:rPr>
          <w:snapToGrid w:val="0"/>
        </w:rPr>
      </w:pPr>
      <w:bookmarkStart w:id="56" w:name="_Toc377999032"/>
      <w:r>
        <w:rPr>
          <w:rStyle w:val="CharSectno"/>
        </w:rPr>
        <w:t>26C</w:t>
      </w:r>
      <w:r>
        <w:rPr>
          <w:snapToGrid w:val="0"/>
        </w:rPr>
        <w:t>.</w:t>
      </w:r>
      <w:r>
        <w:rPr>
          <w:snapToGrid w:val="0"/>
        </w:rPr>
        <w:tab/>
        <w:t>Unlawful betting on licensed premises</w:t>
      </w:r>
      <w:bookmarkEnd w:id="5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spacing w:before="120"/>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spacing w:before="120"/>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by No. 63 of 1995 s. 73; amended by No. 73 of 2006 s. 114.] </w:t>
      </w:r>
    </w:p>
    <w:p>
      <w:pPr>
        <w:pStyle w:val="Heading5"/>
      </w:pPr>
      <w:bookmarkStart w:id="57" w:name="_Toc377999033"/>
      <w:r>
        <w:rPr>
          <w:rStyle w:val="CharSectno"/>
        </w:rPr>
        <w:t>27</w:t>
      </w:r>
      <w:r>
        <w:t>.</w:t>
      </w:r>
      <w:r>
        <w:tab/>
        <w:t>Penalty on owner or occupier of premises used for unlawful betting</w:t>
      </w:r>
      <w:bookmarkEnd w:id="57"/>
    </w:p>
    <w:p>
      <w:pPr>
        <w:pStyle w:val="Subsection"/>
        <w:spacing w:before="18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spacing w:before="90"/>
      </w:pPr>
      <w:r>
        <w:tab/>
        <w:t>(a)</w:t>
      </w:r>
      <w:r>
        <w:tab/>
        <w:t xml:space="preserve">the place is — </w:t>
      </w:r>
    </w:p>
    <w:p>
      <w:pPr>
        <w:pStyle w:val="Indenti"/>
        <w:spacing w:before="90"/>
      </w:pPr>
      <w:r>
        <w:tab/>
        <w:t>(i)</w:t>
      </w:r>
      <w:r>
        <w:tab/>
        <w:t xml:space="preserve">a race course where a race meeting is being held under a licence issued by RWWA under the RWWA Act or the </w:t>
      </w:r>
      <w:r>
        <w:rPr>
          <w:i/>
        </w:rPr>
        <w:t>Racing Restriction Act 2003</w:t>
      </w:r>
      <w:r>
        <w:t xml:space="preserve">; </w:t>
      </w:r>
    </w:p>
    <w:p>
      <w:pPr>
        <w:pStyle w:val="Indenti"/>
        <w:spacing w:before="90"/>
      </w:pPr>
      <w:r>
        <w:tab/>
        <w:t>(ii)</w:t>
      </w:r>
      <w:r>
        <w:tab/>
        <w:t>at the time it is opened or used or permitted to be used for betting, a part of a race course where a bookmaker is for the time being permitted under section 12(3) to bet or carry on business as a bookmaker; or</w:t>
      </w:r>
    </w:p>
    <w:p>
      <w:pPr>
        <w:pStyle w:val="Indenti"/>
        <w:spacing w:before="90"/>
      </w:pPr>
      <w:r>
        <w:tab/>
        <w:t>(iii)</w:t>
      </w:r>
      <w:r>
        <w:tab/>
        <w:t>a registered place;</w:t>
      </w:r>
    </w:p>
    <w:p>
      <w:pPr>
        <w:pStyle w:val="Indenta"/>
        <w:spacing w:before="90"/>
      </w:pPr>
      <w:r>
        <w:tab/>
        <w:t>(b)</w:t>
      </w:r>
      <w:r>
        <w:tab/>
        <w:t xml:space="preserve">the betting is carried on — </w:t>
      </w:r>
    </w:p>
    <w:p>
      <w:pPr>
        <w:pStyle w:val="Indenti"/>
        <w:spacing w:before="90"/>
      </w:pPr>
      <w:r>
        <w:tab/>
        <w:t>(i)</w:t>
      </w:r>
      <w:r>
        <w:tab/>
        <w:t>by means of a totalisator authorised to operate under a written law; or</w:t>
      </w:r>
    </w:p>
    <w:p>
      <w:pPr>
        <w:pStyle w:val="Indenti"/>
        <w:spacing w:before="90"/>
      </w:pPr>
      <w:r>
        <w:tab/>
        <w:t>(ii)</w:t>
      </w:r>
      <w:r>
        <w:tab/>
        <w:t>in accordance with this Act;</w:t>
      </w:r>
    </w:p>
    <w:p>
      <w:pPr>
        <w:pStyle w:val="Indenta"/>
        <w:spacing w:before="90"/>
      </w:pPr>
      <w:r>
        <w:tab/>
        <w:t>(c)</w:t>
      </w:r>
      <w:r>
        <w:tab/>
        <w:t>the provisions of section 5(2) apply;</w:t>
      </w:r>
    </w:p>
    <w:p>
      <w:pPr>
        <w:pStyle w:val="Indenta"/>
        <w:spacing w:before="90"/>
      </w:pPr>
      <w:r>
        <w:tab/>
        <w:t>(d)</w:t>
      </w:r>
      <w:r>
        <w:tab/>
        <w:t>the betting is done in accordance with the provisions of the RWWA Act; or</w:t>
      </w:r>
    </w:p>
    <w:p>
      <w:pPr>
        <w:pStyle w:val="Indenta"/>
        <w:spacing w:before="90"/>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58" w:name="_Toc377999034"/>
      <w:r>
        <w:rPr>
          <w:rStyle w:val="CharSectno"/>
        </w:rPr>
        <w:t>27A</w:t>
      </w:r>
      <w:r>
        <w:t>.</w:t>
      </w:r>
      <w:r>
        <w:tab/>
        <w:t>Offshore betting</w:t>
      </w:r>
      <w:bookmarkEnd w:id="58"/>
      <w:r>
        <w:t xml:space="preserve"> </w:t>
      </w:r>
    </w:p>
    <w:p>
      <w:pPr>
        <w:pStyle w:val="Subsection"/>
        <w:keepNext/>
        <w:keepLines/>
      </w:pPr>
      <w:r>
        <w:tab/>
        <w:t>(1)</w:t>
      </w:r>
      <w:r>
        <w:tab/>
        <w:t xml:space="preserve">In this section — </w:t>
      </w:r>
    </w:p>
    <w:p>
      <w:pPr>
        <w:pStyle w:val="Defstart"/>
        <w:keepNext/>
        <w:keepLines/>
      </w:pPr>
      <w:r>
        <w:rPr>
          <w:b/>
        </w:rPr>
        <w:tab/>
      </w:r>
      <w:r>
        <w:rPr>
          <w:rStyle w:val="CharDefText"/>
        </w:rPr>
        <w:t>approved sporting event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t>that is the subject of an approval given under section 4B(2);</w:t>
      </w:r>
    </w:p>
    <w:p>
      <w:pPr>
        <w:pStyle w:val="Defstart"/>
      </w:pPr>
      <w:r>
        <w:rPr>
          <w:b/>
        </w:rPr>
        <w:tab/>
      </w:r>
      <w:r>
        <w:rPr>
          <w:rStyle w:val="CharDefText"/>
        </w:rPr>
        <w:t>authorised person</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r>
        <w:rPr>
          <w:rStyle w:val="CharDefText"/>
        </w:rPr>
        <w:t>offshore bet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 No. 29 of 2009 s. 11.]</w:t>
      </w:r>
    </w:p>
    <w:p>
      <w:pPr>
        <w:pStyle w:val="Ednotesection"/>
      </w:pPr>
      <w:r>
        <w:t>[</w:t>
      </w:r>
      <w:r>
        <w:rPr>
          <w:b/>
          <w:bCs/>
        </w:rPr>
        <w:t>27B, 27C.</w:t>
      </w:r>
      <w:r>
        <w:tab/>
        <w:t>Deleted by No. 29 of 2009 s. 12.]</w:t>
      </w:r>
    </w:p>
    <w:p>
      <w:pPr>
        <w:pStyle w:val="Heading5"/>
      </w:pPr>
      <w:bookmarkStart w:id="59" w:name="_Toc377999035"/>
      <w:r>
        <w:rPr>
          <w:rStyle w:val="CharSectno"/>
        </w:rPr>
        <w:t>27D</w:t>
      </w:r>
      <w:r>
        <w:t>.</w:t>
      </w:r>
      <w:r>
        <w:tab/>
        <w:t>Publication of WA race fields restricted</w:t>
      </w:r>
      <w:bookmarkEnd w:id="59"/>
    </w:p>
    <w:p>
      <w:pPr>
        <w:pStyle w:val="Subsection"/>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by No. 70 of 2006 s. 9(1); amended by No. 29 of 2009 s. 13.]</w:t>
      </w:r>
    </w:p>
    <w:p>
      <w:pPr>
        <w:pStyle w:val="Heading5"/>
      </w:pPr>
      <w:bookmarkStart w:id="60" w:name="_Toc377999036"/>
      <w:r>
        <w:rPr>
          <w:rStyle w:val="CharSectno"/>
        </w:rPr>
        <w:t>27E</w:t>
      </w:r>
      <w:r>
        <w:t>.</w:t>
      </w:r>
      <w:r>
        <w:tab/>
        <w:t>Confidentiality</w:t>
      </w:r>
      <w:bookmarkEnd w:id="60"/>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by No. 29 of 2009 s. 14.]</w:t>
      </w:r>
    </w:p>
    <w:p>
      <w:pPr>
        <w:pStyle w:val="Heading5"/>
      </w:pPr>
      <w:bookmarkStart w:id="61" w:name="_Toc377999037"/>
      <w:r>
        <w:rPr>
          <w:rStyle w:val="CharSectno"/>
        </w:rPr>
        <w:t>27F</w:t>
      </w:r>
      <w:r>
        <w:t>.</w:t>
      </w:r>
      <w:r>
        <w:tab/>
        <w:t>Authorisation of publication of WA race fields by domestic betting operators</w:t>
      </w:r>
      <w:bookmarkEnd w:id="61"/>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by No. 29 of 2009 s. 14.]</w:t>
      </w:r>
    </w:p>
    <w:p>
      <w:pPr>
        <w:pStyle w:val="Heading5"/>
      </w:pPr>
      <w:bookmarkStart w:id="62" w:name="_Toc377999038"/>
      <w:r>
        <w:rPr>
          <w:rStyle w:val="CharSectno"/>
        </w:rPr>
        <w:t>27G</w:t>
      </w:r>
      <w:r>
        <w:t>.</w:t>
      </w:r>
      <w:r>
        <w:tab/>
        <w:t>Liability of persons who occupy a position of authority in a body corporate</w:t>
      </w:r>
      <w:bookmarkEnd w:id="62"/>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spacing w:before="12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by No. 70 of 2006 s. 10(1).]</w:t>
      </w:r>
    </w:p>
    <w:p>
      <w:pPr>
        <w:pStyle w:val="Heading5"/>
        <w:spacing w:before="180"/>
      </w:pPr>
      <w:bookmarkStart w:id="63" w:name="_Toc377999039"/>
      <w:r>
        <w:rPr>
          <w:rStyle w:val="CharSectno"/>
        </w:rPr>
        <w:t>27H</w:t>
      </w:r>
      <w:r>
        <w:t>.</w:t>
      </w:r>
      <w:r>
        <w:tab/>
        <w:t>Liability of natural persons, partners, bodies corporate and officers</w:t>
      </w:r>
      <w:bookmarkEnd w:id="63"/>
    </w:p>
    <w:p>
      <w:pPr>
        <w:pStyle w:val="Subsection"/>
        <w:spacing w:before="120"/>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spacing w:before="120"/>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spacing w:before="120"/>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spacing w:before="60"/>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64" w:name="_Toc377999040"/>
      <w:r>
        <w:rPr>
          <w:rStyle w:val="CharSectno"/>
        </w:rPr>
        <w:t>28</w:t>
      </w:r>
      <w:r>
        <w:rPr>
          <w:snapToGrid w:val="0"/>
        </w:rPr>
        <w:t>.</w:t>
      </w:r>
      <w:r>
        <w:rPr>
          <w:snapToGrid w:val="0"/>
        </w:rPr>
        <w:tab/>
        <w:t>Forfeiture of betting material and money in certain cases</w:t>
      </w:r>
      <w:bookmarkEnd w:id="64"/>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65" w:name="_Toc377999041"/>
      <w:r>
        <w:rPr>
          <w:rStyle w:val="CharSectno"/>
        </w:rPr>
        <w:t>28A</w:t>
      </w:r>
      <w:r>
        <w:rPr>
          <w:snapToGrid w:val="0"/>
        </w:rPr>
        <w:t>.</w:t>
      </w:r>
      <w:r>
        <w:rPr>
          <w:snapToGrid w:val="0"/>
        </w:rPr>
        <w:tab/>
        <w:t>Search warrant</w:t>
      </w:r>
      <w:bookmarkEnd w:id="65"/>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rPr>
          <w:snapToGrid w:val="0"/>
        </w:rPr>
      </w:pPr>
      <w:r>
        <w:rPr>
          <w:snapToGrid w:val="0"/>
        </w:rPr>
        <w:tab/>
        <w:t>(c)</w:t>
      </w:r>
      <w:r>
        <w:rPr>
          <w:snapToGrid w:val="0"/>
        </w:rPr>
        <w:tab/>
        <w:t>to search all persons found therein or thereupon;</w:t>
      </w:r>
    </w:p>
    <w:p>
      <w:pPr>
        <w:pStyle w:val="Indenta"/>
      </w:pPr>
      <w:r>
        <w:tab/>
        <w:t>(d)</w:t>
      </w:r>
      <w:r>
        <w:tab/>
        <w:t>to arrest all persons found therein or thereupon and to detain them until they are dealt with according to law;</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No. 70 of 2006 s. 11; No. 29 of 2009 s. 15.] </w:t>
      </w:r>
    </w:p>
    <w:p>
      <w:pPr>
        <w:pStyle w:val="Heading5"/>
        <w:spacing w:before="180"/>
        <w:rPr>
          <w:snapToGrid w:val="0"/>
        </w:rPr>
      </w:pPr>
      <w:bookmarkStart w:id="66" w:name="_Toc377999042"/>
      <w:r>
        <w:rPr>
          <w:rStyle w:val="CharSectno"/>
        </w:rPr>
        <w:t>28B</w:t>
      </w:r>
      <w:r>
        <w:rPr>
          <w:snapToGrid w:val="0"/>
        </w:rPr>
        <w:t>.</w:t>
      </w:r>
      <w:r>
        <w:rPr>
          <w:snapToGrid w:val="0"/>
        </w:rPr>
        <w:tab/>
        <w:t>Prima facie evidence of offence</w:t>
      </w:r>
      <w:bookmarkEnd w:id="66"/>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spacing w:before="60"/>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by No. 14 of 1961 s. 2; amended by No. 63 of 1995 s. 76; No. 35 of 2003 s. 92; No. 84 of 2004 s. 80; No. 70 of 2006 s. 12; No. 29 of 2009 s. 16.] </w:t>
      </w:r>
    </w:p>
    <w:p>
      <w:pPr>
        <w:pStyle w:val="Heading5"/>
        <w:rPr>
          <w:snapToGrid w:val="0"/>
        </w:rPr>
      </w:pPr>
      <w:bookmarkStart w:id="67" w:name="_Toc377999043"/>
      <w:r>
        <w:rPr>
          <w:rStyle w:val="CharSectno"/>
        </w:rPr>
        <w:t>28C</w:t>
      </w:r>
      <w:r>
        <w:rPr>
          <w:snapToGrid w:val="0"/>
        </w:rPr>
        <w:t>.</w:t>
      </w:r>
      <w:r>
        <w:rPr>
          <w:snapToGrid w:val="0"/>
        </w:rPr>
        <w:tab/>
        <w:t>Offences in respect of conducting totalisator agencies</w:t>
      </w:r>
      <w:bookmarkEnd w:id="6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68" w:name="_Toc377999044"/>
      <w:r>
        <w:rPr>
          <w:rStyle w:val="CharSectno"/>
        </w:rPr>
        <w:t>28D</w:t>
      </w:r>
      <w:r>
        <w:rPr>
          <w:snapToGrid w:val="0"/>
        </w:rPr>
        <w:t>.</w:t>
      </w:r>
      <w:r>
        <w:rPr>
          <w:snapToGrid w:val="0"/>
        </w:rPr>
        <w:tab/>
        <w:t>Penalty for acting as totalisator agent</w:t>
      </w:r>
      <w:bookmarkEnd w:id="68"/>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69" w:name="_Toc377999045"/>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69"/>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70" w:name="_Toc377999046"/>
      <w:r>
        <w:rPr>
          <w:rStyle w:val="CharSectno"/>
        </w:rPr>
        <w:t>28F</w:t>
      </w:r>
      <w:r>
        <w:rPr>
          <w:snapToGrid w:val="0"/>
        </w:rPr>
        <w:t>.</w:t>
      </w:r>
      <w:r>
        <w:rPr>
          <w:snapToGrid w:val="0"/>
        </w:rPr>
        <w:tab/>
        <w:t>Non</w:t>
      </w:r>
      <w:r>
        <w:rPr>
          <w:snapToGrid w:val="0"/>
        </w:rPr>
        <w:noBreakHyphen/>
        <w:t>application of sections 28D and 28E</w:t>
      </w:r>
      <w:bookmarkEnd w:id="70"/>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71" w:name="_Toc377999047"/>
      <w:r>
        <w:rPr>
          <w:rStyle w:val="CharSectno"/>
        </w:rPr>
        <w:t>28G</w:t>
      </w:r>
      <w:r>
        <w:rPr>
          <w:snapToGrid w:val="0"/>
        </w:rPr>
        <w:t>.</w:t>
      </w:r>
      <w:r>
        <w:rPr>
          <w:snapToGrid w:val="0"/>
        </w:rPr>
        <w:tab/>
        <w:t>Penalty for accepting bets after closing time</w:t>
      </w:r>
      <w:bookmarkEnd w:id="71"/>
      <w:r>
        <w:rPr>
          <w:snapToGrid w:val="0"/>
        </w:rPr>
        <w:t xml:space="preserve"> </w:t>
      </w:r>
    </w:p>
    <w:p>
      <w:pPr>
        <w:pStyle w:val="Subsection"/>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Subsection"/>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by No. 63 of 1995 s. 81; amended by No. 35 of 2003 s. 103; No. 29 of 2009 s. 17.] </w:t>
      </w:r>
    </w:p>
    <w:p>
      <w:pPr>
        <w:pStyle w:val="Heading5"/>
      </w:pPr>
      <w:bookmarkStart w:id="72" w:name="_Toc377999048"/>
      <w:r>
        <w:rPr>
          <w:rStyle w:val="CharSectno"/>
        </w:rPr>
        <w:t>29</w:t>
      </w:r>
      <w:r>
        <w:t>.</w:t>
      </w:r>
      <w:r>
        <w:tab/>
        <w:t>Penalty for providing credit</w:t>
      </w:r>
      <w:bookmarkEnd w:id="72"/>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73" w:name="_Toc377999049"/>
      <w:r>
        <w:rPr>
          <w:rStyle w:val="CharSectno"/>
        </w:rPr>
        <w:t>30</w:t>
      </w:r>
      <w:r>
        <w:rPr>
          <w:snapToGrid w:val="0"/>
        </w:rPr>
        <w:t>.</w:t>
      </w:r>
      <w:r>
        <w:rPr>
          <w:snapToGrid w:val="0"/>
        </w:rPr>
        <w:tab/>
        <w:t>General penalty</w:t>
      </w:r>
      <w:bookmarkEnd w:id="73"/>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74" w:name="_Toc377999050"/>
      <w:r>
        <w:rPr>
          <w:rStyle w:val="CharSectno"/>
        </w:rPr>
        <w:t>30A</w:t>
      </w:r>
      <w:r>
        <w:t>.</w:t>
      </w:r>
      <w:r>
        <w:rPr>
          <w:b w:val="0"/>
        </w:rPr>
        <w:tab/>
      </w:r>
      <w:r>
        <w:rPr>
          <w:snapToGrid w:val="0"/>
        </w:rPr>
        <w:t>Offences to be dealt with by a magistrate</w:t>
      </w:r>
      <w:bookmarkEnd w:id="74"/>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75" w:name="_Toc377999051"/>
      <w:r>
        <w:rPr>
          <w:rStyle w:val="CharSectno"/>
        </w:rPr>
        <w:t>31</w:t>
      </w:r>
      <w:r>
        <w:rPr>
          <w:snapToGrid w:val="0"/>
        </w:rPr>
        <w:t>.</w:t>
      </w:r>
      <w:r>
        <w:rPr>
          <w:snapToGrid w:val="0"/>
        </w:rPr>
        <w:tab/>
        <w:t>Conduct of betting</w:t>
      </w:r>
      <w:bookmarkEnd w:id="75"/>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76" w:name="_Toc377999052"/>
      <w:r>
        <w:rPr>
          <w:rStyle w:val="CharSectno"/>
        </w:rPr>
        <w:t>31A</w:t>
      </w:r>
      <w:r>
        <w:rPr>
          <w:snapToGrid w:val="0"/>
        </w:rPr>
        <w:t>.</w:t>
      </w:r>
      <w:r>
        <w:rPr>
          <w:snapToGrid w:val="0"/>
        </w:rPr>
        <w:tab/>
        <w:t>Evidence</w:t>
      </w:r>
      <w:bookmarkEnd w:id="76"/>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77" w:name="_Toc377999053"/>
      <w:r>
        <w:rPr>
          <w:rStyle w:val="CharSectno"/>
        </w:rPr>
        <w:t>32</w:t>
      </w:r>
      <w:r>
        <w:rPr>
          <w:snapToGrid w:val="0"/>
        </w:rPr>
        <w:t>.</w:t>
      </w:r>
      <w:r>
        <w:rPr>
          <w:snapToGrid w:val="0"/>
        </w:rPr>
        <w:tab/>
        <w:t>Disputes as to bets with bookmakers</w:t>
      </w:r>
      <w:bookmarkEnd w:id="77"/>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spacing w:before="180"/>
        <w:rPr>
          <w:snapToGrid w:val="0"/>
        </w:rPr>
      </w:pPr>
      <w:bookmarkStart w:id="78" w:name="_Toc377999054"/>
      <w:r>
        <w:rPr>
          <w:rStyle w:val="CharSectno"/>
        </w:rPr>
        <w:t>32A</w:t>
      </w:r>
      <w:r>
        <w:rPr>
          <w:snapToGrid w:val="0"/>
        </w:rPr>
        <w:t>.</w:t>
      </w:r>
      <w:r>
        <w:rPr>
          <w:snapToGrid w:val="0"/>
        </w:rPr>
        <w:tab/>
        <w:t>Disciplinary powers</w:t>
      </w:r>
      <w:bookmarkEnd w:id="78"/>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79" w:name="_Toc377999055"/>
      <w:r>
        <w:rPr>
          <w:rStyle w:val="CharPartNo"/>
        </w:rPr>
        <w:t>Part 5</w:t>
      </w:r>
      <w:r>
        <w:rPr>
          <w:b w:val="0"/>
        </w:rPr>
        <w:t> </w:t>
      </w:r>
      <w:r>
        <w:t>—</w:t>
      </w:r>
      <w:r>
        <w:rPr>
          <w:b w:val="0"/>
        </w:rPr>
        <w:t> </w:t>
      </w:r>
      <w:r>
        <w:rPr>
          <w:rStyle w:val="CharPartText"/>
        </w:rPr>
        <w:t>Miscellaneous</w:t>
      </w:r>
      <w:bookmarkEnd w:id="79"/>
    </w:p>
    <w:p>
      <w:pPr>
        <w:pStyle w:val="Footnoteheading"/>
        <w:tabs>
          <w:tab w:val="left" w:pos="851"/>
        </w:tabs>
      </w:pPr>
      <w:r>
        <w:tab/>
        <w:t>[Heading inserted by No. 35 of 2003 s. 101(5).]</w:t>
      </w:r>
    </w:p>
    <w:p>
      <w:pPr>
        <w:pStyle w:val="Heading5"/>
        <w:rPr>
          <w:snapToGrid w:val="0"/>
        </w:rPr>
      </w:pPr>
      <w:bookmarkStart w:id="80" w:name="_Toc377999056"/>
      <w:r>
        <w:rPr>
          <w:rStyle w:val="CharSectno"/>
        </w:rPr>
        <w:t>33</w:t>
      </w:r>
      <w:r>
        <w:rPr>
          <w:snapToGrid w:val="0"/>
        </w:rPr>
        <w:t>.</w:t>
      </w:r>
      <w:r>
        <w:rPr>
          <w:snapToGrid w:val="0"/>
        </w:rPr>
        <w:tab/>
        <w:t>Regulations</w:t>
      </w:r>
      <w:bookmarkEnd w:id="8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 xml:space="preserve">Deleted by No. 35 of 2003 s. 97.] </w:t>
      </w:r>
    </w:p>
    <w:p>
      <w:pPr>
        <w:pStyle w:val="Ednotesection"/>
        <w:ind w:left="0" w:firstLine="0"/>
      </w:pPr>
      <w:r>
        <w:t>[</w:t>
      </w:r>
      <w:r>
        <w:rPr>
          <w:b/>
        </w:rPr>
        <w:t>35.</w:t>
      </w:r>
      <w:r>
        <w:tab/>
        <w:t xml:space="preserve">Deleted by No. 63 of 1995 s. 86.] </w:t>
      </w:r>
    </w:p>
    <w:p>
      <w:pPr>
        <w:pStyle w:val="Ednotesection"/>
        <w:ind w:left="0" w:firstLine="0"/>
      </w:pPr>
      <w:r>
        <w:t>[</w:t>
      </w:r>
      <w:r>
        <w:rPr>
          <w:b/>
        </w:rPr>
        <w:t>36.</w:t>
      </w:r>
      <w:r>
        <w:tab/>
        <w:t xml:space="preserve">Deleted by No. 35 of 2003 s. 98.] </w:t>
      </w:r>
    </w:p>
    <w:p>
      <w:pPr>
        <w:pStyle w:val="yEdnoteschedule"/>
      </w:pPr>
      <w:r>
        <w:t>[Schedule 1 deleted by No. 35 of 2003 s. 99.]</w:t>
      </w:r>
    </w:p>
    <w:p>
      <w:pPr>
        <w:pStyle w:val="yEdnoteschedule"/>
      </w:pPr>
      <w:r>
        <w:t>[Schedule 2 deleted by No. 35 of 2003 s. 100.]</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81" w:name="_Toc377999057"/>
      <w:r>
        <w:rPr>
          <w:rStyle w:val="CharSchNo"/>
        </w:rPr>
        <w:t>Schedule 3</w:t>
      </w:r>
      <w:r>
        <w:t xml:space="preserve"> — </w:t>
      </w:r>
      <w:r>
        <w:rPr>
          <w:rStyle w:val="CharSchText"/>
        </w:rPr>
        <w:t>Requirements for licensing of a body corporate and continuation of the licence of a body corporate</w:t>
      </w:r>
      <w:bookmarkEnd w:id="81"/>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82" w:name="_Toc377999058"/>
      <w:r>
        <w:t>Notes</w:t>
      </w:r>
      <w:bookmarkEnd w:id="82"/>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3" w:name="_Toc377999059"/>
      <w:r>
        <w:rPr>
          <w:snapToGrid w:val="0"/>
        </w:rPr>
        <w:t>Compilation table</w:t>
      </w:r>
      <w:bookmarkEnd w:id="8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9"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9"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9"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9"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9"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9"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9"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69"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9"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9"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9"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9"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9"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9"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9"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9"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9"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9"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9"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9"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9"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9"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s. 1 and 2: 15 Jun 1998;</w:t>
            </w:r>
            <w:r>
              <w:rPr>
                <w:sz w:val="19"/>
              </w:rPr>
              <w:br/>
              <w:t xml:space="preserve">Act other than s. 1 and 2: 1 Aug 1998 (see s. 2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9"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9"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9" w:type="dxa"/>
          </w:tcPr>
          <w:p>
            <w:pPr>
              <w:pStyle w:val="nTable"/>
              <w:spacing w:after="40"/>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9"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9" w:type="dxa"/>
          </w:tcPr>
          <w:p>
            <w:pPr>
              <w:pStyle w:val="nTable"/>
              <w:spacing w:after="40"/>
              <w:rPr>
                <w:i/>
                <w:snapToGrid w:val="0"/>
                <w:sz w:val="19"/>
              </w:rPr>
            </w:pPr>
            <w:r>
              <w:rPr>
                <w:i/>
                <w:snapToGrid w:val="0"/>
                <w:sz w:val="19"/>
              </w:rPr>
              <w:t>Planning and Development (Consequential and Transitional Provisions) Act 2005</w:t>
            </w:r>
            <w:r>
              <w:rPr>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cantSplit/>
        </w:trPr>
        <w:tc>
          <w:tcPr>
            <w:tcW w:w="7089" w:type="dxa"/>
            <w:gridSpan w:val="4"/>
          </w:tcPr>
          <w:p>
            <w:pPr>
              <w:pStyle w:val="nTable"/>
              <w:spacing w:after="40"/>
              <w:rPr>
                <w:snapToGrid w:val="0"/>
                <w:sz w:val="19"/>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trPr>
        <w:tc>
          <w:tcPr>
            <w:tcW w:w="2269" w:type="dxa"/>
          </w:tcPr>
          <w:p>
            <w:pPr>
              <w:pStyle w:val="nTable"/>
              <w:spacing w:after="40"/>
              <w:rPr>
                <w:i/>
                <w:sz w:val="19"/>
              </w:rPr>
            </w:pPr>
            <w:r>
              <w:rPr>
                <w:i/>
                <w:snapToGrid w:val="0"/>
                <w:sz w:val="19"/>
              </w:rPr>
              <w:t>Criminal Investigation (Consequential Provisions) Act 2006</w:t>
            </w:r>
            <w:r>
              <w:rPr>
                <w:iCs/>
                <w:snapToGrid w:val="0"/>
                <w:sz w:val="19"/>
              </w:rPr>
              <w:t xml:space="preserve"> s. 73</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9" w:type="dxa"/>
          </w:tcPr>
          <w:p>
            <w:pPr>
              <w:pStyle w:val="nTable"/>
              <w:spacing w:after="40"/>
              <w:rPr>
                <w:snapToGrid w:val="0"/>
                <w:sz w:val="19"/>
              </w:rPr>
            </w:pPr>
            <w:r>
              <w:rPr>
                <w:i/>
                <w:sz w:val="19"/>
              </w:rPr>
              <w:t>Betting and Racing Legislation Amendment Act 2006</w:t>
            </w:r>
            <w:r>
              <w:rPr>
                <w:sz w:val="19"/>
              </w:rPr>
              <w:t xml:space="preserve"> Pt. 2</w:t>
            </w:r>
          </w:p>
        </w:tc>
        <w:tc>
          <w:tcPr>
            <w:tcW w:w="1134" w:type="dxa"/>
          </w:tcPr>
          <w:p>
            <w:pPr>
              <w:pStyle w:val="nTable"/>
              <w:spacing w:after="40"/>
              <w:rPr>
                <w:snapToGrid w:val="0"/>
                <w:sz w:val="19"/>
              </w:rPr>
            </w:pPr>
            <w:r>
              <w:rPr>
                <w:snapToGrid w:val="0"/>
                <w:sz w:val="19"/>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rPr>
            </w:pPr>
            <w:r>
              <w:rPr>
                <w:snapToGrid w:val="0"/>
                <w:sz w:val="19"/>
              </w:rPr>
              <w:t>s. 3, 5</w:t>
            </w:r>
            <w:r>
              <w:rPr>
                <w:snapToGrid w:val="0"/>
                <w:sz w:val="19"/>
              </w:rPr>
              <w:noBreakHyphen/>
              <w:t xml:space="preserve">8 and 10: 29 Jan 2007 (see s. 2 and </w:t>
            </w:r>
            <w:r>
              <w:rPr>
                <w:i/>
                <w:iCs/>
                <w:snapToGrid w:val="0"/>
                <w:sz w:val="19"/>
              </w:rPr>
              <w:t>Gazette</w:t>
            </w:r>
            <w:r>
              <w:rPr>
                <w:snapToGrid w:val="0"/>
                <w:sz w:val="19"/>
              </w:rPr>
              <w:t xml:space="preserve"> 23 Jan 2007 p. 181);</w:t>
            </w:r>
            <w:r>
              <w:rPr>
                <w:snapToGrid w:val="0"/>
                <w:sz w:val="19"/>
              </w:rPr>
              <w:br/>
              <w:t xml:space="preserve">s. 4, 9, 11 and 12: 9 Jul 2007 (see s. 2 and </w:t>
            </w:r>
            <w:r>
              <w:rPr>
                <w:i/>
                <w:iCs/>
                <w:snapToGrid w:val="0"/>
                <w:sz w:val="19"/>
              </w:rPr>
              <w:t>Gazette</w:t>
            </w:r>
            <w:r>
              <w:rPr>
                <w:snapToGrid w:val="0"/>
                <w:sz w:val="19"/>
              </w:rPr>
              <w:t xml:space="preserve"> 22 Jun 2007 p. 2837)</w:t>
            </w:r>
          </w:p>
        </w:tc>
      </w:tr>
      <w:tr>
        <w:trPr>
          <w:cantSplit/>
        </w:trPr>
        <w:tc>
          <w:tcPr>
            <w:tcW w:w="2269" w:type="dxa"/>
          </w:tcPr>
          <w:p>
            <w:pPr>
              <w:pStyle w:val="nTable"/>
              <w:spacing w:after="40"/>
              <w:rPr>
                <w:i/>
                <w:sz w:val="19"/>
              </w:rPr>
            </w:pPr>
            <w:r>
              <w:rPr>
                <w:i/>
                <w:snapToGrid w:val="0"/>
                <w:sz w:val="19"/>
              </w:rPr>
              <w:t xml:space="preserve">Liquor and Gaming Legislation Amendment Act 2006 </w:t>
            </w:r>
            <w:r>
              <w:rPr>
                <w:snapToGrid w:val="0"/>
                <w:sz w:val="19"/>
              </w:rPr>
              <w:t>s. 114</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52" w:type="dxa"/>
          </w:tcPr>
          <w:p>
            <w:pPr>
              <w:pStyle w:val="nTable"/>
              <w:spacing w:after="40"/>
              <w:rPr>
                <w:snapToGrid w:val="0"/>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cantSplit/>
        </w:trPr>
        <w:tc>
          <w:tcPr>
            <w:tcW w:w="2269" w:type="dxa"/>
          </w:tcPr>
          <w:p>
            <w:pPr>
              <w:pStyle w:val="nTable"/>
              <w:spacing w:after="40"/>
              <w:rPr>
                <w:iCs/>
                <w:snapToGrid w:val="0"/>
                <w:sz w:val="19"/>
              </w:rPr>
            </w:pPr>
            <w:r>
              <w:rPr>
                <w:i/>
                <w:snapToGrid w:val="0"/>
                <w:sz w:val="19"/>
              </w:rPr>
              <w:t>Racing, Wagering and Betting Legislation Amendment and Repeal Act 2007 </w:t>
            </w:r>
            <w:r>
              <w:rPr>
                <w:iCs/>
                <w:snapToGrid w:val="0"/>
                <w:sz w:val="19"/>
              </w:rPr>
              <w:t>Pt. 2</w:t>
            </w:r>
          </w:p>
        </w:tc>
        <w:tc>
          <w:tcPr>
            <w:tcW w:w="1134" w:type="dxa"/>
          </w:tcPr>
          <w:p>
            <w:pPr>
              <w:pStyle w:val="nTable"/>
              <w:spacing w:after="40"/>
              <w:rPr>
                <w:snapToGrid w:val="0"/>
                <w:sz w:val="19"/>
              </w:rPr>
            </w:pPr>
            <w:r>
              <w:rPr>
                <w:snapToGrid w:val="0"/>
                <w:sz w:val="19"/>
              </w:rPr>
              <w:t>8 of 2007</w:t>
            </w:r>
          </w:p>
        </w:tc>
        <w:tc>
          <w:tcPr>
            <w:tcW w:w="1134" w:type="dxa"/>
          </w:tcPr>
          <w:p>
            <w:pPr>
              <w:pStyle w:val="nTable"/>
              <w:spacing w:after="40"/>
              <w:rPr>
                <w:snapToGrid w:val="0"/>
                <w:sz w:val="19"/>
              </w:rPr>
            </w:pPr>
            <w:r>
              <w:rPr>
                <w:snapToGrid w:val="0"/>
                <w:sz w:val="19"/>
              </w:rPr>
              <w:t>13 Jun 2007</w:t>
            </w:r>
          </w:p>
        </w:tc>
        <w:tc>
          <w:tcPr>
            <w:tcW w:w="2552" w:type="dxa"/>
          </w:tcPr>
          <w:p>
            <w:pPr>
              <w:pStyle w:val="nTable"/>
              <w:spacing w:after="40"/>
              <w:rPr>
                <w:snapToGrid w:val="0"/>
                <w:sz w:val="19"/>
              </w:rPr>
            </w:pPr>
            <w:r>
              <w:rPr>
                <w:snapToGrid w:val="0"/>
                <w:sz w:val="19"/>
              </w:rPr>
              <w:t>14 Jun 2007 (see s. 2)</w:t>
            </w:r>
          </w:p>
        </w:tc>
      </w:tr>
      <w:tr>
        <w:trPr>
          <w:cantSplit/>
        </w:trPr>
        <w:tc>
          <w:tcPr>
            <w:tcW w:w="7089" w:type="dxa"/>
            <w:gridSpan w:val="4"/>
          </w:tcPr>
          <w:p>
            <w:pPr>
              <w:pStyle w:val="nTable"/>
              <w:spacing w:after="40"/>
              <w:rPr>
                <w:snapToGrid w:val="0"/>
                <w:sz w:val="19"/>
              </w:rPr>
            </w:pPr>
            <w:r>
              <w:rPr>
                <w:b/>
                <w:sz w:val="19"/>
              </w:rPr>
              <w:t xml:space="preserve">Reprint 9: The </w:t>
            </w:r>
            <w:r>
              <w:rPr>
                <w:b/>
                <w:i/>
                <w:sz w:val="19"/>
              </w:rPr>
              <w:t>Betting Control Act 1954</w:t>
            </w:r>
            <w:r>
              <w:rPr>
                <w:b/>
                <w:sz w:val="19"/>
              </w:rPr>
              <w:t xml:space="preserve"> as at 17 Aug 2007 </w:t>
            </w:r>
            <w:r>
              <w:rPr>
                <w:sz w:val="19"/>
              </w:rPr>
              <w:t>(includes amendments listed above)</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25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11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
                <w:snapToGrid w:val="0"/>
                <w:sz w:val="19"/>
              </w:rPr>
            </w:pPr>
            <w:r>
              <w:rPr>
                <w:i/>
                <w:iCs/>
                <w:snapToGrid w:val="0"/>
                <w:sz w:val="19"/>
              </w:rPr>
              <w:t>Racing and Wagering Legislation Amendment Act 2009</w:t>
            </w:r>
            <w:r>
              <w:rPr>
                <w:snapToGrid w:val="0"/>
                <w:sz w:val="19"/>
              </w:rPr>
              <w:t xml:space="preserve"> Pt. 2</w:t>
            </w:r>
          </w:p>
        </w:tc>
        <w:tc>
          <w:tcPr>
            <w:tcW w:w="1134" w:type="dxa"/>
            <w:tcBorders>
              <w:bottom w:val="single" w:sz="4" w:space="0" w:color="auto"/>
            </w:tcBorders>
          </w:tcPr>
          <w:p>
            <w:pPr>
              <w:pStyle w:val="nTable"/>
              <w:spacing w:after="40"/>
              <w:rPr>
                <w:sz w:val="19"/>
              </w:rPr>
            </w:pPr>
            <w:r>
              <w:rPr>
                <w:sz w:val="19"/>
              </w:rPr>
              <w:t>29 of 2009</w:t>
            </w:r>
          </w:p>
        </w:tc>
        <w:tc>
          <w:tcPr>
            <w:tcW w:w="1134" w:type="dxa"/>
            <w:tcBorders>
              <w:bottom w:val="single" w:sz="4" w:space="0" w:color="auto"/>
            </w:tcBorders>
          </w:tcPr>
          <w:p>
            <w:pPr>
              <w:pStyle w:val="nTable"/>
              <w:spacing w:after="40"/>
              <w:rPr>
                <w:sz w:val="19"/>
              </w:rPr>
            </w:pPr>
            <w:r>
              <w:rPr>
                <w:snapToGrid w:val="0"/>
                <w:sz w:val="19"/>
              </w:rPr>
              <w:t>23 Nov 2009</w:t>
            </w:r>
          </w:p>
        </w:tc>
        <w:tc>
          <w:tcPr>
            <w:tcW w:w="2552" w:type="dxa"/>
            <w:tcBorders>
              <w:bottom w:val="single" w:sz="4" w:space="0" w:color="auto"/>
            </w:tcBorders>
          </w:tcPr>
          <w:p>
            <w:pPr>
              <w:pStyle w:val="nTable"/>
              <w:spacing w:after="40"/>
              <w:rPr>
                <w:sz w:val="19"/>
              </w:rPr>
            </w:pPr>
            <w:r>
              <w:rPr>
                <w:sz w:val="19"/>
              </w:rPr>
              <w:t xml:space="preserve">11 Jan 2010 (see s. 2(b) and </w:t>
            </w:r>
            <w:r>
              <w:rPr>
                <w:i/>
                <w:iCs/>
                <w:sz w:val="19"/>
              </w:rPr>
              <w:t>Gazette</w:t>
            </w:r>
            <w:r>
              <w:rPr>
                <w:sz w:val="19"/>
              </w:rPr>
              <w:t xml:space="preserve"> 8 Jan 2010 p. 9-10)</w:t>
            </w:r>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pPr>
      <w: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MiscellaneousBody"/>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r>
        <w:t>109.</w:t>
      </w:r>
      <w:r>
        <w:tab/>
        <w:t>Saving</w:t>
      </w:r>
    </w:p>
    <w:p>
      <w:pPr>
        <w:pStyle w:val="nzMiscellaneousBody"/>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84" w:name="AutoSch"/>
      <w:bookmarkEnd w:id="84"/>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Jan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Jan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Jan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Jan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Jan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Jan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Jan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Jan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Jan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0162422"/>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32734</Words>
  <Characters>150577</Characters>
  <Application>Microsoft Office Word</Application>
  <DocSecurity>0</DocSecurity>
  <Lines>4182</Lines>
  <Paragraphs>2059</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181252</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1954 - 09-e0-02</dc:title>
  <dc:subject/>
  <dc:creator/>
  <cp:keywords/>
  <dc:description/>
  <cp:lastModifiedBy>svcMRProcess</cp:lastModifiedBy>
  <cp:revision>4</cp:revision>
  <cp:lastPrinted>2007-08-10T04:36:00Z</cp:lastPrinted>
  <dcterms:created xsi:type="dcterms:W3CDTF">2020-02-13T17:15:00Z</dcterms:created>
  <dcterms:modified xsi:type="dcterms:W3CDTF">2020-02-13T17:15:00Z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20100111</vt:lpwstr>
  </property>
  <property fmtid="{D5CDD505-2E9C-101B-9397-08002B2CF9AE}" pid="4" name="DocumentType">
    <vt:lpwstr>Act</vt:lpwstr>
  </property>
  <property fmtid="{D5CDD505-2E9C-101B-9397-08002B2CF9AE}" pid="5" name="OwlsUID">
    <vt:i4>71</vt:i4>
  </property>
  <property fmtid="{D5CDD505-2E9C-101B-9397-08002B2CF9AE}" pid="6" name="ReprintNo">
    <vt:lpwstr>9</vt:lpwstr>
  </property>
  <property fmtid="{D5CDD505-2E9C-101B-9397-08002B2CF9AE}" pid="7" name="AsAtDate">
    <vt:lpwstr>11 Jan 2010</vt:lpwstr>
  </property>
  <property fmtid="{D5CDD505-2E9C-101B-9397-08002B2CF9AE}" pid="8" name="Suffix">
    <vt:lpwstr>09-e0-02</vt:lpwstr>
  </property>
</Properties>
</file>