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_Toc251246121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_Toc251246122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_Toc251246123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_Toc251246124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_Toc251246125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_Toc251246126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 prescribed level</w:t>
      </w:r>
      <w:r>
        <w:tab/>
      </w:r>
      <w:r>
        <w:fldChar w:fldCharType="begin"/>
      </w:r>
      <w:r>
        <w:instrText xml:space="preserve"> PAGEREF _Toc251246127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 proportion of ethanol</w:t>
      </w:r>
      <w:r>
        <w:tab/>
      </w:r>
      <w:r>
        <w:fldChar w:fldCharType="begin"/>
      </w:r>
      <w:r>
        <w:instrText xml:space="preserve"> PAGEREF _Toc251246128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_Toc251246129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_Toc251246130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_Toc251246131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 section 3(1)</w:t>
      </w:r>
      <w:r>
        <w:tab/>
      </w:r>
      <w:r>
        <w:fldChar w:fldCharType="begin"/>
      </w:r>
      <w:r>
        <w:instrText xml:space="preserve"> PAGEREF _Toc251246132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_Toc251246133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_Toc251246134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_Toc251246135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_Toc251246136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_Toc251246137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_Toc251246138 \h </w:instrText>
      </w:r>
      <w:r>
        <w:fldChar w:fldCharType="separate"/>
      </w:r>
      <w:r>
        <w:t>13</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_Toc251246139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_Toc251246140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_Toc251246141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_Toc251246142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_Toc251246143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_Toc251246144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_Toc251246145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_Toc251246146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_Toc251246147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_Toc251246148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_Toc251246149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_Toc251246150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_Toc251246151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 section 75(1)(b)</w:t>
      </w:r>
      <w:r>
        <w:tab/>
      </w:r>
      <w:r>
        <w:fldChar w:fldCharType="begin"/>
      </w:r>
      <w:r>
        <w:instrText xml:space="preserve"> PAGEREF _Toc251246152 \h </w:instrText>
      </w:r>
      <w:r>
        <w:fldChar w:fldCharType="separate"/>
      </w:r>
      <w:r>
        <w:t>26</w:t>
      </w:r>
      <w:r>
        <w:fldChar w:fldCharType="end"/>
      </w:r>
    </w:p>
    <w:p>
      <w:pPr>
        <w:pStyle w:val="TOC8"/>
        <w:rPr>
          <w:sz w:val="24"/>
          <w:szCs w:val="24"/>
        </w:rPr>
      </w:pPr>
      <w:r>
        <w:rPr>
          <w:szCs w:val="24"/>
        </w:rPr>
        <w:t>14AC.</w:t>
      </w:r>
      <w:r>
        <w:rPr>
          <w:szCs w:val="24"/>
        </w:rPr>
        <w:tab/>
        <w:t>Lodgment periods for applications for certain permits — section 76(1)(b)</w:t>
      </w:r>
      <w:r>
        <w:tab/>
      </w:r>
      <w:r>
        <w:fldChar w:fldCharType="begin"/>
      </w:r>
      <w:r>
        <w:instrText xml:space="preserve"> PAGEREF _Toc251246153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_Toc251246154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_Toc251246155 \h </w:instrText>
      </w:r>
      <w:r>
        <w:fldChar w:fldCharType="separate"/>
      </w:r>
      <w:r>
        <w:t>28</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_Toc251246156 \h </w:instrText>
      </w:r>
      <w:r>
        <w:fldChar w:fldCharType="separate"/>
      </w:r>
      <w:r>
        <w:t>29</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_Toc251246157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_Toc251246158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_Toc251246159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_Toc251246160 \h </w:instrText>
      </w:r>
      <w:r>
        <w:fldChar w:fldCharType="separate"/>
      </w:r>
      <w:r>
        <w:t>31</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_Toc251246161 \h </w:instrText>
      </w:r>
      <w:r>
        <w:fldChar w:fldCharType="separate"/>
      </w:r>
      <w:r>
        <w:t>31</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_Toc251246162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_Toc251246163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_Toc251246164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_Toc251246165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_Toc251246166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_Toc251246167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_Toc251246168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_Toc251246169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_Toc251246170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_Toc251246171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_Toc251246172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_Toc251246173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_Toc251246174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_Toc251246175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_Toc251246176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_Toc251246177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_Toc251246178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lodgment of returns</w:t>
      </w:r>
      <w:r>
        <w:tab/>
      </w:r>
      <w:r>
        <w:fldChar w:fldCharType="begin"/>
      </w:r>
      <w:r>
        <w:instrText xml:space="preserve"> PAGEREF _Toc251246179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_Toc251246180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_Toc251246181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_Toc251246182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_Toc251246183 \h </w:instrText>
      </w:r>
      <w:r>
        <w:fldChar w:fldCharType="separate"/>
      </w:r>
      <w:r>
        <w:t>48</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_Toc251246190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51246121"/>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51246122"/>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51246123"/>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51246124"/>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w:t>
      </w:r>
      <w:bookmarkEnd w:id="44"/>
      <w:bookmarkEnd w:id="45"/>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1888;15 Jan 2010 p. 70-1 .]</w:t>
      </w:r>
    </w:p>
    <w:p>
      <w:pPr>
        <w:pStyle w:val="Heading5"/>
        <w:keepLines w:val="0"/>
        <w:spacing w:before="260"/>
      </w:pPr>
      <w:bookmarkStart w:id="46" w:name="_Toc119294055"/>
      <w:bookmarkStart w:id="47" w:name="_Toc123633148"/>
      <w:bookmarkStart w:id="48" w:name="_Toc172713902"/>
      <w:bookmarkStart w:id="49" w:name="_Toc251246125"/>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200"/>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spacing w:before="260"/>
      </w:pPr>
      <w:bookmarkStart w:id="57" w:name="_Toc119294056"/>
      <w:bookmarkStart w:id="58" w:name="_Toc123633149"/>
      <w:bookmarkStart w:id="59" w:name="_Toc172713903"/>
      <w:bookmarkStart w:id="60" w:name="_Toc251246126"/>
      <w:r>
        <w:rPr>
          <w:rStyle w:val="CharSectno"/>
        </w:rPr>
        <w:t>3AC</w:t>
      </w:r>
      <w:r>
        <w:t>.</w:t>
      </w:r>
      <w:r>
        <w:tab/>
        <w:t>Liquid containing ethanol and sold in aerosol container is a kind of liquor</w:t>
      </w:r>
      <w:bookmarkEnd w:id="57"/>
      <w:bookmarkEnd w:id="58"/>
      <w:bookmarkEnd w:id="59"/>
      <w:bookmarkEnd w:id="60"/>
    </w:p>
    <w:p>
      <w:pPr>
        <w:pStyle w:val="Subsection"/>
        <w:spacing w:before="200"/>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spacing w:before="260"/>
        <w:rPr>
          <w:snapToGrid w:val="0"/>
        </w:rPr>
      </w:pPr>
      <w:bookmarkStart w:id="61" w:name="_Toc119294057"/>
      <w:bookmarkStart w:id="62" w:name="_Toc123633150"/>
      <w:bookmarkStart w:id="63" w:name="_Toc172713904"/>
      <w:bookmarkStart w:id="64" w:name="_Toc251246127"/>
      <w:r>
        <w:rPr>
          <w:rStyle w:val="CharSectno"/>
        </w:rPr>
        <w:t>4</w:t>
      </w:r>
      <w:r>
        <w:rPr>
          <w:snapToGrid w:val="0"/>
        </w:rPr>
        <w:t>.</w:t>
      </w:r>
      <w:r>
        <w:rPr>
          <w:snapToGrid w:val="0"/>
        </w:rPr>
        <w:tab/>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p>
    <w:p>
      <w:pPr>
        <w:pStyle w:val="Subsection"/>
        <w:spacing w:before="200"/>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51246128"/>
      <w:r>
        <w:rPr>
          <w:rStyle w:val="CharSectno"/>
        </w:rPr>
        <w:t>4AA</w:t>
      </w:r>
      <w:r>
        <w:rPr>
          <w:snapToGrid w:val="0"/>
        </w:rPr>
        <w:t>.</w:t>
      </w:r>
      <w:r>
        <w:rPr>
          <w:snapToGrid w:val="0"/>
        </w:rPr>
        <w:tab/>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51246129"/>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87" w:name="_Toc119294060"/>
      <w:bookmarkStart w:id="88" w:name="_Toc123633153"/>
      <w:bookmarkStart w:id="89" w:name="_Toc172713907"/>
      <w:bookmarkStart w:id="90" w:name="_Toc251246130"/>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51246131"/>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51246132"/>
      <w:r>
        <w:rPr>
          <w:rStyle w:val="CharSectno"/>
        </w:rPr>
        <w:t>5</w:t>
      </w:r>
      <w:r>
        <w:rPr>
          <w:snapToGrid w:val="0"/>
        </w:rPr>
        <w:t>.</w:t>
      </w:r>
      <w:r>
        <w:rPr>
          <w:snapToGrid w:val="0"/>
        </w:rPr>
        <w:tab/>
      </w:r>
      <w:r>
        <w:t>Record</w:t>
      </w:r>
      <w:r>
        <w:rPr>
          <w:snapToGrid w:val="0"/>
        </w:rPr>
        <w:t> — section 3</w:t>
      </w:r>
      <w:bookmarkEnd w:id="91"/>
      <w:bookmarkEnd w:id="92"/>
      <w:bookmarkEnd w:id="93"/>
      <w:bookmarkEnd w:id="94"/>
      <w:bookmarkEnd w:id="95"/>
      <w:bookmarkEnd w:id="96"/>
      <w:bookmarkEnd w:id="97"/>
      <w:bookmarkEnd w:id="102"/>
      <w:bookmarkEnd w:id="103"/>
      <w:bookmarkEnd w:id="104"/>
      <w:r>
        <w:rPr>
          <w:snapToGrid w:val="0"/>
        </w:rPr>
        <w:t>(1)</w:t>
      </w:r>
      <w:bookmarkEnd w:id="105"/>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06" w:name="_Toc172713910"/>
      <w:bookmarkStart w:id="107" w:name="_Toc251246133"/>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51246134"/>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Deleted in Gazette 1 May 2007 p. 1867.]</w:t>
      </w:r>
    </w:p>
    <w:p>
      <w:pPr>
        <w:pStyle w:val="Heading5"/>
        <w:rPr>
          <w:snapToGrid w:val="0"/>
        </w:rPr>
      </w:pPr>
      <w:bookmarkStart w:id="122" w:name="_Toc172713912"/>
      <w:bookmarkStart w:id="123" w:name="_Toc251246135"/>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51246136"/>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keepNext/>
        <w:keepLines/>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spacing w:before="200"/>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spacing w:before="200"/>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51246137"/>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51246138"/>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51246139"/>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spacing w:before="120"/>
      </w:pPr>
      <w:r>
        <w:tab/>
        <w:t>(13a)</w:t>
      </w:r>
      <w:r>
        <w:tab/>
        <w:t>In subregulation (13) —</w:t>
      </w:r>
    </w:p>
    <w:p>
      <w:pPr>
        <w:pStyle w:val="Defstart"/>
      </w:pPr>
      <w:r>
        <w:rPr>
          <w:b/>
        </w:rPr>
        <w:tab/>
      </w:r>
      <w:r>
        <w:rPr>
          <w:rStyle w:val="CharDefText"/>
        </w:rPr>
        <w:t>caterer</w:t>
      </w:r>
      <w:r>
        <w:t xml:space="preserve"> means a person who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71-2.]</w:t>
      </w:r>
    </w:p>
    <w:p>
      <w:pPr>
        <w:pStyle w:val="Heading5"/>
      </w:pPr>
      <w:bookmarkStart w:id="169" w:name="_Toc172713917"/>
      <w:bookmarkStart w:id="170" w:name="_Toc251246140"/>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51246141"/>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51246142"/>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189" w:name="_Toc172713920"/>
      <w:bookmarkStart w:id="190" w:name="_Toc251246143"/>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51246144"/>
      <w:r>
        <w:rPr>
          <w:rStyle w:val="CharSectno"/>
        </w:rPr>
        <w:t>9E</w:t>
      </w:r>
      <w:r>
        <w:t>.</w:t>
      </w:r>
      <w:r>
        <w:tab/>
        <w:t>Modification of section 35B in respect of occasional licences</w:t>
      </w:r>
      <w:bookmarkEnd w:id="198"/>
      <w:bookmarkEnd w:id="199"/>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51246145"/>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51246146"/>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51246147"/>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p>
    <w:p>
      <w:pPr>
        <w:pStyle w:val="Subsection"/>
        <w:spacing w:before="120"/>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51246148"/>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51246149"/>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51246150"/>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Deleted in Gazette 28 Sep 2007 p. 4928.]</w:t>
      </w:r>
    </w:p>
    <w:p>
      <w:pPr>
        <w:pStyle w:val="Heading5"/>
      </w:pPr>
      <w:bookmarkStart w:id="256" w:name="_Toc251246151"/>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51246152"/>
      <w:r>
        <w:rPr>
          <w:rStyle w:val="CharSectno"/>
        </w:rPr>
        <w:t>14AB</w:t>
      </w:r>
      <w:r>
        <w:t>.</w:t>
      </w:r>
      <w:r>
        <w:tab/>
        <w:t>Lodgment periods for applications for certain occasional licences — section 75(1)(b)</w:t>
      </w:r>
      <w:bookmarkEnd w:id="257"/>
      <w:bookmarkEnd w:id="26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51246153"/>
      <w:r>
        <w:rPr>
          <w:rStyle w:val="CharSectno"/>
        </w:rPr>
        <w:t>14AC</w:t>
      </w:r>
      <w:r>
        <w:t>.</w:t>
      </w:r>
      <w:r>
        <w:tab/>
        <w:t>Lodgment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For the purposes of section 76(1)(b), an application for the issue of an extended trading permit of a kind to which this regulation applies is to be lodged with the Director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In subregulation (2)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51246154"/>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51246155"/>
      <w:r>
        <w:rPr>
          <w:rStyle w:val="CharSectno"/>
        </w:rPr>
        <w:t>14AE</w:t>
      </w:r>
      <w:r>
        <w:t>.</w:t>
      </w:r>
      <w:r>
        <w:tab/>
        <w:t>Offences for regulation 14AD</w:t>
      </w:r>
      <w:bookmarkEnd w:id="266"/>
      <w:bookmarkEnd w:id="267"/>
    </w:p>
    <w:p>
      <w:pPr>
        <w:pStyle w:val="Subsection"/>
        <w:spacing w:before="120"/>
      </w:pPr>
      <w:r>
        <w:tab/>
        <w:t>(1)</w:t>
      </w:r>
      <w:r>
        <w:tab/>
        <w:t>A person who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A person who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51246156"/>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51246157"/>
      <w:r>
        <w:rPr>
          <w:rStyle w:val="CharSectno"/>
        </w:rPr>
        <w:t>14AG</w:t>
      </w:r>
      <w:r>
        <w:t>.</w:t>
      </w:r>
      <w:r>
        <w:tab/>
        <w:t>Licensees to maintain register — section 103A(1)(b)</w:t>
      </w:r>
      <w:bookmarkEnd w:id="270"/>
      <w:bookmarkEnd w:id="271"/>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Deleted in Gazette 28 Sep 2007 p. 4929.]</w:t>
      </w:r>
    </w:p>
    <w:p>
      <w:pPr>
        <w:pStyle w:val="Heading5"/>
        <w:rPr>
          <w:snapToGrid w:val="0"/>
        </w:rPr>
      </w:pPr>
      <w:bookmarkStart w:id="282" w:name="_Toc251246158"/>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51246159"/>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51246160"/>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51246161"/>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p>
    <w:p>
      <w:pPr>
        <w:pStyle w:val="Subsection"/>
        <w:spacing w:before="120"/>
        <w:rPr>
          <w:snapToGrid w:val="0"/>
        </w:rPr>
      </w:pPr>
      <w:r>
        <w:rPr>
          <w:snapToGrid w:val="0"/>
        </w:rPr>
        <w:tab/>
        <w:t>(1)</w:t>
      </w:r>
      <w:r>
        <w:rPr>
          <w:snapToGrid w:val="0"/>
        </w:rPr>
        <w:tab/>
        <w:t>A proof of age card issued under regulation 18B is a prescribed document for the purposes of section 126(1)(b)(i)(III).</w:t>
      </w:r>
    </w:p>
    <w:p>
      <w:pPr>
        <w:pStyle w:val="Subsection"/>
        <w:spacing w:before="120"/>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9.]</w:t>
      </w:r>
    </w:p>
    <w:p>
      <w:pPr>
        <w:pStyle w:val="Heading5"/>
        <w:spacing w:before="18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51246162"/>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p>
    <w:p>
      <w:pPr>
        <w:pStyle w:val="Subsection"/>
        <w:spacing w:before="12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20"/>
      </w:pPr>
      <w:r>
        <w:tab/>
        <w:t>(2)</w:t>
      </w:r>
      <w:r>
        <w:tab/>
        <w:t>An application for a proof of age card is to be made in a form approved by the Director and be accompanied by —</w:t>
      </w:r>
    </w:p>
    <w:p>
      <w:pPr>
        <w:pStyle w:val="Indenta"/>
        <w:spacing w:before="60"/>
      </w:pPr>
      <w:r>
        <w:tab/>
        <w:t>(a)</w:t>
      </w:r>
      <w:r>
        <w:tab/>
        <w:t>such proof of the applicant’s identity and residential address in this State as the Director may require; and</w:t>
      </w:r>
    </w:p>
    <w:p>
      <w:pPr>
        <w:pStyle w:val="Indenta"/>
        <w:spacing w:before="60"/>
      </w:pPr>
      <w:r>
        <w:tab/>
        <w:t>(b)</w:t>
      </w:r>
      <w:r>
        <w:tab/>
        <w:t>the appropriate fee set out in Schedule 3.</w:t>
      </w:r>
    </w:p>
    <w:p>
      <w:pPr>
        <w:pStyle w:val="Subsection"/>
        <w:spacing w:before="12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spacing w:before="120"/>
      </w:pPr>
      <w:r>
        <w:tab/>
        <w:t>(3a)</w:t>
      </w:r>
      <w:r>
        <w:tab/>
        <w:t>In subregulation (3) —</w:t>
      </w:r>
    </w:p>
    <w:p>
      <w:pPr>
        <w:pStyle w:val="Defstart"/>
        <w:spacing w:before="60"/>
      </w:pPr>
      <w:r>
        <w:rPr>
          <w:b/>
        </w:rPr>
        <w:tab/>
      </w:r>
      <w:r>
        <w:rPr>
          <w:rStyle w:val="CharDefText"/>
        </w:rPr>
        <w:t>photograph</w:t>
      </w:r>
      <w:r>
        <w:t xml:space="preserve"> includes a negative or an image stored electronically.</w:t>
      </w:r>
    </w:p>
    <w:p>
      <w:pPr>
        <w:pStyle w:val="Subsection"/>
        <w:spacing w:before="12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spacing w:before="80"/>
        <w:ind w:left="890" w:hanging="890"/>
      </w:pPr>
      <w:r>
        <w:tab/>
        <w:t>[Regulation 18B inserted in Gazette 3 Dec 1996 p. 6690; amended in Gazette 14 Nov 1997 p. 6446; 30 Jun 2003 p. 2612; 28 Sep 2007 p. 4929</w:t>
      </w:r>
      <w:r>
        <w:noBreakHyphen/>
        <w:t>30; 13 Mar 2009 p. 763-4.]</w:t>
      </w:r>
    </w:p>
    <w:p>
      <w:pPr>
        <w:pStyle w:val="Heading5"/>
        <w:spacing w:before="180"/>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51246163"/>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1.]</w:t>
      </w:r>
    </w:p>
    <w:p>
      <w:pPr>
        <w:pStyle w:val="Heading5"/>
        <w:spacing w:before="180"/>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51246164"/>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spacing w:before="180"/>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51246165"/>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360" w:name="_Toc251246166"/>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8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8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371" w:name="_Toc251246167"/>
      <w:r>
        <w:rPr>
          <w:rStyle w:val="CharSectno"/>
        </w:rPr>
        <w:t>18EB</w:t>
      </w:r>
      <w:r>
        <w:t>.</w:t>
      </w:r>
      <w:r>
        <w:tab/>
        <w:t>Incidents to be included in register — section 116A</w:t>
      </w:r>
      <w:bookmarkEnd w:id="371"/>
    </w:p>
    <w:p>
      <w:pPr>
        <w:pStyle w:val="Subsection"/>
      </w:pPr>
      <w:r>
        <w:tab/>
        <w:t>(1)</w:t>
      </w:r>
      <w:r>
        <w:tab/>
        <w:t>For the purposes of section 116A(1), the following incidents that take place at licensed premises are prescribed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In subregulation (2)(e) —</w:t>
      </w:r>
    </w:p>
    <w:p>
      <w:pPr>
        <w:pStyle w:val="Defstart"/>
      </w:pPr>
      <w:r>
        <w:rPr>
          <w:b/>
        </w:rPr>
        <w:tab/>
      </w:r>
      <w:r>
        <w:rPr>
          <w:rStyle w:val="CharDefText"/>
        </w:rPr>
        <w:t>crowd controller</w:t>
      </w:r>
      <w:r>
        <w:t>, in relation to licensed premises, means a person who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[Regulation 18EB inserted in Gazette 1 May 2007 p. 1882-4; amended in Gazette 28 Sep 2007 p. 4930.]</w:t>
      </w:r>
    </w:p>
    <w:p>
      <w:pPr>
        <w:pStyle w:val="Heading5"/>
      </w:pPr>
      <w:bookmarkStart w:id="372" w:name="_Toc232309358"/>
      <w:bookmarkStart w:id="373" w:name="_Toc251246168"/>
      <w:bookmarkStart w:id="374" w:name="_Toc172713947"/>
      <w:bookmarkEnd w:id="361"/>
      <w:r>
        <w:rPr>
          <w:rStyle w:val="CharSectno"/>
        </w:rPr>
        <w:t>18F</w:t>
      </w:r>
      <w:r>
        <w:t>.</w:t>
      </w:r>
      <w:r>
        <w:tab/>
        <w:t>Prescribed training courses — section 121(11)(c)(ii)</w:t>
      </w:r>
      <w:bookmarkEnd w:id="372"/>
      <w:bookmarkEnd w:id="37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375" w:name="_Toc251246169"/>
      <w:r>
        <w:rPr>
          <w:rStyle w:val="CharSectno"/>
        </w:rPr>
        <w:t>18G</w:t>
      </w:r>
      <w:r>
        <w:t>.</w:t>
      </w:r>
      <w:r>
        <w:tab/>
        <w:t>Dealing with confiscated documents — section 126(2b)</w:t>
      </w:r>
      <w:bookmarkEnd w:id="374"/>
      <w:bookmarkEnd w:id="375"/>
    </w:p>
    <w:p>
      <w:pPr>
        <w:pStyle w:val="Subsection"/>
      </w:pPr>
      <w:r>
        <w:tab/>
      </w:r>
      <w:r>
        <w:tab/>
        <w:t>For the purposes of section 126(2b), within 72 hours after a document is confiscated by an authorised person under section 126(2a), the authorised person is to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6" w:name="_Toc172713948"/>
      <w:bookmarkStart w:id="377" w:name="_Toc251246170"/>
      <w:r>
        <w:rPr>
          <w:rStyle w:val="CharSectno"/>
        </w:rPr>
        <w:t>18H</w:t>
      </w:r>
      <w:r>
        <w:t>.</w:t>
      </w:r>
      <w:r>
        <w:tab/>
        <w:t>Provisions of the Act that may be modified under a special event notice — section 126E(4)</w:t>
      </w:r>
      <w:bookmarkEnd w:id="376"/>
      <w:bookmarkEnd w:id="37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8" w:name="_Toc172713949"/>
      <w:bookmarkStart w:id="379" w:name="_Toc251246171"/>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8"/>
      <w:bookmarkEnd w:id="379"/>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keepNext/>
        <w:keepLines/>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380" w:name="_Toc460808728"/>
      <w:bookmarkStart w:id="381" w:name="_Toc519934591"/>
      <w:bookmarkStart w:id="382" w:name="_Toc534780056"/>
      <w:bookmarkStart w:id="383" w:name="_Toc3352063"/>
      <w:bookmarkStart w:id="384" w:name="_Toc3352138"/>
      <w:bookmarkStart w:id="385" w:name="_Toc22966240"/>
      <w:bookmarkStart w:id="386" w:name="_Toc66263847"/>
      <w:bookmarkStart w:id="387" w:name="_Toc119294088"/>
      <w:bookmarkStart w:id="388" w:name="_Toc123633181"/>
      <w:bookmarkStart w:id="389" w:name="_Toc172713950"/>
      <w:bookmarkStart w:id="390" w:name="_Toc251246172"/>
      <w:r>
        <w:rPr>
          <w:rStyle w:val="CharSectno"/>
        </w:rPr>
        <w:t>20</w:t>
      </w:r>
      <w:r>
        <w:rPr>
          <w:snapToGrid w:val="0"/>
        </w:rPr>
        <w:t>.</w:t>
      </w:r>
      <w:r>
        <w:rPr>
          <w:snapToGrid w:val="0"/>
        </w:rPr>
        <w:tab/>
        <w:t xml:space="preserve">Extension of definition of </w:t>
      </w:r>
      <w:r>
        <w:rPr>
          <w:i/>
          <w:iCs/>
        </w:rPr>
        <w:t>wholesaler</w:t>
      </w:r>
      <w:bookmarkEnd w:id="380"/>
      <w:bookmarkEnd w:id="381"/>
      <w:bookmarkEnd w:id="382"/>
      <w:bookmarkEnd w:id="383"/>
      <w:bookmarkEnd w:id="384"/>
      <w:bookmarkEnd w:id="385"/>
      <w:bookmarkEnd w:id="386"/>
      <w:bookmarkEnd w:id="387"/>
      <w:bookmarkEnd w:id="388"/>
      <w:bookmarkEnd w:id="389"/>
      <w:bookmarkEnd w:id="390"/>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391" w:name="_Toc519934592"/>
      <w:bookmarkStart w:id="392" w:name="_Toc534780057"/>
      <w:bookmarkStart w:id="393" w:name="_Toc3352064"/>
      <w:bookmarkStart w:id="394" w:name="_Toc3352139"/>
      <w:bookmarkStart w:id="395" w:name="_Toc22966241"/>
      <w:bookmarkStart w:id="396" w:name="_Toc66263848"/>
      <w:bookmarkStart w:id="397" w:name="_Toc119294089"/>
      <w:bookmarkStart w:id="398" w:name="_Toc123633182"/>
      <w:bookmarkStart w:id="399" w:name="_Toc172713951"/>
      <w:bookmarkStart w:id="400" w:name="_Toc251246173"/>
      <w:r>
        <w:rPr>
          <w:rStyle w:val="CharSectno"/>
        </w:rPr>
        <w:t>21</w:t>
      </w:r>
      <w:r>
        <w:t>.</w:t>
      </w:r>
      <w:r>
        <w:tab/>
        <w:t>Subsidy for wholesalers</w:t>
      </w:r>
      <w:bookmarkEnd w:id="391"/>
      <w:bookmarkEnd w:id="392"/>
      <w:bookmarkEnd w:id="393"/>
      <w:bookmarkEnd w:id="394"/>
      <w:bookmarkEnd w:id="395"/>
      <w:bookmarkEnd w:id="396"/>
      <w:bookmarkEnd w:id="397"/>
      <w:bookmarkEnd w:id="398"/>
      <w:bookmarkEnd w:id="399"/>
      <w:bookmarkEnd w:id="400"/>
    </w:p>
    <w:p>
      <w:pPr>
        <w:pStyle w:val="Subsection"/>
        <w:spacing w:before="12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2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1" w:name="_Toc519934593"/>
      <w:bookmarkStart w:id="402" w:name="_Toc534780058"/>
      <w:bookmarkStart w:id="403" w:name="_Toc3352065"/>
      <w:bookmarkStart w:id="404" w:name="_Toc3352140"/>
      <w:bookmarkStart w:id="405" w:name="_Toc22966242"/>
      <w:bookmarkStart w:id="406" w:name="_Toc66263849"/>
      <w:bookmarkStart w:id="407" w:name="_Toc119294090"/>
      <w:bookmarkStart w:id="408" w:name="_Toc123633183"/>
      <w:bookmarkStart w:id="409" w:name="_Toc172713952"/>
      <w:bookmarkStart w:id="410" w:name="_Toc251246174"/>
      <w:r>
        <w:rPr>
          <w:rStyle w:val="CharSectno"/>
        </w:rPr>
        <w:t>21A</w:t>
      </w:r>
      <w:r>
        <w:t>.</w:t>
      </w:r>
      <w:r>
        <w:tab/>
        <w:t>Subsidy for producers of wine</w:t>
      </w:r>
      <w:bookmarkEnd w:id="401"/>
      <w:bookmarkEnd w:id="402"/>
      <w:bookmarkEnd w:id="403"/>
      <w:bookmarkEnd w:id="404"/>
      <w:bookmarkEnd w:id="405"/>
      <w:bookmarkEnd w:id="406"/>
      <w:bookmarkEnd w:id="407"/>
      <w:bookmarkEnd w:id="408"/>
      <w:bookmarkEnd w:id="409"/>
      <w:bookmarkEnd w:id="410"/>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75pt" o:ole="">
            <v:imagedata r:id="rId20" o:title=""/>
          </v:shape>
          <o:OLEObject Type="Embed" ProgID="Equation.3" ShapeID="_x0000_i1025" DrawAspect="Content" ObjectID="_1644257518"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11" w:name="_Toc460808732"/>
      <w:bookmarkStart w:id="412" w:name="_Toc519934595"/>
      <w:bookmarkStart w:id="413" w:name="_Toc534780060"/>
      <w:bookmarkStart w:id="414" w:name="_Toc3352067"/>
      <w:bookmarkStart w:id="415" w:name="_Toc3352142"/>
      <w:bookmarkStart w:id="416" w:name="_Toc22966243"/>
      <w:bookmarkStart w:id="417" w:name="_Toc66263850"/>
      <w:bookmarkStart w:id="418" w:name="_Toc119294091"/>
      <w:bookmarkStart w:id="419" w:name="_Toc123633184"/>
      <w:bookmarkStart w:id="420" w:name="_Toc172713953"/>
      <w:bookmarkStart w:id="421" w:name="_Toc251246175"/>
      <w:r>
        <w:rPr>
          <w:rStyle w:val="CharSectno"/>
        </w:rPr>
        <w:t>21AC</w:t>
      </w:r>
      <w:r>
        <w:rPr>
          <w:snapToGrid w:val="0"/>
        </w:rPr>
        <w:t>.</w:t>
      </w:r>
      <w:r>
        <w:rPr>
          <w:snapToGrid w:val="0"/>
        </w:rPr>
        <w:tab/>
        <w:t>Subsidy only payable once in respect of a sale of liquor</w:t>
      </w:r>
      <w:bookmarkEnd w:id="411"/>
      <w:bookmarkEnd w:id="412"/>
      <w:bookmarkEnd w:id="413"/>
      <w:bookmarkEnd w:id="414"/>
      <w:bookmarkEnd w:id="415"/>
      <w:bookmarkEnd w:id="416"/>
      <w:bookmarkEnd w:id="417"/>
      <w:bookmarkEnd w:id="418"/>
      <w:bookmarkEnd w:id="419"/>
      <w:bookmarkEnd w:id="420"/>
      <w:bookmarkEnd w:id="421"/>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[Regulation 21AC inserted in Gazette 6 Oct 1998 p. 5565.]</w:t>
      </w:r>
    </w:p>
    <w:p>
      <w:pPr>
        <w:pStyle w:val="Heading5"/>
        <w:rPr>
          <w:snapToGrid w:val="0"/>
        </w:rPr>
      </w:pPr>
      <w:bookmarkStart w:id="422" w:name="_Toc460808733"/>
      <w:bookmarkStart w:id="423" w:name="_Toc519934596"/>
      <w:bookmarkStart w:id="424" w:name="_Toc534780061"/>
      <w:bookmarkStart w:id="425" w:name="_Toc3352068"/>
      <w:bookmarkStart w:id="426" w:name="_Toc3352143"/>
      <w:bookmarkStart w:id="427" w:name="_Toc22966244"/>
      <w:bookmarkStart w:id="428" w:name="_Toc66263851"/>
      <w:bookmarkStart w:id="429" w:name="_Toc119294092"/>
      <w:bookmarkStart w:id="430" w:name="_Toc123633185"/>
      <w:bookmarkStart w:id="431" w:name="_Toc172713954"/>
      <w:bookmarkStart w:id="432" w:name="_Toc251246176"/>
      <w:r>
        <w:rPr>
          <w:rStyle w:val="CharSectno"/>
        </w:rPr>
        <w:t>21B</w:t>
      </w:r>
      <w:r>
        <w:rPr>
          <w:snapToGrid w:val="0"/>
        </w:rPr>
        <w:t>.</w:t>
      </w:r>
      <w:r>
        <w:rPr>
          <w:snapToGrid w:val="0"/>
        </w:rPr>
        <w:tab/>
        <w:t>Conditions imposed by Director in respect of a subsidy</w:t>
      </w:r>
      <w:bookmarkEnd w:id="422"/>
      <w:bookmarkEnd w:id="423"/>
      <w:bookmarkEnd w:id="424"/>
      <w:bookmarkEnd w:id="425"/>
      <w:bookmarkEnd w:id="426"/>
      <w:bookmarkEnd w:id="427"/>
      <w:bookmarkEnd w:id="428"/>
      <w:bookmarkEnd w:id="429"/>
      <w:bookmarkEnd w:id="430"/>
      <w:bookmarkEnd w:id="431"/>
      <w:bookmarkEnd w:id="432"/>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9.]</w:t>
      </w:r>
    </w:p>
    <w:p>
      <w:pPr>
        <w:pStyle w:val="Heading5"/>
        <w:rPr>
          <w:snapToGrid w:val="0"/>
        </w:rPr>
      </w:pPr>
      <w:bookmarkStart w:id="433" w:name="_Toc460808734"/>
      <w:bookmarkStart w:id="434" w:name="_Toc519934597"/>
      <w:bookmarkStart w:id="435" w:name="_Toc534780062"/>
      <w:bookmarkStart w:id="436" w:name="_Toc3352069"/>
      <w:bookmarkStart w:id="437" w:name="_Toc3352144"/>
      <w:bookmarkStart w:id="438" w:name="_Toc22966245"/>
      <w:bookmarkStart w:id="439" w:name="_Toc66263852"/>
      <w:bookmarkStart w:id="440" w:name="_Toc119294093"/>
      <w:bookmarkStart w:id="441" w:name="_Toc123633186"/>
      <w:bookmarkStart w:id="442" w:name="_Toc172713955"/>
      <w:bookmarkStart w:id="443" w:name="_Toc251246177"/>
      <w:r>
        <w:rPr>
          <w:rStyle w:val="CharSectno"/>
        </w:rPr>
        <w:t>21C</w:t>
      </w:r>
      <w:r>
        <w:rPr>
          <w:snapToGrid w:val="0"/>
        </w:rPr>
        <w:t>.</w:t>
      </w:r>
      <w:r>
        <w:rPr>
          <w:snapToGrid w:val="0"/>
        </w:rPr>
        <w:tab/>
        <w:t>Licensees required to keep records — section 145(1)</w:t>
      </w:r>
      <w:bookmarkEnd w:id="433"/>
      <w:bookmarkEnd w:id="434"/>
      <w:bookmarkEnd w:id="435"/>
      <w:bookmarkEnd w:id="436"/>
      <w:bookmarkEnd w:id="437"/>
      <w:bookmarkEnd w:id="438"/>
      <w:bookmarkEnd w:id="439"/>
      <w:bookmarkEnd w:id="440"/>
      <w:bookmarkEnd w:id="441"/>
      <w:bookmarkEnd w:id="442"/>
      <w:bookmarkEnd w:id="44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444" w:name="_Toc460808735"/>
      <w:bookmarkStart w:id="445" w:name="_Toc519934598"/>
      <w:bookmarkStart w:id="446" w:name="_Toc534780063"/>
      <w:bookmarkStart w:id="447" w:name="_Toc3352070"/>
      <w:bookmarkStart w:id="448" w:name="_Toc3352145"/>
      <w:bookmarkStart w:id="449" w:name="_Toc22966246"/>
      <w:bookmarkStart w:id="450" w:name="_Toc66263853"/>
      <w:bookmarkStart w:id="451" w:name="_Toc119294094"/>
      <w:bookmarkStart w:id="452" w:name="_Toc123633187"/>
      <w:bookmarkStart w:id="453" w:name="_Toc172713956"/>
      <w:bookmarkStart w:id="454" w:name="_Toc251246178"/>
      <w:r>
        <w:rPr>
          <w:rStyle w:val="CharSectno"/>
        </w:rPr>
        <w:t>22</w:t>
      </w:r>
      <w:r>
        <w:rPr>
          <w:snapToGrid w:val="0"/>
        </w:rPr>
        <w:t>.</w:t>
      </w:r>
      <w:r>
        <w:rPr>
          <w:snapToGrid w:val="0"/>
        </w:rPr>
        <w:tab/>
        <w:t>Form and content of record under section 145</w:t>
      </w:r>
      <w:bookmarkEnd w:id="444"/>
      <w:bookmarkEnd w:id="445"/>
      <w:bookmarkEnd w:id="446"/>
      <w:bookmarkEnd w:id="447"/>
      <w:bookmarkEnd w:id="448"/>
      <w:bookmarkEnd w:id="449"/>
      <w:bookmarkEnd w:id="450"/>
      <w:bookmarkEnd w:id="451"/>
      <w:bookmarkEnd w:id="452"/>
      <w:bookmarkEnd w:id="453"/>
      <w:bookmarkEnd w:id="45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deleted]</w:t>
      </w:r>
    </w:p>
    <w:p>
      <w:pPr>
        <w:pStyle w:val="Footnotesection"/>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455" w:name="_Toc460808736"/>
      <w:bookmarkStart w:id="456" w:name="_Toc519934599"/>
      <w:bookmarkStart w:id="457" w:name="_Toc534780064"/>
      <w:bookmarkStart w:id="458" w:name="_Toc3352071"/>
      <w:bookmarkStart w:id="459" w:name="_Toc3352146"/>
      <w:bookmarkStart w:id="460" w:name="_Toc22966247"/>
      <w:bookmarkStart w:id="461" w:name="_Toc66263854"/>
      <w:bookmarkStart w:id="462" w:name="_Toc119294095"/>
      <w:bookmarkStart w:id="463" w:name="_Toc123633188"/>
      <w:bookmarkStart w:id="464" w:name="_Toc172713957"/>
      <w:bookmarkStart w:id="465" w:name="_Toc251246179"/>
      <w:r>
        <w:rPr>
          <w:rStyle w:val="CharSectno"/>
        </w:rPr>
        <w:t>23</w:t>
      </w:r>
      <w:r>
        <w:rPr>
          <w:snapToGrid w:val="0"/>
        </w:rPr>
        <w:t>.</w:t>
      </w:r>
      <w:r>
        <w:rPr>
          <w:snapToGrid w:val="0"/>
        </w:rPr>
        <w:tab/>
        <w:t>Verification and lodgment of returns</w:t>
      </w:r>
      <w:bookmarkEnd w:id="455"/>
      <w:bookmarkEnd w:id="456"/>
      <w:bookmarkEnd w:id="457"/>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466" w:name="_Toc460808737"/>
      <w:bookmarkStart w:id="467" w:name="_Toc519934600"/>
      <w:bookmarkStart w:id="468" w:name="_Toc534780065"/>
      <w:bookmarkStart w:id="469" w:name="_Toc3352072"/>
      <w:bookmarkStart w:id="470" w:name="_Toc3352147"/>
      <w:bookmarkStart w:id="471" w:name="_Toc22966248"/>
      <w:bookmarkStart w:id="472" w:name="_Toc66263855"/>
      <w:bookmarkStart w:id="473" w:name="_Toc119294096"/>
      <w:bookmarkStart w:id="474" w:name="_Toc123633189"/>
      <w:bookmarkStart w:id="475" w:name="_Toc172713958"/>
      <w:bookmarkStart w:id="476" w:name="_Toc251246180"/>
      <w:r>
        <w:rPr>
          <w:rStyle w:val="CharSectno"/>
        </w:rPr>
        <w:t>24</w:t>
      </w:r>
      <w:r>
        <w:rPr>
          <w:snapToGrid w:val="0"/>
        </w:rPr>
        <w:t>.</w:t>
      </w:r>
      <w:r>
        <w:rPr>
          <w:snapToGrid w:val="0"/>
        </w:rPr>
        <w:tab/>
        <w:t>Prescribed information — returns</w:t>
      </w:r>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477" w:name="_Toc460808738"/>
      <w:bookmarkStart w:id="478" w:name="_Toc519934601"/>
      <w:bookmarkStart w:id="479" w:name="_Toc534780066"/>
      <w:bookmarkStart w:id="480" w:name="_Toc3352073"/>
      <w:bookmarkStart w:id="481" w:name="_Toc3352148"/>
      <w:bookmarkStart w:id="482" w:name="_Toc22966249"/>
      <w:bookmarkStart w:id="483" w:name="_Toc66263856"/>
      <w:bookmarkStart w:id="484" w:name="_Toc119294097"/>
      <w:bookmarkStart w:id="485" w:name="_Toc123633190"/>
      <w:bookmarkStart w:id="486" w:name="_Toc172713959"/>
      <w:bookmarkStart w:id="487" w:name="_Toc251246181"/>
      <w:r>
        <w:rPr>
          <w:rStyle w:val="CharSectno"/>
        </w:rPr>
        <w:t>25</w:t>
      </w:r>
      <w:r>
        <w:rPr>
          <w:snapToGrid w:val="0"/>
        </w:rPr>
        <w:t>.</w:t>
      </w:r>
      <w:r>
        <w:rPr>
          <w:snapToGrid w:val="0"/>
        </w:rPr>
        <w:tab/>
        <w:t>Payment of moneys</w:t>
      </w:r>
      <w:bookmarkEnd w:id="477"/>
      <w:bookmarkEnd w:id="478"/>
      <w:bookmarkEnd w:id="479"/>
      <w:bookmarkEnd w:id="480"/>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[Regulation 25 amended in Gazette 24 Aug 1990 p. 4337; 30 Oct 1998 p. 6015; 1 May 2007 p. 1885.]</w:t>
      </w:r>
    </w:p>
    <w:p>
      <w:pPr>
        <w:pStyle w:val="Heading5"/>
        <w:rPr>
          <w:snapToGrid w:val="0"/>
        </w:rPr>
      </w:pPr>
      <w:bookmarkStart w:id="488" w:name="_Toc460808739"/>
      <w:bookmarkStart w:id="489" w:name="_Toc519934602"/>
      <w:bookmarkStart w:id="490" w:name="_Toc534780067"/>
      <w:bookmarkStart w:id="491" w:name="_Toc3352074"/>
      <w:bookmarkStart w:id="492" w:name="_Toc3352149"/>
      <w:bookmarkStart w:id="493" w:name="_Toc22966250"/>
      <w:bookmarkStart w:id="494" w:name="_Toc66263857"/>
      <w:bookmarkStart w:id="495" w:name="_Toc119294098"/>
      <w:bookmarkStart w:id="496" w:name="_Toc123633191"/>
      <w:bookmarkStart w:id="497" w:name="_Toc172713960"/>
      <w:bookmarkStart w:id="498" w:name="_Toc251246182"/>
      <w:r>
        <w:rPr>
          <w:rStyle w:val="CharSectno"/>
        </w:rPr>
        <w:t>26</w:t>
      </w:r>
      <w:r>
        <w:rPr>
          <w:snapToGrid w:val="0"/>
        </w:rPr>
        <w:t>.</w:t>
      </w:r>
      <w:r>
        <w:rPr>
          <w:snapToGrid w:val="0"/>
        </w:rPr>
        <w:tab/>
        <w:t>Fees generally</w:t>
      </w:r>
      <w:bookmarkEnd w:id="488"/>
      <w:bookmarkEnd w:id="489"/>
      <w:bookmarkEnd w:id="490"/>
      <w:bookmarkEnd w:id="491"/>
      <w:bookmarkEnd w:id="492"/>
      <w:bookmarkEnd w:id="493"/>
      <w:bookmarkEnd w:id="494"/>
      <w:bookmarkEnd w:id="495"/>
      <w:bookmarkEnd w:id="496"/>
      <w:bookmarkEnd w:id="497"/>
      <w:bookmarkEnd w:id="498"/>
    </w:p>
    <w:p>
      <w:pPr>
        <w:pStyle w:val="Subsection"/>
        <w:spacing w:before="120"/>
      </w:pPr>
      <w:r>
        <w:tab/>
        <w:t>(1)</w:t>
      </w:r>
      <w:r>
        <w:tab/>
        <w:t>Except as stated in subregulation (2A), the fees set out in column 3 of Schedule 3 are payable in respect of the corresponding matter set out in column 2 of that Schedule.</w:t>
      </w:r>
    </w:p>
    <w:p>
      <w:pPr>
        <w:pStyle w:val="Subsection"/>
        <w:spacing w:before="12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2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2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2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spacing w:before="120"/>
      </w:pPr>
      <w:r>
        <w:tab/>
        <w:t>(2B)</w:t>
      </w:r>
      <w:r>
        <w:tab/>
        <w:t>Subregulation (2A) does not limit the operation of subregulation (2).</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4662-3.]</w:t>
      </w:r>
    </w:p>
    <w:p>
      <w:pPr>
        <w:pStyle w:val="Heading5"/>
        <w:rPr>
          <w:snapToGrid w:val="0"/>
        </w:rPr>
      </w:pPr>
      <w:bookmarkStart w:id="499" w:name="_Toc460808740"/>
      <w:bookmarkStart w:id="500" w:name="_Toc519934603"/>
      <w:bookmarkStart w:id="501" w:name="_Toc534780068"/>
      <w:bookmarkStart w:id="502" w:name="_Toc3352075"/>
      <w:bookmarkStart w:id="503" w:name="_Toc3352150"/>
      <w:bookmarkStart w:id="504" w:name="_Toc22966251"/>
      <w:bookmarkStart w:id="505" w:name="_Toc66263858"/>
      <w:bookmarkStart w:id="506" w:name="_Toc119294099"/>
      <w:bookmarkStart w:id="507" w:name="_Toc123633192"/>
      <w:bookmarkStart w:id="508" w:name="_Toc172713961"/>
      <w:bookmarkStart w:id="509" w:name="_Toc251246183"/>
      <w:r>
        <w:rPr>
          <w:rStyle w:val="CharSectno"/>
        </w:rPr>
        <w:t>27</w:t>
      </w:r>
      <w:r>
        <w:rPr>
          <w:snapToGrid w:val="0"/>
        </w:rPr>
        <w:t>.</w:t>
      </w:r>
      <w:r>
        <w:rPr>
          <w:snapToGrid w:val="0"/>
        </w:rPr>
        <w:tab/>
        <w:t>Infringement notices</w:t>
      </w:r>
      <w:bookmarkEnd w:id="499"/>
      <w:bookmarkEnd w:id="500"/>
      <w:bookmarkEnd w:id="501"/>
      <w:bookmarkEnd w:id="502"/>
      <w:bookmarkEnd w:id="503"/>
      <w:bookmarkEnd w:id="504"/>
      <w:bookmarkEnd w:id="505"/>
      <w:bookmarkEnd w:id="506"/>
      <w:bookmarkEnd w:id="507"/>
      <w:bookmarkEnd w:id="508"/>
      <w:bookmarkEnd w:id="50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(Noonkanbah Restricted Area) Regulations 2009</w:t>
            </w:r>
            <w:r>
              <w:t xml:space="preserve"> regulation 7(1)</w:t>
            </w:r>
          </w:p>
        </w:tc>
      </w:tr>
      <w:tr>
        <w:tc>
          <w:tcPr>
            <w:tcW w:w="5245" w:type="dxa"/>
          </w:tcPr>
          <w:p>
            <w:pPr>
              <w:pStyle w:val="TableNAm"/>
            </w:pPr>
            <w:r>
              <w:rPr>
                <w:i/>
                <w:iCs/>
              </w:rPr>
              <w:t>Liquor Control (Oombulgurri Restricted Area) Regulations 2008</w:t>
            </w:r>
            <w:r>
              <w:t xml:space="preserve"> regulation 7(1)</w:t>
            </w:r>
          </w:p>
        </w:tc>
      </w:tr>
      <w:tr>
        <w:tc>
          <w:tcPr>
            <w:tcW w:w="5245" w:type="dxa"/>
          </w:tcPr>
          <w:p>
            <w:pPr>
              <w:pStyle w:val="TableNAm"/>
            </w:pPr>
            <w:r>
              <w:rPr>
                <w:i/>
                <w:iCs/>
              </w:rPr>
              <w:t>Liquor Control (Wangkatjungka Restricted Area) Regulations 2008</w:t>
            </w:r>
            <w:r>
              <w:t xml:space="preserve"> 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0" w:name="_Toc534780069"/>
      <w:bookmarkStart w:id="511" w:name="_Toc3352151"/>
      <w:bookmarkStart w:id="512" w:name="_Toc22966252"/>
      <w:bookmarkStart w:id="513" w:name="_Toc66263859"/>
      <w:bookmarkStart w:id="514" w:name="_Toc67978809"/>
      <w:bookmarkStart w:id="515" w:name="_Toc79826631"/>
      <w:bookmarkStart w:id="516" w:name="_Toc113176298"/>
      <w:bookmarkStart w:id="517" w:name="_Toc113180387"/>
      <w:bookmarkStart w:id="518" w:name="_Toc114391762"/>
      <w:bookmarkStart w:id="519" w:name="_Toc115171739"/>
      <w:bookmarkStart w:id="520" w:name="_Toc118609141"/>
      <w:bookmarkStart w:id="521" w:name="_Toc119294100"/>
      <w:bookmarkStart w:id="522" w:name="_Toc123633193"/>
      <w:bookmarkStart w:id="523" w:name="_Toc123633280"/>
      <w:bookmarkStart w:id="524" w:name="_Toc127594637"/>
      <w:bookmarkStart w:id="525" w:name="_Toc155066800"/>
      <w:bookmarkStart w:id="526" w:name="_Toc155084698"/>
      <w:bookmarkStart w:id="527" w:name="_Toc166316640"/>
      <w:bookmarkStart w:id="528" w:name="_Toc169665139"/>
      <w:bookmarkStart w:id="529" w:name="_Toc169672017"/>
      <w:bookmarkStart w:id="530" w:name="_Toc171323205"/>
      <w:bookmarkStart w:id="531" w:name="_Toc172713669"/>
      <w:bookmarkStart w:id="532" w:name="_Toc172713962"/>
      <w:bookmarkStart w:id="533" w:name="_Toc173550873"/>
      <w:bookmarkStart w:id="534" w:name="_Toc173560586"/>
      <w:bookmarkStart w:id="535" w:name="_Toc178676593"/>
      <w:bookmarkStart w:id="536" w:name="_Toc178676873"/>
      <w:bookmarkStart w:id="537" w:name="_Toc178677070"/>
      <w:bookmarkStart w:id="538" w:name="_Toc178734884"/>
      <w:bookmarkStart w:id="539" w:name="_Toc178741343"/>
      <w:bookmarkStart w:id="540" w:name="_Toc179100283"/>
      <w:bookmarkStart w:id="541" w:name="_Toc179103249"/>
      <w:bookmarkStart w:id="542" w:name="_Toc179708631"/>
      <w:bookmarkStart w:id="543" w:name="_Toc179708737"/>
      <w:bookmarkStart w:id="544" w:name="_Toc185652746"/>
      <w:bookmarkStart w:id="545" w:name="_Toc185654451"/>
      <w:bookmarkStart w:id="546" w:name="_Toc196630684"/>
      <w:bookmarkStart w:id="547" w:name="_Toc197489584"/>
      <w:bookmarkStart w:id="548" w:name="_Toc197489655"/>
      <w:bookmarkStart w:id="549" w:name="_Toc197493322"/>
      <w:bookmarkStart w:id="550" w:name="_Toc201728696"/>
      <w:bookmarkStart w:id="551" w:name="_Toc201738254"/>
      <w:bookmarkStart w:id="552" w:name="_Toc201738324"/>
      <w:bookmarkStart w:id="553" w:name="_Toc201741262"/>
      <w:bookmarkStart w:id="554" w:name="_Toc201741453"/>
      <w:bookmarkStart w:id="555" w:name="_Toc202058819"/>
      <w:bookmarkStart w:id="556" w:name="_Toc202842898"/>
      <w:bookmarkStart w:id="557" w:name="_Toc212535052"/>
      <w:bookmarkStart w:id="558" w:name="_Toc212605403"/>
      <w:bookmarkStart w:id="559" w:name="_Toc212947104"/>
      <w:bookmarkStart w:id="560" w:name="_Toc213749826"/>
      <w:bookmarkStart w:id="561" w:name="_Toc231026184"/>
      <w:bookmarkStart w:id="562" w:name="_Toc231026255"/>
      <w:bookmarkStart w:id="563" w:name="_Toc231694208"/>
      <w:bookmarkStart w:id="564" w:name="_Toc233777098"/>
      <w:bookmarkStart w:id="565" w:name="_Toc234034471"/>
      <w:bookmarkStart w:id="566" w:name="_Toc234036699"/>
      <w:bookmarkStart w:id="567" w:name="_Toc236127827"/>
      <w:bookmarkStart w:id="568" w:name="_Toc246401792"/>
      <w:bookmarkStart w:id="569" w:name="_Toc246403942"/>
      <w:bookmarkStart w:id="570" w:name="_Toc249257448"/>
      <w:bookmarkStart w:id="571" w:name="_Toc251246184"/>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ShoulderClause"/>
        <w:spacing w:before="60"/>
        <w:rPr>
          <w:snapToGrid w:val="0"/>
        </w:rPr>
      </w:pPr>
      <w:r>
        <w:rPr>
          <w:snapToGrid w:val="0"/>
        </w:rPr>
        <w:t>[Regulation 3]</w:t>
      </w:r>
    </w:p>
    <w:p>
      <w:pPr>
        <w:pStyle w:val="yHeading2"/>
        <w:outlineLvl w:val="9"/>
      </w:pPr>
      <w:bookmarkStart w:id="572" w:name="_Toc113176299"/>
      <w:bookmarkStart w:id="573" w:name="_Toc113180388"/>
      <w:bookmarkStart w:id="574" w:name="_Toc114391763"/>
      <w:bookmarkStart w:id="575" w:name="_Toc115171740"/>
      <w:bookmarkStart w:id="576" w:name="_Toc118609142"/>
      <w:bookmarkStart w:id="577" w:name="_Toc119294101"/>
      <w:bookmarkStart w:id="578" w:name="_Toc123633194"/>
      <w:bookmarkStart w:id="579" w:name="_Toc123633281"/>
      <w:bookmarkStart w:id="580" w:name="_Toc127594638"/>
      <w:bookmarkStart w:id="581" w:name="_Toc155066801"/>
      <w:bookmarkStart w:id="582" w:name="_Toc155084699"/>
      <w:bookmarkStart w:id="583" w:name="_Toc166316641"/>
      <w:bookmarkStart w:id="584" w:name="_Toc169665140"/>
      <w:bookmarkStart w:id="585" w:name="_Toc169672018"/>
      <w:bookmarkStart w:id="586" w:name="_Toc171323206"/>
      <w:bookmarkStart w:id="587" w:name="_Toc172713670"/>
      <w:bookmarkStart w:id="588" w:name="_Toc172713963"/>
      <w:bookmarkStart w:id="589" w:name="_Toc173550874"/>
      <w:bookmarkStart w:id="590" w:name="_Toc173560587"/>
      <w:bookmarkStart w:id="591" w:name="_Toc178676594"/>
      <w:bookmarkStart w:id="592" w:name="_Toc178676874"/>
      <w:bookmarkStart w:id="593" w:name="_Toc178677071"/>
      <w:bookmarkStart w:id="594" w:name="_Toc178734885"/>
      <w:bookmarkStart w:id="595" w:name="_Toc178741344"/>
      <w:bookmarkStart w:id="596" w:name="_Toc179100284"/>
      <w:bookmarkStart w:id="597" w:name="_Toc179103250"/>
      <w:bookmarkStart w:id="598" w:name="_Toc179708632"/>
      <w:bookmarkStart w:id="599" w:name="_Toc179708738"/>
      <w:bookmarkStart w:id="600" w:name="_Toc185652747"/>
      <w:bookmarkStart w:id="601" w:name="_Toc185654452"/>
      <w:bookmarkStart w:id="602" w:name="_Toc196630685"/>
      <w:bookmarkStart w:id="603" w:name="_Toc197489585"/>
      <w:bookmarkStart w:id="604" w:name="_Toc197489656"/>
      <w:bookmarkStart w:id="605" w:name="_Toc197493323"/>
      <w:bookmarkStart w:id="606" w:name="_Toc201728697"/>
      <w:bookmarkStart w:id="607" w:name="_Toc201738255"/>
      <w:bookmarkStart w:id="608" w:name="_Toc201738325"/>
      <w:bookmarkStart w:id="609" w:name="_Toc201741263"/>
      <w:bookmarkStart w:id="610" w:name="_Toc201741454"/>
      <w:bookmarkStart w:id="611" w:name="_Toc202058820"/>
      <w:bookmarkStart w:id="612" w:name="_Toc202842899"/>
      <w:bookmarkStart w:id="613" w:name="_Toc212535053"/>
      <w:bookmarkStart w:id="614" w:name="_Toc212605404"/>
      <w:bookmarkStart w:id="615" w:name="_Toc212947105"/>
      <w:bookmarkStart w:id="616" w:name="_Toc213749827"/>
      <w:bookmarkStart w:id="617" w:name="_Toc231026185"/>
      <w:bookmarkStart w:id="618" w:name="_Toc231026256"/>
      <w:bookmarkStart w:id="619" w:name="_Toc231694209"/>
      <w:bookmarkStart w:id="620" w:name="_Toc233777099"/>
      <w:bookmarkStart w:id="621" w:name="_Toc234034472"/>
      <w:bookmarkStart w:id="622" w:name="_Toc234036700"/>
      <w:bookmarkStart w:id="623" w:name="_Toc236127828"/>
      <w:bookmarkStart w:id="624" w:name="_Toc246401793"/>
      <w:bookmarkStart w:id="625" w:name="_Toc246403943"/>
      <w:bookmarkStart w:id="626" w:name="_Toc249257449"/>
      <w:bookmarkStart w:id="627" w:name="_Toc251246185"/>
      <w:r>
        <w:rPr>
          <w:rStyle w:val="CharSchText"/>
        </w:rPr>
        <w:t>Forms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yEdnotedivision"/>
      </w:pPr>
      <w:r>
        <w:t>[Form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8"/>
        </w:rPr>
      </w:pPr>
      <w:r>
        <w:rPr>
          <w:snapToGrid w:val="0"/>
          <w:sz w:val="16"/>
        </w:rPr>
        <w:t>The common seal of ________________________________ was hereunto affixed by</w:t>
      </w:r>
      <w:r>
        <w:rPr>
          <w:snapToGrid w:val="0"/>
          <w:sz w:val="18"/>
        </w:rPr>
        <w:t xml:space="preserve">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3430" cy="6591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3430" cy="65913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3430" cy="6591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3430" cy="65913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28" w:name="_Toc534780070"/>
      <w:bookmarkStart w:id="629" w:name="_Toc3352152"/>
      <w:bookmarkStart w:id="630" w:name="_Toc22966253"/>
      <w:bookmarkStart w:id="631" w:name="_Toc66263860"/>
      <w:bookmarkStart w:id="632" w:name="_Toc67978811"/>
      <w:bookmarkStart w:id="633" w:name="_Toc79826633"/>
      <w:bookmarkStart w:id="634" w:name="_Toc113176300"/>
      <w:bookmarkStart w:id="635" w:name="_Toc113180389"/>
      <w:bookmarkStart w:id="636" w:name="_Toc114391764"/>
      <w:bookmarkStart w:id="637" w:name="_Toc115171741"/>
      <w:bookmarkStart w:id="638" w:name="_Toc118609143"/>
      <w:bookmarkStart w:id="639" w:name="_Toc119294102"/>
      <w:bookmarkStart w:id="640" w:name="_Toc123633195"/>
      <w:bookmarkStart w:id="641" w:name="_Toc123633282"/>
      <w:bookmarkStart w:id="642" w:name="_Toc127594639"/>
      <w:bookmarkStart w:id="643" w:name="_Toc155066802"/>
      <w:bookmarkStart w:id="644" w:name="_Toc155084700"/>
      <w:bookmarkStart w:id="645" w:name="_Toc166316642"/>
      <w:bookmarkStart w:id="646" w:name="_Toc169665141"/>
      <w:bookmarkStart w:id="647" w:name="_Toc169672019"/>
      <w:bookmarkStart w:id="648" w:name="_Toc171323207"/>
      <w:bookmarkStart w:id="649" w:name="_Toc172713671"/>
      <w:bookmarkStart w:id="650" w:name="_Toc172713964"/>
      <w:bookmarkStart w:id="651" w:name="_Toc173550875"/>
      <w:bookmarkStart w:id="652" w:name="_Toc173560588"/>
      <w:bookmarkStart w:id="653" w:name="_Toc178676595"/>
      <w:bookmarkStart w:id="654" w:name="_Toc178676875"/>
      <w:bookmarkStart w:id="655" w:name="_Toc178677072"/>
      <w:bookmarkStart w:id="656" w:name="_Toc178734886"/>
      <w:bookmarkStart w:id="657" w:name="_Toc178741345"/>
      <w:bookmarkStart w:id="658" w:name="_Toc179100285"/>
      <w:bookmarkStart w:id="659" w:name="_Toc179103251"/>
      <w:bookmarkStart w:id="660" w:name="_Toc179708633"/>
      <w:bookmarkStart w:id="661" w:name="_Toc179708739"/>
      <w:bookmarkStart w:id="662" w:name="_Toc185652748"/>
      <w:bookmarkStart w:id="663" w:name="_Toc185654453"/>
      <w:bookmarkStart w:id="664" w:name="_Toc196630686"/>
      <w:bookmarkStart w:id="665" w:name="_Toc197489586"/>
      <w:bookmarkStart w:id="666" w:name="_Toc197489657"/>
      <w:bookmarkStart w:id="667" w:name="_Toc197493324"/>
      <w:bookmarkStart w:id="668" w:name="_Toc201728698"/>
      <w:bookmarkStart w:id="669" w:name="_Toc201738256"/>
      <w:bookmarkStart w:id="670" w:name="_Toc201738326"/>
      <w:bookmarkStart w:id="671" w:name="_Toc201741264"/>
      <w:bookmarkStart w:id="672" w:name="_Toc201741455"/>
      <w:bookmarkStart w:id="673" w:name="_Toc202058821"/>
      <w:bookmarkStart w:id="674" w:name="_Toc202842900"/>
      <w:bookmarkStart w:id="675" w:name="_Toc212535054"/>
      <w:bookmarkStart w:id="676" w:name="_Toc212605405"/>
      <w:bookmarkStart w:id="677" w:name="_Toc212947106"/>
      <w:bookmarkStart w:id="678" w:name="_Toc213749828"/>
      <w:bookmarkStart w:id="679" w:name="_Toc231026186"/>
      <w:bookmarkStart w:id="680" w:name="_Toc231026257"/>
      <w:bookmarkStart w:id="681" w:name="_Toc231694210"/>
      <w:bookmarkStart w:id="682" w:name="_Toc233777100"/>
      <w:bookmarkStart w:id="683" w:name="_Toc234034473"/>
      <w:bookmarkStart w:id="684" w:name="_Toc234036701"/>
      <w:bookmarkStart w:id="685" w:name="_Toc236127829"/>
      <w:bookmarkStart w:id="686" w:name="_Toc246401794"/>
      <w:bookmarkStart w:id="687" w:name="_Toc246403944"/>
      <w:bookmarkStart w:id="688" w:name="_Toc249257450"/>
      <w:bookmarkStart w:id="689" w:name="_Toc251246186"/>
      <w:r>
        <w:rPr>
          <w:rStyle w:val="CharSchNo"/>
        </w:rPr>
        <w:t>Schedule 2</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spacing w:before="60"/>
        <w:rPr>
          <w:snapToGrid w:val="0"/>
        </w:rPr>
      </w:pPr>
      <w:r>
        <w:rPr>
          <w:snapToGrid w:val="0"/>
        </w:rPr>
        <w:t>[Regulation 13]</w:t>
      </w:r>
    </w:p>
    <w:p>
      <w:pPr>
        <w:pStyle w:val="yHeading2"/>
        <w:spacing w:before="120" w:after="80"/>
      </w:pPr>
      <w:bookmarkStart w:id="690" w:name="_Toc113176301"/>
      <w:bookmarkStart w:id="691" w:name="_Toc113180390"/>
      <w:bookmarkStart w:id="692" w:name="_Toc114391765"/>
      <w:bookmarkStart w:id="693" w:name="_Toc115171742"/>
      <w:bookmarkStart w:id="694" w:name="_Toc118609144"/>
      <w:bookmarkStart w:id="695" w:name="_Toc119294103"/>
      <w:bookmarkStart w:id="696" w:name="_Toc123633196"/>
      <w:bookmarkStart w:id="697" w:name="_Toc123633283"/>
      <w:bookmarkStart w:id="698" w:name="_Toc127594640"/>
      <w:bookmarkStart w:id="699" w:name="_Toc155066803"/>
      <w:bookmarkStart w:id="700" w:name="_Toc155084701"/>
      <w:bookmarkStart w:id="701" w:name="_Toc166316643"/>
      <w:bookmarkStart w:id="702" w:name="_Toc169665142"/>
      <w:bookmarkStart w:id="703" w:name="_Toc169672020"/>
      <w:bookmarkStart w:id="704" w:name="_Toc171323208"/>
      <w:bookmarkStart w:id="705" w:name="_Toc172713672"/>
      <w:bookmarkStart w:id="706" w:name="_Toc172713965"/>
      <w:bookmarkStart w:id="707" w:name="_Toc173550876"/>
      <w:bookmarkStart w:id="708" w:name="_Toc173560589"/>
      <w:bookmarkStart w:id="709" w:name="_Toc178676596"/>
      <w:bookmarkStart w:id="710" w:name="_Toc178676876"/>
      <w:bookmarkStart w:id="711" w:name="_Toc178677073"/>
      <w:bookmarkStart w:id="712" w:name="_Toc178734887"/>
      <w:bookmarkStart w:id="713" w:name="_Toc178741346"/>
      <w:bookmarkStart w:id="714" w:name="_Toc179100286"/>
      <w:bookmarkStart w:id="715" w:name="_Toc179103252"/>
      <w:bookmarkStart w:id="716" w:name="_Toc179708634"/>
      <w:bookmarkStart w:id="717" w:name="_Toc179708740"/>
      <w:bookmarkStart w:id="718" w:name="_Toc185652749"/>
      <w:bookmarkStart w:id="719" w:name="_Toc185654454"/>
      <w:bookmarkStart w:id="720" w:name="_Toc196630687"/>
      <w:bookmarkStart w:id="721" w:name="_Toc197489587"/>
      <w:bookmarkStart w:id="722" w:name="_Toc197489658"/>
      <w:bookmarkStart w:id="723" w:name="_Toc197493325"/>
      <w:bookmarkStart w:id="724" w:name="_Toc201728699"/>
      <w:bookmarkStart w:id="725" w:name="_Toc201738257"/>
      <w:bookmarkStart w:id="726" w:name="_Toc201738327"/>
      <w:bookmarkStart w:id="727" w:name="_Toc201741265"/>
      <w:bookmarkStart w:id="728" w:name="_Toc201741456"/>
      <w:bookmarkStart w:id="729" w:name="_Toc202058822"/>
      <w:bookmarkStart w:id="730" w:name="_Toc202842901"/>
      <w:bookmarkStart w:id="731" w:name="_Toc212535055"/>
      <w:bookmarkStart w:id="732" w:name="_Toc212605406"/>
      <w:bookmarkStart w:id="733" w:name="_Toc212947107"/>
      <w:bookmarkStart w:id="734" w:name="_Toc213749829"/>
      <w:bookmarkStart w:id="735" w:name="_Toc231026187"/>
      <w:bookmarkStart w:id="736" w:name="_Toc231026258"/>
      <w:bookmarkStart w:id="737" w:name="_Toc231694211"/>
      <w:bookmarkStart w:id="738" w:name="_Toc233777101"/>
      <w:bookmarkStart w:id="739" w:name="_Toc234034474"/>
      <w:bookmarkStart w:id="740" w:name="_Toc234036702"/>
      <w:bookmarkStart w:id="741" w:name="_Toc236127830"/>
      <w:bookmarkStart w:id="742" w:name="_Toc246401795"/>
      <w:bookmarkStart w:id="743" w:name="_Toc246403945"/>
      <w:bookmarkStart w:id="744" w:name="_Toc249257451"/>
      <w:bookmarkStart w:id="745" w:name="_Toc251246187"/>
      <w:r>
        <w:rPr>
          <w:rStyle w:val="CharSchText"/>
        </w:rPr>
        <w:t>Details of applicant</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4683-4.]</w:t>
      </w:r>
    </w:p>
    <w:p>
      <w:pPr>
        <w:pStyle w:val="yScheduleHeading"/>
      </w:pPr>
      <w:bookmarkStart w:id="746" w:name="_Toc249257452"/>
      <w:bookmarkStart w:id="747" w:name="_Toc251246188"/>
      <w:r>
        <w:rPr>
          <w:rStyle w:val="CharSchNo"/>
        </w:rPr>
        <w:t>Schedule 3</w:t>
      </w:r>
      <w:r>
        <w:t> — </w:t>
      </w:r>
      <w:r>
        <w:rPr>
          <w:rStyle w:val="CharSchText"/>
        </w:rPr>
        <w:t>Fees</w:t>
      </w:r>
      <w:bookmarkEnd w:id="746"/>
      <w:bookmarkEnd w:id="747"/>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bottom w:val="nil"/>
            </w:tcBorders>
          </w:tcPr>
          <w:p>
            <w:pPr>
              <w:pStyle w:val="yTableNAm"/>
            </w:pPr>
            <w:r>
              <w:t>6.</w:t>
            </w:r>
          </w:p>
        </w:tc>
        <w:tc>
          <w:tcPr>
            <w:tcW w:w="3969" w:type="dxa"/>
            <w:tcBorders>
              <w:bottom w:val="nil"/>
            </w:tcBorders>
          </w:tcPr>
          <w:p>
            <w:pPr>
              <w:pStyle w:val="yTableNAm"/>
            </w:pPr>
            <w:r>
              <w:t>Application for an occasional licence where the anticipated number of persons attending* is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up to 250 </w:t>
            </w:r>
            <w:r>
              <w:tab/>
            </w:r>
          </w:p>
        </w:tc>
        <w:tc>
          <w:tcPr>
            <w:tcW w:w="992" w:type="dxa"/>
            <w:tcBorders>
              <w:top w:val="nil"/>
              <w:bottom w:val="nil"/>
            </w:tcBorders>
          </w:tcPr>
          <w:p>
            <w:pPr>
              <w:pStyle w:val="yTableNAm"/>
              <w:tabs>
                <w:tab w:val="clear" w:pos="567"/>
              </w:tabs>
              <w:ind w:right="120"/>
              <w:jc w:val="right"/>
            </w:pPr>
            <w:r>
              <w:t>50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between 251 and 500 </w:t>
            </w:r>
            <w:r>
              <w:tab/>
            </w:r>
          </w:p>
        </w:tc>
        <w:tc>
          <w:tcPr>
            <w:tcW w:w="992" w:type="dxa"/>
            <w:tcBorders>
              <w:top w:val="nil"/>
              <w:bottom w:val="nil"/>
            </w:tcBorders>
          </w:tcPr>
          <w:p>
            <w:pPr>
              <w:pStyle w:val="yTableNAm"/>
              <w:tabs>
                <w:tab w:val="clear" w:pos="567"/>
              </w:tabs>
              <w:ind w:right="120"/>
              <w:jc w:val="right"/>
            </w:pPr>
            <w:r>
              <w:t>100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(c)</w:t>
            </w:r>
            <w:r>
              <w:tab/>
              <w:t xml:space="preserve">between 501 and 1 000 </w:t>
            </w:r>
            <w:r>
              <w:tab/>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(d)</w:t>
            </w:r>
            <w:r>
              <w:tab/>
              <w:t xml:space="preserve">between 1 001 and 5 000 </w:t>
            </w:r>
            <w:r>
              <w:tab/>
            </w:r>
          </w:p>
        </w:tc>
        <w:tc>
          <w:tcPr>
            <w:tcW w:w="992" w:type="dxa"/>
            <w:tcBorders>
              <w:top w:val="nil"/>
              <w:bottom w:val="nil"/>
            </w:tcBorders>
          </w:tcPr>
          <w:p>
            <w:pPr>
              <w:pStyle w:val="yTableNAm"/>
              <w:tabs>
                <w:tab w:val="clear" w:pos="567"/>
              </w:tabs>
              <w:ind w:right="120"/>
              <w:jc w:val="right"/>
            </w:pPr>
            <w:r>
              <w:t>1 000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(e)</w:t>
            </w:r>
            <w:r>
              <w:tab/>
              <w:t xml:space="preserve">between 5 001 and 10 000 </w:t>
            </w:r>
            <w:r>
              <w:tab/>
            </w:r>
          </w:p>
        </w:tc>
        <w:tc>
          <w:tcPr>
            <w:tcW w:w="992" w:type="dxa"/>
            <w:tcBorders>
              <w:top w:val="nil"/>
              <w:bottom w:val="nil"/>
            </w:tcBorders>
          </w:tcPr>
          <w:p>
            <w:pPr>
              <w:pStyle w:val="yTableNAm"/>
              <w:tabs>
                <w:tab w:val="clear" w:pos="567"/>
              </w:tabs>
              <w:ind w:right="120"/>
              <w:jc w:val="right"/>
            </w:pPr>
            <w:r>
              <w:t>2 000</w:t>
            </w:r>
          </w:p>
        </w:tc>
        <w:tc>
          <w:tcPr>
            <w:tcW w:w="1206" w:type="dxa"/>
            <w:tcBorders>
              <w:top w:val="nil"/>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(f)</w:t>
            </w:r>
            <w:r>
              <w:tab/>
              <w:t xml:space="preserve">over 10 000 </w:t>
            </w:r>
            <w:r>
              <w:tab/>
            </w:r>
          </w:p>
        </w:tc>
        <w:tc>
          <w:tcPr>
            <w:tcW w:w="992" w:type="dxa"/>
            <w:tcBorders>
              <w:top w:val="nil"/>
              <w:bottom w:val="nil"/>
            </w:tcBorders>
          </w:tcPr>
          <w:p>
            <w:pPr>
              <w:pStyle w:val="yTableNAm"/>
              <w:tabs>
                <w:tab w:val="clear" w:pos="567"/>
              </w:tabs>
              <w:ind w:right="120"/>
              <w:jc w:val="right"/>
            </w:pPr>
            <w:r>
              <w:t>4 000</w:t>
            </w:r>
          </w:p>
        </w:tc>
        <w:tc>
          <w:tcPr>
            <w:tcW w:w="1206" w:type="dxa"/>
            <w:tcBorders>
              <w:top w:val="nil"/>
              <w:bottom w:val="nil"/>
            </w:tcBorders>
          </w:tcPr>
          <w:p>
            <w:pPr>
              <w:pStyle w:val="yTableNAm"/>
            </w:pPr>
          </w:p>
        </w:tc>
      </w:tr>
      <w:tr>
        <w:trPr>
          <w:cantSplit/>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rPr>
                <w:sz w:val="18"/>
              </w:rPr>
            </w:pPr>
            <w:r>
              <w:rPr>
                <w:sz w:val="18"/>
              </w:rPr>
              <w:t>[*See regulation 26(4) as to the anticipated number of persons attending]</w:t>
            </w:r>
          </w:p>
        </w:tc>
        <w:tc>
          <w:tcPr>
            <w:tcW w:w="992" w:type="dxa"/>
            <w:tcBorders>
              <w:top w:val="nil"/>
              <w:bottom w:val="single" w:sz="4" w:space="0" w:color="auto"/>
            </w:tcBorders>
          </w:tcPr>
          <w:p>
            <w:pPr>
              <w:pStyle w:val="yTableNAm"/>
            </w:pPr>
          </w:p>
        </w:tc>
        <w:tc>
          <w:tcPr>
            <w:tcW w:w="1206" w:type="dxa"/>
            <w:tcBorders>
              <w:top w:val="nil"/>
              <w:bottom w:val="single" w:sz="4" w:space="0" w:color="auto"/>
            </w:tcBorders>
          </w:tcPr>
          <w:p>
            <w:pPr>
              <w:pStyle w:val="yTableNAm"/>
            </w:pPr>
          </w:p>
        </w:tc>
      </w:tr>
      <w:tr>
        <w:trPr>
          <w:cantSplit/>
        </w:trPr>
        <w:tc>
          <w:tcPr>
            <w:tcW w:w="709" w:type="dxa"/>
            <w:tcBorders>
              <w:top w:val="single" w:sz="4" w:space="0" w:color="auto"/>
              <w:bottom w:val="nil"/>
            </w:tcBorders>
          </w:tcPr>
          <w:p>
            <w:pPr>
              <w:pStyle w:val="yTableNAm"/>
            </w:pPr>
            <w:r>
              <w:t>7.</w:t>
            </w:r>
          </w:p>
        </w:tc>
        <w:tc>
          <w:tcPr>
            <w:tcW w:w="3969" w:type="dxa"/>
            <w:tcBorders>
              <w:top w:val="single" w:sz="4" w:space="0" w:color="auto"/>
              <w:bottom w:val="nil"/>
            </w:tcBorders>
          </w:tcPr>
          <w:p>
            <w:pPr>
              <w:pStyle w:val="yTableNAm"/>
            </w:pPr>
            <w:r>
              <w:t>Application for extended trading permit for a period of over 21 days —</w:t>
            </w:r>
          </w:p>
        </w:tc>
        <w:tc>
          <w:tcPr>
            <w:tcW w:w="992" w:type="dxa"/>
            <w:tcBorders>
              <w:top w:val="single" w:sz="4" w:space="0" w:color="auto"/>
              <w:bottom w:val="nil"/>
            </w:tcBorders>
          </w:tcPr>
          <w:p>
            <w:pPr>
              <w:pStyle w:val="yTableNAm"/>
            </w:pPr>
          </w:p>
        </w:tc>
        <w:tc>
          <w:tcPr>
            <w:tcW w:w="1206" w:type="dxa"/>
            <w:tcBorders>
              <w:top w:val="single" w:sz="4" w:space="0" w:color="auto"/>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r>
              <w:tab/>
              <w:t>................................</w:t>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(b)</w:t>
            </w:r>
            <w:r>
              <w:tab/>
              <w:t xml:space="preserve">issued for a purpose referred to in section 60(4)(h) </w:t>
            </w:r>
            <w:r>
              <w:tab/>
              <w:t>..............</w:t>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 xml:space="preserve">issued for any other purpose </w:t>
            </w:r>
            <w:r>
              <w:tab/>
              <w:t>................</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t>..............</w:t>
            </w:r>
          </w:p>
        </w:tc>
        <w:tc>
          <w:tcPr>
            <w:tcW w:w="992" w:type="dxa"/>
            <w:tcBorders>
              <w:top w:val="nil"/>
              <w:bottom w:val="nil"/>
            </w:tcBorders>
          </w:tcPr>
          <w:p>
            <w:pPr>
              <w:pStyle w:val="yTableNAm"/>
              <w:tabs>
                <w:tab w:val="clear" w:pos="567"/>
              </w:tabs>
              <w:ind w:right="120"/>
              <w:jc w:val="right"/>
            </w:pPr>
            <w:r>
              <w:t>100</w:t>
            </w:r>
          </w:p>
          <w:p>
            <w:pPr>
              <w:pStyle w:val="yTableNAm"/>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t>................</w:t>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t>..............</w:t>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righ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righ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righ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righ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a period of over 21 days </w:t>
            </w:r>
            <w:r>
              <w:tab/>
            </w:r>
            <w:r>
              <w:tab/>
              <w:t>................................</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for a period of 21 days or less  — for each day</w:t>
            </w:r>
            <w:r>
              <w:tab/>
              <w:t>..............</w:t>
            </w:r>
          </w:p>
        </w:tc>
        <w:tc>
          <w:tcPr>
            <w:tcW w:w="992" w:type="dxa"/>
            <w:tcBorders>
              <w:top w:val="nil"/>
            </w:tcBorders>
          </w:tcPr>
          <w:p>
            <w:pPr>
              <w:pStyle w:val="yTableNAm"/>
              <w:tabs>
                <w:tab w:val="clear" w:pos="567"/>
              </w:tabs>
              <w:ind w:right="120"/>
              <w:jc w:val="right"/>
            </w:pPr>
            <w:r>
              <w:br/>
              <w:t>100</w:t>
            </w:r>
          </w:p>
          <w:p>
            <w:pPr>
              <w:pStyle w:val="yTableNAm"/>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righ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righ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right" w:leader="dot" w:pos="3821"/>
              </w:tabs>
            </w:pPr>
            <w:r>
              <w:t xml:space="preserve">Application for approval of agreement or  arrangement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19.</w:t>
            </w:r>
          </w:p>
        </w:tc>
        <w:tc>
          <w:tcPr>
            <w:tcW w:w="3969" w:type="dxa"/>
          </w:tcPr>
          <w:p>
            <w:pPr>
              <w:pStyle w:val="yTableNAm"/>
              <w:tabs>
                <w:tab w:val="righ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righ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righ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righ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righ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righ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righ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righ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righ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right" w:leader="dot" w:pos="3821"/>
              </w:tabs>
            </w:pPr>
            <w:r>
              <w:t>For the certification of a copy of a licence, a permit or a decision of the Commission (or the former Liquor Licensing Court) or the Director </w:t>
            </w:r>
            <w:r>
              <w:tab/>
            </w:r>
          </w:p>
          <w:p>
            <w:pPr>
              <w:pStyle w:val="yTableNAm"/>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righ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righ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righ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righ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4663-6.]</w:t>
      </w:r>
    </w:p>
    <w:p>
      <w:pPr>
        <w:tabs>
          <w:tab w:val="left" w:pos="384"/>
          <w:tab w:val="left" w:pos="624"/>
          <w:tab w:val="right" w:pos="777"/>
          <w:tab w:val="left" w:leader="dot" w:pos="4664"/>
        </w:tabs>
        <w:spacing w:before="60"/>
        <w:ind w:left="504" w:right="120" w:hanging="504"/>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748" w:name="_Toc66263862"/>
      <w:bookmarkStart w:id="749" w:name="_Toc72140219"/>
      <w:bookmarkStart w:id="750" w:name="_Toc79826637"/>
      <w:bookmarkStart w:id="751" w:name="_Toc89577182"/>
      <w:bookmarkStart w:id="752" w:name="_Toc89580193"/>
      <w:bookmarkStart w:id="753" w:name="_Toc92425375"/>
      <w:bookmarkStart w:id="754" w:name="_Toc93288107"/>
      <w:bookmarkStart w:id="755" w:name="_Toc112152488"/>
      <w:bookmarkStart w:id="756" w:name="_Toc113173950"/>
      <w:bookmarkStart w:id="757" w:name="_Toc113174007"/>
      <w:bookmarkStart w:id="758" w:name="_Toc113176304"/>
      <w:bookmarkStart w:id="759" w:name="_Toc113180393"/>
      <w:bookmarkStart w:id="760" w:name="_Toc114391768"/>
      <w:bookmarkStart w:id="761" w:name="_Toc115171745"/>
      <w:bookmarkStart w:id="762" w:name="_Toc118609147"/>
      <w:bookmarkStart w:id="763" w:name="_Toc119294106"/>
      <w:bookmarkStart w:id="764" w:name="_Toc123633199"/>
      <w:bookmarkStart w:id="765" w:name="_Toc123633286"/>
      <w:bookmarkStart w:id="766" w:name="_Toc127594642"/>
      <w:bookmarkStart w:id="767" w:name="_Toc155066805"/>
      <w:bookmarkStart w:id="768" w:name="_Toc155084703"/>
      <w:bookmarkStart w:id="769" w:name="_Toc166316645"/>
      <w:bookmarkStart w:id="770" w:name="_Toc169665144"/>
      <w:bookmarkStart w:id="771" w:name="_Toc169672022"/>
      <w:bookmarkStart w:id="772" w:name="_Toc171323210"/>
      <w:bookmarkStart w:id="773" w:name="_Toc172713674"/>
      <w:bookmarkStart w:id="774" w:name="_Toc172713967"/>
      <w:bookmarkStart w:id="775" w:name="_Toc173550878"/>
      <w:bookmarkStart w:id="776" w:name="_Toc173560591"/>
      <w:bookmarkStart w:id="777" w:name="_Toc178676598"/>
      <w:bookmarkStart w:id="778" w:name="_Toc178676878"/>
      <w:bookmarkStart w:id="779" w:name="_Toc178677075"/>
      <w:bookmarkStart w:id="780" w:name="_Toc178734889"/>
      <w:bookmarkStart w:id="781" w:name="_Toc178741348"/>
      <w:bookmarkStart w:id="782" w:name="_Toc179100288"/>
      <w:bookmarkStart w:id="783" w:name="_Toc179103254"/>
      <w:bookmarkStart w:id="784" w:name="_Toc179708636"/>
      <w:bookmarkStart w:id="785" w:name="_Toc179708742"/>
      <w:bookmarkStart w:id="786" w:name="_Toc185652752"/>
      <w:bookmarkStart w:id="787" w:name="_Toc185654456"/>
      <w:bookmarkStart w:id="788" w:name="_Toc196630689"/>
      <w:bookmarkStart w:id="789" w:name="_Toc197489589"/>
      <w:bookmarkStart w:id="790" w:name="_Toc197489660"/>
      <w:bookmarkStart w:id="791" w:name="_Toc197493327"/>
      <w:bookmarkStart w:id="792" w:name="_Toc201728701"/>
      <w:bookmarkStart w:id="793" w:name="_Toc201738259"/>
      <w:bookmarkStart w:id="794" w:name="_Toc201738329"/>
      <w:bookmarkStart w:id="795" w:name="_Toc201741267"/>
      <w:bookmarkStart w:id="796" w:name="_Toc201741458"/>
      <w:bookmarkStart w:id="797" w:name="_Toc202058824"/>
      <w:bookmarkStart w:id="798" w:name="_Toc202842903"/>
      <w:bookmarkStart w:id="799" w:name="_Toc212535058"/>
      <w:bookmarkStart w:id="800" w:name="_Toc212605408"/>
      <w:bookmarkStart w:id="801" w:name="_Toc212947109"/>
      <w:bookmarkStart w:id="802" w:name="_Toc213749831"/>
      <w:bookmarkStart w:id="803" w:name="_Toc231026189"/>
      <w:bookmarkStart w:id="804" w:name="_Toc231026260"/>
      <w:bookmarkStart w:id="805" w:name="_Toc231694213"/>
      <w:bookmarkStart w:id="806" w:name="_Toc233777103"/>
      <w:bookmarkStart w:id="807" w:name="_Toc234034476"/>
      <w:bookmarkStart w:id="808" w:name="_Toc234036704"/>
      <w:bookmarkStart w:id="809" w:name="_Toc236127832"/>
      <w:bookmarkStart w:id="810" w:name="_Toc246401797"/>
      <w:bookmarkStart w:id="811" w:name="_Toc246403947"/>
      <w:bookmarkStart w:id="812" w:name="_Toc249257453"/>
      <w:bookmarkStart w:id="813" w:name="_Toc251246189"/>
      <w:r>
        <w:t>Notes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4" w:name="_Toc251246190"/>
      <w:r>
        <w:rPr>
          <w:snapToGrid w:val="0"/>
        </w:rPr>
        <w:t>Compilation table</w:t>
      </w:r>
      <w:bookmarkEnd w:id="8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8) 2009</w:t>
            </w:r>
          </w:p>
        </w:tc>
        <w:tc>
          <w:tcPr>
            <w:tcW w:w="1276" w:type="dxa"/>
            <w:tcBorders>
              <w:bottom w:val="single" w:sz="4" w:space="0" w:color="auto"/>
            </w:tcBorders>
          </w:tcPr>
          <w:p>
            <w:pPr>
              <w:pStyle w:val="nTable"/>
              <w:spacing w:after="40"/>
              <w:rPr>
                <w:sz w:val="19"/>
              </w:rPr>
            </w:pPr>
            <w:r>
              <w:rPr>
                <w:sz w:val="19"/>
              </w:rPr>
              <w:t>15 Jan 2010 p. 70-2</w:t>
            </w:r>
          </w:p>
        </w:tc>
        <w:tc>
          <w:tcPr>
            <w:tcW w:w="2693" w:type="dxa"/>
            <w:tcBorders>
              <w:bottom w:val="single" w:sz="4" w:space="0" w:color="auto"/>
            </w:tcBorders>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815" w:name="_Toc202058826"/>
      <w:bookmarkStart w:id="816" w:name="_Toc202842905"/>
      <w:bookmarkStart w:id="817" w:name="_Toc212535060"/>
      <w:bookmarkStart w:id="818" w:name="_Toc212605410"/>
      <w:bookmarkStart w:id="819" w:name="_Toc212947112"/>
      <w:bookmarkStart w:id="820" w:name="_Toc213749834"/>
      <w:bookmarkStart w:id="821" w:name="_Toc231026191"/>
      <w:bookmarkStart w:id="822" w:name="_Toc231026262"/>
      <w:bookmarkStart w:id="823" w:name="_Toc231694215"/>
      <w:bookmarkStart w:id="824" w:name="_Toc233777105"/>
      <w:bookmarkStart w:id="825" w:name="_Toc234034478"/>
      <w:bookmarkStart w:id="826" w:name="_Toc234036706"/>
      <w:bookmarkStart w:id="827" w:name="_Toc236127834"/>
      <w:bookmarkStart w:id="828" w:name="_Toc246401800"/>
      <w:bookmarkStart w:id="829" w:name="_Toc246403950"/>
      <w:bookmarkStart w:id="830" w:name="_Toc249257455"/>
      <w:bookmarkStart w:id="831" w:name="_Toc251246191"/>
      <w:r>
        <w:t>Defined Terms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2" w:name="DefinedTerms"/>
      <w:bookmarkEnd w:id="832"/>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bookmarkStart w:id="833" w:name="UpToHere"/>
      <w:bookmarkEnd w:id="833"/>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81</Pages>
  <Words>18249</Words>
  <Characters>89240</Characters>
  <Application>Microsoft Office Word</Application>
  <DocSecurity>0</DocSecurity>
  <Lines>3305</Lines>
  <Paragraphs>1885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105604</CharactersWithSpaces>
  <SharedDoc>false</SharedDoc>
  <HLinks>
    <vt:vector size="6" baseType="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1989 - 08-e0-01</dc:title>
  <dc:subject/>
  <dc:creator/>
  <cp:keywords/>
  <dc:description/>
  <cp:lastModifiedBy>svcMRProcess</cp:lastModifiedBy>
  <cp:revision>4</cp:revision>
  <cp:lastPrinted>2009-06-30T00:41:00Z</cp:lastPrinted>
  <dcterms:created xsi:type="dcterms:W3CDTF">2020-02-26T13:25:00Z</dcterms:created>
  <dcterms:modified xsi:type="dcterms:W3CDTF">2020-02-26T13:26:00Z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20100116</vt:lpwstr>
  </property>
  <property fmtid="{D5CDD505-2E9C-101B-9397-08002B2CF9AE}" pid="4" name="DocumentType">
    <vt:lpwstr>Reg</vt:lpwstr>
  </property>
  <property fmtid="{D5CDD505-2E9C-101B-9397-08002B2CF9AE}" pid="5" name="OwlsUID">
    <vt:i4>4569</vt:i4>
  </property>
  <property fmtid="{D5CDD505-2E9C-101B-9397-08002B2CF9AE}" pid="6" name="ReprintNo">
    <vt:lpwstr>8</vt:lpwstr>
  </property>
  <property fmtid="{D5CDD505-2E9C-101B-9397-08002B2CF9AE}" pid="7" name="AsAtDate">
    <vt:lpwstr>16 Jan 2010</vt:lpwstr>
  </property>
  <property fmtid="{D5CDD505-2E9C-101B-9397-08002B2CF9AE}" pid="8" name="Suffix">
    <vt:lpwstr>08-e0-01</vt:lpwstr>
  </property>
</Properties>
</file>