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Transport Co</w:t>
      </w:r>
      <w:r>
        <w:rPr>
          <w:snapToGrid w:val="0"/>
        </w:rPr>
        <w:noBreakHyphen/>
        <w:t>ordination Act 1966</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Country Taxi-cars (Fares and Charges) Regulations 1991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February 2009</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_Toc253404768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_Toc253404769 \h </w:instrText>
      </w:r>
      <w:r>
        <w:fldChar w:fldCharType="separate"/>
      </w:r>
      <w:r>
        <w:t>1</w:t>
      </w:r>
      <w:r>
        <w:fldChar w:fldCharType="end"/>
      </w:r>
    </w:p>
    <w:p>
      <w:pPr>
        <w:pStyle w:val="TOC8"/>
        <w:rPr>
          <w:sz w:val="24"/>
          <w:szCs w:val="24"/>
        </w:rPr>
      </w:pPr>
      <w:r>
        <w:rPr>
          <w:szCs w:val="24"/>
        </w:rPr>
        <w:t>2A.</w:t>
      </w:r>
      <w:r>
        <w:rPr>
          <w:szCs w:val="24"/>
        </w:rPr>
        <w:tab/>
        <w:t>Terms used</w:t>
      </w:r>
      <w:r>
        <w:tab/>
      </w:r>
      <w:r>
        <w:fldChar w:fldCharType="begin"/>
      </w:r>
      <w:r>
        <w:instrText xml:space="preserve"> PAGEREF _Toc253404770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Fares and charges</w:t>
      </w:r>
      <w:r>
        <w:tab/>
      </w:r>
      <w:r>
        <w:fldChar w:fldCharType="begin"/>
      </w:r>
      <w:r>
        <w:instrText xml:space="preserve"> PAGEREF _Toc253404771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Evasion of fares and charges</w:t>
      </w:r>
      <w:r>
        <w:tab/>
      </w:r>
      <w:r>
        <w:fldChar w:fldCharType="begin"/>
      </w:r>
      <w:r>
        <w:instrText xml:space="preserve"> PAGEREF _Toc253404772 \h </w:instrText>
      </w:r>
      <w:r>
        <w:fldChar w:fldCharType="separate"/>
      </w:r>
      <w:r>
        <w:t>3</w:t>
      </w:r>
      <w:r>
        <w:fldChar w:fldCharType="end"/>
      </w:r>
    </w:p>
    <w:p>
      <w:pPr>
        <w:pStyle w:val="TOC8"/>
        <w:rPr>
          <w:sz w:val="24"/>
          <w:szCs w:val="24"/>
        </w:rPr>
      </w:pPr>
      <w:r>
        <w:rPr>
          <w:szCs w:val="24"/>
        </w:rPr>
        <w:t>4A.</w:t>
      </w:r>
      <w:r>
        <w:rPr>
          <w:szCs w:val="24"/>
        </w:rPr>
        <w:tab/>
        <w:t>Driver may require a deposit</w:t>
      </w:r>
      <w:r>
        <w:tab/>
      </w:r>
      <w:r>
        <w:fldChar w:fldCharType="begin"/>
      </w:r>
      <w:r>
        <w:instrText xml:space="preserve"> PAGEREF _Toc253404773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Separate fares</w:t>
      </w:r>
      <w:r>
        <w:tab/>
      </w:r>
      <w:r>
        <w:fldChar w:fldCharType="begin"/>
      </w:r>
      <w:r>
        <w:instrText xml:space="preserve"> PAGEREF _Toc253404774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Fare schedule card</w:t>
      </w:r>
      <w:r>
        <w:tab/>
      </w:r>
      <w:r>
        <w:fldChar w:fldCharType="begin"/>
      </w:r>
      <w:r>
        <w:instrText xml:space="preserve"> PAGEREF _Toc253404775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Offences</w:t>
      </w:r>
      <w:r>
        <w:tab/>
      </w:r>
      <w:r>
        <w:fldChar w:fldCharType="begin"/>
      </w:r>
      <w:r>
        <w:instrText xml:space="preserve"> PAGEREF _Toc253404776 \h </w:instrText>
      </w:r>
      <w:r>
        <w:fldChar w:fldCharType="separate"/>
      </w:r>
      <w:r>
        <w:t>4</w:t>
      </w:r>
      <w:r>
        <w:fldChar w:fldCharType="end"/>
      </w:r>
    </w:p>
    <w:p>
      <w:pPr>
        <w:pStyle w:val="TOC8"/>
        <w:rPr>
          <w:sz w:val="24"/>
          <w:szCs w:val="24"/>
        </w:rPr>
      </w:pPr>
      <w:r>
        <w:rPr>
          <w:szCs w:val="24"/>
        </w:rPr>
        <w:t>7A.</w:t>
      </w:r>
      <w:r>
        <w:rPr>
          <w:szCs w:val="24"/>
        </w:rPr>
        <w:tab/>
        <w:t>Infringement notices and modified penalties</w:t>
      </w:r>
      <w:r>
        <w:tab/>
      </w:r>
      <w:r>
        <w:fldChar w:fldCharType="begin"/>
      </w:r>
      <w:r>
        <w:instrText xml:space="preserve"> PAGEREF _Toc253404777 \h </w:instrText>
      </w:r>
      <w:r>
        <w:fldChar w:fldCharType="separate"/>
      </w:r>
      <w:r>
        <w:t>4</w:t>
      </w:r>
      <w:r>
        <w:fldChar w:fldCharType="end"/>
      </w:r>
    </w:p>
    <w:p>
      <w:pPr>
        <w:pStyle w:val="TOC2"/>
        <w:tabs>
          <w:tab w:val="right" w:leader="dot" w:pos="7086"/>
        </w:tabs>
        <w:rPr>
          <w:b w:val="0"/>
          <w:sz w:val="24"/>
          <w:szCs w:val="24"/>
        </w:rPr>
      </w:pPr>
      <w:r>
        <w:rPr>
          <w:szCs w:val="28"/>
        </w:rPr>
        <w:t>Schedule 1 — Fees and charges</w:t>
      </w:r>
    </w:p>
    <w:p>
      <w:pPr>
        <w:pStyle w:val="TOC4"/>
        <w:tabs>
          <w:tab w:val="right" w:leader="dot" w:pos="7086"/>
        </w:tabs>
        <w:rPr>
          <w:b w:val="0"/>
          <w:sz w:val="24"/>
          <w:szCs w:val="24"/>
        </w:rPr>
      </w:pPr>
      <w:r>
        <w:rPr>
          <w:szCs w:val="24"/>
        </w:rPr>
        <w:t>Division 1 — Goldfields region</w:t>
      </w:r>
    </w:p>
    <w:p>
      <w:pPr>
        <w:pStyle w:val="TOC8"/>
        <w:rPr>
          <w:sz w:val="24"/>
          <w:szCs w:val="24"/>
        </w:rPr>
      </w:pPr>
      <w:r>
        <w:rPr>
          <w:szCs w:val="22"/>
        </w:rPr>
        <w:tab/>
        <w:t>Brief description</w:t>
      </w:r>
      <w:r>
        <w:tab/>
      </w:r>
      <w:r>
        <w:fldChar w:fldCharType="begin"/>
      </w:r>
      <w:r>
        <w:instrText xml:space="preserve"> PAGEREF _Toc253404780 \h </w:instrText>
      </w:r>
      <w:r>
        <w:fldChar w:fldCharType="separate"/>
      </w:r>
      <w:r>
        <w:t>5</w:t>
      </w:r>
      <w:r>
        <w:fldChar w:fldCharType="end"/>
      </w:r>
    </w:p>
    <w:p>
      <w:pPr>
        <w:pStyle w:val="TOC8"/>
        <w:rPr>
          <w:sz w:val="24"/>
          <w:szCs w:val="24"/>
        </w:rPr>
      </w:pPr>
      <w:r>
        <w:rPr>
          <w:szCs w:val="22"/>
        </w:rPr>
        <w:tab/>
        <w:t>Major towns</w:t>
      </w:r>
      <w:r>
        <w:tab/>
      </w:r>
      <w:r>
        <w:fldChar w:fldCharType="begin"/>
      </w:r>
      <w:r>
        <w:instrText xml:space="preserve"> PAGEREF _Toc253404781 \h </w:instrText>
      </w:r>
      <w:r>
        <w:fldChar w:fldCharType="separate"/>
      </w:r>
      <w:r>
        <w:t>5</w:t>
      </w:r>
      <w:r>
        <w:fldChar w:fldCharType="end"/>
      </w:r>
    </w:p>
    <w:p>
      <w:pPr>
        <w:pStyle w:val="TOC4"/>
        <w:tabs>
          <w:tab w:val="right" w:leader="dot" w:pos="7086"/>
        </w:tabs>
        <w:rPr>
          <w:b w:val="0"/>
          <w:sz w:val="24"/>
          <w:szCs w:val="24"/>
        </w:rPr>
      </w:pPr>
      <w:r>
        <w:rPr>
          <w:szCs w:val="24"/>
        </w:rPr>
        <w:t>Division 2 — Kalbarri region</w:t>
      </w:r>
    </w:p>
    <w:p>
      <w:pPr>
        <w:pStyle w:val="TOC8"/>
        <w:rPr>
          <w:sz w:val="24"/>
          <w:szCs w:val="24"/>
        </w:rPr>
      </w:pPr>
      <w:r>
        <w:rPr>
          <w:szCs w:val="22"/>
        </w:rPr>
        <w:tab/>
        <w:t>Brief description</w:t>
      </w:r>
      <w:r>
        <w:tab/>
      </w:r>
      <w:r>
        <w:fldChar w:fldCharType="begin"/>
      </w:r>
      <w:r>
        <w:instrText xml:space="preserve"> PAGEREF _Toc253404783 \h </w:instrText>
      </w:r>
      <w:r>
        <w:fldChar w:fldCharType="separate"/>
      </w:r>
      <w:r>
        <w:t>7</w:t>
      </w:r>
      <w:r>
        <w:fldChar w:fldCharType="end"/>
      </w:r>
    </w:p>
    <w:p>
      <w:pPr>
        <w:pStyle w:val="TOC8"/>
        <w:rPr>
          <w:sz w:val="24"/>
          <w:szCs w:val="24"/>
        </w:rPr>
      </w:pPr>
      <w:r>
        <w:rPr>
          <w:szCs w:val="22"/>
        </w:rPr>
        <w:tab/>
        <w:t>Town</w:t>
      </w:r>
      <w:r>
        <w:tab/>
      </w:r>
      <w:r>
        <w:fldChar w:fldCharType="begin"/>
      </w:r>
      <w:r>
        <w:instrText xml:space="preserve"> PAGEREF _Toc253404784 \h </w:instrText>
      </w:r>
      <w:r>
        <w:fldChar w:fldCharType="separate"/>
      </w:r>
      <w:r>
        <w:t>7</w:t>
      </w:r>
      <w:r>
        <w:fldChar w:fldCharType="end"/>
      </w:r>
    </w:p>
    <w:p>
      <w:pPr>
        <w:pStyle w:val="TOC4"/>
        <w:tabs>
          <w:tab w:val="right" w:leader="dot" w:pos="7086"/>
        </w:tabs>
        <w:rPr>
          <w:b w:val="0"/>
          <w:sz w:val="24"/>
          <w:szCs w:val="24"/>
        </w:rPr>
      </w:pPr>
      <w:r>
        <w:rPr>
          <w:szCs w:val="24"/>
        </w:rPr>
        <w:t>Division 3 — Kimberley region</w:t>
      </w:r>
    </w:p>
    <w:p>
      <w:pPr>
        <w:pStyle w:val="TOC8"/>
        <w:rPr>
          <w:sz w:val="24"/>
          <w:szCs w:val="24"/>
        </w:rPr>
      </w:pPr>
      <w:r>
        <w:rPr>
          <w:szCs w:val="22"/>
        </w:rPr>
        <w:tab/>
        <w:t>Brief description</w:t>
      </w:r>
      <w:r>
        <w:tab/>
      </w:r>
      <w:r>
        <w:fldChar w:fldCharType="begin"/>
      </w:r>
      <w:r>
        <w:instrText xml:space="preserve"> PAGEREF _Toc253404786 \h </w:instrText>
      </w:r>
      <w:r>
        <w:fldChar w:fldCharType="separate"/>
      </w:r>
      <w:r>
        <w:t>9</w:t>
      </w:r>
      <w:r>
        <w:fldChar w:fldCharType="end"/>
      </w:r>
    </w:p>
    <w:p>
      <w:pPr>
        <w:pStyle w:val="TOC8"/>
        <w:rPr>
          <w:sz w:val="24"/>
          <w:szCs w:val="24"/>
        </w:rPr>
      </w:pPr>
      <w:r>
        <w:rPr>
          <w:szCs w:val="22"/>
        </w:rPr>
        <w:tab/>
        <w:t>Major towns</w:t>
      </w:r>
      <w:r>
        <w:tab/>
      </w:r>
      <w:r>
        <w:fldChar w:fldCharType="begin"/>
      </w:r>
      <w:r>
        <w:instrText xml:space="preserve"> PAGEREF _Toc253404787 \h </w:instrText>
      </w:r>
      <w:r>
        <w:fldChar w:fldCharType="separate"/>
      </w:r>
      <w:r>
        <w:t>9</w:t>
      </w:r>
      <w:r>
        <w:fldChar w:fldCharType="end"/>
      </w:r>
    </w:p>
    <w:p>
      <w:pPr>
        <w:pStyle w:val="TOC4"/>
        <w:tabs>
          <w:tab w:val="right" w:leader="dot" w:pos="7086"/>
        </w:tabs>
        <w:rPr>
          <w:b w:val="0"/>
          <w:sz w:val="24"/>
          <w:szCs w:val="24"/>
        </w:rPr>
      </w:pPr>
      <w:r>
        <w:rPr>
          <w:szCs w:val="24"/>
        </w:rPr>
        <w:t>Division 4 — Mid</w:t>
      </w:r>
      <w:r>
        <w:rPr>
          <w:szCs w:val="24"/>
        </w:rPr>
        <w:noBreakHyphen/>
        <w:t>west region</w:t>
      </w:r>
    </w:p>
    <w:p>
      <w:pPr>
        <w:pStyle w:val="TOC8"/>
        <w:rPr>
          <w:sz w:val="24"/>
          <w:szCs w:val="24"/>
        </w:rPr>
      </w:pPr>
      <w:r>
        <w:rPr>
          <w:szCs w:val="22"/>
        </w:rPr>
        <w:tab/>
        <w:t>Brief description</w:t>
      </w:r>
      <w:r>
        <w:tab/>
      </w:r>
      <w:r>
        <w:fldChar w:fldCharType="begin"/>
      </w:r>
      <w:r>
        <w:instrText xml:space="preserve"> PAGEREF _Toc253404789 \h </w:instrText>
      </w:r>
      <w:r>
        <w:fldChar w:fldCharType="separate"/>
      </w:r>
      <w:r>
        <w:t>11</w:t>
      </w:r>
      <w:r>
        <w:fldChar w:fldCharType="end"/>
      </w:r>
    </w:p>
    <w:p>
      <w:pPr>
        <w:pStyle w:val="TOC8"/>
        <w:rPr>
          <w:sz w:val="24"/>
          <w:szCs w:val="24"/>
        </w:rPr>
      </w:pPr>
      <w:r>
        <w:rPr>
          <w:szCs w:val="22"/>
        </w:rPr>
        <w:tab/>
        <w:t>Major towns/cities</w:t>
      </w:r>
      <w:r>
        <w:tab/>
      </w:r>
      <w:r>
        <w:fldChar w:fldCharType="begin"/>
      </w:r>
      <w:r>
        <w:instrText xml:space="preserve"> PAGEREF _Toc253404790 \h </w:instrText>
      </w:r>
      <w:r>
        <w:fldChar w:fldCharType="separate"/>
      </w:r>
      <w:r>
        <w:t>11</w:t>
      </w:r>
      <w:r>
        <w:fldChar w:fldCharType="end"/>
      </w:r>
    </w:p>
    <w:p>
      <w:pPr>
        <w:pStyle w:val="TOC4"/>
        <w:tabs>
          <w:tab w:val="right" w:leader="dot" w:pos="7086"/>
        </w:tabs>
        <w:rPr>
          <w:b w:val="0"/>
          <w:sz w:val="24"/>
          <w:szCs w:val="24"/>
        </w:rPr>
      </w:pPr>
      <w:r>
        <w:rPr>
          <w:szCs w:val="24"/>
        </w:rPr>
        <w:t>Division 5 — Pilbara region</w:t>
      </w:r>
    </w:p>
    <w:p>
      <w:pPr>
        <w:pStyle w:val="TOC8"/>
        <w:rPr>
          <w:sz w:val="24"/>
          <w:szCs w:val="24"/>
        </w:rPr>
      </w:pPr>
      <w:r>
        <w:rPr>
          <w:szCs w:val="22"/>
        </w:rPr>
        <w:tab/>
        <w:t>Brief description</w:t>
      </w:r>
      <w:r>
        <w:tab/>
      </w:r>
      <w:r>
        <w:fldChar w:fldCharType="begin"/>
      </w:r>
      <w:r>
        <w:instrText xml:space="preserve"> PAGEREF _Toc253404792 \h </w:instrText>
      </w:r>
      <w:r>
        <w:fldChar w:fldCharType="separate"/>
      </w:r>
      <w:r>
        <w:t>13</w:t>
      </w:r>
      <w:r>
        <w:fldChar w:fldCharType="end"/>
      </w:r>
    </w:p>
    <w:p>
      <w:pPr>
        <w:pStyle w:val="TOC8"/>
        <w:rPr>
          <w:sz w:val="24"/>
          <w:szCs w:val="24"/>
        </w:rPr>
      </w:pPr>
      <w:r>
        <w:rPr>
          <w:szCs w:val="22"/>
        </w:rPr>
        <w:tab/>
        <w:t>Major towns</w:t>
      </w:r>
      <w:r>
        <w:tab/>
      </w:r>
      <w:r>
        <w:fldChar w:fldCharType="begin"/>
      </w:r>
      <w:r>
        <w:instrText xml:space="preserve"> PAGEREF _Toc253404793 \h </w:instrText>
      </w:r>
      <w:r>
        <w:fldChar w:fldCharType="separate"/>
      </w:r>
      <w:r>
        <w:t>13</w:t>
      </w:r>
      <w:r>
        <w:fldChar w:fldCharType="end"/>
      </w:r>
    </w:p>
    <w:p>
      <w:pPr>
        <w:pStyle w:val="TOC4"/>
        <w:tabs>
          <w:tab w:val="right" w:leader="dot" w:pos="7086"/>
        </w:tabs>
        <w:rPr>
          <w:b w:val="0"/>
          <w:sz w:val="24"/>
          <w:szCs w:val="24"/>
        </w:rPr>
      </w:pPr>
      <w:r>
        <w:rPr>
          <w:szCs w:val="24"/>
        </w:rPr>
        <w:t>Division 6 — South</w:t>
      </w:r>
      <w:r>
        <w:rPr>
          <w:szCs w:val="24"/>
        </w:rPr>
        <w:noBreakHyphen/>
        <w:t>west region</w:t>
      </w:r>
    </w:p>
    <w:p>
      <w:pPr>
        <w:pStyle w:val="TOC8"/>
        <w:rPr>
          <w:sz w:val="24"/>
          <w:szCs w:val="24"/>
        </w:rPr>
      </w:pPr>
      <w:r>
        <w:rPr>
          <w:szCs w:val="22"/>
        </w:rPr>
        <w:tab/>
        <w:t>Brief description</w:t>
      </w:r>
      <w:r>
        <w:tab/>
      </w:r>
      <w:r>
        <w:fldChar w:fldCharType="begin"/>
      </w:r>
      <w:r>
        <w:instrText xml:space="preserve"> PAGEREF _Toc253404795 \h </w:instrText>
      </w:r>
      <w:r>
        <w:fldChar w:fldCharType="separate"/>
      </w:r>
      <w:r>
        <w:t>15</w:t>
      </w:r>
      <w:r>
        <w:fldChar w:fldCharType="end"/>
      </w:r>
    </w:p>
    <w:p>
      <w:pPr>
        <w:pStyle w:val="TOC8"/>
        <w:rPr>
          <w:sz w:val="24"/>
          <w:szCs w:val="24"/>
        </w:rPr>
      </w:pPr>
      <w:r>
        <w:rPr>
          <w:szCs w:val="22"/>
        </w:rPr>
        <w:tab/>
        <w:t>Major towns/cities</w:t>
      </w:r>
      <w:r>
        <w:tab/>
      </w:r>
      <w:r>
        <w:fldChar w:fldCharType="begin"/>
      </w:r>
      <w:r>
        <w:instrText xml:space="preserve"> PAGEREF _Toc253404796 \h </w:instrText>
      </w:r>
      <w:r>
        <w:fldChar w:fldCharType="separate"/>
      </w:r>
      <w:r>
        <w:t>16</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Modified penalties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Forms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_Toc253404800 \h </w:instrText>
      </w:r>
      <w:r>
        <w:fldChar w:fldCharType="separate"/>
      </w:r>
      <w:r>
        <w:t>24</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w:t>
            </w:r>
            <w:r>
              <w:rPr>
                <w:b/>
                <w:snapToGrid w:val="0"/>
                <w:sz w:val="22"/>
              </w:rPr>
              <w:t xml:space="preserve"> February 2009</w:t>
            </w:r>
          </w:p>
        </w:tc>
      </w:tr>
    </w:tbl>
    <w:p>
      <w:pPr>
        <w:pStyle w:val="WA"/>
        <w:spacing w:before="120"/>
      </w:pPr>
      <w:r>
        <w:t>Western Australia</w:t>
      </w:r>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1" w:name="_Toc478882649"/>
      <w:bookmarkStart w:id="2" w:name="_Toc480602757"/>
      <w:bookmarkStart w:id="3" w:name="_Toc28498280"/>
      <w:bookmarkStart w:id="4" w:name="_Toc28498416"/>
      <w:bookmarkStart w:id="5" w:name="_Toc121125105"/>
      <w:bookmarkStart w:id="6" w:name="_Toc185925016"/>
      <w:bookmarkStart w:id="7" w:name="_Toc253404768"/>
      <w:r>
        <w:rPr>
          <w:rStyle w:val="CharSectno"/>
        </w:rPr>
        <w:t>1</w:t>
      </w:r>
      <w:r>
        <w:rPr>
          <w:snapToGrid w:val="0"/>
        </w:rPr>
        <w:t>.</w:t>
      </w:r>
      <w:r>
        <w:rPr>
          <w:snapToGrid w:val="0"/>
        </w:rPr>
        <w:tab/>
        <w:t>Citation</w:t>
      </w:r>
      <w:bookmarkEnd w:id="1"/>
      <w:bookmarkEnd w:id="2"/>
      <w:bookmarkEnd w:id="3"/>
      <w:bookmarkEnd w:id="4"/>
      <w:bookmarkEnd w:id="5"/>
      <w:bookmarkEnd w:id="6"/>
      <w:bookmarkEnd w:id="7"/>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8" w:name="_Toc478882650"/>
      <w:bookmarkStart w:id="9" w:name="_Toc480602758"/>
      <w:bookmarkStart w:id="10" w:name="_Toc28498281"/>
      <w:bookmarkStart w:id="11" w:name="_Toc28498417"/>
      <w:bookmarkStart w:id="12" w:name="_Toc121125106"/>
      <w:bookmarkStart w:id="13" w:name="_Toc185925017"/>
      <w:bookmarkStart w:id="14" w:name="_Toc253404769"/>
      <w:r>
        <w:rPr>
          <w:rStyle w:val="CharSectno"/>
        </w:rPr>
        <w:t>2</w:t>
      </w:r>
      <w:r>
        <w:rPr>
          <w:snapToGrid w:val="0"/>
        </w:rPr>
        <w:t>.</w:t>
      </w:r>
      <w:r>
        <w:rPr>
          <w:snapToGrid w:val="0"/>
        </w:rPr>
        <w:tab/>
        <w:t>Commencement</w:t>
      </w:r>
      <w:bookmarkEnd w:id="8"/>
      <w:bookmarkEnd w:id="9"/>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5" w:name="_Toc121125107"/>
      <w:bookmarkStart w:id="16" w:name="_Toc185925018"/>
      <w:bookmarkStart w:id="17" w:name="_Toc253404770"/>
      <w:bookmarkStart w:id="18" w:name="_Toc478882651"/>
      <w:bookmarkStart w:id="19" w:name="_Toc480602759"/>
      <w:bookmarkStart w:id="20" w:name="_Toc28498282"/>
      <w:bookmarkStart w:id="21" w:name="_Toc28498418"/>
      <w:r>
        <w:rPr>
          <w:rStyle w:val="CharSectno"/>
        </w:rPr>
        <w:t>2A</w:t>
      </w:r>
      <w:r>
        <w:t>.</w:t>
      </w:r>
      <w:r>
        <w:tab/>
        <w:t>Terms used</w:t>
      </w:r>
      <w:bookmarkEnd w:id="15"/>
      <w:bookmarkEnd w:id="16"/>
      <w:bookmarkEnd w:id="17"/>
    </w:p>
    <w:p>
      <w:pPr>
        <w:pStyle w:val="Subsection"/>
      </w:pPr>
      <w:r>
        <w:tab/>
      </w:r>
      <w:r>
        <w:tab/>
        <w:t xml:space="preserve">In these regulations, unless the contrary intention appears —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w:t>
      </w:r>
      <w:r>
        <w:noBreakHyphen/>
        <w:t>4.]</w:t>
      </w:r>
    </w:p>
    <w:p>
      <w:pPr>
        <w:pStyle w:val="Heading5"/>
        <w:rPr>
          <w:snapToGrid w:val="0"/>
        </w:rPr>
      </w:pPr>
      <w:bookmarkStart w:id="22" w:name="_Toc121125108"/>
      <w:bookmarkStart w:id="23" w:name="_Toc185925019"/>
      <w:bookmarkStart w:id="24" w:name="_Toc253404771"/>
      <w:r>
        <w:rPr>
          <w:rStyle w:val="CharSectno"/>
        </w:rPr>
        <w:t>3</w:t>
      </w:r>
      <w:r>
        <w:rPr>
          <w:snapToGrid w:val="0"/>
        </w:rPr>
        <w:t>.</w:t>
      </w:r>
      <w:r>
        <w:rPr>
          <w:snapToGrid w:val="0"/>
        </w:rPr>
        <w:tab/>
        <w:t>Fares and charges</w:t>
      </w:r>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rStyle w:val="CharDefText"/>
        </w:rPr>
        <w:t>a 30 km radius</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25" w:name="_Toc478882652"/>
      <w:bookmarkStart w:id="26" w:name="_Toc480602760"/>
      <w:bookmarkStart w:id="27" w:name="_Toc28498283"/>
      <w:bookmarkStart w:id="28" w:name="_Toc28498419"/>
      <w:bookmarkStart w:id="29" w:name="_Toc121125109"/>
      <w:bookmarkStart w:id="30" w:name="_Toc185925020"/>
      <w:bookmarkStart w:id="31" w:name="_Toc253404772"/>
      <w:r>
        <w:rPr>
          <w:rStyle w:val="CharSectno"/>
        </w:rPr>
        <w:t>4</w:t>
      </w:r>
      <w:r>
        <w:rPr>
          <w:snapToGrid w:val="0"/>
        </w:rPr>
        <w:t>.</w:t>
      </w:r>
      <w:r>
        <w:rPr>
          <w:snapToGrid w:val="0"/>
        </w:rPr>
        <w:tab/>
        <w:t>Evasion of fares and charges</w:t>
      </w:r>
      <w:bookmarkEnd w:id="25"/>
      <w:bookmarkEnd w:id="26"/>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32" w:name="_Toc478882653"/>
      <w:bookmarkStart w:id="33" w:name="_Toc480602761"/>
      <w:bookmarkStart w:id="34" w:name="_Toc28498284"/>
      <w:bookmarkStart w:id="35" w:name="_Toc28498420"/>
      <w:r>
        <w:tab/>
        <w:t>[Regulation 4 amended in Gazette 24 December 2002 p. 6605.]</w:t>
      </w:r>
    </w:p>
    <w:p>
      <w:pPr>
        <w:pStyle w:val="Heading5"/>
      </w:pPr>
      <w:bookmarkStart w:id="36" w:name="_Toc185925021"/>
      <w:bookmarkStart w:id="37" w:name="_Toc253404773"/>
      <w:bookmarkStart w:id="38" w:name="_Toc121125110"/>
      <w:r>
        <w:rPr>
          <w:rStyle w:val="CharSectno"/>
        </w:rPr>
        <w:t>4A</w:t>
      </w:r>
      <w:r>
        <w:t>.</w:t>
      </w:r>
      <w:r>
        <w:tab/>
        <w:t>Driver may require a deposit</w:t>
      </w:r>
      <w:bookmarkEnd w:id="36"/>
      <w:bookmarkEnd w:id="37"/>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39" w:name="_Toc185925022"/>
      <w:bookmarkStart w:id="40" w:name="_Toc253404774"/>
      <w:r>
        <w:rPr>
          <w:rStyle w:val="CharSectno"/>
        </w:rPr>
        <w:t>5</w:t>
      </w:r>
      <w:r>
        <w:rPr>
          <w:snapToGrid w:val="0"/>
        </w:rPr>
        <w:t>.</w:t>
      </w:r>
      <w:r>
        <w:rPr>
          <w:snapToGrid w:val="0"/>
        </w:rPr>
        <w:tab/>
        <w:t>Separate fares</w:t>
      </w:r>
      <w:bookmarkEnd w:id="32"/>
      <w:bookmarkEnd w:id="33"/>
      <w:bookmarkEnd w:id="34"/>
      <w:bookmarkEnd w:id="35"/>
      <w:bookmarkEnd w:id="38"/>
      <w:bookmarkEnd w:id="39"/>
      <w:bookmarkEnd w:id="40"/>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41" w:name="_Toc478882654"/>
      <w:bookmarkStart w:id="42" w:name="_Toc480602762"/>
      <w:bookmarkStart w:id="43" w:name="_Toc28498285"/>
      <w:bookmarkStart w:id="44" w:name="_Toc28498421"/>
      <w:bookmarkStart w:id="45" w:name="_Toc121125111"/>
      <w:bookmarkStart w:id="46" w:name="_Toc185925023"/>
      <w:bookmarkStart w:id="47" w:name="_Toc253404775"/>
      <w:r>
        <w:rPr>
          <w:rStyle w:val="CharSectno"/>
        </w:rPr>
        <w:t>6</w:t>
      </w:r>
      <w:r>
        <w:rPr>
          <w:snapToGrid w:val="0"/>
        </w:rPr>
        <w:t>.</w:t>
      </w:r>
      <w:r>
        <w:rPr>
          <w:snapToGrid w:val="0"/>
        </w:rPr>
        <w:tab/>
        <w:t>Fare schedule card</w:t>
      </w:r>
      <w:bookmarkEnd w:id="41"/>
      <w:bookmarkEnd w:id="42"/>
      <w:bookmarkEnd w:id="43"/>
      <w:bookmarkEnd w:id="44"/>
      <w:bookmarkEnd w:id="45"/>
      <w:bookmarkEnd w:id="46"/>
      <w:bookmarkEnd w:id="47"/>
      <w:r>
        <w:rPr>
          <w:snapToGrid w:val="0"/>
        </w:rPr>
        <w:t xml:space="preserve"> </w:t>
      </w:r>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48" w:name="_Toc478882655"/>
      <w:bookmarkStart w:id="49" w:name="_Toc480602763"/>
      <w:bookmarkStart w:id="50" w:name="_Toc28498286"/>
      <w:bookmarkStart w:id="51" w:name="_Toc28498422"/>
      <w:bookmarkStart w:id="52" w:name="_Toc121125112"/>
      <w:bookmarkStart w:id="53" w:name="_Toc185925024"/>
      <w:bookmarkStart w:id="54" w:name="_Toc253404776"/>
      <w:r>
        <w:rPr>
          <w:rStyle w:val="CharSectno"/>
        </w:rPr>
        <w:t>7</w:t>
      </w:r>
      <w:r>
        <w:rPr>
          <w:snapToGrid w:val="0"/>
        </w:rPr>
        <w:t>.</w:t>
      </w:r>
      <w:r>
        <w:rPr>
          <w:snapToGrid w:val="0"/>
        </w:rPr>
        <w:tab/>
        <w:t>Offences</w:t>
      </w:r>
      <w:bookmarkEnd w:id="48"/>
      <w:bookmarkEnd w:id="49"/>
      <w:bookmarkEnd w:id="50"/>
      <w:bookmarkEnd w:id="51"/>
      <w:bookmarkEnd w:id="52"/>
      <w:bookmarkEnd w:id="53"/>
      <w:bookmarkEnd w:id="54"/>
      <w:r>
        <w:rPr>
          <w:snapToGrid w:val="0"/>
        </w:rPr>
        <w:t xml:space="preserve"> </w:t>
      </w:r>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55" w:name="_Toc185925025"/>
      <w:bookmarkStart w:id="56" w:name="_Toc253404777"/>
      <w:bookmarkStart w:id="57" w:name="_Toc478882656"/>
      <w:bookmarkStart w:id="58" w:name="_Toc480602764"/>
      <w:bookmarkStart w:id="59" w:name="_Toc28498287"/>
      <w:bookmarkStart w:id="60" w:name="_Toc28498423"/>
      <w:bookmarkStart w:id="61" w:name="_Toc121125113"/>
      <w:r>
        <w:rPr>
          <w:rStyle w:val="CharSectno"/>
        </w:rPr>
        <w:t>7A</w:t>
      </w:r>
      <w:r>
        <w:t>.</w:t>
      </w:r>
      <w:r>
        <w:tab/>
        <w:t>Infringement notices and modified penalties</w:t>
      </w:r>
      <w:bookmarkEnd w:id="55"/>
      <w:bookmarkEnd w:id="56"/>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bookmarkEnd w:id="57"/>
    <w:bookmarkEnd w:id="58"/>
    <w:bookmarkEnd w:id="59"/>
    <w:bookmarkEnd w:id="60"/>
    <w:bookmarkEnd w:id="61"/>
    <w:p>
      <w:pPr>
        <w:pStyle w:val="Footnotesection"/>
      </w:pPr>
      <w:r>
        <w:t>[</w:t>
      </w:r>
      <w:r>
        <w:rPr>
          <w:b/>
          <w:bCs/>
        </w:rPr>
        <w:t>8.</w:t>
      </w:r>
      <w:r>
        <w:tab/>
        <w:t>Omitted under the Reprints Act 1984 s. 7(4)(f).]</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62" w:name="_Toc185925027"/>
      <w:bookmarkStart w:id="63" w:name="_Toc205264000"/>
      <w:bookmarkStart w:id="64" w:name="_Toc205268129"/>
      <w:bookmarkStart w:id="65" w:name="_Toc217356679"/>
      <w:bookmarkStart w:id="66" w:name="_Toc219092322"/>
      <w:bookmarkStart w:id="67" w:name="_Toc219092987"/>
      <w:bookmarkStart w:id="68" w:name="_Toc221421976"/>
      <w:bookmarkStart w:id="69" w:name="_Toc221443518"/>
      <w:bookmarkStart w:id="70" w:name="_Toc221936219"/>
      <w:bookmarkStart w:id="71" w:name="_Toc253404778"/>
      <w:bookmarkStart w:id="72" w:name="_Toc140635263"/>
      <w:bookmarkStart w:id="73" w:name="_Toc153266593"/>
      <w:r>
        <w:rPr>
          <w:rStyle w:val="CharSchNo"/>
        </w:rPr>
        <w:t>Schedule 1</w:t>
      </w:r>
      <w:r>
        <w:t> — </w:t>
      </w:r>
      <w:r>
        <w:rPr>
          <w:rStyle w:val="CharSchText"/>
        </w:rPr>
        <w:t>Fees and charges</w:t>
      </w:r>
      <w:bookmarkEnd w:id="62"/>
      <w:bookmarkEnd w:id="63"/>
      <w:bookmarkEnd w:id="64"/>
      <w:bookmarkEnd w:id="65"/>
      <w:bookmarkEnd w:id="66"/>
      <w:bookmarkEnd w:id="67"/>
      <w:bookmarkEnd w:id="68"/>
      <w:bookmarkEnd w:id="69"/>
      <w:bookmarkEnd w:id="70"/>
      <w:bookmarkEnd w:id="71"/>
    </w:p>
    <w:p>
      <w:pPr>
        <w:pStyle w:val="yShoulderClause"/>
      </w:pPr>
      <w:r>
        <w:t>[r. 3]</w:t>
      </w:r>
    </w:p>
    <w:p>
      <w:pPr>
        <w:pStyle w:val="yFootnoteheading"/>
      </w:pPr>
      <w:r>
        <w:tab/>
        <w:t>[Heading inserted in Gazette 21 Dec 2007 p. 6330.]</w:t>
      </w:r>
    </w:p>
    <w:p>
      <w:pPr>
        <w:pStyle w:val="yHeading3"/>
      </w:pPr>
      <w:bookmarkStart w:id="74" w:name="_Toc253404779"/>
      <w:r>
        <w:rPr>
          <w:rStyle w:val="CharSDivNo"/>
        </w:rPr>
        <w:t>Division 1</w:t>
      </w:r>
      <w:r>
        <w:t> — </w:t>
      </w:r>
      <w:r>
        <w:rPr>
          <w:rStyle w:val="CharSDivText"/>
        </w:rPr>
        <w:t>Goldfields region</w:t>
      </w:r>
      <w:bookmarkEnd w:id="74"/>
    </w:p>
    <w:p>
      <w:pPr>
        <w:pStyle w:val="yFootnoteheading"/>
      </w:pPr>
      <w:r>
        <w:tab/>
        <w:t>[Heading inserted in Gazette 9 Feb 2010 p. 272.]</w:t>
      </w:r>
    </w:p>
    <w:p>
      <w:pPr>
        <w:pStyle w:val="yHeading5"/>
      </w:pPr>
      <w:bookmarkStart w:id="75" w:name="_Toc253404780"/>
      <w:r>
        <w:tab/>
        <w:t>Brief description</w:t>
      </w:r>
      <w:bookmarkEnd w:id="75"/>
    </w:p>
    <w:p>
      <w:pPr>
        <w:pStyle w:val="ySubsection"/>
      </w:pPr>
      <w:r>
        <w:tab/>
      </w:r>
      <w:r>
        <w:tab/>
        <w:t>Includes all towns south of the Mid</w:t>
      </w:r>
      <w:r>
        <w:noBreakHyphen/>
        <w:t>west region’s southern border, other than the Metropolitan area and the South</w:t>
      </w:r>
      <w:r>
        <w:noBreakHyphen/>
        <w:t>west region.  The western border abuts the eastern edge of the Metropolitan taxi area, then curves east above Narrogin towards Norseman, and then turns south to midway between Albany and Esperance (</w:t>
      </w:r>
      <w:r>
        <w:rPr>
          <w:iCs/>
        </w:rPr>
        <w:t>see map</w:t>
      </w:r>
      <w:r>
        <w:t>).</w:t>
      </w:r>
    </w:p>
    <w:p>
      <w:pPr>
        <w:pStyle w:val="yHeading5"/>
      </w:pPr>
      <w:bookmarkStart w:id="76" w:name="_Toc253404781"/>
      <w:r>
        <w:tab/>
        <w:t>Major towns</w:t>
      </w:r>
      <w:bookmarkEnd w:id="76"/>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t>Kalgoorlie &amp; Boulder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York — (Shire of York)</w:t>
      </w:r>
    </w:p>
    <w:p>
      <w:pPr>
        <w:pStyle w:val="yMiscellaneousHeading"/>
        <w:rPr>
          <w:b/>
          <w:bCs/>
        </w:rPr>
      </w:pPr>
      <w:r>
        <w:rPr>
          <w:b/>
          <w:bCs/>
        </w:rP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jc w:val="center"/>
              <w:rPr>
                <w:b/>
                <w:bCs/>
              </w:rPr>
            </w:pPr>
            <w:r>
              <w:rPr>
                <w:b/>
                <w:bCs/>
              </w:rPr>
              <w:t>Fla</w:t>
            </w:r>
            <w:bookmarkStart w:id="77" w:name="UpToHere"/>
            <w:bookmarkEnd w:id="77"/>
            <w:r>
              <w:rPr>
                <w:b/>
                <w:bCs/>
              </w:rPr>
              <w:t>gfall</w:t>
            </w:r>
          </w:p>
        </w:tc>
        <w:tc>
          <w:tcPr>
            <w:tcW w:w="1551" w:type="dxa"/>
            <w:tcBorders>
              <w:top w:val="single" w:sz="4" w:space="0" w:color="auto"/>
              <w:bottom w:val="single" w:sz="4" w:space="0" w:color="auto"/>
            </w:tcBorders>
          </w:tcPr>
          <w:p>
            <w:pPr>
              <w:pStyle w:val="yTableNAm"/>
              <w:jc w:val="center"/>
              <w:rPr>
                <w:b/>
                <w:bCs/>
              </w:rPr>
            </w:pPr>
            <w:r>
              <w:rPr>
                <w:b/>
                <w:bCs/>
              </w:rPr>
              <w:t>Distance rate</w:t>
            </w:r>
          </w:p>
        </w:tc>
        <w:tc>
          <w:tcPr>
            <w:tcW w:w="1426" w:type="dxa"/>
            <w:tcBorders>
              <w:top w:val="single" w:sz="4" w:space="0" w:color="auto"/>
              <w:bottom w:val="single" w:sz="4" w:space="0" w:color="auto"/>
            </w:tcBorders>
          </w:tcPr>
          <w:p>
            <w:pPr>
              <w:pStyle w:val="yTableNAm"/>
              <w:jc w:val="center"/>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$3.60</w:t>
            </w:r>
          </w:p>
        </w:tc>
        <w:tc>
          <w:tcPr>
            <w:tcW w:w="1551" w:type="dxa"/>
            <w:tcBorders>
              <w:top w:val="single" w:sz="4" w:space="0" w:color="auto"/>
            </w:tcBorders>
          </w:tcPr>
          <w:p>
            <w:pPr>
              <w:pStyle w:val="yTableNAm"/>
            </w:pPr>
          </w:p>
          <w:p>
            <w:pPr>
              <w:pStyle w:val="yTableNAm"/>
            </w:pPr>
            <w:r>
              <w:br/>
              <w:t>$1.52/km</w:t>
            </w:r>
          </w:p>
        </w:tc>
        <w:tc>
          <w:tcPr>
            <w:tcW w:w="1426" w:type="dxa"/>
            <w:tcBorders>
              <w:top w:val="single" w:sz="4" w:space="0" w:color="auto"/>
            </w:tcBorders>
          </w:tcPr>
          <w:p>
            <w:pPr>
              <w:pStyle w:val="yTableNAm"/>
            </w:pPr>
          </w:p>
          <w:p>
            <w:pPr>
              <w:pStyle w:val="yTableNAm"/>
            </w:pPr>
            <w:r>
              <w:br/>
              <w:t>$42.55/hour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r>
              <w:br/>
            </w:r>
          </w:p>
          <w:p>
            <w:pPr>
              <w:pStyle w:val="yTableNAm"/>
            </w:pPr>
            <w:r>
              <w:t>$5.30</w:t>
            </w:r>
          </w:p>
        </w:tc>
        <w:tc>
          <w:tcPr>
            <w:tcW w:w="1551" w:type="dxa"/>
          </w:tcPr>
          <w:p>
            <w:pPr>
              <w:pStyle w:val="yTableNAm"/>
            </w:pPr>
          </w:p>
          <w:p>
            <w:pPr>
              <w:pStyle w:val="yTableNAm"/>
            </w:pPr>
            <w:r>
              <w:br/>
            </w:r>
          </w:p>
          <w:p>
            <w:pPr>
              <w:pStyle w:val="yTableNAm"/>
            </w:pPr>
            <w:r>
              <w:br/>
            </w:r>
            <w:r>
              <w:br/>
            </w:r>
          </w:p>
          <w:p>
            <w:pPr>
              <w:pStyle w:val="yTableNAm"/>
            </w:pPr>
            <w:r>
              <w:t>$1.52/km</w:t>
            </w:r>
          </w:p>
        </w:tc>
        <w:tc>
          <w:tcPr>
            <w:tcW w:w="1426" w:type="dxa"/>
          </w:tcPr>
          <w:p>
            <w:pPr>
              <w:pStyle w:val="yTableNAm"/>
            </w:pPr>
          </w:p>
          <w:p>
            <w:pPr>
              <w:pStyle w:val="yTableNAm"/>
            </w:pPr>
            <w:r>
              <w:br/>
            </w:r>
          </w:p>
          <w:p>
            <w:pPr>
              <w:pStyle w:val="yTableNAm"/>
            </w:pPr>
            <w:r>
              <w:br/>
            </w:r>
            <w:r>
              <w:br/>
            </w:r>
          </w:p>
          <w:p>
            <w:pPr>
              <w:pStyle w:val="yTableNAm"/>
            </w:pPr>
            <w:r>
              <w:t>$42.55/hour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$5.30</w:t>
            </w:r>
          </w:p>
        </w:tc>
        <w:tc>
          <w:tcPr>
            <w:tcW w:w="1551" w:type="dxa"/>
            <w:tcBorders>
              <w:bottom w:val="single" w:sz="4" w:space="0" w:color="auto"/>
            </w:tcBorders>
          </w:tcPr>
          <w:p>
            <w:pPr>
              <w:pStyle w:val="yTableNAm"/>
            </w:pPr>
          </w:p>
          <w:p>
            <w:pPr>
              <w:pStyle w:val="yTableNAm"/>
            </w:pPr>
            <w:r>
              <w:br/>
            </w:r>
            <w:r>
              <w:br/>
            </w:r>
            <w:r>
              <w:br/>
            </w:r>
            <w:r>
              <w:br/>
            </w:r>
            <w:r>
              <w:br/>
            </w:r>
            <w:r>
              <w:br/>
              <w:t>$2.19/km</w:t>
            </w:r>
          </w:p>
        </w:tc>
        <w:tc>
          <w:tcPr>
            <w:tcW w:w="1426" w:type="dxa"/>
            <w:tcBorders>
              <w:bottom w:val="single" w:sz="4" w:space="0" w:color="auto"/>
            </w:tcBorders>
          </w:tcPr>
          <w:p>
            <w:pPr>
              <w:pStyle w:val="yTableNAm"/>
            </w:pPr>
          </w:p>
          <w:p>
            <w:pPr>
              <w:pStyle w:val="yTableNAm"/>
            </w:pPr>
            <w:r>
              <w:br/>
            </w:r>
            <w:r>
              <w:br/>
            </w:r>
            <w:r>
              <w:br/>
            </w:r>
            <w:r>
              <w:br/>
            </w:r>
            <w:r>
              <w:br/>
            </w:r>
            <w:r>
              <w:br/>
              <w:t>$65.95/hour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$0.98/km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$1.44/km</w:t>
            </w:r>
          </w:p>
        </w:tc>
      </w:tr>
    </w:tbl>
    <w:p>
      <w:pPr>
        <w:pStyle w:val="yMiscellaneousHeading"/>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NAm"/>
              <w:rPr>
                <w:b/>
                <w:bCs/>
              </w:rPr>
            </w:pPr>
            <w:r>
              <w:rPr>
                <w:b/>
                <w:bCs/>
              </w:rPr>
              <w:t>Cleaning</w:t>
            </w:r>
          </w:p>
          <w:p>
            <w:pPr>
              <w:pStyle w:val="yTableNAm"/>
              <w:tabs>
                <w:tab w:val="clear" w:pos="567"/>
                <w:tab w:val="left" w:pos="263"/>
              </w:tabs>
              <w:ind w:left="263" w:hanging="263"/>
            </w:pPr>
            <w:r>
              <w:tab/>
              <w:t>(when soiled during hiring — for time required to clean)</w:t>
            </w:r>
          </w:p>
        </w:tc>
        <w:tc>
          <w:tcPr>
            <w:tcW w:w="1984" w:type="dxa"/>
          </w:tcPr>
          <w:p>
            <w:pPr>
              <w:pStyle w:val="yTableNAm"/>
            </w:pPr>
          </w:p>
          <w:p>
            <w:pPr>
              <w:pStyle w:val="yTableNAm"/>
            </w:pPr>
            <w:r>
              <w:br/>
              <w:t>$42.55/hour</w:t>
            </w:r>
          </w:p>
        </w:tc>
      </w:tr>
      <w:tr>
        <w:tc>
          <w:tcPr>
            <w:tcW w:w="4253" w:type="dxa"/>
          </w:tcPr>
          <w:p>
            <w:pPr>
              <w:pStyle w:val="yTableNAm"/>
              <w:rPr>
                <w:b/>
                <w:bCs/>
              </w:rPr>
            </w:pPr>
            <w:r>
              <w:rPr>
                <w:b/>
                <w:bCs/>
              </w:rPr>
              <w:t>Call out fee</w:t>
            </w:r>
          </w:p>
        </w:tc>
        <w:tc>
          <w:tcPr>
            <w:tcW w:w="1984" w:type="dxa"/>
          </w:tcPr>
          <w:p>
            <w:pPr>
              <w:pStyle w:val="yTableNAm"/>
            </w:pPr>
            <w:r>
              <w:t>$1.50</w:t>
            </w:r>
          </w:p>
        </w:tc>
      </w:tr>
      <w:tr>
        <w:trPr>
          <w:tblHeader/>
        </w:trPr>
        <w:tc>
          <w:tcPr>
            <w:tcW w:w="4253" w:type="dxa"/>
          </w:tcPr>
          <w:p>
            <w:pPr>
              <w:pStyle w:val="yTableNAm"/>
            </w:pPr>
            <w:r>
              <w:rPr>
                <w:b/>
                <w:bCs/>
              </w:rPr>
              <w:t>Surcharge</w:t>
            </w:r>
            <w:r>
              <w:t>s</w:t>
            </w:r>
          </w:p>
        </w:tc>
        <w:tc>
          <w:tcPr>
            <w:tcW w:w="1984" w:type="dxa"/>
          </w:tcPr>
          <w:p>
            <w:pPr>
              <w:pStyle w:val="yTableNAm"/>
            </w:pPr>
          </w:p>
        </w:tc>
      </w:tr>
      <w:tr>
        <w:trPr>
          <w:cantSplit/>
        </w:trPr>
        <w:tc>
          <w:tcPr>
            <w:tcW w:w="4253"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984" w:type="dxa"/>
          </w:tcPr>
          <w:p>
            <w:pPr>
              <w:pStyle w:val="yTableNAm"/>
            </w:pPr>
          </w:p>
          <w:p>
            <w:pPr>
              <w:pStyle w:val="yTableNAm"/>
            </w:pPr>
            <w:r>
              <w:br/>
            </w:r>
            <w:r>
              <w:br/>
              <w:t>$2.00</w:t>
            </w:r>
          </w:p>
        </w:tc>
      </w:tr>
      <w:tr>
        <w:tc>
          <w:tcPr>
            <w:tcW w:w="4253" w:type="dxa"/>
          </w:tcPr>
          <w:p>
            <w:pPr>
              <w:pStyle w:val="yTableNAm"/>
            </w:pPr>
            <w:r>
              <w:t>Christmas Day —</w:t>
            </w:r>
          </w:p>
          <w:p>
            <w:pPr>
              <w:pStyle w:val="yTableNAm"/>
              <w:tabs>
                <w:tab w:val="clear" w:pos="567"/>
                <w:tab w:val="left" w:pos="263"/>
              </w:tabs>
              <w:ind w:left="263" w:hanging="263"/>
            </w:pPr>
            <w:r>
              <w:tab/>
              <w:t>midnight to midnight</w:t>
            </w:r>
          </w:p>
        </w:tc>
        <w:tc>
          <w:tcPr>
            <w:tcW w:w="1984" w:type="dxa"/>
          </w:tcPr>
          <w:p>
            <w:pPr>
              <w:pStyle w:val="yTableNAm"/>
            </w:pPr>
          </w:p>
          <w:p>
            <w:pPr>
              <w:pStyle w:val="yTableNAm"/>
            </w:pPr>
            <w:r>
              <w:t>$4.45</w:t>
            </w:r>
          </w:p>
        </w:tc>
      </w:tr>
      <w:tr>
        <w:trPr>
          <w:cantSplit/>
          <w:trHeight w:val="794"/>
        </w:trPr>
        <w:tc>
          <w:tcPr>
            <w:tcW w:w="4253" w:type="dxa"/>
            <w:tcBorders>
              <w:bottom w:val="single" w:sz="4" w:space="0" w:color="auto"/>
            </w:tcBorders>
          </w:tcPr>
          <w:p>
            <w:pPr>
              <w:pStyle w:val="yTableNAm"/>
            </w:pPr>
            <w:r>
              <w:t>New Year’s Eve —</w:t>
            </w:r>
          </w:p>
          <w:p>
            <w:pPr>
              <w:pStyle w:val="yTableNAm"/>
              <w:tabs>
                <w:tab w:val="clear" w:pos="567"/>
                <w:tab w:val="left" w:pos="263"/>
              </w:tabs>
              <w:ind w:left="263" w:hanging="263"/>
            </w:pPr>
            <w:r>
              <w:tab/>
              <w:t xml:space="preserve">6 p.m. New Year’s Eve </w:t>
            </w:r>
            <w:r>
              <w:br/>
              <w:t>to 6 a.m. New Year’s Day</w:t>
            </w:r>
          </w:p>
        </w:tc>
        <w:tc>
          <w:tcPr>
            <w:tcW w:w="1984" w:type="dxa"/>
            <w:tcBorders>
              <w:bottom w:val="single" w:sz="4" w:space="0" w:color="auto"/>
            </w:tcBorders>
          </w:tcPr>
          <w:p>
            <w:pPr>
              <w:pStyle w:val="yTableNAm"/>
            </w:pPr>
          </w:p>
          <w:p>
            <w:pPr>
              <w:pStyle w:val="yTableNAm"/>
            </w:pPr>
            <w:r>
              <w:br/>
              <w:t>$4.95</w:t>
            </w:r>
          </w:p>
        </w:tc>
      </w:tr>
    </w:tbl>
    <w:p>
      <w:pPr>
        <w:pStyle w:val="yFootnotesection"/>
      </w:pPr>
      <w:r>
        <w:tab/>
        <w:t>[Division 1 inserted in Gazette 9 Feb 2010 p. 272-4.]</w:t>
      </w:r>
    </w:p>
    <w:p>
      <w:pPr>
        <w:pStyle w:val="yHeading3"/>
      </w:pPr>
      <w:bookmarkStart w:id="78" w:name="_Toc253404782"/>
      <w:r>
        <w:rPr>
          <w:rStyle w:val="CharSDivNo"/>
        </w:rPr>
        <w:t>Division 2</w:t>
      </w:r>
      <w:r>
        <w:t> — </w:t>
      </w:r>
      <w:r>
        <w:rPr>
          <w:rStyle w:val="CharSDivText"/>
        </w:rPr>
        <w:t>Kalbarri region</w:t>
      </w:r>
      <w:bookmarkEnd w:id="78"/>
    </w:p>
    <w:p>
      <w:pPr>
        <w:pStyle w:val="yFootnoteheading"/>
      </w:pPr>
      <w:r>
        <w:tab/>
        <w:t>[Heading inserted in Gazette 9 Feb 2010 p. 274.]</w:t>
      </w:r>
    </w:p>
    <w:p>
      <w:pPr>
        <w:pStyle w:val="yHeading5"/>
      </w:pPr>
      <w:bookmarkStart w:id="79" w:name="_Toc253404783"/>
      <w:r>
        <w:tab/>
        <w:t>Brief description</w:t>
      </w:r>
      <w:bookmarkEnd w:id="79"/>
    </w:p>
    <w:p>
      <w:pPr>
        <w:pStyle w:val="ySubsection"/>
      </w:pPr>
      <w:r>
        <w:tab/>
      </w:r>
      <w:r>
        <w:tab/>
        <w:t>The town of Kalbarri and its immediate environs (see map).</w:t>
      </w:r>
    </w:p>
    <w:p>
      <w:pPr>
        <w:pStyle w:val="yHeading5"/>
      </w:pPr>
      <w:bookmarkStart w:id="80" w:name="_Toc253404784"/>
      <w:r>
        <w:tab/>
        <w:t>Town</w:t>
      </w:r>
      <w:bookmarkEnd w:id="80"/>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MiscellaneousHeading"/>
        <w:rPr>
          <w:b/>
          <w:bCs/>
        </w:rPr>
      </w:pPr>
      <w:r>
        <w:rPr>
          <w:b/>
          <w:bCs/>
        </w:rPr>
        <w:t>Metered rates</w:t>
      </w:r>
    </w:p>
    <w:tbl>
      <w:tblPr>
        <w:tblW w:w="6237" w:type="dxa"/>
        <w:tblInd w:w="817" w:type="dxa"/>
        <w:tblLayout w:type="fixed"/>
        <w:tblLook w:val="0000" w:firstRow="0" w:lastRow="0" w:firstColumn="0" w:lastColumn="0" w:noHBand="0" w:noVBand="0"/>
      </w:tblPr>
      <w:tblGrid>
        <w:gridCol w:w="2126"/>
        <w:gridCol w:w="1134"/>
        <w:gridCol w:w="1560"/>
        <w:gridCol w:w="1417"/>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60" w:type="dxa"/>
            <w:tcBorders>
              <w:top w:val="single" w:sz="4" w:space="0" w:color="auto"/>
              <w:bottom w:val="single" w:sz="4" w:space="0" w:color="auto"/>
            </w:tcBorders>
          </w:tcPr>
          <w:p>
            <w:pPr>
              <w:pStyle w:val="yTableNAm"/>
              <w:rPr>
                <w:b/>
                <w:bCs/>
              </w:rPr>
            </w:pPr>
            <w:r>
              <w:rPr>
                <w:b/>
                <w:bCs/>
              </w:rPr>
              <w:t xml:space="preserve">Distance rate </w:t>
            </w:r>
          </w:p>
        </w:tc>
        <w:tc>
          <w:tcPr>
            <w:tcW w:w="1417" w:type="dxa"/>
            <w:tcBorders>
              <w:top w:val="single" w:sz="4" w:space="0" w:color="auto"/>
              <w:bottom w:val="single" w:sz="4" w:space="0" w:color="auto"/>
            </w:tcBorders>
          </w:tcPr>
          <w:p>
            <w:pPr>
              <w:pStyle w:val="yTableNAm"/>
              <w:rPr>
                <w:b/>
                <w:bCs/>
              </w:rPr>
            </w:pPr>
            <w:r>
              <w:rPr>
                <w:b/>
                <w:bCs/>
              </w:rPr>
              <w:t xml:space="preserve">Detention </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$3.60</w:t>
            </w:r>
          </w:p>
        </w:tc>
        <w:tc>
          <w:tcPr>
            <w:tcW w:w="1560" w:type="dxa"/>
            <w:tcBorders>
              <w:top w:val="single" w:sz="4" w:space="0" w:color="auto"/>
            </w:tcBorders>
          </w:tcPr>
          <w:p>
            <w:pPr>
              <w:pStyle w:val="yTableNAm"/>
            </w:pPr>
          </w:p>
          <w:p>
            <w:pPr>
              <w:pStyle w:val="yTableNAm"/>
            </w:pPr>
            <w:r>
              <w:br/>
              <w:t>$1.51/km</w:t>
            </w:r>
          </w:p>
        </w:tc>
        <w:tc>
          <w:tcPr>
            <w:tcW w:w="1417" w:type="dxa"/>
            <w:tcBorders>
              <w:top w:val="single" w:sz="4" w:space="0" w:color="auto"/>
            </w:tcBorders>
          </w:tcPr>
          <w:p>
            <w:pPr>
              <w:pStyle w:val="yTableNAm"/>
            </w:pPr>
          </w:p>
          <w:p>
            <w:pPr>
              <w:pStyle w:val="yTableNAm"/>
            </w:pPr>
            <w:r>
              <w:br/>
              <w:t>$42.55/hour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r>
              <w:br/>
            </w:r>
          </w:p>
          <w:p>
            <w:pPr>
              <w:pStyle w:val="yTableNAm"/>
            </w:pPr>
            <w:r>
              <w:t>$5.30</w:t>
            </w:r>
          </w:p>
        </w:tc>
        <w:tc>
          <w:tcPr>
            <w:tcW w:w="1560" w:type="dxa"/>
          </w:tcPr>
          <w:p>
            <w:pPr>
              <w:pStyle w:val="yTableNAm"/>
            </w:pPr>
          </w:p>
          <w:p>
            <w:pPr>
              <w:pStyle w:val="yTableNAm"/>
            </w:pPr>
            <w:r>
              <w:br/>
            </w:r>
          </w:p>
          <w:p>
            <w:pPr>
              <w:pStyle w:val="yTableNAm"/>
            </w:pPr>
            <w:r>
              <w:br/>
            </w:r>
            <w:r>
              <w:br/>
            </w:r>
          </w:p>
          <w:p>
            <w:pPr>
              <w:pStyle w:val="yTableNAm"/>
            </w:pPr>
            <w:r>
              <w:t>$1.51/km</w:t>
            </w:r>
          </w:p>
        </w:tc>
        <w:tc>
          <w:tcPr>
            <w:tcW w:w="1417" w:type="dxa"/>
          </w:tcPr>
          <w:p>
            <w:pPr>
              <w:pStyle w:val="yTableNAm"/>
            </w:pPr>
          </w:p>
          <w:p>
            <w:pPr>
              <w:pStyle w:val="yTableNAm"/>
            </w:pPr>
            <w:r>
              <w:br/>
            </w:r>
          </w:p>
          <w:p>
            <w:pPr>
              <w:pStyle w:val="yTableNAm"/>
            </w:pPr>
            <w:r>
              <w:br/>
            </w:r>
            <w:r>
              <w:br/>
            </w:r>
          </w:p>
          <w:p>
            <w:pPr>
              <w:pStyle w:val="yTableNAm"/>
            </w:pPr>
            <w:r>
              <w:t>$42.55/hour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$5.30</w:t>
            </w:r>
          </w:p>
        </w:tc>
        <w:tc>
          <w:tcPr>
            <w:tcW w:w="1560" w:type="dxa"/>
            <w:tcBorders>
              <w:bottom w:val="single" w:sz="4" w:space="0" w:color="auto"/>
            </w:tcBorders>
          </w:tcPr>
          <w:p>
            <w:pPr>
              <w:pStyle w:val="yTableNAm"/>
            </w:pPr>
          </w:p>
          <w:p>
            <w:pPr>
              <w:pStyle w:val="yTableNAm"/>
            </w:pPr>
            <w:r>
              <w:br/>
            </w:r>
            <w:r>
              <w:br/>
            </w:r>
            <w:r>
              <w:br/>
            </w:r>
            <w:r>
              <w:br/>
            </w:r>
            <w:r>
              <w:br/>
            </w:r>
            <w:r>
              <w:br/>
              <w:t>$2.22/km</w:t>
            </w:r>
          </w:p>
        </w:tc>
        <w:tc>
          <w:tcPr>
            <w:tcW w:w="1417" w:type="dxa"/>
            <w:tcBorders>
              <w:bottom w:val="single" w:sz="4" w:space="0" w:color="auto"/>
            </w:tcBorders>
          </w:tcPr>
          <w:p>
            <w:pPr>
              <w:pStyle w:val="yTableNAm"/>
            </w:pPr>
          </w:p>
          <w:p>
            <w:pPr>
              <w:pStyle w:val="yTableNAm"/>
            </w:pPr>
            <w:r>
              <w:br/>
            </w:r>
            <w:r>
              <w:br/>
            </w:r>
            <w:r>
              <w:br/>
            </w:r>
            <w:r>
              <w:br/>
            </w:r>
            <w:r>
              <w:br/>
            </w:r>
            <w:r>
              <w:br/>
              <w:t>$65.95/hour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rPr>
                <w:b/>
                <w:bCs/>
              </w:rPr>
              <w:br/>
            </w:r>
            <w:r>
              <w:t>(during hiring and for forward or return journey)</w:t>
            </w:r>
          </w:p>
        </w:tc>
      </w:tr>
      <w:t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$0.91/km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vAlign w:val="bottom"/>
          </w:tcPr>
          <w:p>
            <w:pPr>
              <w:pStyle w:val="yTableNAm"/>
            </w:pPr>
            <w:r>
              <w:t>$1.36/km</w:t>
            </w:r>
          </w:p>
        </w:tc>
      </w:tr>
    </w:tbl>
    <w:p>
      <w:pPr>
        <w:pStyle w:val="yMiscellaneousHeading"/>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NAm"/>
              <w:rPr>
                <w:b/>
                <w:bCs/>
              </w:rPr>
            </w:pPr>
            <w:r>
              <w:rPr>
                <w:b/>
                <w:bCs/>
              </w:rPr>
              <w:t>Cleaning</w:t>
            </w:r>
          </w:p>
          <w:p>
            <w:pPr>
              <w:pStyle w:val="yTableNAm"/>
              <w:tabs>
                <w:tab w:val="clear" w:pos="567"/>
                <w:tab w:val="left" w:pos="263"/>
              </w:tabs>
              <w:ind w:left="263" w:hanging="263"/>
            </w:pPr>
            <w:r>
              <w:tab/>
              <w:t>(when soiled during hiring — for time required to clean)</w:t>
            </w:r>
          </w:p>
        </w:tc>
        <w:tc>
          <w:tcPr>
            <w:tcW w:w="1984" w:type="dxa"/>
          </w:tcPr>
          <w:p>
            <w:pPr>
              <w:pStyle w:val="yTableNAm"/>
            </w:pPr>
          </w:p>
          <w:p>
            <w:pPr>
              <w:pStyle w:val="yTableNAm"/>
            </w:pPr>
            <w:r>
              <w:br/>
              <w:t>$42.55/hour</w:t>
            </w:r>
          </w:p>
        </w:tc>
      </w:tr>
      <w:tr>
        <w:tc>
          <w:tcPr>
            <w:tcW w:w="4253" w:type="dxa"/>
          </w:tcPr>
          <w:p>
            <w:pPr>
              <w:pStyle w:val="yTableNAm"/>
              <w:rPr>
                <w:b/>
                <w:bCs/>
              </w:rPr>
            </w:pPr>
            <w:r>
              <w:rPr>
                <w:b/>
                <w:bCs/>
              </w:rPr>
              <w:t>Call out fee</w:t>
            </w:r>
          </w:p>
        </w:tc>
        <w:tc>
          <w:tcPr>
            <w:tcW w:w="1984" w:type="dxa"/>
          </w:tcPr>
          <w:p>
            <w:pPr>
              <w:pStyle w:val="yTableNAm"/>
            </w:pPr>
            <w:r>
              <w:t>$1.50</w:t>
            </w:r>
          </w:p>
        </w:tc>
      </w:tr>
      <w:tr>
        <w:trPr>
          <w:tblHeader/>
        </w:trPr>
        <w:tc>
          <w:tcPr>
            <w:tcW w:w="4253" w:type="dxa"/>
          </w:tcPr>
          <w:p>
            <w:pPr>
              <w:pStyle w:val="yTableNAm"/>
              <w:rPr>
                <w:b/>
                <w:bCs/>
              </w:rPr>
            </w:pPr>
            <w:r>
              <w:rPr>
                <w:b/>
                <w:bCs/>
              </w:rPr>
              <w:t>Surcharges</w:t>
            </w:r>
          </w:p>
        </w:tc>
        <w:tc>
          <w:tcPr>
            <w:tcW w:w="1984" w:type="dxa"/>
          </w:tcPr>
          <w:p>
            <w:pPr>
              <w:pStyle w:val="yTableNAm"/>
            </w:pPr>
          </w:p>
        </w:tc>
      </w:tr>
      <w:tr>
        <w:trPr>
          <w:cantSplit/>
        </w:trPr>
        <w:tc>
          <w:tcPr>
            <w:tcW w:w="4253"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984" w:type="dxa"/>
          </w:tcPr>
          <w:p>
            <w:pPr>
              <w:pStyle w:val="yTableNAm"/>
            </w:pPr>
          </w:p>
          <w:p>
            <w:pPr>
              <w:pStyle w:val="yTableNAm"/>
            </w:pPr>
            <w:r>
              <w:br/>
            </w:r>
            <w:r>
              <w:br/>
              <w:t>$2.00</w:t>
            </w:r>
          </w:p>
        </w:tc>
      </w:tr>
      <w:tr>
        <w:tc>
          <w:tcPr>
            <w:tcW w:w="4253" w:type="dxa"/>
          </w:tcPr>
          <w:p>
            <w:pPr>
              <w:pStyle w:val="yTableNAm"/>
            </w:pPr>
            <w:r>
              <w:t>Christmas Day —</w:t>
            </w:r>
          </w:p>
          <w:p>
            <w:pPr>
              <w:pStyle w:val="yTableNAm"/>
              <w:tabs>
                <w:tab w:val="clear" w:pos="567"/>
                <w:tab w:val="left" w:pos="263"/>
              </w:tabs>
              <w:ind w:left="263" w:hanging="263"/>
            </w:pPr>
            <w:r>
              <w:tab/>
              <w:t>midnight to midnight</w:t>
            </w:r>
          </w:p>
        </w:tc>
        <w:tc>
          <w:tcPr>
            <w:tcW w:w="1984" w:type="dxa"/>
          </w:tcPr>
          <w:p>
            <w:pPr>
              <w:pStyle w:val="yTableNAm"/>
            </w:pPr>
          </w:p>
          <w:p>
            <w:pPr>
              <w:pStyle w:val="yTableNAm"/>
            </w:pPr>
            <w:r>
              <w:t>$4.45</w:t>
            </w:r>
          </w:p>
        </w:tc>
      </w:tr>
      <w:tr>
        <w:trPr>
          <w:cantSplit/>
          <w:trHeight w:val="794"/>
        </w:trPr>
        <w:tc>
          <w:tcPr>
            <w:tcW w:w="4253" w:type="dxa"/>
            <w:tcBorders>
              <w:bottom w:val="single" w:sz="4" w:space="0" w:color="auto"/>
            </w:tcBorders>
          </w:tcPr>
          <w:p>
            <w:pPr>
              <w:pStyle w:val="yTableNAm"/>
            </w:pPr>
            <w:r>
              <w:t>New Year’s Eve —</w:t>
            </w:r>
          </w:p>
          <w:p>
            <w:pPr>
              <w:pStyle w:val="yTableNAm"/>
              <w:tabs>
                <w:tab w:val="clear" w:pos="567"/>
                <w:tab w:val="left" w:pos="263"/>
              </w:tabs>
              <w:ind w:left="263" w:hanging="263"/>
            </w:pPr>
            <w:r>
              <w:tab/>
              <w:t xml:space="preserve">6 p.m. New Year’s Eve </w:t>
            </w:r>
            <w:r>
              <w:br/>
              <w:t>to 6 a.m. New Year’s Day</w:t>
            </w:r>
          </w:p>
        </w:tc>
        <w:tc>
          <w:tcPr>
            <w:tcW w:w="1984" w:type="dxa"/>
            <w:tcBorders>
              <w:bottom w:val="single" w:sz="4" w:space="0" w:color="auto"/>
            </w:tcBorders>
          </w:tcPr>
          <w:p>
            <w:pPr>
              <w:pStyle w:val="yTableNAm"/>
            </w:pPr>
          </w:p>
          <w:p>
            <w:pPr>
              <w:pStyle w:val="yTableNAm"/>
            </w:pPr>
            <w:r>
              <w:br/>
              <w:t>$4.95</w:t>
            </w:r>
          </w:p>
        </w:tc>
      </w:tr>
    </w:tbl>
    <w:p>
      <w:pPr>
        <w:pStyle w:val="yFootnoteheading"/>
      </w:pPr>
      <w:r>
        <w:tab/>
        <w:t>[Division 2 inserted in Gazette 9 Feb 2010 p. 274-5.]</w:t>
      </w:r>
    </w:p>
    <w:p>
      <w:pPr>
        <w:pStyle w:val="yHeading3"/>
      </w:pPr>
      <w:bookmarkStart w:id="81" w:name="_Toc253404785"/>
      <w:r>
        <w:rPr>
          <w:rStyle w:val="CharSDivNo"/>
        </w:rPr>
        <w:t>Division 3</w:t>
      </w:r>
      <w:r>
        <w:t> — </w:t>
      </w:r>
      <w:r>
        <w:rPr>
          <w:rStyle w:val="CharSDivText"/>
        </w:rPr>
        <w:t>Kimberley region</w:t>
      </w:r>
      <w:bookmarkEnd w:id="81"/>
    </w:p>
    <w:p>
      <w:pPr>
        <w:pStyle w:val="yFootnoteheading"/>
      </w:pPr>
      <w:r>
        <w:tab/>
        <w:t>[Heading inserted in Gazette 9 Feb 2010 p. 275.]</w:t>
      </w:r>
    </w:p>
    <w:p>
      <w:pPr>
        <w:pStyle w:val="yHeading5"/>
      </w:pPr>
      <w:bookmarkStart w:id="82" w:name="_Toc253404786"/>
      <w:r>
        <w:tab/>
        <w:t>Brief description</w:t>
      </w:r>
      <w:bookmarkEnd w:id="82"/>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83" w:name="_Toc253404787"/>
      <w:r>
        <w:tab/>
        <w:t>Major towns</w:t>
      </w:r>
      <w:bookmarkEnd w:id="83"/>
    </w:p>
    <w:p>
      <w:pPr>
        <w:pStyle w:val="ySubsection"/>
      </w:pPr>
      <w:r>
        <w:tab/>
      </w:r>
      <w:r>
        <w:tab/>
        <w:t xml:space="preserve">These major towns are specified for the purposes of regulation 3(1) as being within the Kimberley region — </w:t>
      </w:r>
    </w:p>
    <w:p>
      <w:pPr>
        <w:pStyle w:val="yIndenta"/>
      </w:pPr>
      <w:r>
        <w:tab/>
      </w:r>
      <w:r>
        <w:sym w:font="Symbol" w:char="F0B7"/>
      </w:r>
      <w:r>
        <w:tab/>
        <w:t>Broome — (Shire of Broome)</w:t>
      </w:r>
    </w:p>
    <w:p>
      <w:pPr>
        <w:pStyle w:val="yIndenta"/>
      </w:pPr>
      <w:r>
        <w:tab/>
      </w:r>
      <w:r>
        <w:sym w:font="Symbol" w:char="F0B7"/>
      </w:r>
      <w:r>
        <w:tab/>
        <w:t>Derby &amp; Fitzroy Crossing — (Shire of Derby/West Kimberley)</w:t>
      </w:r>
    </w:p>
    <w:p>
      <w:pPr>
        <w:pStyle w:val="yIndenta"/>
      </w:pPr>
      <w:r>
        <w:tab/>
      </w:r>
      <w:r>
        <w:sym w:font="Symbol" w:char="F0B7"/>
      </w:r>
      <w:r>
        <w:tab/>
        <w:t>Halls Creek — (Shire of Halls Creek)</w:t>
      </w:r>
    </w:p>
    <w:p>
      <w:pPr>
        <w:pStyle w:val="yIndenta"/>
      </w:pPr>
      <w:r>
        <w:tab/>
      </w:r>
      <w:r>
        <w:sym w:font="Symbol" w:char="F0B7"/>
      </w:r>
      <w:r>
        <w:tab/>
        <w:t>Kununurra &amp; Wyndham — (Shire of Wyndham/East Kimberley)</w:t>
      </w:r>
    </w:p>
    <w:p>
      <w:pPr>
        <w:pStyle w:val="yMiscellaneousHeading"/>
        <w:rPr>
          <w:b/>
          <w:bCs/>
        </w:rPr>
      </w:pPr>
      <w:r>
        <w:rPr>
          <w:b/>
          <w:bCs/>
        </w:rPr>
        <w:t>Metered rates</w:t>
      </w:r>
    </w:p>
    <w:tbl>
      <w:tblPr>
        <w:tblW w:w="0" w:type="auto"/>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left w:val="nil"/>
            </w:tcBorders>
          </w:tcPr>
          <w:p>
            <w:pPr>
              <w:pStyle w:val="yTableNAm"/>
            </w:pPr>
          </w:p>
          <w:p>
            <w:pPr>
              <w:pStyle w:val="yTableNAm"/>
            </w:pPr>
            <w:r>
              <w:br/>
              <w:t>$3.60</w:t>
            </w:r>
          </w:p>
        </w:tc>
        <w:tc>
          <w:tcPr>
            <w:tcW w:w="1551" w:type="dxa"/>
          </w:tcPr>
          <w:p>
            <w:pPr>
              <w:pStyle w:val="yTableNAm"/>
            </w:pPr>
          </w:p>
          <w:p>
            <w:pPr>
              <w:pStyle w:val="yTableNAm"/>
            </w:pPr>
            <w:r>
              <w:br/>
              <w:t>$1.96/km</w:t>
            </w:r>
          </w:p>
        </w:tc>
        <w:tc>
          <w:tcPr>
            <w:tcW w:w="1426" w:type="dxa"/>
          </w:tcPr>
          <w:p>
            <w:pPr>
              <w:pStyle w:val="yTableNAm"/>
            </w:pPr>
          </w:p>
          <w:p>
            <w:pPr>
              <w:pStyle w:val="yTableNAm"/>
            </w:pPr>
            <w:r>
              <w:br/>
              <w:t>$42.55/hour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r>
              <w:br/>
            </w:r>
          </w:p>
          <w:p>
            <w:pPr>
              <w:pStyle w:val="yTableNAm"/>
            </w:pPr>
            <w:r>
              <w:t>$5.30</w:t>
            </w:r>
          </w:p>
        </w:tc>
        <w:tc>
          <w:tcPr>
            <w:tcW w:w="1551" w:type="dxa"/>
          </w:tcPr>
          <w:p>
            <w:pPr>
              <w:pStyle w:val="yTableNAm"/>
            </w:pPr>
          </w:p>
          <w:p>
            <w:pPr>
              <w:pStyle w:val="yTableNAm"/>
            </w:pPr>
            <w:r>
              <w:br/>
            </w:r>
          </w:p>
          <w:p>
            <w:pPr>
              <w:pStyle w:val="yTableNAm"/>
            </w:pPr>
            <w:r>
              <w:br/>
            </w:r>
            <w:r>
              <w:br/>
            </w:r>
          </w:p>
          <w:p>
            <w:pPr>
              <w:pStyle w:val="yTableNAm"/>
            </w:pPr>
            <w:r>
              <w:t>$1.96/km</w:t>
            </w:r>
          </w:p>
        </w:tc>
        <w:tc>
          <w:tcPr>
            <w:tcW w:w="1426" w:type="dxa"/>
          </w:tcPr>
          <w:p>
            <w:pPr>
              <w:pStyle w:val="yTableNAm"/>
            </w:pPr>
          </w:p>
          <w:p>
            <w:pPr>
              <w:pStyle w:val="yTableNAm"/>
            </w:pPr>
            <w:r>
              <w:br/>
            </w:r>
          </w:p>
          <w:p>
            <w:pPr>
              <w:pStyle w:val="yTableNAm"/>
            </w:pPr>
            <w:r>
              <w:br/>
            </w:r>
            <w:r>
              <w:br/>
            </w:r>
          </w:p>
          <w:p>
            <w:pPr>
              <w:pStyle w:val="yTableNAm"/>
            </w:pPr>
            <w:r>
              <w:t>$42.55/hour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$5.30</w:t>
            </w:r>
          </w:p>
        </w:tc>
        <w:tc>
          <w:tcPr>
            <w:tcW w:w="1551" w:type="dxa"/>
            <w:tcBorders>
              <w:bottom w:val="single" w:sz="4" w:space="0" w:color="auto"/>
            </w:tcBorders>
          </w:tcPr>
          <w:p>
            <w:pPr>
              <w:pStyle w:val="yTableNAm"/>
            </w:pPr>
          </w:p>
          <w:p>
            <w:pPr>
              <w:pStyle w:val="yTableNAm"/>
            </w:pPr>
            <w:r>
              <w:br/>
            </w:r>
            <w:r>
              <w:br/>
            </w:r>
            <w:r>
              <w:br/>
            </w:r>
            <w:r>
              <w:br/>
            </w:r>
            <w:r>
              <w:br/>
            </w:r>
            <w:r>
              <w:br/>
              <w:t>$2.88/km</w:t>
            </w:r>
          </w:p>
        </w:tc>
        <w:tc>
          <w:tcPr>
            <w:tcW w:w="1426" w:type="dxa"/>
            <w:tcBorders>
              <w:bottom w:val="single" w:sz="4" w:space="0" w:color="auto"/>
            </w:tcBorders>
          </w:tcPr>
          <w:p>
            <w:pPr>
              <w:pStyle w:val="yTableNAm"/>
            </w:pPr>
          </w:p>
          <w:p>
            <w:pPr>
              <w:pStyle w:val="yTableNAm"/>
            </w:pPr>
            <w:r>
              <w:br/>
            </w:r>
            <w:r>
              <w:br/>
            </w:r>
            <w:r>
              <w:br/>
            </w:r>
            <w:r>
              <w:br/>
            </w:r>
            <w:r>
              <w:br/>
            </w:r>
            <w:r>
              <w:br/>
              <w:t>$65.95/hour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$1.10/km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$1.66/km</w:t>
            </w:r>
          </w:p>
        </w:tc>
      </w:tr>
    </w:tbl>
    <w:p>
      <w:pPr>
        <w:pStyle w:val="yMiscellaneousHeading"/>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rPr>
          <w:cantSplit/>
        </w:trPr>
        <w:tc>
          <w:tcPr>
            <w:tcW w:w="4253" w:type="dxa"/>
          </w:tcPr>
          <w:p>
            <w:pPr>
              <w:pStyle w:val="yTableNAm"/>
              <w:rPr>
                <w:b/>
                <w:bCs/>
              </w:rPr>
            </w:pPr>
            <w:r>
              <w:rPr>
                <w:b/>
                <w:bCs/>
              </w:rPr>
              <w:t>Cleaning</w:t>
            </w:r>
          </w:p>
          <w:p>
            <w:pPr>
              <w:pStyle w:val="yTableNAm"/>
              <w:tabs>
                <w:tab w:val="clear" w:pos="567"/>
                <w:tab w:val="left" w:pos="263"/>
              </w:tabs>
              <w:ind w:left="263" w:hanging="263"/>
            </w:pPr>
            <w:r>
              <w:tab/>
              <w:t>(when soiled during hiring — for time required to clean)</w:t>
            </w:r>
          </w:p>
        </w:tc>
        <w:tc>
          <w:tcPr>
            <w:tcW w:w="1984" w:type="dxa"/>
          </w:tcPr>
          <w:p>
            <w:pPr>
              <w:pStyle w:val="yTableNAm"/>
            </w:pPr>
          </w:p>
          <w:p>
            <w:pPr>
              <w:pStyle w:val="yTableNAm"/>
            </w:pPr>
            <w:r>
              <w:br/>
              <w:t>$42.55/hour</w:t>
            </w:r>
          </w:p>
        </w:tc>
      </w:tr>
      <w:tr>
        <w:trPr>
          <w:cantSplit/>
        </w:trPr>
        <w:tc>
          <w:tcPr>
            <w:tcW w:w="4253" w:type="dxa"/>
          </w:tcPr>
          <w:p>
            <w:pPr>
              <w:pStyle w:val="yTableNAm"/>
              <w:rPr>
                <w:b/>
                <w:bCs/>
              </w:rPr>
            </w:pPr>
            <w:r>
              <w:rPr>
                <w:b/>
                <w:bCs/>
              </w:rPr>
              <w:t>Call out fee</w:t>
            </w:r>
          </w:p>
        </w:tc>
        <w:tc>
          <w:tcPr>
            <w:tcW w:w="1984" w:type="dxa"/>
          </w:tcPr>
          <w:p>
            <w:pPr>
              <w:pStyle w:val="yTableNAm"/>
            </w:pPr>
            <w:r>
              <w:t>$1.50</w:t>
            </w:r>
          </w:p>
        </w:tc>
      </w:tr>
      <w:tr>
        <w:trPr>
          <w:cantSplit/>
          <w:tblHeader/>
        </w:trPr>
        <w:tc>
          <w:tcPr>
            <w:tcW w:w="4253" w:type="dxa"/>
          </w:tcPr>
          <w:p>
            <w:pPr>
              <w:pStyle w:val="yTableNAm"/>
              <w:rPr>
                <w:b/>
                <w:bCs/>
              </w:rPr>
            </w:pPr>
            <w:r>
              <w:rPr>
                <w:b/>
                <w:bCs/>
              </w:rPr>
              <w:t>Surcharges</w:t>
            </w:r>
          </w:p>
        </w:tc>
        <w:tc>
          <w:tcPr>
            <w:tcW w:w="1984" w:type="dxa"/>
          </w:tcPr>
          <w:p>
            <w:pPr>
              <w:pStyle w:val="yTableNAm"/>
            </w:pPr>
          </w:p>
        </w:tc>
      </w:tr>
      <w:tr>
        <w:trPr>
          <w:cantSplit/>
        </w:trPr>
        <w:tc>
          <w:tcPr>
            <w:tcW w:w="4253"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984" w:type="dxa"/>
          </w:tcPr>
          <w:p>
            <w:pPr>
              <w:pStyle w:val="yTableNAm"/>
            </w:pPr>
          </w:p>
          <w:p>
            <w:pPr>
              <w:pStyle w:val="yTableNAm"/>
            </w:pPr>
            <w:r>
              <w:br/>
            </w:r>
            <w:r>
              <w:br/>
              <w:t>$2.00</w:t>
            </w:r>
          </w:p>
        </w:tc>
      </w:tr>
      <w:tr>
        <w:trPr>
          <w:cantSplit/>
        </w:trPr>
        <w:tc>
          <w:tcPr>
            <w:tcW w:w="4253" w:type="dxa"/>
          </w:tcPr>
          <w:p>
            <w:pPr>
              <w:pStyle w:val="yTableNAm"/>
            </w:pPr>
            <w:r>
              <w:t>Christmas Day —</w:t>
            </w:r>
          </w:p>
          <w:p>
            <w:pPr>
              <w:pStyle w:val="yTableNAm"/>
              <w:tabs>
                <w:tab w:val="clear" w:pos="567"/>
                <w:tab w:val="left" w:pos="263"/>
              </w:tabs>
              <w:ind w:left="263" w:hanging="263"/>
            </w:pPr>
            <w:r>
              <w:tab/>
              <w:t>midnight to midnight</w:t>
            </w:r>
          </w:p>
        </w:tc>
        <w:tc>
          <w:tcPr>
            <w:tcW w:w="1984" w:type="dxa"/>
          </w:tcPr>
          <w:p>
            <w:pPr>
              <w:pStyle w:val="yTableNAm"/>
            </w:pPr>
          </w:p>
          <w:p>
            <w:pPr>
              <w:pStyle w:val="yTableNAm"/>
            </w:pPr>
            <w:r>
              <w:t>$4.45</w:t>
            </w:r>
          </w:p>
        </w:tc>
      </w:tr>
      <w:tr>
        <w:trPr>
          <w:cantSplit/>
          <w:trHeight w:val="794"/>
        </w:trPr>
        <w:tc>
          <w:tcPr>
            <w:tcW w:w="4253" w:type="dxa"/>
            <w:tcBorders>
              <w:bottom w:val="single" w:sz="4" w:space="0" w:color="auto"/>
            </w:tcBorders>
          </w:tcPr>
          <w:p>
            <w:pPr>
              <w:pStyle w:val="yTableNAm"/>
            </w:pPr>
            <w:r>
              <w:t>New Year’s Eve —</w:t>
            </w:r>
          </w:p>
          <w:p>
            <w:pPr>
              <w:pStyle w:val="yTableNAm"/>
              <w:tabs>
                <w:tab w:val="clear" w:pos="567"/>
                <w:tab w:val="left" w:pos="263"/>
              </w:tabs>
              <w:ind w:left="263" w:hanging="263"/>
            </w:pPr>
            <w:r>
              <w:tab/>
              <w:t xml:space="preserve">6 p.m. New Year’s Eve </w:t>
            </w:r>
            <w:r>
              <w:br/>
              <w:t>to 6 a.m. New Year’s Day</w:t>
            </w:r>
          </w:p>
        </w:tc>
        <w:tc>
          <w:tcPr>
            <w:tcW w:w="1984" w:type="dxa"/>
            <w:tcBorders>
              <w:bottom w:val="single" w:sz="4" w:space="0" w:color="auto"/>
            </w:tcBorders>
          </w:tcPr>
          <w:p>
            <w:pPr>
              <w:pStyle w:val="yTableNAm"/>
            </w:pPr>
          </w:p>
          <w:p>
            <w:pPr>
              <w:pStyle w:val="yTableNAm"/>
            </w:pPr>
            <w:r>
              <w:br/>
              <w:t>$4.95</w:t>
            </w:r>
          </w:p>
        </w:tc>
      </w:tr>
    </w:tbl>
    <w:p>
      <w:pPr>
        <w:pStyle w:val="yFootnoteheading"/>
      </w:pPr>
      <w:r>
        <w:tab/>
        <w:t>[Division 3 inserted in Gazette 9 Feb 2010 p. 275-7.]</w:t>
      </w:r>
    </w:p>
    <w:p>
      <w:pPr>
        <w:pStyle w:val="yHeading3"/>
      </w:pPr>
      <w:bookmarkStart w:id="84" w:name="_Toc253404788"/>
      <w:r>
        <w:rPr>
          <w:rStyle w:val="CharSDivNo"/>
        </w:rPr>
        <w:t>Division 4</w:t>
      </w:r>
      <w:r>
        <w:t> — </w:t>
      </w:r>
      <w:r>
        <w:rPr>
          <w:rStyle w:val="CharSDivText"/>
        </w:rPr>
        <w:t>Mid</w:t>
      </w:r>
      <w:r>
        <w:rPr>
          <w:rStyle w:val="CharSDivText"/>
        </w:rPr>
        <w:noBreakHyphen/>
        <w:t>west region</w:t>
      </w:r>
      <w:bookmarkEnd w:id="84"/>
    </w:p>
    <w:p>
      <w:pPr>
        <w:pStyle w:val="yFootnoteheading"/>
      </w:pPr>
      <w:r>
        <w:tab/>
        <w:t>[Heading inserted in Gazette 9 Feb 2010 p. 277.]</w:t>
      </w:r>
    </w:p>
    <w:p>
      <w:pPr>
        <w:pStyle w:val="yHeading5"/>
      </w:pPr>
      <w:bookmarkStart w:id="85" w:name="_Toc253404789"/>
      <w:r>
        <w:tab/>
        <w:t>Brief description</w:t>
      </w:r>
      <w:bookmarkEnd w:id="85"/>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86" w:name="_Toc253404790"/>
      <w:r>
        <w:tab/>
        <w:t>Major towns/cities</w:t>
      </w:r>
      <w:bookmarkEnd w:id="86"/>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Geraldton — (City of Geraldton &amp; environs)</w:t>
      </w:r>
    </w:p>
    <w:p>
      <w:pPr>
        <w:pStyle w:val="yIndenta"/>
      </w:pPr>
      <w:r>
        <w:tab/>
      </w:r>
      <w:r>
        <w:sym w:font="Symbol" w:char="F0B7"/>
      </w:r>
      <w:r>
        <w:tab/>
        <w:t>Irwin &amp; Dongara — (Shire of Irwin)</w:t>
      </w:r>
    </w:p>
    <w:p>
      <w:pPr>
        <w:pStyle w:val="yIndenta"/>
      </w:pPr>
      <w:r>
        <w:tab/>
      </w:r>
      <w:r>
        <w:sym w:font="Symbol" w:char="F0B7"/>
      </w:r>
      <w:r>
        <w:tab/>
        <w:t>Northampton — (Shire of Northampton)</w:t>
      </w:r>
    </w:p>
    <w:p>
      <w:pPr>
        <w:pStyle w:val="ySubsection"/>
      </w:pPr>
      <w:r>
        <w:rPr>
          <w:i/>
          <w:iCs/>
        </w:rPr>
        <w:tab/>
      </w:r>
      <w:r>
        <w:rPr>
          <w:i/>
          <w:iCs/>
        </w:rPr>
        <w:tab/>
        <w:t>*Note: Division 2 gives a separate rate for Kalbarri</w:t>
      </w:r>
      <w:r>
        <w:t>.</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992" w:type="dxa"/>
            <w:tcBorders>
              <w:top w:val="single" w:sz="4" w:space="0" w:color="auto"/>
              <w:left w:val="nil"/>
              <w:bottom w:val="single" w:sz="4" w:space="0" w:color="auto"/>
            </w:tcBorders>
          </w:tcPr>
          <w:p>
            <w:pPr>
              <w:pStyle w:val="yTableNAm"/>
              <w:rPr>
                <w:b/>
                <w:bCs/>
              </w:rPr>
            </w:pPr>
            <w:r>
              <w:rPr>
                <w:b/>
                <w:bCs/>
              </w:rPr>
              <w:t>Flagfall</w:t>
            </w:r>
          </w:p>
        </w:tc>
        <w:tc>
          <w:tcPr>
            <w:tcW w:w="1560" w:type="dxa"/>
            <w:tcBorders>
              <w:top w:val="single" w:sz="4" w:space="0" w:color="auto"/>
              <w:bottom w:val="single" w:sz="4" w:space="0" w:color="auto"/>
            </w:tcBorders>
          </w:tcPr>
          <w:p>
            <w:pPr>
              <w:pStyle w:val="yTableNAm"/>
              <w:rPr>
                <w:b/>
                <w:bCs/>
              </w:rPr>
            </w:pPr>
            <w:r>
              <w:rPr>
                <w:b/>
                <w:bCs/>
              </w:rPr>
              <w:t xml:space="preserve">Distance rate </w:t>
            </w:r>
          </w:p>
        </w:tc>
        <w:tc>
          <w:tcPr>
            <w:tcW w:w="1417" w:type="dxa"/>
            <w:tcBorders>
              <w:top w:val="single" w:sz="4" w:space="0" w:color="auto"/>
              <w:bottom w:val="single" w:sz="4" w:space="0" w:color="auto"/>
            </w:tcBorders>
          </w:tcPr>
          <w:p>
            <w:pPr>
              <w:pStyle w:val="yTableNAm"/>
              <w:rPr>
                <w:b/>
                <w:bCs/>
              </w:rPr>
            </w:pPr>
            <w:r>
              <w:rPr>
                <w:b/>
                <w:bCs/>
              </w:rPr>
              <w:t xml:space="preserve">Detention </w:t>
            </w:r>
          </w:p>
        </w:tc>
      </w:tr>
      <w:tr>
        <w:trPr>
          <w:cantSplit/>
        </w:trPr>
        <w:tc>
          <w:tcPr>
            <w:tcW w:w="2126" w:type="dxa"/>
            <w:tcBorders>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992" w:type="dxa"/>
            <w:tcBorders>
              <w:left w:val="nil"/>
            </w:tcBorders>
          </w:tcPr>
          <w:p>
            <w:pPr>
              <w:pStyle w:val="yTableNAm"/>
            </w:pPr>
          </w:p>
          <w:p>
            <w:pPr>
              <w:pStyle w:val="yTableNAm"/>
            </w:pPr>
            <w:r>
              <w:br/>
              <w:t>$3.60</w:t>
            </w:r>
          </w:p>
        </w:tc>
        <w:tc>
          <w:tcPr>
            <w:tcW w:w="1560" w:type="dxa"/>
          </w:tcPr>
          <w:p>
            <w:pPr>
              <w:pStyle w:val="yTableNAm"/>
            </w:pPr>
          </w:p>
          <w:p>
            <w:pPr>
              <w:pStyle w:val="yTableNAm"/>
            </w:pPr>
            <w:r>
              <w:br/>
              <w:t>$1.48/km</w:t>
            </w:r>
          </w:p>
        </w:tc>
        <w:tc>
          <w:tcPr>
            <w:tcW w:w="1417" w:type="dxa"/>
          </w:tcPr>
          <w:p>
            <w:pPr>
              <w:pStyle w:val="yTableNAm"/>
            </w:pPr>
          </w:p>
          <w:p>
            <w:pPr>
              <w:pStyle w:val="yTableNAm"/>
            </w:pPr>
            <w:r>
              <w:br/>
              <w:t>$42.55/hour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992" w:type="dxa"/>
            <w:tcBorders>
              <w:left w:val="nil"/>
            </w:tcBorders>
          </w:tcPr>
          <w:p>
            <w:pPr>
              <w:pStyle w:val="yTableNAm"/>
            </w:pPr>
          </w:p>
          <w:p>
            <w:pPr>
              <w:pStyle w:val="yTableNAm"/>
            </w:pPr>
            <w:r>
              <w:br/>
            </w:r>
          </w:p>
          <w:p>
            <w:pPr>
              <w:pStyle w:val="yTableNAm"/>
            </w:pPr>
            <w:r>
              <w:br/>
            </w:r>
          </w:p>
          <w:p>
            <w:pPr>
              <w:pStyle w:val="yTableNAm"/>
            </w:pPr>
            <w:r>
              <w:br/>
              <w:t>$5.30</w:t>
            </w:r>
          </w:p>
        </w:tc>
        <w:tc>
          <w:tcPr>
            <w:tcW w:w="1560" w:type="dxa"/>
          </w:tcPr>
          <w:p>
            <w:pPr>
              <w:pStyle w:val="yTableNAm"/>
            </w:pPr>
          </w:p>
          <w:p>
            <w:pPr>
              <w:pStyle w:val="yTableNAm"/>
            </w:pPr>
            <w:r>
              <w:br/>
            </w:r>
          </w:p>
          <w:p>
            <w:pPr>
              <w:pStyle w:val="yTableNAm"/>
            </w:pPr>
            <w:r>
              <w:br/>
            </w:r>
          </w:p>
          <w:p>
            <w:pPr>
              <w:pStyle w:val="yTableNAm"/>
            </w:pPr>
            <w:r>
              <w:br/>
              <w:t>$1.48/km</w:t>
            </w:r>
          </w:p>
        </w:tc>
        <w:tc>
          <w:tcPr>
            <w:tcW w:w="1417" w:type="dxa"/>
          </w:tcPr>
          <w:p>
            <w:pPr>
              <w:pStyle w:val="yTableNAm"/>
            </w:pPr>
          </w:p>
          <w:p>
            <w:pPr>
              <w:pStyle w:val="yTableNAm"/>
            </w:pPr>
            <w:r>
              <w:br/>
            </w:r>
          </w:p>
          <w:p>
            <w:pPr>
              <w:pStyle w:val="yTableNAm"/>
            </w:pPr>
            <w:r>
              <w:br/>
            </w:r>
          </w:p>
          <w:p>
            <w:pPr>
              <w:pStyle w:val="yTableNAm"/>
            </w:pPr>
            <w:r>
              <w:br/>
              <w:t>$42.55/hour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NAm"/>
            </w:pPr>
          </w:p>
          <w:p>
            <w:pPr>
              <w:pStyle w:val="yTableNAm"/>
            </w:pPr>
            <w:r>
              <w:br/>
            </w:r>
            <w:r>
              <w:br/>
            </w:r>
            <w:r>
              <w:br/>
            </w:r>
            <w:r>
              <w:br/>
            </w:r>
            <w:r>
              <w:br/>
            </w:r>
            <w:r>
              <w:br/>
              <w:t>$5.30</w:t>
            </w:r>
          </w:p>
        </w:tc>
        <w:tc>
          <w:tcPr>
            <w:tcW w:w="1560" w:type="dxa"/>
            <w:tcBorders>
              <w:bottom w:val="single" w:sz="4" w:space="0" w:color="auto"/>
            </w:tcBorders>
          </w:tcPr>
          <w:p>
            <w:pPr>
              <w:pStyle w:val="yTableNAm"/>
            </w:pPr>
          </w:p>
          <w:p>
            <w:pPr>
              <w:pStyle w:val="yTableNAm"/>
            </w:pPr>
            <w:r>
              <w:br/>
            </w:r>
            <w:r>
              <w:br/>
            </w:r>
            <w:r>
              <w:br/>
            </w:r>
            <w:r>
              <w:br/>
            </w:r>
            <w:r>
              <w:br/>
            </w:r>
            <w:r>
              <w:br/>
              <w:t>$2.21/km</w:t>
            </w:r>
          </w:p>
        </w:tc>
        <w:tc>
          <w:tcPr>
            <w:tcW w:w="1417" w:type="dxa"/>
            <w:tcBorders>
              <w:bottom w:val="single" w:sz="4" w:space="0" w:color="auto"/>
            </w:tcBorders>
          </w:tcPr>
          <w:p>
            <w:pPr>
              <w:pStyle w:val="yTableNAm"/>
            </w:pPr>
          </w:p>
          <w:p>
            <w:pPr>
              <w:pStyle w:val="yTableNAm"/>
            </w:pPr>
            <w:r>
              <w:br/>
            </w:r>
            <w:r>
              <w:br/>
            </w:r>
            <w:r>
              <w:br/>
            </w:r>
            <w:r>
              <w:br/>
            </w:r>
            <w:r>
              <w:br/>
            </w:r>
            <w:r>
              <w:br/>
              <w:t>$65.95/hour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cantSplit/>
          <w:tblHeader/>
        </w:trPr>
        <w:tc>
          <w:tcPr>
            <w:tcW w:w="3118"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118"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nil"/>
            </w:tcBorders>
          </w:tcPr>
          <w:p>
            <w:pPr>
              <w:pStyle w:val="yTableNAm"/>
            </w:pPr>
            <w:r>
              <w:br/>
              <w:t>$0.91/km</w:t>
            </w:r>
          </w:p>
        </w:tc>
      </w:tr>
      <w:tr>
        <w:trPr>
          <w:cantSplit/>
        </w:trPr>
        <w:tc>
          <w:tcPr>
            <w:tcW w:w="3118"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$1.36/km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rPr>
          <w:cantSplit/>
        </w:trPr>
        <w:tc>
          <w:tcPr>
            <w:tcW w:w="4252" w:type="dxa"/>
          </w:tcPr>
          <w:p>
            <w:pPr>
              <w:pStyle w:val="yTableNAm"/>
              <w:rPr>
                <w:b/>
                <w:bCs/>
              </w:rPr>
            </w:pPr>
            <w:r>
              <w:rPr>
                <w:b/>
                <w:bCs/>
              </w:rPr>
              <w:t>Cleaning</w:t>
            </w:r>
          </w:p>
          <w:p>
            <w:pPr>
              <w:pStyle w:val="yTableNAm"/>
              <w:tabs>
                <w:tab w:val="clear" w:pos="567"/>
                <w:tab w:val="left" w:pos="263"/>
              </w:tabs>
              <w:ind w:left="263" w:hanging="263"/>
            </w:pPr>
            <w:r>
              <w:tab/>
              <w:t>(when soiled during hiring — for time required to clean)</w:t>
            </w:r>
          </w:p>
        </w:tc>
        <w:tc>
          <w:tcPr>
            <w:tcW w:w="1843" w:type="dxa"/>
          </w:tcPr>
          <w:p>
            <w:pPr>
              <w:pStyle w:val="yTableNAm"/>
            </w:pPr>
          </w:p>
          <w:p>
            <w:pPr>
              <w:pStyle w:val="yTableNAm"/>
            </w:pPr>
            <w:r>
              <w:br/>
              <w:t xml:space="preserve">$42.55/hour </w:t>
            </w:r>
          </w:p>
        </w:tc>
      </w:tr>
      <w:tr>
        <w:trPr>
          <w:cantSplit/>
        </w:trPr>
        <w:tc>
          <w:tcPr>
            <w:tcW w:w="4252" w:type="dxa"/>
          </w:tcPr>
          <w:p>
            <w:pPr>
              <w:pStyle w:val="yTableNAm"/>
              <w:rPr>
                <w:b/>
                <w:bCs/>
              </w:rPr>
            </w:pPr>
            <w:r>
              <w:rPr>
                <w:b/>
                <w:bCs/>
              </w:rPr>
              <w:t>Call out fee</w:t>
            </w:r>
          </w:p>
        </w:tc>
        <w:tc>
          <w:tcPr>
            <w:tcW w:w="1843" w:type="dxa"/>
          </w:tcPr>
          <w:p>
            <w:pPr>
              <w:pStyle w:val="yTableNAm"/>
            </w:pPr>
            <w:r>
              <w:t>$1.50</w:t>
            </w:r>
          </w:p>
        </w:tc>
      </w:tr>
      <w:tr>
        <w:trPr>
          <w:cantSplit/>
          <w:tblHeader/>
        </w:trPr>
        <w:tc>
          <w:tcPr>
            <w:tcW w:w="4252" w:type="dxa"/>
          </w:tcPr>
          <w:p>
            <w:pPr>
              <w:pStyle w:val="yTableNAm"/>
              <w:rPr>
                <w:b/>
                <w:bCs/>
              </w:rPr>
            </w:pPr>
            <w:r>
              <w:rPr>
                <w:b/>
                <w:bCs/>
              </w:rPr>
              <w:t>Surcharges</w:t>
            </w:r>
          </w:p>
        </w:tc>
        <w:tc>
          <w:tcPr>
            <w:tcW w:w="1843" w:type="dxa"/>
          </w:tcPr>
          <w:p>
            <w:pPr>
              <w:pStyle w:val="yTableNAm"/>
            </w:pPr>
          </w:p>
        </w:tc>
      </w:tr>
      <w:tr>
        <w:trPr>
          <w:cantSplit/>
        </w:trPr>
        <w:tc>
          <w:tcPr>
            <w:tcW w:w="4252"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843" w:type="dxa"/>
          </w:tcPr>
          <w:p>
            <w:pPr>
              <w:pStyle w:val="yTableNAm"/>
            </w:pPr>
          </w:p>
          <w:p>
            <w:pPr>
              <w:pStyle w:val="yTableNAm"/>
            </w:pPr>
            <w:r>
              <w:br/>
            </w:r>
            <w:r>
              <w:br/>
              <w:t>$2.00</w:t>
            </w:r>
          </w:p>
        </w:tc>
      </w:tr>
      <w:tr>
        <w:trPr>
          <w:cantSplit/>
        </w:trPr>
        <w:tc>
          <w:tcPr>
            <w:tcW w:w="4252" w:type="dxa"/>
          </w:tcPr>
          <w:p>
            <w:pPr>
              <w:pStyle w:val="yTableNAm"/>
            </w:pPr>
            <w:r>
              <w:t>Christmas Day —</w:t>
            </w:r>
          </w:p>
          <w:p>
            <w:pPr>
              <w:pStyle w:val="yTableNAm"/>
              <w:tabs>
                <w:tab w:val="clear" w:pos="567"/>
                <w:tab w:val="left" w:pos="263"/>
              </w:tabs>
              <w:ind w:left="263" w:hanging="263"/>
            </w:pPr>
            <w:r>
              <w:tab/>
              <w:t>midnight to midnight</w:t>
            </w:r>
          </w:p>
        </w:tc>
        <w:tc>
          <w:tcPr>
            <w:tcW w:w="1843" w:type="dxa"/>
          </w:tcPr>
          <w:p>
            <w:pPr>
              <w:pStyle w:val="yTableNAm"/>
            </w:pPr>
          </w:p>
          <w:p>
            <w:pPr>
              <w:pStyle w:val="yTableNAm"/>
            </w:pPr>
            <w:r>
              <w:t>$4.45</w:t>
            </w:r>
          </w:p>
        </w:tc>
      </w:tr>
      <w:tr>
        <w:trPr>
          <w:cantSplit/>
          <w:trHeight w:val="20"/>
        </w:trPr>
        <w:tc>
          <w:tcPr>
            <w:tcW w:w="4252" w:type="dxa"/>
            <w:tcBorders>
              <w:bottom w:val="single" w:sz="4" w:space="0" w:color="auto"/>
            </w:tcBorders>
          </w:tcPr>
          <w:p>
            <w:pPr>
              <w:pStyle w:val="yTableNAm"/>
            </w:pPr>
            <w:r>
              <w:t>New Year’s Eve —</w:t>
            </w:r>
          </w:p>
          <w:p>
            <w:pPr>
              <w:pStyle w:val="yTableNAm"/>
              <w:tabs>
                <w:tab w:val="clear" w:pos="567"/>
                <w:tab w:val="left" w:pos="263"/>
              </w:tabs>
              <w:ind w:left="263" w:hanging="263"/>
            </w:pPr>
            <w:r>
              <w:tab/>
              <w:t xml:space="preserve">6 p.m. New Year’s Eve </w:t>
            </w:r>
            <w:r>
              <w:br/>
              <w:t>to 6 a.m. New Year’s Day</w:t>
            </w:r>
          </w:p>
        </w:tc>
        <w:tc>
          <w:tcPr>
            <w:tcW w:w="1843" w:type="dxa"/>
            <w:tcBorders>
              <w:bottom w:val="single" w:sz="4" w:space="0" w:color="auto"/>
            </w:tcBorders>
          </w:tcPr>
          <w:p>
            <w:pPr>
              <w:pStyle w:val="yTableNAm"/>
            </w:pPr>
          </w:p>
          <w:p>
            <w:pPr>
              <w:pStyle w:val="yTableNAm"/>
            </w:pPr>
            <w:r>
              <w:br/>
              <w:t>$4.95</w:t>
            </w:r>
          </w:p>
        </w:tc>
      </w:tr>
    </w:tbl>
    <w:p>
      <w:pPr>
        <w:pStyle w:val="yFootnoteheading"/>
      </w:pPr>
      <w:r>
        <w:tab/>
        <w:t>[Division 4 inserted in Gazette 9 Feb 2010 p. 277-8.]</w:t>
      </w:r>
    </w:p>
    <w:p>
      <w:pPr>
        <w:pStyle w:val="yHeading3"/>
      </w:pPr>
      <w:bookmarkStart w:id="87" w:name="_Toc253404791"/>
      <w:r>
        <w:rPr>
          <w:rStyle w:val="CharSDivNo"/>
        </w:rPr>
        <w:t>Division 5</w:t>
      </w:r>
      <w:r>
        <w:t> — </w:t>
      </w:r>
      <w:r>
        <w:rPr>
          <w:rStyle w:val="CharSDivText"/>
        </w:rPr>
        <w:t>Pilbara region</w:t>
      </w:r>
      <w:bookmarkEnd w:id="87"/>
    </w:p>
    <w:p>
      <w:pPr>
        <w:pStyle w:val="yFootnoteheading"/>
      </w:pPr>
      <w:r>
        <w:tab/>
        <w:t>[Heading inserted in Gazette 9 Feb 2010 p. 278.]</w:t>
      </w:r>
    </w:p>
    <w:p>
      <w:pPr>
        <w:pStyle w:val="yHeading5"/>
      </w:pPr>
      <w:bookmarkStart w:id="88" w:name="_Toc253404792"/>
      <w:r>
        <w:tab/>
        <w:t>Brief description</w:t>
      </w:r>
      <w:bookmarkEnd w:id="88"/>
    </w:p>
    <w:p>
      <w:pPr>
        <w:pStyle w:val="ySubsection"/>
      </w:pPr>
      <w:r>
        <w:tab/>
      </w:r>
      <w:r>
        <w:tab/>
        <w:t>Includes all towns south of the Kimberley region border to a line extending east</w:t>
      </w:r>
      <w:r>
        <w:noBreakHyphen/>
        <w:t>west across the State, above Cue (see map).</w:t>
      </w:r>
    </w:p>
    <w:p>
      <w:pPr>
        <w:pStyle w:val="yHeading5"/>
      </w:pPr>
      <w:bookmarkStart w:id="89" w:name="_Toc253404793"/>
      <w:r>
        <w:tab/>
        <w:t>Major towns</w:t>
      </w:r>
      <w:bookmarkEnd w:id="89"/>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Denham — (Shire of Shark Bay)</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Newman — (Shire of East Pilbara)</w:t>
      </w:r>
    </w:p>
    <w:p>
      <w:pPr>
        <w:pStyle w:val="yIndenta"/>
      </w:pPr>
      <w:r>
        <w:tab/>
      </w:r>
      <w:r>
        <w:sym w:font="Symbol" w:char="F0B7"/>
      </w:r>
      <w:r>
        <w:tab/>
        <w:t>Port Hedland — (Town of Port Hedland)</w:t>
      </w:r>
    </w:p>
    <w:p>
      <w:pPr>
        <w:pStyle w:val="yIndenta"/>
      </w:pPr>
      <w:r>
        <w:tab/>
      </w:r>
      <w:r>
        <w:sym w:font="Symbol" w:char="F0B7"/>
      </w:r>
      <w:r>
        <w:tab/>
        <w:t>Tom Price &amp; Onslow — (Shire of Ashburton)</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992" w:type="dxa"/>
            <w:tcBorders>
              <w:top w:val="single" w:sz="4" w:space="0" w:color="auto"/>
              <w:left w:val="nil"/>
              <w:bottom w:val="single" w:sz="4" w:space="0" w:color="auto"/>
            </w:tcBorders>
          </w:tcPr>
          <w:p>
            <w:pPr>
              <w:pStyle w:val="yTableNAm"/>
            </w:pPr>
            <w:r>
              <w:rPr>
                <w:b/>
                <w:bCs/>
              </w:rPr>
              <w:t>Flagfall</w:t>
            </w:r>
          </w:p>
        </w:tc>
        <w:tc>
          <w:tcPr>
            <w:tcW w:w="1560" w:type="dxa"/>
            <w:tcBorders>
              <w:top w:val="single" w:sz="4" w:space="0" w:color="auto"/>
              <w:bottom w:val="single" w:sz="4" w:space="0" w:color="auto"/>
            </w:tcBorders>
          </w:tcPr>
          <w:p>
            <w:pPr>
              <w:pStyle w:val="yTableNAm"/>
            </w:pPr>
            <w:r>
              <w:rPr>
                <w:b/>
                <w:bCs/>
              </w:rPr>
              <w:t xml:space="preserve">Distance rate </w:t>
            </w:r>
          </w:p>
        </w:tc>
        <w:tc>
          <w:tcPr>
            <w:tcW w:w="1417" w:type="dxa"/>
            <w:tcBorders>
              <w:top w:val="single" w:sz="4" w:space="0" w:color="auto"/>
              <w:bottom w:val="single" w:sz="4" w:space="0" w:color="auto"/>
            </w:tcBorders>
          </w:tcPr>
          <w:p>
            <w:pPr>
              <w:pStyle w:val="yTableNAm"/>
            </w:pPr>
            <w:r>
              <w:rPr>
                <w:b/>
                <w:bCs/>
              </w:rPr>
              <w:t xml:space="preserve">Detention </w:t>
            </w:r>
          </w:p>
        </w:tc>
      </w:tr>
      <w:tr>
        <w:trPr>
          <w:cantSplit/>
        </w:trPr>
        <w:tc>
          <w:tcPr>
            <w:tcW w:w="2126" w:type="dxa"/>
            <w:tcBorders>
              <w:right w:val="single" w:sz="4" w:space="0" w:color="auto"/>
            </w:tcBorders>
          </w:tcPr>
          <w:p>
            <w:pPr>
              <w:pStyle w:val="yTableNAm"/>
            </w:pPr>
            <w:r>
              <w:rPr>
                <w:b/>
                <w:bCs/>
              </w:rPr>
              <w:t>Tariff 1</w:t>
            </w:r>
          </w:p>
          <w:p>
            <w:pPr>
              <w:pStyle w:val="yTableNAm"/>
              <w:tabs>
                <w:tab w:val="clear" w:pos="567"/>
                <w:tab w:val="left" w:pos="263"/>
              </w:tabs>
              <w:ind w:left="263" w:hanging="263"/>
            </w:pPr>
            <w:r>
              <w:tab/>
              <w:t>Monday to Friday 6 a.m. to 6 p.m.</w:t>
            </w:r>
          </w:p>
        </w:tc>
        <w:tc>
          <w:tcPr>
            <w:tcW w:w="992" w:type="dxa"/>
            <w:tcBorders>
              <w:left w:val="nil"/>
            </w:tcBorders>
          </w:tcPr>
          <w:p>
            <w:pPr>
              <w:pStyle w:val="yTableNAm"/>
            </w:pPr>
          </w:p>
          <w:p>
            <w:pPr>
              <w:pStyle w:val="yTableNAm"/>
            </w:pPr>
            <w:r>
              <w:br/>
              <w:t>$3.60</w:t>
            </w:r>
          </w:p>
        </w:tc>
        <w:tc>
          <w:tcPr>
            <w:tcW w:w="1560" w:type="dxa"/>
          </w:tcPr>
          <w:p>
            <w:pPr>
              <w:pStyle w:val="yTableNAm"/>
            </w:pPr>
          </w:p>
          <w:p>
            <w:pPr>
              <w:pStyle w:val="yTableNAm"/>
            </w:pPr>
            <w:r>
              <w:br/>
              <w:t>$1.99/km</w:t>
            </w:r>
          </w:p>
        </w:tc>
        <w:tc>
          <w:tcPr>
            <w:tcW w:w="1417" w:type="dxa"/>
          </w:tcPr>
          <w:p>
            <w:pPr>
              <w:pStyle w:val="yTableNAm"/>
            </w:pPr>
          </w:p>
          <w:p>
            <w:pPr>
              <w:pStyle w:val="yTableNAm"/>
            </w:pPr>
            <w:r>
              <w:br/>
              <w:t>$42.55/hour</w:t>
            </w:r>
          </w:p>
        </w:tc>
      </w:tr>
      <w:tr>
        <w:trPr>
          <w:cantSplit/>
        </w:trPr>
        <w:tc>
          <w:tcPr>
            <w:tcW w:w="2126" w:type="dxa"/>
            <w:tcBorders>
              <w:right w:val="single" w:sz="4" w:space="0" w:color="auto"/>
            </w:tcBorders>
          </w:tcPr>
          <w:p>
            <w:pPr>
              <w:pStyle w:val="yTableNAm"/>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992" w:type="dxa"/>
            <w:tcBorders>
              <w:left w:val="nil"/>
            </w:tcBorders>
          </w:tcPr>
          <w:p>
            <w:pPr>
              <w:pStyle w:val="yTableNAm"/>
            </w:pPr>
          </w:p>
          <w:p>
            <w:pPr>
              <w:pStyle w:val="yTableNAm"/>
            </w:pPr>
            <w:r>
              <w:br/>
            </w:r>
          </w:p>
          <w:p>
            <w:pPr>
              <w:pStyle w:val="yTableNAm"/>
            </w:pPr>
            <w:r>
              <w:br/>
            </w:r>
          </w:p>
          <w:p>
            <w:pPr>
              <w:pStyle w:val="yTableNAm"/>
            </w:pPr>
            <w:r>
              <w:br/>
              <w:t>$5.30</w:t>
            </w:r>
          </w:p>
        </w:tc>
        <w:tc>
          <w:tcPr>
            <w:tcW w:w="1560" w:type="dxa"/>
          </w:tcPr>
          <w:p>
            <w:pPr>
              <w:pStyle w:val="yTableNAm"/>
            </w:pPr>
          </w:p>
          <w:p>
            <w:pPr>
              <w:pStyle w:val="yTableNAm"/>
            </w:pPr>
            <w:r>
              <w:br/>
            </w:r>
          </w:p>
          <w:p>
            <w:pPr>
              <w:pStyle w:val="yTableNAm"/>
            </w:pPr>
            <w:r>
              <w:br/>
            </w:r>
          </w:p>
          <w:p>
            <w:pPr>
              <w:pStyle w:val="yTableNAm"/>
            </w:pPr>
            <w:r>
              <w:br/>
              <w:t>$1.99/km</w:t>
            </w:r>
          </w:p>
        </w:tc>
        <w:tc>
          <w:tcPr>
            <w:tcW w:w="1417" w:type="dxa"/>
          </w:tcPr>
          <w:p>
            <w:pPr>
              <w:pStyle w:val="yTableNAm"/>
            </w:pPr>
          </w:p>
          <w:p>
            <w:pPr>
              <w:pStyle w:val="yTableNAm"/>
            </w:pPr>
            <w:r>
              <w:br/>
            </w:r>
          </w:p>
          <w:p>
            <w:pPr>
              <w:pStyle w:val="yTableNAm"/>
            </w:pPr>
            <w:r>
              <w:br/>
            </w:r>
          </w:p>
          <w:p>
            <w:pPr>
              <w:pStyle w:val="yTableNAm"/>
            </w:pPr>
            <w:r>
              <w:br/>
              <w:t>$42.55/hour</w:t>
            </w:r>
          </w:p>
        </w:tc>
      </w:tr>
      <w:tr>
        <w:trPr>
          <w:cantSplit/>
        </w:trPr>
        <w:tc>
          <w:tcPr>
            <w:tcW w:w="2126" w:type="dxa"/>
            <w:tcBorders>
              <w:bottom w:val="single" w:sz="4" w:space="0" w:color="auto"/>
              <w:right w:val="single" w:sz="4" w:space="0" w:color="auto"/>
            </w:tcBorders>
          </w:tcPr>
          <w:p>
            <w:pPr>
              <w:pStyle w:val="yTableNAm"/>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NAm"/>
            </w:pPr>
          </w:p>
          <w:p>
            <w:pPr>
              <w:pStyle w:val="yTableNAm"/>
            </w:pPr>
            <w:r>
              <w:br/>
            </w:r>
            <w:r>
              <w:br/>
            </w:r>
            <w:r>
              <w:br/>
            </w:r>
            <w:r>
              <w:br/>
            </w:r>
            <w:r>
              <w:br/>
            </w:r>
            <w:r>
              <w:br/>
              <w:t>$5.30</w:t>
            </w:r>
          </w:p>
        </w:tc>
        <w:tc>
          <w:tcPr>
            <w:tcW w:w="1560" w:type="dxa"/>
            <w:tcBorders>
              <w:bottom w:val="single" w:sz="4" w:space="0" w:color="auto"/>
            </w:tcBorders>
          </w:tcPr>
          <w:p>
            <w:pPr>
              <w:pStyle w:val="yTableNAm"/>
            </w:pPr>
          </w:p>
          <w:p>
            <w:pPr>
              <w:pStyle w:val="yTableNAm"/>
            </w:pPr>
            <w:r>
              <w:br/>
            </w:r>
            <w:r>
              <w:br/>
            </w:r>
            <w:r>
              <w:br/>
            </w:r>
            <w:r>
              <w:br/>
            </w:r>
            <w:r>
              <w:br/>
            </w:r>
            <w:r>
              <w:br/>
              <w:t>$2.94/km</w:t>
            </w:r>
          </w:p>
        </w:tc>
        <w:tc>
          <w:tcPr>
            <w:tcW w:w="1417" w:type="dxa"/>
            <w:tcBorders>
              <w:bottom w:val="single" w:sz="4" w:space="0" w:color="auto"/>
            </w:tcBorders>
          </w:tcPr>
          <w:p>
            <w:pPr>
              <w:pStyle w:val="yTableNAm"/>
            </w:pPr>
          </w:p>
          <w:p>
            <w:pPr>
              <w:pStyle w:val="yTableNAm"/>
            </w:pPr>
            <w:r>
              <w:br/>
            </w:r>
            <w:r>
              <w:br/>
            </w:r>
            <w:r>
              <w:br/>
            </w:r>
            <w:r>
              <w:br/>
            </w:r>
            <w:r>
              <w:br/>
            </w:r>
            <w:r>
              <w:br/>
              <w:t>$65.95/hour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cantSplit/>
          <w:tblHeader/>
        </w:trPr>
        <w:tc>
          <w:tcPr>
            <w:tcW w:w="3118"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118"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nil"/>
            </w:tcBorders>
          </w:tcPr>
          <w:p>
            <w:pPr>
              <w:pStyle w:val="yTableNAm"/>
            </w:pPr>
            <w:r>
              <w:br/>
              <w:t>$1.08/km</w:t>
            </w:r>
          </w:p>
        </w:tc>
      </w:tr>
      <w:tr>
        <w:trPr>
          <w:cantSplit/>
        </w:trPr>
        <w:tc>
          <w:tcPr>
            <w:tcW w:w="3118"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$1.63/km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rPr>
          <w:cantSplit/>
        </w:trPr>
        <w:tc>
          <w:tcPr>
            <w:tcW w:w="4252" w:type="dxa"/>
          </w:tcPr>
          <w:p>
            <w:pPr>
              <w:pStyle w:val="yTableNAm"/>
              <w:rPr>
                <w:b/>
                <w:bCs/>
              </w:rPr>
            </w:pPr>
            <w:r>
              <w:rPr>
                <w:b/>
                <w:bCs/>
              </w:rPr>
              <w:t>Cleaning</w:t>
            </w:r>
          </w:p>
          <w:p>
            <w:pPr>
              <w:pStyle w:val="yTableNAm"/>
              <w:tabs>
                <w:tab w:val="clear" w:pos="567"/>
                <w:tab w:val="left" w:pos="263"/>
              </w:tabs>
              <w:ind w:left="263" w:hanging="263"/>
            </w:pPr>
            <w:r>
              <w:tab/>
              <w:t>(when soiled during hiring — for time required to clean)</w:t>
            </w:r>
          </w:p>
        </w:tc>
        <w:tc>
          <w:tcPr>
            <w:tcW w:w="1843" w:type="dxa"/>
          </w:tcPr>
          <w:p>
            <w:pPr>
              <w:pStyle w:val="yTableNAm"/>
            </w:pPr>
          </w:p>
          <w:p>
            <w:pPr>
              <w:pStyle w:val="yTableNAm"/>
            </w:pPr>
            <w:r>
              <w:br/>
              <w:t>$42.55/hour</w:t>
            </w:r>
          </w:p>
        </w:tc>
      </w:tr>
      <w:tr>
        <w:trPr>
          <w:cantSplit/>
        </w:trPr>
        <w:tc>
          <w:tcPr>
            <w:tcW w:w="4252" w:type="dxa"/>
          </w:tcPr>
          <w:p>
            <w:pPr>
              <w:pStyle w:val="yTableNAm"/>
              <w:rPr>
                <w:b/>
                <w:bCs/>
              </w:rPr>
            </w:pPr>
            <w:r>
              <w:rPr>
                <w:b/>
                <w:bCs/>
              </w:rPr>
              <w:t>Call out fee</w:t>
            </w:r>
          </w:p>
        </w:tc>
        <w:tc>
          <w:tcPr>
            <w:tcW w:w="1843" w:type="dxa"/>
          </w:tcPr>
          <w:p>
            <w:pPr>
              <w:pStyle w:val="yTableNAm"/>
            </w:pPr>
            <w:r>
              <w:t>$1.50</w:t>
            </w:r>
          </w:p>
        </w:tc>
      </w:tr>
      <w:tr>
        <w:trPr>
          <w:cantSplit/>
          <w:tblHeader/>
        </w:trPr>
        <w:tc>
          <w:tcPr>
            <w:tcW w:w="4252" w:type="dxa"/>
          </w:tcPr>
          <w:p>
            <w:pPr>
              <w:pStyle w:val="yTableNAm"/>
              <w:rPr>
                <w:b/>
                <w:bCs/>
              </w:rPr>
            </w:pPr>
            <w:r>
              <w:rPr>
                <w:b/>
                <w:bCs/>
              </w:rPr>
              <w:t>Surcharges</w:t>
            </w:r>
          </w:p>
        </w:tc>
        <w:tc>
          <w:tcPr>
            <w:tcW w:w="1843" w:type="dxa"/>
          </w:tcPr>
          <w:p>
            <w:pPr>
              <w:pStyle w:val="yTableNAm"/>
            </w:pPr>
          </w:p>
        </w:tc>
      </w:tr>
      <w:tr>
        <w:trPr>
          <w:cantSplit/>
        </w:trPr>
        <w:tc>
          <w:tcPr>
            <w:tcW w:w="4252"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843" w:type="dxa"/>
          </w:tcPr>
          <w:p>
            <w:pPr>
              <w:pStyle w:val="yTableNAm"/>
            </w:pPr>
          </w:p>
          <w:p>
            <w:pPr>
              <w:pStyle w:val="yTableNAm"/>
            </w:pPr>
            <w:r>
              <w:br/>
            </w:r>
            <w:r>
              <w:br/>
              <w:t>$2.00</w:t>
            </w:r>
          </w:p>
        </w:tc>
      </w:tr>
      <w:tr>
        <w:trPr>
          <w:cantSplit/>
        </w:trPr>
        <w:tc>
          <w:tcPr>
            <w:tcW w:w="4252" w:type="dxa"/>
          </w:tcPr>
          <w:p>
            <w:pPr>
              <w:pStyle w:val="yTableNAm"/>
            </w:pPr>
            <w:r>
              <w:t>Christmas Day —</w:t>
            </w:r>
          </w:p>
          <w:p>
            <w:pPr>
              <w:pStyle w:val="yTableNAm"/>
              <w:tabs>
                <w:tab w:val="clear" w:pos="567"/>
                <w:tab w:val="left" w:pos="263"/>
              </w:tabs>
              <w:ind w:left="263" w:hanging="263"/>
            </w:pPr>
            <w:r>
              <w:tab/>
              <w:t>midnight to midnight</w:t>
            </w:r>
          </w:p>
        </w:tc>
        <w:tc>
          <w:tcPr>
            <w:tcW w:w="1843" w:type="dxa"/>
          </w:tcPr>
          <w:p>
            <w:pPr>
              <w:pStyle w:val="yTableNAm"/>
            </w:pPr>
          </w:p>
          <w:p>
            <w:pPr>
              <w:pStyle w:val="yTableNAm"/>
            </w:pPr>
            <w:r>
              <w:t>$4.45</w:t>
            </w:r>
          </w:p>
        </w:tc>
      </w:tr>
      <w:tr>
        <w:trPr>
          <w:cantSplit/>
          <w:trHeight w:val="20"/>
        </w:trPr>
        <w:tc>
          <w:tcPr>
            <w:tcW w:w="4252" w:type="dxa"/>
          </w:tcPr>
          <w:p>
            <w:pPr>
              <w:pStyle w:val="yTableNAm"/>
            </w:pPr>
            <w:r>
              <w:t>New Year’s Eve —</w:t>
            </w:r>
          </w:p>
          <w:p>
            <w:pPr>
              <w:pStyle w:val="yTableNAm"/>
              <w:tabs>
                <w:tab w:val="clear" w:pos="567"/>
                <w:tab w:val="left" w:pos="263"/>
              </w:tabs>
              <w:ind w:left="263" w:hanging="263"/>
            </w:pPr>
            <w:r>
              <w:tab/>
              <w:t xml:space="preserve">6 p.m. New Year’s Eve </w:t>
            </w:r>
            <w:r>
              <w:br/>
              <w:t>to 6 a.m. New Year’s Day</w:t>
            </w:r>
          </w:p>
        </w:tc>
        <w:tc>
          <w:tcPr>
            <w:tcW w:w="1843" w:type="dxa"/>
          </w:tcPr>
          <w:p>
            <w:pPr>
              <w:pStyle w:val="yTableNAm"/>
            </w:pPr>
          </w:p>
          <w:p>
            <w:pPr>
              <w:pStyle w:val="yTableNAm"/>
            </w:pPr>
            <w:r>
              <w:br/>
              <w:t>$4.95</w:t>
            </w:r>
          </w:p>
        </w:tc>
      </w:tr>
    </w:tbl>
    <w:p>
      <w:pPr>
        <w:pStyle w:val="yFootnoteheading"/>
      </w:pPr>
      <w:r>
        <w:tab/>
        <w:t>[Division 5 inserted in Gazette 9 Feb 2010 p. 278-9.]</w:t>
      </w:r>
    </w:p>
    <w:p>
      <w:pPr>
        <w:pStyle w:val="yHeading3"/>
      </w:pPr>
      <w:bookmarkStart w:id="90" w:name="_Toc253404794"/>
      <w:r>
        <w:rPr>
          <w:rStyle w:val="CharSDivNo"/>
        </w:rPr>
        <w:t>Division 6</w:t>
      </w:r>
      <w:r>
        <w:t> — </w:t>
      </w:r>
      <w:r>
        <w:rPr>
          <w:rStyle w:val="CharSDivText"/>
        </w:rPr>
        <w:t>South</w:t>
      </w:r>
      <w:r>
        <w:rPr>
          <w:rStyle w:val="CharSDivText"/>
        </w:rPr>
        <w:noBreakHyphen/>
        <w:t>west region</w:t>
      </w:r>
      <w:bookmarkEnd w:id="90"/>
    </w:p>
    <w:p>
      <w:pPr>
        <w:pStyle w:val="yFootnoteheading"/>
      </w:pPr>
      <w:r>
        <w:tab/>
        <w:t>[Heading inserted in Gazette 9 Feb 2010 p. 280.]</w:t>
      </w:r>
    </w:p>
    <w:p>
      <w:pPr>
        <w:pStyle w:val="yHeading5"/>
      </w:pPr>
      <w:bookmarkStart w:id="91" w:name="_Toc253404795"/>
      <w:r>
        <w:tab/>
        <w:t>Brief description</w:t>
      </w:r>
      <w:bookmarkEnd w:id="91"/>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92" w:name="_Toc253404796"/>
      <w:r>
        <w:tab/>
        <w:t>Major towns/cities</w:t>
      </w:r>
      <w:bookmarkEnd w:id="92"/>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t>Albany — (City of Albany)</w:t>
      </w:r>
    </w:p>
    <w:p>
      <w:pPr>
        <w:pStyle w:val="yIndenta"/>
      </w:pPr>
      <w:r>
        <w:tab/>
      </w:r>
      <w:r>
        <w:sym w:font="Symbol" w:char="F0B7"/>
      </w:r>
      <w:r>
        <w:tab/>
        <w:t>Augusta &amp; Margaret River — (Shire of Augusta</w:t>
      </w:r>
      <w:r>
        <w:noBreakHyphen/>
        <w:t>Margaret River)</w:t>
      </w:r>
    </w:p>
    <w:p>
      <w:pPr>
        <w:pStyle w:val="yIndenta"/>
      </w:pPr>
      <w:r>
        <w:tab/>
      </w:r>
      <w:r>
        <w:sym w:font="Symbol" w:char="F0B7"/>
      </w:r>
      <w:r>
        <w:tab/>
        <w:t>Boddington — (Shire of Boddington)</w:t>
      </w:r>
    </w:p>
    <w:p>
      <w:pPr>
        <w:pStyle w:val="yIndenta"/>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t>Denmark — (Shire of Denmark)</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Harvey — (Shire of Harvey)</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Mandurah — (City of Mandurah)</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Pinjarra — (Shire of Murray)</w:t>
      </w:r>
    </w:p>
    <w:p>
      <w:pPr>
        <w:pStyle w:val="yIndenta"/>
      </w:pPr>
      <w:r>
        <w:tab/>
      </w:r>
      <w:r>
        <w:sym w:font="Symbol" w:char="F0B7"/>
      </w:r>
      <w:r>
        <w:tab/>
        <w:t>Wagin — (Shire of Wagin)</w:t>
      </w:r>
    </w:p>
    <w:p>
      <w:pPr>
        <w:pStyle w:val="yIndenta"/>
      </w:pPr>
      <w:r>
        <w:tab/>
      </w:r>
      <w:r>
        <w:sym w:font="Symbol" w:char="F0B7"/>
      </w:r>
      <w:r>
        <w:tab/>
        <w:t>Waroona — (Shire of Waroona)</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992" w:type="dxa"/>
            <w:tcBorders>
              <w:top w:val="single" w:sz="4" w:space="0" w:color="auto"/>
              <w:left w:val="nil"/>
              <w:bottom w:val="single" w:sz="4" w:space="0" w:color="auto"/>
            </w:tcBorders>
          </w:tcPr>
          <w:p>
            <w:pPr>
              <w:pStyle w:val="yTableNAm"/>
            </w:pPr>
            <w:r>
              <w:rPr>
                <w:b/>
                <w:bCs/>
              </w:rPr>
              <w:t>Flagfall</w:t>
            </w:r>
          </w:p>
        </w:tc>
        <w:tc>
          <w:tcPr>
            <w:tcW w:w="1560" w:type="dxa"/>
            <w:tcBorders>
              <w:top w:val="single" w:sz="4" w:space="0" w:color="auto"/>
              <w:bottom w:val="single" w:sz="4" w:space="0" w:color="auto"/>
            </w:tcBorders>
          </w:tcPr>
          <w:p>
            <w:pPr>
              <w:pStyle w:val="yTableNAm"/>
            </w:pPr>
            <w:r>
              <w:rPr>
                <w:b/>
                <w:bCs/>
              </w:rPr>
              <w:t xml:space="preserve">Distance rate </w:t>
            </w:r>
          </w:p>
        </w:tc>
        <w:tc>
          <w:tcPr>
            <w:tcW w:w="1417" w:type="dxa"/>
            <w:tcBorders>
              <w:top w:val="single" w:sz="4" w:space="0" w:color="auto"/>
              <w:bottom w:val="single" w:sz="4" w:space="0" w:color="auto"/>
            </w:tcBorders>
          </w:tcPr>
          <w:p>
            <w:pPr>
              <w:pStyle w:val="yTableNAm"/>
            </w:pPr>
            <w:r>
              <w:rPr>
                <w:b/>
                <w:bCs/>
              </w:rPr>
              <w:t xml:space="preserve">Detention </w:t>
            </w:r>
          </w:p>
        </w:tc>
      </w:tr>
      <w:tr>
        <w:trPr>
          <w:cantSplit/>
        </w:trPr>
        <w:tc>
          <w:tcPr>
            <w:tcW w:w="2126" w:type="dxa"/>
            <w:tcBorders>
              <w:top w:val="single" w:sz="4" w:space="0" w:color="auto"/>
              <w:right w:val="single" w:sz="4" w:space="0" w:color="auto"/>
            </w:tcBorders>
          </w:tcPr>
          <w:p>
            <w:pPr>
              <w:pStyle w:val="yTableNAm"/>
            </w:pPr>
            <w:r>
              <w:rPr>
                <w:b/>
                <w:bCs/>
              </w:rPr>
              <w:t>Tariff 1</w:t>
            </w:r>
          </w:p>
          <w:p>
            <w:pPr>
              <w:pStyle w:val="yTableNAm"/>
              <w:tabs>
                <w:tab w:val="clear" w:pos="567"/>
                <w:tab w:val="left" w:pos="263"/>
              </w:tabs>
              <w:ind w:left="263" w:hanging="263"/>
            </w:pPr>
            <w:r>
              <w:tab/>
              <w:t>Monday to Friday 6 a.m. to 6 p.m.</w:t>
            </w:r>
          </w:p>
        </w:tc>
        <w:tc>
          <w:tcPr>
            <w:tcW w:w="992" w:type="dxa"/>
            <w:tcBorders>
              <w:top w:val="single" w:sz="4" w:space="0" w:color="auto"/>
              <w:left w:val="nil"/>
            </w:tcBorders>
          </w:tcPr>
          <w:p>
            <w:pPr>
              <w:pStyle w:val="yTableNAm"/>
            </w:pPr>
          </w:p>
          <w:p>
            <w:pPr>
              <w:pStyle w:val="yTableNAm"/>
            </w:pPr>
            <w:r>
              <w:br/>
              <w:t>$3.60</w:t>
            </w:r>
          </w:p>
        </w:tc>
        <w:tc>
          <w:tcPr>
            <w:tcW w:w="1560" w:type="dxa"/>
            <w:tcBorders>
              <w:top w:val="single" w:sz="4" w:space="0" w:color="auto"/>
            </w:tcBorders>
          </w:tcPr>
          <w:p>
            <w:pPr>
              <w:pStyle w:val="yTableNAm"/>
            </w:pPr>
          </w:p>
          <w:p>
            <w:pPr>
              <w:pStyle w:val="yTableNAm"/>
            </w:pPr>
            <w:r>
              <w:br/>
              <w:t>$1.48/km</w:t>
            </w:r>
          </w:p>
        </w:tc>
        <w:tc>
          <w:tcPr>
            <w:tcW w:w="1417" w:type="dxa"/>
            <w:tcBorders>
              <w:top w:val="single" w:sz="4" w:space="0" w:color="auto"/>
            </w:tcBorders>
          </w:tcPr>
          <w:p>
            <w:pPr>
              <w:pStyle w:val="yTableNAm"/>
            </w:pPr>
          </w:p>
          <w:p>
            <w:pPr>
              <w:pStyle w:val="yTableNAm"/>
            </w:pPr>
            <w:r>
              <w:br/>
              <w:t>$42.55/hour</w:t>
            </w:r>
          </w:p>
        </w:tc>
      </w:tr>
      <w:tr>
        <w:trPr>
          <w:cantSplit/>
        </w:trPr>
        <w:tc>
          <w:tcPr>
            <w:tcW w:w="2126" w:type="dxa"/>
            <w:tcBorders>
              <w:right w:val="single" w:sz="4" w:space="0" w:color="auto"/>
            </w:tcBorders>
          </w:tcPr>
          <w:p>
            <w:pPr>
              <w:pStyle w:val="yTableNAm"/>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992" w:type="dxa"/>
            <w:tcBorders>
              <w:left w:val="nil"/>
            </w:tcBorders>
          </w:tcPr>
          <w:p>
            <w:pPr>
              <w:pStyle w:val="yTableNAm"/>
            </w:pPr>
          </w:p>
          <w:p>
            <w:pPr>
              <w:pStyle w:val="yTableNAm"/>
            </w:pPr>
            <w:r>
              <w:br/>
            </w:r>
          </w:p>
          <w:p>
            <w:pPr>
              <w:pStyle w:val="yTableNAm"/>
            </w:pPr>
            <w:r>
              <w:br/>
            </w:r>
          </w:p>
          <w:p>
            <w:pPr>
              <w:pStyle w:val="yTableNAm"/>
            </w:pPr>
            <w:r>
              <w:br/>
              <w:t>$5.30</w:t>
            </w:r>
          </w:p>
        </w:tc>
        <w:tc>
          <w:tcPr>
            <w:tcW w:w="1560" w:type="dxa"/>
          </w:tcPr>
          <w:p>
            <w:pPr>
              <w:pStyle w:val="yTableNAm"/>
            </w:pPr>
          </w:p>
          <w:p>
            <w:pPr>
              <w:pStyle w:val="yTableNAm"/>
            </w:pPr>
            <w:r>
              <w:br/>
            </w:r>
          </w:p>
          <w:p>
            <w:pPr>
              <w:pStyle w:val="yTableNAm"/>
            </w:pPr>
            <w:r>
              <w:br/>
            </w:r>
          </w:p>
          <w:p>
            <w:pPr>
              <w:pStyle w:val="yTableNAm"/>
            </w:pPr>
            <w:r>
              <w:br/>
              <w:t>$1.48/km</w:t>
            </w:r>
          </w:p>
        </w:tc>
        <w:tc>
          <w:tcPr>
            <w:tcW w:w="1417" w:type="dxa"/>
          </w:tcPr>
          <w:p>
            <w:pPr>
              <w:pStyle w:val="yTableNAm"/>
            </w:pPr>
          </w:p>
          <w:p>
            <w:pPr>
              <w:pStyle w:val="yTableNAm"/>
            </w:pPr>
            <w:r>
              <w:br/>
            </w:r>
          </w:p>
          <w:p>
            <w:pPr>
              <w:pStyle w:val="yTableNAm"/>
            </w:pPr>
            <w:r>
              <w:br/>
            </w:r>
          </w:p>
          <w:p>
            <w:pPr>
              <w:pStyle w:val="yTableNAm"/>
            </w:pPr>
            <w:r>
              <w:br/>
              <w:t>$42.55/hour</w:t>
            </w:r>
          </w:p>
        </w:tc>
      </w:tr>
      <w:tr>
        <w:trPr>
          <w:cantSplit/>
        </w:trPr>
        <w:tc>
          <w:tcPr>
            <w:tcW w:w="2126" w:type="dxa"/>
            <w:tcBorders>
              <w:bottom w:val="single" w:sz="4" w:space="0" w:color="auto"/>
              <w:right w:val="single" w:sz="4" w:space="0" w:color="auto"/>
            </w:tcBorders>
          </w:tcPr>
          <w:p>
            <w:pPr>
              <w:pStyle w:val="yTableNAm"/>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NAm"/>
            </w:pPr>
          </w:p>
          <w:p>
            <w:pPr>
              <w:pStyle w:val="yTableNAm"/>
            </w:pPr>
            <w:r>
              <w:br/>
            </w:r>
            <w:r>
              <w:br/>
            </w:r>
            <w:r>
              <w:br/>
            </w:r>
            <w:r>
              <w:br/>
            </w:r>
            <w:r>
              <w:br/>
            </w:r>
            <w:r>
              <w:br/>
              <w:t>$5.30</w:t>
            </w:r>
          </w:p>
        </w:tc>
        <w:tc>
          <w:tcPr>
            <w:tcW w:w="1560" w:type="dxa"/>
            <w:tcBorders>
              <w:bottom w:val="single" w:sz="4" w:space="0" w:color="auto"/>
            </w:tcBorders>
          </w:tcPr>
          <w:p>
            <w:pPr>
              <w:pStyle w:val="yTableNAm"/>
            </w:pPr>
          </w:p>
          <w:p>
            <w:pPr>
              <w:pStyle w:val="yTableNAm"/>
            </w:pPr>
            <w:r>
              <w:br/>
            </w:r>
            <w:r>
              <w:br/>
            </w:r>
            <w:r>
              <w:br/>
            </w:r>
            <w:r>
              <w:br/>
            </w:r>
            <w:r>
              <w:br/>
            </w:r>
            <w:r>
              <w:br/>
              <w:t>$2.22/km</w:t>
            </w:r>
          </w:p>
        </w:tc>
        <w:tc>
          <w:tcPr>
            <w:tcW w:w="1417" w:type="dxa"/>
            <w:tcBorders>
              <w:bottom w:val="single" w:sz="4" w:space="0" w:color="auto"/>
            </w:tcBorders>
          </w:tcPr>
          <w:p>
            <w:pPr>
              <w:pStyle w:val="yTableNAm"/>
            </w:pPr>
          </w:p>
          <w:p>
            <w:pPr>
              <w:pStyle w:val="yTableNAm"/>
            </w:pPr>
            <w:r>
              <w:br/>
            </w:r>
            <w:r>
              <w:br/>
            </w:r>
            <w:r>
              <w:br/>
            </w:r>
            <w:r>
              <w:br/>
            </w:r>
            <w:r>
              <w:br/>
            </w:r>
            <w:r>
              <w:br/>
              <w:t>$65.95/hour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cantSplit/>
          <w:tblHeader/>
        </w:trPr>
        <w:tc>
          <w:tcPr>
            <w:tcW w:w="3118"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118"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$0.91/km</w:t>
            </w:r>
          </w:p>
        </w:tc>
      </w:tr>
      <w:tr>
        <w:trPr>
          <w:cantSplit/>
        </w:trPr>
        <w:tc>
          <w:tcPr>
            <w:tcW w:w="3118"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$1.36/km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rPr>
          <w:cantSplit/>
        </w:trPr>
        <w:tc>
          <w:tcPr>
            <w:tcW w:w="4252" w:type="dxa"/>
          </w:tcPr>
          <w:p>
            <w:pPr>
              <w:pStyle w:val="yTableNAm"/>
              <w:rPr>
                <w:b/>
                <w:bCs/>
              </w:rPr>
            </w:pPr>
            <w:r>
              <w:rPr>
                <w:b/>
                <w:bCs/>
              </w:rPr>
              <w:t>Cleaning</w:t>
            </w:r>
          </w:p>
          <w:p>
            <w:pPr>
              <w:pStyle w:val="yTableNAm"/>
              <w:tabs>
                <w:tab w:val="clear" w:pos="567"/>
                <w:tab w:val="left" w:pos="263"/>
              </w:tabs>
              <w:ind w:left="263" w:hanging="263"/>
            </w:pPr>
            <w:r>
              <w:tab/>
              <w:t>(when soiled during hiring — for time required to clean)</w:t>
            </w:r>
          </w:p>
        </w:tc>
        <w:tc>
          <w:tcPr>
            <w:tcW w:w="1843" w:type="dxa"/>
          </w:tcPr>
          <w:p>
            <w:pPr>
              <w:pStyle w:val="yTableNAm"/>
            </w:pPr>
          </w:p>
          <w:p>
            <w:pPr>
              <w:pStyle w:val="yTableNAm"/>
            </w:pPr>
            <w:r>
              <w:br/>
              <w:t xml:space="preserve">$42.55/hour </w:t>
            </w:r>
          </w:p>
        </w:tc>
      </w:tr>
      <w:tr>
        <w:trPr>
          <w:cantSplit/>
        </w:trPr>
        <w:tc>
          <w:tcPr>
            <w:tcW w:w="4252" w:type="dxa"/>
          </w:tcPr>
          <w:p>
            <w:pPr>
              <w:pStyle w:val="yTableNAm"/>
              <w:rPr>
                <w:b/>
                <w:bCs/>
              </w:rPr>
            </w:pPr>
            <w:r>
              <w:rPr>
                <w:b/>
                <w:bCs/>
              </w:rPr>
              <w:t>Call out fee</w:t>
            </w:r>
          </w:p>
        </w:tc>
        <w:tc>
          <w:tcPr>
            <w:tcW w:w="1843" w:type="dxa"/>
          </w:tcPr>
          <w:p>
            <w:pPr>
              <w:pStyle w:val="yTableNAm"/>
            </w:pPr>
            <w:r>
              <w:t>$1.50</w:t>
            </w:r>
          </w:p>
        </w:tc>
      </w:tr>
      <w:tr>
        <w:trPr>
          <w:cantSplit/>
          <w:tblHeader/>
        </w:trPr>
        <w:tc>
          <w:tcPr>
            <w:tcW w:w="4252" w:type="dxa"/>
          </w:tcPr>
          <w:p>
            <w:pPr>
              <w:pStyle w:val="yTableNAm"/>
              <w:rPr>
                <w:b/>
                <w:bCs/>
              </w:rPr>
            </w:pPr>
            <w:r>
              <w:rPr>
                <w:b/>
                <w:bCs/>
              </w:rPr>
              <w:t>Surcharges</w:t>
            </w:r>
          </w:p>
        </w:tc>
        <w:tc>
          <w:tcPr>
            <w:tcW w:w="1843" w:type="dxa"/>
          </w:tcPr>
          <w:p>
            <w:pPr>
              <w:pStyle w:val="yTableNAm"/>
            </w:pPr>
          </w:p>
        </w:tc>
      </w:tr>
      <w:tr>
        <w:trPr>
          <w:cantSplit/>
        </w:trPr>
        <w:tc>
          <w:tcPr>
            <w:tcW w:w="4252"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843" w:type="dxa"/>
          </w:tcPr>
          <w:p>
            <w:pPr>
              <w:pStyle w:val="yTableNAm"/>
            </w:pPr>
          </w:p>
          <w:p>
            <w:pPr>
              <w:pStyle w:val="yTableNAm"/>
            </w:pPr>
            <w:r>
              <w:br/>
            </w:r>
            <w:r>
              <w:br/>
              <w:t>$2.00</w:t>
            </w:r>
          </w:p>
        </w:tc>
      </w:tr>
      <w:tr>
        <w:trPr>
          <w:cantSplit/>
        </w:trPr>
        <w:tc>
          <w:tcPr>
            <w:tcW w:w="4252" w:type="dxa"/>
          </w:tcPr>
          <w:p>
            <w:pPr>
              <w:pStyle w:val="yTableNAm"/>
            </w:pPr>
            <w:r>
              <w:t>Christmas Day —</w:t>
            </w:r>
          </w:p>
          <w:p>
            <w:pPr>
              <w:pStyle w:val="yTableNAm"/>
              <w:tabs>
                <w:tab w:val="clear" w:pos="567"/>
                <w:tab w:val="left" w:pos="263"/>
              </w:tabs>
              <w:ind w:left="263" w:hanging="263"/>
            </w:pPr>
            <w:r>
              <w:tab/>
              <w:t>midnight to midnight</w:t>
            </w:r>
          </w:p>
        </w:tc>
        <w:tc>
          <w:tcPr>
            <w:tcW w:w="1843" w:type="dxa"/>
          </w:tcPr>
          <w:p>
            <w:pPr>
              <w:pStyle w:val="yTableNAm"/>
            </w:pPr>
          </w:p>
          <w:p>
            <w:pPr>
              <w:pStyle w:val="yTableNAm"/>
            </w:pPr>
            <w:r>
              <w:t>$4.45</w:t>
            </w:r>
          </w:p>
        </w:tc>
      </w:tr>
      <w:tr>
        <w:trPr>
          <w:cantSplit/>
          <w:trHeight w:val="20"/>
        </w:trPr>
        <w:tc>
          <w:tcPr>
            <w:tcW w:w="4252" w:type="dxa"/>
          </w:tcPr>
          <w:p>
            <w:pPr>
              <w:pStyle w:val="yTableNAm"/>
            </w:pPr>
            <w:r>
              <w:t>New Year’s Eve —</w:t>
            </w:r>
          </w:p>
          <w:p>
            <w:pPr>
              <w:pStyle w:val="yTableNAm"/>
              <w:tabs>
                <w:tab w:val="clear" w:pos="567"/>
                <w:tab w:val="left" w:pos="263"/>
              </w:tabs>
              <w:ind w:left="263" w:hanging="263"/>
            </w:pPr>
            <w:r>
              <w:tab/>
              <w:t xml:space="preserve">6 p.m. New Year’s Eve </w:t>
            </w:r>
            <w:r>
              <w:br/>
              <w:t>to 6 a.m. New Year’s Day</w:t>
            </w:r>
          </w:p>
        </w:tc>
        <w:tc>
          <w:tcPr>
            <w:tcW w:w="1843" w:type="dxa"/>
          </w:tcPr>
          <w:p>
            <w:pPr>
              <w:pStyle w:val="yTableNAm"/>
            </w:pPr>
          </w:p>
          <w:p>
            <w:pPr>
              <w:pStyle w:val="yTableNAm"/>
            </w:pPr>
            <w:r>
              <w:br/>
              <w:t>$4.95</w:t>
            </w:r>
          </w:p>
        </w:tc>
      </w:tr>
    </w:tbl>
    <w:p>
      <w:pPr>
        <w:pStyle w:val="yFootnoteheading"/>
      </w:pPr>
      <w:r>
        <w:tab/>
        <w:t>[Division 6 inserted in Gazette 9 Feb 2010 p. 280-1.]</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pPr>
      <w:r>
        <w:rPr>
          <w:noProof/>
          <w:lang w:eastAsia="en-AU"/>
        </w:rPr>
        <w:drawing>
          <wp:inline distT="0" distB="0" distL="0" distR="0">
            <wp:extent cx="3895725" cy="5124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p>
    <w:p>
      <w:pPr>
        <w:pStyle w:val="yFootnotesection"/>
      </w:pPr>
      <w:r>
        <w:tab/>
        <w:t>[Map to Schedule 1 inserted in Gazette 21 Dec 2007 p. 6338.]</w:t>
      </w:r>
    </w:p>
    <w:p>
      <w:pPr>
        <w:pStyle w:val="yScheduleHeading"/>
      </w:pPr>
      <w:bookmarkStart w:id="93" w:name="_Toc185925046"/>
      <w:bookmarkStart w:id="94" w:name="_Toc205264019"/>
      <w:bookmarkStart w:id="95" w:name="_Toc205268148"/>
      <w:bookmarkStart w:id="96" w:name="_Toc217356698"/>
      <w:bookmarkStart w:id="97" w:name="_Toc219092341"/>
      <w:bookmarkStart w:id="98" w:name="_Toc219093006"/>
      <w:bookmarkStart w:id="99" w:name="_Toc221421995"/>
      <w:bookmarkStart w:id="100" w:name="_Toc221443537"/>
      <w:bookmarkStart w:id="101" w:name="_Toc221936238"/>
      <w:bookmarkStart w:id="102" w:name="_Toc253404797"/>
      <w:r>
        <w:rPr>
          <w:rStyle w:val="CharSchNo"/>
        </w:rPr>
        <w:t>Schedule 2</w:t>
      </w:r>
      <w:r>
        <w:rPr>
          <w:rStyle w:val="CharSDivNo"/>
        </w:rPr>
        <w:t> </w:t>
      </w:r>
      <w:r>
        <w:t>—</w:t>
      </w:r>
      <w:r>
        <w:rPr>
          <w:rStyle w:val="CharSDivText"/>
        </w:rPr>
        <w:t> </w:t>
      </w:r>
      <w:r>
        <w:rPr>
          <w:rStyle w:val="CharSchText"/>
        </w:rPr>
        <w:t>Modified penalties</w:t>
      </w:r>
      <w:bookmarkEnd w:id="72"/>
      <w:bookmarkEnd w:id="73"/>
      <w:bookmarkEnd w:id="93"/>
      <w:bookmarkEnd w:id="94"/>
      <w:bookmarkEnd w:id="95"/>
      <w:bookmarkEnd w:id="96"/>
      <w:bookmarkEnd w:id="97"/>
      <w:bookmarkEnd w:id="98"/>
      <w:bookmarkEnd w:id="99"/>
      <w:bookmarkEnd w:id="100"/>
      <w:bookmarkEnd w:id="101"/>
      <w:bookmarkEnd w:id="102"/>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103" w:name="_Toc140635264"/>
      <w:bookmarkStart w:id="104" w:name="_Toc153266594"/>
      <w:bookmarkStart w:id="105" w:name="_Toc185925047"/>
      <w:bookmarkStart w:id="106" w:name="_Toc205264020"/>
      <w:bookmarkStart w:id="107" w:name="_Toc205268149"/>
      <w:bookmarkStart w:id="108" w:name="_Toc217356699"/>
      <w:bookmarkStart w:id="109" w:name="_Toc219092342"/>
      <w:bookmarkStart w:id="110" w:name="_Toc219093007"/>
      <w:bookmarkStart w:id="111" w:name="_Toc221421996"/>
      <w:bookmarkStart w:id="112" w:name="_Toc221443538"/>
      <w:bookmarkStart w:id="113" w:name="_Toc221936239"/>
      <w:bookmarkStart w:id="114" w:name="_Toc253404798"/>
      <w:r>
        <w:rPr>
          <w:rStyle w:val="CharSchNo"/>
        </w:rPr>
        <w:t>Schedule 3</w:t>
      </w:r>
      <w:r>
        <w:rPr>
          <w:rStyle w:val="CharSDivNo"/>
        </w:rPr>
        <w:t> </w:t>
      </w:r>
      <w:r>
        <w:t>—</w:t>
      </w:r>
      <w:r>
        <w:rPr>
          <w:rStyle w:val="CharSDivText"/>
        </w:rPr>
        <w:t> </w:t>
      </w:r>
      <w:r>
        <w:rPr>
          <w:rStyle w:val="CharSchText"/>
        </w:rPr>
        <w:t>Forms</w:t>
      </w:r>
      <w:bookmarkEnd w:id="103"/>
      <w:bookmarkEnd w:id="104"/>
      <w:bookmarkEnd w:id="105"/>
      <w:bookmarkEnd w:id="106"/>
      <w:bookmarkEnd w:id="107"/>
      <w:bookmarkEnd w:id="108"/>
      <w:bookmarkEnd w:id="109"/>
      <w:bookmarkEnd w:id="110"/>
      <w:bookmarkEnd w:id="111"/>
      <w:bookmarkEnd w:id="112"/>
      <w:bookmarkEnd w:id="113"/>
      <w:bookmarkEnd w:id="114"/>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w:t>
      </w:r>
      <w:r>
        <w:rPr>
          <w:sz w:val="20"/>
          <w:vertAlign w:val="superscript"/>
        </w:rPr>
        <w:t> 2</w:t>
      </w:r>
      <w:r>
        <w:rPr>
          <w:sz w:val="20"/>
        </w:rPr>
        <w:t>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CentredBaseLine"/>
        <w:jc w:val="center"/>
      </w:pPr>
      <w:r>
        <w:rPr>
          <w:noProof/>
          <w:lang w:eastAsia="en-AU"/>
        </w:rPr>
        <w:drawing>
          <wp:inline distT="0" distB="0" distL="0" distR="0">
            <wp:extent cx="933450" cy="171450"/>
            <wp:effectExtent l="0" t="0" r="0" b="0"/>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line.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sectPr>
          <w:headerReference w:type="default" r:id="rId32"/>
          <w:pgSz w:w="11906" w:h="16838" w:code="9"/>
          <w:pgMar w:top="2376" w:right="2405" w:bottom="3542" w:left="2405" w:header="706" w:footer="3380" w:gutter="0"/>
          <w:cols w:space="720"/>
          <w:noEndnote/>
          <w:docGrid w:linePitch="326"/>
        </w:sectPr>
      </w:pPr>
    </w:p>
    <w:p>
      <w:pPr>
        <w:pStyle w:val="nHeading2"/>
      </w:pPr>
      <w:bookmarkStart w:id="115" w:name="_Toc90434964"/>
      <w:bookmarkStart w:id="116" w:name="_Toc93999555"/>
      <w:bookmarkStart w:id="117" w:name="_Toc94065531"/>
      <w:bookmarkStart w:id="118" w:name="_Toc94065555"/>
      <w:bookmarkStart w:id="119" w:name="_Toc121125121"/>
      <w:bookmarkStart w:id="120" w:name="_Toc140570748"/>
      <w:bookmarkStart w:id="121" w:name="_Toc140635265"/>
      <w:bookmarkStart w:id="122" w:name="_Toc153266595"/>
      <w:bookmarkStart w:id="123" w:name="_Toc185925048"/>
      <w:bookmarkStart w:id="124" w:name="_Toc205264021"/>
      <w:bookmarkStart w:id="125" w:name="_Toc205268150"/>
      <w:bookmarkStart w:id="126" w:name="_Toc217356700"/>
      <w:bookmarkStart w:id="127" w:name="_Toc219092343"/>
      <w:bookmarkStart w:id="128" w:name="_Toc219093008"/>
      <w:bookmarkStart w:id="129" w:name="_Toc221421997"/>
      <w:bookmarkStart w:id="130" w:name="_Toc221443539"/>
      <w:bookmarkStart w:id="131" w:name="_Toc221936240"/>
      <w:bookmarkStart w:id="132" w:name="_Toc253404799"/>
      <w:r>
        <w:t>Notes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nSubsection"/>
        <w:rPr>
          <w:snapToGrid w:val="0"/>
        </w:rPr>
      </w:pPr>
      <w:bookmarkStart w:id="133"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34" w:name="_Toc253404800"/>
      <w:bookmarkEnd w:id="133"/>
      <w:r>
        <w:rPr>
          <w:snapToGrid w:val="0"/>
        </w:rPr>
        <w:t>Compilation table</w:t>
      </w:r>
      <w:bookmarkEnd w:id="13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1995</w:t>
            </w:r>
          </w:p>
        </w:tc>
        <w:tc>
          <w:tcPr>
            <w:tcW w:w="1276" w:type="dxa"/>
          </w:tcPr>
          <w:p>
            <w:pPr>
              <w:pStyle w:val="nTable"/>
              <w:spacing w:after="40"/>
              <w:rPr>
                <w:sz w:val="19"/>
              </w:rPr>
            </w:pPr>
            <w:r>
              <w:rPr>
                <w:sz w:val="19"/>
              </w:rPr>
              <w:t>30 Jun 1995 p. 2696</w:t>
            </w:r>
            <w:r>
              <w:rPr>
                <w:sz w:val="19"/>
              </w:rPr>
              <w:noBreakHyphen/>
              <w:t>7</w:t>
            </w:r>
          </w:p>
        </w:tc>
        <w:tc>
          <w:tcPr>
            <w:tcW w:w="2693" w:type="dxa"/>
          </w:tcPr>
          <w:p>
            <w:pPr>
              <w:pStyle w:val="nTable"/>
              <w:spacing w:after="40"/>
              <w:rPr>
                <w:sz w:val="19"/>
              </w:rPr>
            </w:pPr>
            <w:r>
              <w:rPr>
                <w:sz w:val="19"/>
              </w:rPr>
              <w:t>3 Jul 1995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1996</w:t>
            </w:r>
          </w:p>
        </w:tc>
        <w:tc>
          <w:tcPr>
            <w:tcW w:w="1276" w:type="dxa"/>
          </w:tcPr>
          <w:p>
            <w:pPr>
              <w:pStyle w:val="nTable"/>
              <w:spacing w:after="40"/>
              <w:rPr>
                <w:sz w:val="19"/>
              </w:rPr>
            </w:pPr>
            <w:r>
              <w:rPr>
                <w:sz w:val="19"/>
              </w:rPr>
              <w:t>23 Feb 1996 p. 683</w:t>
            </w:r>
            <w:r>
              <w:rPr>
                <w:sz w:val="19"/>
              </w:rPr>
              <w:noBreakHyphen/>
              <w:t>4</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1996</w:t>
            </w:r>
          </w:p>
        </w:tc>
        <w:tc>
          <w:tcPr>
            <w:tcW w:w="1276" w:type="dxa"/>
          </w:tcPr>
          <w:p>
            <w:pPr>
              <w:pStyle w:val="nTable"/>
              <w:spacing w:after="40"/>
              <w:rPr>
                <w:sz w:val="19"/>
              </w:rPr>
            </w:pPr>
            <w:r>
              <w:rPr>
                <w:sz w:val="19"/>
              </w:rPr>
              <w:t>23 Feb 1996 p. 685</w:t>
            </w:r>
            <w:r>
              <w:rPr>
                <w:sz w:val="19"/>
              </w:rPr>
              <w:noBreakHyphen/>
              <w:t>7</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1996</w:t>
            </w:r>
          </w:p>
        </w:tc>
        <w:tc>
          <w:tcPr>
            <w:tcW w:w="1276" w:type="dxa"/>
          </w:tcPr>
          <w:p>
            <w:pPr>
              <w:pStyle w:val="nTable"/>
              <w:spacing w:after="40"/>
              <w:rPr>
                <w:sz w:val="19"/>
              </w:rPr>
            </w:pPr>
            <w:r>
              <w:rPr>
                <w:sz w:val="19"/>
              </w:rPr>
              <w:t>7 Jun 1996 p. 2423</w:t>
            </w:r>
          </w:p>
        </w:tc>
        <w:tc>
          <w:tcPr>
            <w:tcW w:w="2693" w:type="dxa"/>
          </w:tcPr>
          <w:p>
            <w:pPr>
              <w:pStyle w:val="nTable"/>
              <w:spacing w:after="40"/>
              <w:rPr>
                <w:sz w:val="19"/>
              </w:rPr>
            </w:pPr>
            <w:r>
              <w:rPr>
                <w:sz w:val="19"/>
              </w:rPr>
              <w:t>7 Jun 1996</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2000</w:t>
            </w:r>
          </w:p>
        </w:tc>
        <w:tc>
          <w:tcPr>
            <w:tcW w:w="1276" w:type="dxa"/>
          </w:tcPr>
          <w:p>
            <w:pPr>
              <w:pStyle w:val="nTable"/>
              <w:spacing w:after="40"/>
              <w:rPr>
                <w:sz w:val="19"/>
              </w:rPr>
            </w:pPr>
            <w:r>
              <w:rPr>
                <w:sz w:val="19"/>
              </w:rPr>
              <w:t>28 Mar 2000 p. 1688</w:t>
            </w:r>
            <w:r>
              <w:rPr>
                <w:sz w:val="19"/>
              </w:rPr>
              <w:noBreakHyphen/>
              <w:t>94</w:t>
            </w:r>
          </w:p>
        </w:tc>
        <w:tc>
          <w:tcPr>
            <w:tcW w:w="2693" w:type="dxa"/>
          </w:tcPr>
          <w:p>
            <w:pPr>
              <w:pStyle w:val="nTable"/>
              <w:spacing w:after="40"/>
              <w:rPr>
                <w:sz w:val="19"/>
              </w:rPr>
            </w:pPr>
            <w:r>
              <w:rPr>
                <w:sz w:val="19"/>
              </w:rPr>
              <w:t>28 Mar 2000</w:t>
            </w:r>
          </w:p>
        </w:tc>
      </w:tr>
      <w:tr>
        <w:trPr>
          <w:cantSplit/>
        </w:trPr>
        <w:tc>
          <w:tcPr>
            <w:tcW w:w="7088" w:type="dxa"/>
            <w:gridSpan w:val="3"/>
          </w:tcPr>
          <w:p>
            <w:pPr>
              <w:pStyle w:val="nTable"/>
              <w:spacing w:after="4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2) 2000</w:t>
            </w:r>
          </w:p>
        </w:tc>
        <w:tc>
          <w:tcPr>
            <w:tcW w:w="1276" w:type="dxa"/>
          </w:tcPr>
          <w:p>
            <w:pPr>
              <w:pStyle w:val="nTable"/>
              <w:spacing w:after="40"/>
              <w:rPr>
                <w:sz w:val="19"/>
              </w:rPr>
            </w:pPr>
            <w:r>
              <w:rPr>
                <w:sz w:val="19"/>
              </w:rPr>
              <w:t>20 Jun 2000 p. 3071</w:t>
            </w:r>
            <w:r>
              <w:rPr>
                <w:sz w:val="19"/>
              </w:rPr>
              <w:noBreakHyphen/>
              <w:t>5</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3) 2000</w:t>
            </w:r>
          </w:p>
        </w:tc>
        <w:tc>
          <w:tcPr>
            <w:tcW w:w="1276" w:type="dxa"/>
          </w:tcPr>
          <w:p>
            <w:pPr>
              <w:pStyle w:val="nTable"/>
              <w:spacing w:after="40"/>
              <w:rPr>
                <w:sz w:val="19"/>
              </w:rPr>
            </w:pPr>
            <w:r>
              <w:rPr>
                <w:sz w:val="19"/>
              </w:rPr>
              <w:t>21 Nov 2000 p. 6326</w:t>
            </w:r>
            <w:r>
              <w:rPr>
                <w:sz w:val="19"/>
              </w:rPr>
              <w:noBreakHyphen/>
              <w:t>9</w:t>
            </w:r>
          </w:p>
        </w:tc>
        <w:tc>
          <w:tcPr>
            <w:tcW w:w="2693" w:type="dxa"/>
          </w:tcPr>
          <w:p>
            <w:pPr>
              <w:pStyle w:val="nTable"/>
              <w:spacing w:after="40"/>
              <w:rPr>
                <w:sz w:val="19"/>
              </w:rPr>
            </w:pPr>
            <w:r>
              <w:rPr>
                <w:sz w:val="19"/>
              </w:rPr>
              <w:t>21 Nov 2000</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2002</w:t>
            </w:r>
          </w:p>
        </w:tc>
        <w:tc>
          <w:tcPr>
            <w:tcW w:w="1276" w:type="dxa"/>
          </w:tcPr>
          <w:p>
            <w:pPr>
              <w:pStyle w:val="nTable"/>
              <w:spacing w:after="40"/>
              <w:rPr>
                <w:sz w:val="19"/>
              </w:rPr>
            </w:pPr>
            <w:r>
              <w:rPr>
                <w:sz w:val="19"/>
              </w:rPr>
              <w:t>24 Dec 2002 p. 6605</w:t>
            </w:r>
            <w:r>
              <w:rPr>
                <w:sz w:val="19"/>
              </w:rPr>
              <w:noBreakHyphen/>
              <w:t>6</w:t>
            </w:r>
          </w:p>
        </w:tc>
        <w:tc>
          <w:tcPr>
            <w:tcW w:w="2693" w:type="dxa"/>
          </w:tcPr>
          <w:p>
            <w:pPr>
              <w:pStyle w:val="nTable"/>
              <w:spacing w:after="40"/>
              <w:rPr>
                <w:sz w:val="19"/>
              </w:rPr>
            </w:pPr>
            <w:r>
              <w:rPr>
                <w:sz w:val="19"/>
              </w:rPr>
              <w:t>24 Dec 2002</w:t>
            </w:r>
          </w:p>
        </w:tc>
      </w:tr>
      <w:tr>
        <w:trPr>
          <w:cantSplit/>
        </w:trPr>
        <w:tc>
          <w:tcPr>
            <w:tcW w:w="3119" w:type="dxa"/>
          </w:tcPr>
          <w:p>
            <w:pPr>
              <w:pStyle w:val="nTable"/>
              <w:spacing w:after="4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after="40"/>
              <w:rPr>
                <w:sz w:val="19"/>
              </w:rPr>
            </w:pPr>
            <w:r>
              <w:rPr>
                <w:sz w:val="19"/>
              </w:rPr>
              <w:t>24 Dec 2003 p. 5267</w:t>
            </w:r>
            <w:r>
              <w:rPr>
                <w:sz w:val="19"/>
              </w:rPr>
              <w:noBreakHyphen/>
              <w:t>71</w:t>
            </w:r>
          </w:p>
        </w:tc>
        <w:tc>
          <w:tcPr>
            <w:tcW w:w="2693" w:type="dxa"/>
          </w:tcPr>
          <w:p>
            <w:pPr>
              <w:pStyle w:val="nTable"/>
              <w:spacing w:after="40"/>
              <w:rPr>
                <w:sz w:val="19"/>
              </w:rPr>
            </w:pPr>
            <w:r>
              <w:rPr>
                <w:sz w:val="19"/>
              </w:rPr>
              <w:t>24 Dec 2003</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after="40"/>
              <w:rPr>
                <w:sz w:val="19"/>
              </w:rPr>
            </w:pPr>
            <w:r>
              <w:rPr>
                <w:sz w:val="19"/>
              </w:rPr>
              <w:t>10 Dec 2004 p. 5911</w:t>
            </w:r>
            <w:r>
              <w:rPr>
                <w:sz w:val="19"/>
              </w:rPr>
              <w:noBreakHyphen/>
              <w:t>15</w:t>
            </w:r>
          </w:p>
        </w:tc>
        <w:tc>
          <w:tcPr>
            <w:tcW w:w="2693" w:type="dxa"/>
          </w:tcPr>
          <w:p>
            <w:pPr>
              <w:pStyle w:val="nTable"/>
              <w:spacing w:after="40"/>
              <w:rPr>
                <w:sz w:val="19"/>
              </w:rPr>
            </w:pPr>
            <w:r>
              <w:rPr>
                <w:sz w:val="19"/>
              </w:rPr>
              <w:t>10 Dec 2004</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after="40"/>
              <w:rPr>
                <w:sz w:val="19"/>
              </w:rPr>
            </w:pPr>
            <w:r>
              <w:rPr>
                <w:sz w:val="19"/>
              </w:rPr>
              <w:t>21 Jan 2005 p. 270</w:t>
            </w:r>
            <w:r>
              <w:rPr>
                <w:sz w:val="19"/>
              </w:rPr>
              <w:noBreakHyphen/>
              <w:t>4</w:t>
            </w:r>
          </w:p>
        </w:tc>
        <w:tc>
          <w:tcPr>
            <w:tcW w:w="2693" w:type="dxa"/>
          </w:tcPr>
          <w:p>
            <w:pPr>
              <w:pStyle w:val="nTable"/>
              <w:spacing w:after="40"/>
              <w:rPr>
                <w:sz w:val="19"/>
              </w:rPr>
            </w:pPr>
            <w:r>
              <w:rPr>
                <w:sz w:val="19"/>
              </w:rPr>
              <w:t>21 Jan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after="40"/>
              <w:rPr>
                <w:sz w:val="19"/>
              </w:rPr>
            </w:pPr>
            <w:r>
              <w:rPr>
                <w:sz w:val="19"/>
              </w:rPr>
              <w:t>1 Dec 2005 p. 5791</w:t>
            </w:r>
            <w:r>
              <w:rPr>
                <w:sz w:val="19"/>
              </w:rPr>
              <w:noBreakHyphen/>
              <w:t>801</w:t>
            </w:r>
          </w:p>
        </w:tc>
        <w:tc>
          <w:tcPr>
            <w:tcW w:w="2693" w:type="dxa"/>
          </w:tcPr>
          <w:p>
            <w:pPr>
              <w:pStyle w:val="nTable"/>
              <w:spacing w:after="40"/>
              <w:rPr>
                <w:sz w:val="19"/>
              </w:rPr>
            </w:pPr>
            <w:r>
              <w:rPr>
                <w:sz w:val="19"/>
              </w:rPr>
              <w:t>1 Dec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after="40"/>
              <w:rPr>
                <w:sz w:val="19"/>
              </w:rPr>
            </w:pPr>
            <w:r>
              <w:rPr>
                <w:sz w:val="19"/>
              </w:rPr>
              <w:t>14 Jul 2006 p. 2570</w:t>
            </w:r>
            <w:r>
              <w:rPr>
                <w:sz w:val="19"/>
              </w:rPr>
              <w:noBreakHyphen/>
              <w:t>5</w:t>
            </w:r>
          </w:p>
        </w:tc>
        <w:tc>
          <w:tcPr>
            <w:tcW w:w="2693" w:type="dxa"/>
          </w:tcPr>
          <w:p>
            <w:pPr>
              <w:pStyle w:val="nTable"/>
              <w:spacing w:after="4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before="0"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Borders>
              <w:bottom w:val="single" w:sz="4" w:space="0" w:color="auto"/>
            </w:tcBorders>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Borders>
              <w:bottom w:val="single" w:sz="4" w:space="0" w:color="auto"/>
            </w:tcBorders>
          </w:tcPr>
          <w:p>
            <w:pPr>
              <w:pStyle w:val="nTable"/>
              <w:spacing w:after="40"/>
              <w:rPr>
                <w:sz w:val="19"/>
              </w:rPr>
            </w:pPr>
            <w:r>
              <w:rPr>
                <w:sz w:val="19"/>
              </w:rPr>
              <w:t>9 Feb 2010 p. 272-81</w:t>
            </w:r>
          </w:p>
        </w:tc>
        <w:tc>
          <w:tcPr>
            <w:tcW w:w="2693" w:type="dxa"/>
            <w:tcBorders>
              <w:bottom w:val="single" w:sz="4" w:space="0" w:color="auto"/>
            </w:tcBorders>
          </w:tcPr>
          <w:p>
            <w:pPr>
              <w:pStyle w:val="nTable"/>
              <w:spacing w:after="40"/>
              <w:rPr>
                <w:sz w:val="19"/>
              </w:rPr>
            </w:pPr>
            <w:r>
              <w:rPr>
                <w:sz w:val="19"/>
              </w:rPr>
              <w:t>r. 1 and 2: 9 Feb 2010 (see r. 2(a));</w:t>
            </w:r>
            <w:r>
              <w:rPr>
                <w:sz w:val="19"/>
              </w:rPr>
              <w:br/>
              <w:t>Regulations other than r. 1 and 2: 10 Feb 2010 (see r. 2(b))</w:t>
            </w:r>
          </w:p>
        </w:tc>
      </w:tr>
    </w:tbl>
    <w:p>
      <w:pPr>
        <w:pStyle w:val="nSubsection"/>
        <w:spacing w:before="16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Magistrates Court.  </w:t>
      </w:r>
    </w:p>
    <w:p>
      <w:pPr>
        <w:pStyle w:val="nSubsection"/>
        <w:spacing w:before="16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Magistrates Court.  The reference was changed under the </w:t>
      </w:r>
      <w:r>
        <w:rPr>
          <w:i/>
          <w:iCs/>
        </w:rPr>
        <w:t>Reprints Act 1984</w:t>
      </w:r>
      <w:r>
        <w:t xml:space="preserve"> s. 7(5)(a).</w:t>
      </w:r>
    </w:p>
    <w:p>
      <w:pPr>
        <w:rPr>
          <w:noProof/>
          <w:snapToGrid w:val="0"/>
        </w:r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rPr>
          <w:noProof/>
          <w:snapToGrid w:val="0"/>
        </w:rPr>
      </w:pPr>
    </w:p>
    <w:p>
      <w:pPr>
        <w:pStyle w:val="nHeading2"/>
        <w:rPr>
          <w:noProof/>
          <w:sz w:val="28"/>
        </w:rPr>
      </w:pPr>
      <w:bookmarkStart w:id="135" w:name="_Toc219093010"/>
      <w:bookmarkStart w:id="136" w:name="_Toc221421999"/>
      <w:bookmarkStart w:id="137" w:name="_Toc221443541"/>
      <w:bookmarkStart w:id="138" w:name="_Toc221936242"/>
      <w:bookmarkStart w:id="139" w:name="_Toc253404801"/>
      <w:r>
        <w:rPr>
          <w:noProof/>
          <w:sz w:val="28"/>
        </w:rPr>
        <w:t>Defined Terms</w:t>
      </w:r>
      <w:bookmarkEnd w:id="135"/>
      <w:bookmarkEnd w:id="136"/>
      <w:bookmarkEnd w:id="137"/>
      <w:bookmarkEnd w:id="138"/>
      <w:bookmarkEnd w:id="139"/>
    </w:p>
    <w:p>
      <w:pPr>
        <w:ind w:left="850" w:right="850"/>
        <w:jc w:val="center"/>
        <w:rPr>
          <w:i/>
          <w:noProof/>
          <w:snapToGrid w:val="0"/>
          <w:sz w:val="18"/>
        </w:rPr>
      </w:pPr>
    </w:p>
    <w:p>
      <w:pPr>
        <w:ind w:left="850" w:right="850"/>
        <w:jc w:val="center"/>
        <w:rPr>
          <w:i/>
          <w:noProof/>
          <w:snapToGrid w:val="0"/>
          <w:sz w:val="18"/>
        </w:rPr>
      </w:pPr>
      <w:r>
        <w:rPr>
          <w:i/>
          <w:noProof/>
          <w:snapToGrid w:val="0"/>
          <w:sz w:val="18"/>
        </w:rPr>
        <w:t>[This is a list of terms defined and the provisions where they are defined.  The list is not part of the law.]</w:t>
      </w:r>
    </w:p>
    <w:p>
      <w:pPr>
        <w:pBdr>
          <w:bottom w:val="single" w:sz="4" w:space="1" w:color="auto"/>
        </w:pBdr>
        <w:tabs>
          <w:tab w:val="right" w:pos="7070"/>
        </w:tabs>
        <w:ind w:left="578"/>
        <w:rPr>
          <w:b/>
          <w:noProof/>
          <w:snapToGrid w:val="0"/>
          <w:sz w:val="20"/>
        </w:rPr>
      </w:pPr>
      <w:r>
        <w:rPr>
          <w:b/>
          <w:noProof/>
          <w:snapToGrid w:val="0"/>
          <w:sz w:val="20"/>
        </w:rPr>
        <w:t>Defined Term</w:t>
      </w:r>
      <w:r>
        <w:rPr>
          <w:b/>
          <w:noProof/>
          <w:snapToGrid w:val="0"/>
          <w:sz w:val="20"/>
        </w:rPr>
        <w:tab/>
        <w:t>Provision(s)</w:t>
      </w:r>
    </w:p>
    <w:p>
      <w:pPr>
        <w:pStyle w:val="DefinedTerms"/>
        <w:rPr>
          <w:noProof/>
          <w:snapToGrid w:val="0"/>
        </w:rPr>
      </w:pPr>
      <w:bookmarkStart w:id="140" w:name="DefinedTerms"/>
      <w:bookmarkEnd w:id="140"/>
      <w:r>
        <w:rPr>
          <w:noProof/>
          <w:snapToGrid w:val="0"/>
        </w:rPr>
        <w:t>a 30 km radius</w:t>
      </w:r>
      <w:r>
        <w:rPr>
          <w:noProof/>
          <w:snapToGrid w:val="0"/>
        </w:rPr>
        <w:tab/>
        <w:t>3(4)</w:t>
      </w:r>
    </w:p>
    <w:p>
      <w:pPr>
        <w:pStyle w:val="DefinedTerms"/>
        <w:rPr>
          <w:noProof/>
          <w:snapToGrid w:val="0"/>
        </w:rPr>
      </w:pPr>
      <w:r>
        <w:rPr>
          <w:noProof/>
          <w:snapToGrid w:val="0"/>
        </w:rPr>
        <w:t>business entity</w:t>
      </w:r>
      <w:r>
        <w:rPr>
          <w:noProof/>
          <w:snapToGrid w:val="0"/>
        </w:rPr>
        <w:tab/>
        <w:t>2A</w:t>
      </w:r>
    </w:p>
    <w:p>
      <w:pPr>
        <w:pStyle w:val="DefinedTerms"/>
        <w:rPr>
          <w:noProof/>
          <w:snapToGrid w:val="0"/>
        </w:rPr>
      </w:pPr>
      <w:r>
        <w:rPr>
          <w:noProof/>
          <w:snapToGrid w:val="0"/>
        </w:rPr>
        <w:t>call out</w:t>
      </w:r>
      <w:r>
        <w:rPr>
          <w:noProof/>
          <w:snapToGrid w:val="0"/>
        </w:rPr>
        <w:tab/>
        <w:t>2A</w:t>
      </w:r>
    </w:p>
    <w:p>
      <w:pPr>
        <w:rPr>
          <w:noProof/>
          <w:snapToGrid w:val="0"/>
        </w:rPr>
      </w:pPr>
    </w:p>
    <w:p>
      <w:pPr>
        <w:rPr>
          <w:noProof/>
          <w:snapToGrid w:val="0"/>
        </w:r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pPr>
        <w:rPr>
          <w:noProof/>
          <w:snapToGrid w:val="0"/>
        </w:rPr>
      </w:pPr>
    </w:p>
    <w:sectPr>
      <w:headerReference w:type="even" r:id="rId39"/>
      <w:headerReference w:type="default" r:id="rId4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Fees and charges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South-west region</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4.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4814</Words>
  <Characters>24891</Characters>
  <Application>Microsoft Office Word</Application>
  <DocSecurity>0</DocSecurity>
  <Lines>1555</Lines>
  <Paragraphs>848</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28857</CharactersWithSpaces>
  <SharedDoc>false</SharedDoc>
  <HLinks>
    <vt:vector size="18" baseType="variant">
      <vt:variant>
        <vt:i4>3014716</vt:i4>
      </vt:variant>
      <vt:variant>
        <vt:i4>3167</vt:i4>
      </vt:variant>
      <vt:variant>
        <vt:i4>1026</vt:i4>
      </vt:variant>
      <vt:variant>
        <vt:i4>1</vt:i4>
      </vt:variant>
      <vt:variant>
        <vt:lpwstr>C:\Program Files\PCO DLL\Support\Crest.wpg</vt:lpwstr>
      </vt:variant>
      <vt:variant>
        <vt:lpwstr/>
      </vt:variant>
      <vt:variant>
        <vt:i4>5439608</vt:i4>
      </vt:variant>
      <vt:variant>
        <vt:i4>25652</vt:i4>
      </vt:variant>
      <vt:variant>
        <vt:i4>1027</vt:i4>
      </vt:variant>
      <vt:variant>
        <vt:i4>1</vt:i4>
      </vt:variant>
      <vt:variant>
        <vt:lpwstr>A:\dline.gif</vt:lpwstr>
      </vt:variant>
      <vt:variant>
        <vt:lpwstr/>
      </vt: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1991 - 02-b0-01</dc:title>
  <dc:subject/>
  <dc:creator/>
  <cp:keywords/>
  <dc:description/>
  <cp:lastModifiedBy>svcMRProcess</cp:lastModifiedBy>
  <cp:revision>4</cp:revision>
  <cp:lastPrinted>2009-02-10T03:10:00Z</cp:lastPrinted>
  <dcterms:created xsi:type="dcterms:W3CDTF">2018-09-10T09:14:00Z</dcterms:created>
  <dcterms:modified xsi:type="dcterms:W3CDTF">2018-09-10T09:14:00Z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20100210</vt:lpwstr>
  </property>
  <property fmtid="{D5CDD505-2E9C-101B-9397-08002B2CF9AE}" pid="4" name="DocumentType">
    <vt:lpwstr>Reg</vt:lpwstr>
  </property>
  <property fmtid="{D5CDD505-2E9C-101B-9397-08002B2CF9AE}" pid="5" name="OwlsUID">
    <vt:i4>4376</vt:i4>
  </property>
  <property fmtid="{D5CDD505-2E9C-101B-9397-08002B2CF9AE}" pid="6" name="AsAtDate">
    <vt:lpwstr>10 Feb 2010</vt:lpwstr>
  </property>
  <property fmtid="{D5CDD505-2E9C-101B-9397-08002B2CF9AE}" pid="7" name="Suffix">
    <vt:lpwstr>02-b0-01</vt:lpwstr>
  </property>
  <property fmtid="{D5CDD505-2E9C-101B-9397-08002B2CF9AE}" pid="8" name="ReprintNo">
    <vt:lpwstr>2</vt:lpwstr>
  </property>
</Properties>
</file>