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Petroleum (Submerged Lands) Act 1982</w:t>
      </w:r>
    </w:p>
    <w:p>
      <w:pPr>
        <w:pStyle w:val="NameofActRegPage1"/>
        <w:spacing w:before="1800" w:after="4200"/>
      </w:pPr>
      <w:r>
        <w:fldChar w:fldCharType="begin"/>
      </w:r>
      <w:r>
        <w:instrText xml:space="preserve"> STYLEREF "Name Of Act/Reg"</w:instrText>
      </w:r>
      <w:r>
        <w:fldChar w:fldCharType="separate"/>
      </w:r>
      <w:r>
        <w:rPr>
          <w:noProof/>
        </w:rPr>
        <w:t>Petroleum (Submerged Lands) Regulations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spacing w:after="360"/>
        <w:ind w:left="2302" w:right="2302"/>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_Toc253405374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_Toc253405375 \h </w:instrText>
      </w:r>
      <w:r>
        <w:fldChar w:fldCharType="separate"/>
      </w:r>
      <w:r>
        <w:t>1</w:t>
      </w:r>
      <w:r>
        <w:fldChar w:fldCharType="end"/>
      </w:r>
    </w:p>
    <w:p>
      <w:pPr>
        <w:pStyle w:val="TOC8"/>
        <w:rPr>
          <w:sz w:val="24"/>
          <w:szCs w:val="24"/>
        </w:rPr>
      </w:pPr>
      <w:r>
        <w:rPr>
          <w:szCs w:val="24"/>
        </w:rPr>
        <w:t>2A.</w:t>
      </w:r>
      <w:r>
        <w:rPr>
          <w:szCs w:val="24"/>
        </w:rPr>
        <w:tab/>
        <w:t>Definitions</w:t>
      </w:r>
      <w:r>
        <w:tab/>
      </w:r>
      <w:r>
        <w:fldChar w:fldCharType="begin"/>
      </w:r>
      <w:r>
        <w:instrText xml:space="preserve"> PAGEREF _Toc253405376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fees, rates and sums</w:t>
      </w:r>
      <w:r>
        <w:tab/>
      </w:r>
      <w:r>
        <w:fldChar w:fldCharType="begin"/>
      </w:r>
      <w:r>
        <w:instrText xml:space="preserve"> PAGEREF _Toc253405377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Form of instrument of transfer</w:t>
      </w:r>
      <w:r>
        <w:tab/>
      </w:r>
      <w:r>
        <w:fldChar w:fldCharType="begin"/>
      </w:r>
      <w:r>
        <w:instrText xml:space="preserve"> PAGEREF _Toc253405378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Instrument under section 81(4)(b) of Act</w:t>
      </w:r>
      <w:r>
        <w:tab/>
      </w:r>
      <w:r>
        <w:fldChar w:fldCharType="begin"/>
      </w:r>
      <w:r>
        <w:instrText xml:space="preserve"> PAGEREF _Toc253405379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Royalty value — deductible imposts</w:t>
      </w:r>
      <w:r>
        <w:tab/>
      </w:r>
      <w:r>
        <w:fldChar w:fldCharType="begin"/>
      </w:r>
      <w:r>
        <w:instrText xml:space="preserve"> PAGEREF _Toc253405380 \h </w:instrText>
      </w:r>
      <w:r>
        <w:fldChar w:fldCharType="separate"/>
      </w:r>
      <w:r>
        <w:t>5</w:t>
      </w:r>
      <w:r>
        <w:fldChar w:fldCharType="end"/>
      </w:r>
    </w:p>
    <w:p>
      <w:pPr>
        <w:pStyle w:val="TOC8"/>
        <w:rPr>
          <w:sz w:val="24"/>
          <w:szCs w:val="24"/>
        </w:rPr>
      </w:pPr>
      <w:r>
        <w:rPr>
          <w:szCs w:val="24"/>
        </w:rPr>
        <w:t>9.</w:t>
      </w:r>
      <w:r>
        <w:rPr>
          <w:szCs w:val="24"/>
        </w:rPr>
        <w:tab/>
        <w:t>Application of Geocentric Datum of Australia</w:t>
      </w:r>
      <w:r>
        <w:tab/>
      </w:r>
      <w:r>
        <w:fldChar w:fldCharType="begin"/>
      </w:r>
      <w:r>
        <w:instrText xml:space="preserve"> PAGEREF _Toc253405381 \h </w:instrText>
      </w:r>
      <w:r>
        <w:fldChar w:fldCharType="separate"/>
      </w:r>
      <w:r>
        <w:t>6</w:t>
      </w:r>
      <w:r>
        <w:fldChar w:fldCharType="end"/>
      </w:r>
    </w:p>
    <w:p>
      <w:pPr>
        <w:pStyle w:val="TOC8"/>
        <w:rPr>
          <w:sz w:val="24"/>
          <w:szCs w:val="24"/>
        </w:rPr>
      </w:pPr>
      <w:r>
        <w:rPr>
          <w:szCs w:val="24"/>
        </w:rPr>
        <w:t>10.</w:t>
      </w:r>
      <w:r>
        <w:rPr>
          <w:szCs w:val="24"/>
        </w:rPr>
        <w:tab/>
        <w:t>Application of GDA to certain instruments</w:t>
      </w:r>
      <w:r>
        <w:tab/>
      </w:r>
      <w:r>
        <w:fldChar w:fldCharType="begin"/>
      </w:r>
      <w:r>
        <w:instrText xml:space="preserve"> PAGEREF _Toc253405382 \h </w:instrText>
      </w:r>
      <w:r>
        <w:fldChar w:fldCharType="separate"/>
      </w:r>
      <w:r>
        <w:t>7</w:t>
      </w:r>
      <w:r>
        <w:fldChar w:fldCharType="end"/>
      </w:r>
    </w:p>
    <w:p>
      <w:pPr>
        <w:pStyle w:val="TOC8"/>
        <w:rPr>
          <w:sz w:val="24"/>
          <w:szCs w:val="24"/>
        </w:rPr>
      </w:pPr>
      <w:r>
        <w:rPr>
          <w:szCs w:val="24"/>
        </w:rPr>
        <w:t>11.</w:t>
      </w:r>
      <w:r>
        <w:rPr>
          <w:szCs w:val="24"/>
        </w:rPr>
        <w:tab/>
        <w:t>Application of Australian Geodetic Datum</w:t>
      </w:r>
      <w:r>
        <w:tab/>
      </w:r>
      <w:r>
        <w:fldChar w:fldCharType="begin"/>
      </w:r>
      <w:r>
        <w:instrText xml:space="preserve"> PAGEREF _Toc253405383 \h </w:instrText>
      </w:r>
      <w:r>
        <w:fldChar w:fldCharType="separate"/>
      </w:r>
      <w:r>
        <w:t>8</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_Toc253405387 \h </w:instrText>
      </w:r>
      <w:r>
        <w:fldChar w:fldCharType="separate"/>
      </w:r>
      <w:r>
        <w:t>13</w:t>
      </w:r>
      <w:r>
        <w:fldChar w:fldCharType="end"/>
      </w:r>
    </w:p>
    <w:p>
      <w:pPr>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501857721"/>
      <w:bookmarkStart w:id="2" w:name="_Toc34127021"/>
      <w:bookmarkStart w:id="3" w:name="_Toc34198096"/>
      <w:bookmarkStart w:id="4" w:name="_Toc253405374"/>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501857722"/>
      <w:bookmarkStart w:id="6" w:name="_Toc34127022"/>
      <w:bookmarkStart w:id="7" w:name="_Toc34198097"/>
      <w:bookmarkStart w:id="8" w:name="_Toc253405375"/>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9" w:name="_Toc501857723"/>
      <w:bookmarkStart w:id="10" w:name="_Toc34127023"/>
      <w:bookmarkStart w:id="11" w:name="_Toc34198098"/>
      <w:bookmarkStart w:id="12" w:name="_Toc253405376"/>
      <w:r>
        <w:rPr>
          <w:rStyle w:val="CharSectno"/>
        </w:rPr>
        <w:t>2A</w:t>
      </w:r>
      <w:r>
        <w:t>.</w:t>
      </w:r>
      <w:r>
        <w:tab/>
        <w:t>Definitions</w:t>
      </w:r>
      <w:bookmarkEnd w:id="9"/>
      <w:bookmarkEnd w:id="10"/>
      <w:bookmarkEnd w:id="11"/>
      <w:bookmarkEnd w:id="12"/>
    </w:p>
    <w:p>
      <w:pPr>
        <w:pStyle w:val="Subsection"/>
      </w:pPr>
      <w:r>
        <w:tab/>
      </w:r>
      <w:r>
        <w:tab/>
        <w:t xml:space="preserve">In these regulations — </w:t>
      </w:r>
    </w:p>
    <w:p>
      <w:pPr>
        <w:pStyle w:val="Defstart"/>
      </w:pPr>
      <w:r>
        <w:tab/>
      </w:r>
      <w:r>
        <w:rPr>
          <w:rStyle w:val="CharDefText"/>
        </w:rPr>
        <w:t>the AGD</w:t>
      </w:r>
      <w:r>
        <w:t xml:space="preserve"> means the Australian Geodetic Datum referred to in regulation 11;</w:t>
      </w:r>
    </w:p>
    <w:p>
      <w:pPr>
        <w:pStyle w:val="Defstart"/>
      </w:pPr>
      <w:r>
        <w:tab/>
      </w:r>
      <w:r>
        <w:rPr>
          <w:rStyle w:val="CharDefText"/>
        </w:rPr>
        <w:t>the GDA</w:t>
      </w:r>
      <w:r>
        <w:t xml:space="preserve"> means the Geocentric Datum of Australia referred to in regulation 9.</w:t>
      </w:r>
    </w:p>
    <w:p>
      <w:pPr>
        <w:pStyle w:val="Footnotesection"/>
      </w:pPr>
      <w:r>
        <w:tab/>
        <w:t>[Regulation 2A inserted in Gazette 15 December 2000 p. 7216.]</w:t>
      </w:r>
    </w:p>
    <w:p>
      <w:pPr>
        <w:pStyle w:val="Heading5"/>
        <w:rPr>
          <w:snapToGrid w:val="0"/>
        </w:rPr>
      </w:pPr>
      <w:bookmarkStart w:id="13" w:name="_Toc501857724"/>
      <w:bookmarkStart w:id="14" w:name="_Toc34127024"/>
      <w:bookmarkStart w:id="15" w:name="_Toc34198099"/>
      <w:bookmarkStart w:id="16" w:name="_Toc253405377"/>
      <w:r>
        <w:rPr>
          <w:rStyle w:val="CharSectno"/>
        </w:rPr>
        <w:t>3</w:t>
      </w:r>
      <w:r>
        <w:rPr>
          <w:snapToGrid w:val="0"/>
        </w:rPr>
        <w:t>.</w:t>
      </w:r>
      <w:r>
        <w:rPr>
          <w:snapToGrid w:val="0"/>
        </w:rPr>
        <w:tab/>
        <w:t>Prescribed fees, rates and sums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I,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$3.00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$34.00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$34.00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$34.00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relevant core, cutting or sample is not readily available and a search is necessary to locate that core, cutting or sample, an amount calculated at the rate of </w:t>
      </w:r>
      <w:r>
        <w:t xml:space="preserve">$34.00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$1 563.00.</w:t>
      </w:r>
    </w:p>
    <w:p>
      <w:pPr>
        <w:pStyle w:val="Subsection"/>
        <w:rPr>
          <w:snapToGrid w:val="0"/>
        </w:rPr>
      </w:pPr>
      <w:r>
        <w:rPr>
          <w:snapToGrid w:val="0"/>
        </w:rPr>
        <w:tab/>
        <w:t>(7)</w:t>
      </w:r>
      <w:r>
        <w:rPr>
          <w:snapToGrid w:val="0"/>
        </w:rPr>
        <w:tab/>
        <w:t>For the purposes of section 139(b) of the Act, the prescribed rate is a rate of </w:t>
      </w:r>
      <w:r>
        <w:t>$75.00.</w:t>
      </w:r>
    </w:p>
    <w:p>
      <w:pPr>
        <w:pStyle w:val="Subsection"/>
        <w:rPr>
          <w:snapToGrid w:val="0"/>
        </w:rPr>
      </w:pPr>
      <w:r>
        <w:rPr>
          <w:snapToGrid w:val="0"/>
        </w:rPr>
        <w:tab/>
        <w:t>(8)</w:t>
      </w:r>
      <w:r>
        <w:rPr>
          <w:snapToGrid w:val="0"/>
        </w:rPr>
        <w:tab/>
        <w:t xml:space="preserve">For the purposes of section 139A of the Act, the prescribed rate is a rate of </w:t>
      </w:r>
      <w:r>
        <w:t>$8 961.00.</w:t>
      </w:r>
    </w:p>
    <w:p>
      <w:pPr>
        <w:pStyle w:val="Subsection"/>
        <w:rPr>
          <w:snapToGrid w:val="0"/>
        </w:rPr>
      </w:pPr>
      <w:r>
        <w:rPr>
          <w:snapToGrid w:val="0"/>
        </w:rPr>
        <w:tab/>
        <w:t>(9)</w:t>
      </w:r>
      <w:r>
        <w:rPr>
          <w:snapToGrid w:val="0"/>
        </w:rPr>
        <w:tab/>
        <w:t>For the purposes of section 140 of the Act, the prescribed rate is a rate of</w:t>
      </w:r>
      <w:r>
        <w:t xml:space="preserve"> $25 800.00.</w:t>
      </w:r>
    </w:p>
    <w:p>
      <w:pPr>
        <w:pStyle w:val="Footnotesection"/>
      </w:pPr>
      <w:r>
        <w:tab/>
        <w:t xml:space="preserve">[Regulation 3 amended in Gazette 22 July 1994 p. 3781; 27 June 2000 p. 3253; 28 June 2002 p. 3093; 28 Feb 2003 p. 674; 23 Jun 2009 p. 2475; 9 Feb 2010 p. 270.] </w:t>
      </w:r>
    </w:p>
    <w:p>
      <w:pPr>
        <w:pStyle w:val="Ednotesection"/>
      </w:pPr>
      <w:r>
        <w:t>[</w:t>
      </w:r>
      <w:r>
        <w:rPr>
          <w:b/>
          <w:bCs/>
        </w:rPr>
        <w:t>3A.</w:t>
      </w:r>
      <w:r>
        <w:rPr>
          <w:b/>
          <w:bCs/>
        </w:rPr>
        <w:tab/>
      </w:r>
      <w:r>
        <w:t>Deleted in Gazette 23 Jun 2009 p. 2475.]</w:t>
      </w:r>
    </w:p>
    <w:p>
      <w:pPr>
        <w:pStyle w:val="Heading5"/>
        <w:rPr>
          <w:snapToGrid w:val="0"/>
        </w:rPr>
      </w:pPr>
      <w:bookmarkStart w:id="17" w:name="_Toc501857726"/>
      <w:bookmarkStart w:id="18" w:name="_Toc34127026"/>
      <w:bookmarkStart w:id="19" w:name="_Toc34198101"/>
      <w:bookmarkStart w:id="20" w:name="_Toc253405378"/>
      <w:r>
        <w:rPr>
          <w:rStyle w:val="CharSectno"/>
        </w:rPr>
        <w:t>4</w:t>
      </w:r>
      <w:r>
        <w:rPr>
          <w:snapToGrid w:val="0"/>
        </w:rPr>
        <w:t>.</w:t>
      </w:r>
      <w:r>
        <w:rPr>
          <w:snapToGrid w:val="0"/>
        </w:rPr>
        <w:tab/>
        <w:t>Form of instrument of transfer</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21" w:name="_Toc501857727"/>
      <w:bookmarkStart w:id="22" w:name="_Toc34127027"/>
      <w:bookmarkStart w:id="23" w:name="_Toc34198102"/>
      <w:bookmarkStart w:id="24" w:name="_Toc253405379"/>
      <w:r>
        <w:rPr>
          <w:rStyle w:val="CharSectno"/>
        </w:rPr>
        <w:t>5</w:t>
      </w:r>
      <w:r>
        <w:rPr>
          <w:snapToGrid w:val="0"/>
        </w:rPr>
        <w:t>.</w:t>
      </w:r>
      <w:r>
        <w:rPr>
          <w:snapToGrid w:val="0"/>
        </w:rPr>
        <w:tab/>
        <w:t>Instrument under section 81(4)(b) of Act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25" w:name="_Toc501857730"/>
      <w:bookmarkStart w:id="26" w:name="_Toc34127030"/>
      <w:bookmarkStart w:id="27" w:name="_Toc34198105"/>
      <w:r>
        <w:t>[</w:t>
      </w:r>
      <w:r>
        <w:rPr>
          <w:b/>
          <w:bCs/>
        </w:rPr>
        <w:t>6, 7.</w:t>
      </w:r>
      <w:r>
        <w:rPr>
          <w:b/>
          <w:bCs/>
        </w:rPr>
        <w:tab/>
      </w:r>
      <w:r>
        <w:t>Deleted in Gazette 23 Jun 2009 p. 2475.]</w:t>
      </w:r>
    </w:p>
    <w:p>
      <w:pPr>
        <w:pStyle w:val="Heading5"/>
        <w:rPr>
          <w:snapToGrid w:val="0"/>
        </w:rPr>
      </w:pPr>
      <w:bookmarkStart w:id="28" w:name="_Toc253405380"/>
      <w:r>
        <w:rPr>
          <w:rStyle w:val="CharSectno"/>
        </w:rPr>
        <w:t>8</w:t>
      </w:r>
      <w:r>
        <w:rPr>
          <w:snapToGrid w:val="0"/>
        </w:rPr>
        <w:t>.</w:t>
      </w:r>
      <w:r>
        <w:rPr>
          <w:snapToGrid w:val="0"/>
        </w:rPr>
        <w:tab/>
        <w:t>Royalty value — deductible imposts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pp. 2125</w:t>
      </w:r>
      <w:r>
        <w:noBreakHyphen/>
        <w:t xml:space="preserve">6.] </w:t>
      </w:r>
    </w:p>
    <w:p>
      <w:pPr>
        <w:pStyle w:val="Heading5"/>
      </w:pPr>
      <w:bookmarkStart w:id="29" w:name="_Toc501857731"/>
      <w:bookmarkStart w:id="30" w:name="_Toc34127031"/>
      <w:bookmarkStart w:id="31" w:name="_Toc34198106"/>
      <w:bookmarkStart w:id="32" w:name="_Toc253405381"/>
      <w:r>
        <w:rPr>
          <w:rStyle w:val="CharSectno"/>
        </w:rPr>
        <w:t>9</w:t>
      </w:r>
      <w:r>
        <w:t>.</w:t>
      </w:r>
      <w:r>
        <w:tab/>
        <w:t>Application of Geocentric Datum of Australia</w:t>
      </w:r>
      <w:bookmarkEnd w:id="29"/>
      <w:bookmarkEnd w:id="30"/>
      <w:bookmarkEnd w:id="31"/>
      <w:bookmarkEnd w:id="32"/>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8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rPr>
          <w:b/>
          <w:bCs/>
        </w:rPr>
      </w:pP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December 2000 pp. 7216</w:t>
      </w:r>
      <w:r>
        <w:noBreakHyphen/>
        <w:t>17.]</w:t>
      </w:r>
    </w:p>
    <w:p>
      <w:pPr>
        <w:pStyle w:val="Heading5"/>
      </w:pPr>
      <w:bookmarkStart w:id="33" w:name="_Toc501857732"/>
      <w:bookmarkStart w:id="34" w:name="_Toc34127032"/>
      <w:bookmarkStart w:id="35" w:name="_Toc34198107"/>
      <w:bookmarkStart w:id="36" w:name="_Toc253405382"/>
      <w:r>
        <w:rPr>
          <w:rStyle w:val="CharSectno"/>
        </w:rPr>
        <w:t>10</w:t>
      </w:r>
      <w:r>
        <w:t>.</w:t>
      </w:r>
      <w:r>
        <w:tab/>
        <w:t>Application of GDA to certain instruments</w:t>
      </w:r>
      <w:bookmarkEnd w:id="33"/>
      <w:bookmarkEnd w:id="34"/>
      <w:bookmarkEnd w:id="35"/>
      <w:bookmarkEnd w:id="36"/>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December 2000 pp. 7217</w:t>
      </w:r>
      <w:r>
        <w:noBreakHyphen/>
        <w:t>18.]</w:t>
      </w:r>
    </w:p>
    <w:p>
      <w:pPr>
        <w:pStyle w:val="Heading5"/>
      </w:pPr>
      <w:bookmarkStart w:id="37" w:name="_Toc501857733"/>
      <w:bookmarkStart w:id="38" w:name="_Toc34127033"/>
      <w:bookmarkStart w:id="39" w:name="_Toc34198108"/>
      <w:bookmarkStart w:id="40" w:name="_Toc253405383"/>
      <w:r>
        <w:rPr>
          <w:rStyle w:val="CharSectno"/>
        </w:rPr>
        <w:t>11</w:t>
      </w:r>
      <w:r>
        <w:t>.</w:t>
      </w:r>
      <w:r>
        <w:tab/>
        <w:t>Application of Australian Geodetic Datum</w:t>
      </w:r>
      <w:bookmarkEnd w:id="37"/>
      <w:bookmarkEnd w:id="38"/>
      <w:bookmarkEnd w:id="39"/>
      <w:bookmarkEnd w:id="4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1" w:name="_Toc233612460"/>
      <w:bookmarkStart w:id="42" w:name="_Toc233612478"/>
      <w:bookmarkStart w:id="43" w:name="_Toc233704717"/>
      <w:bookmarkStart w:id="44" w:name="_Toc253405284"/>
      <w:bookmarkStart w:id="45" w:name="_Toc253405384"/>
      <w:bookmarkStart w:id="46" w:name="_Toc34198110"/>
      <w:r>
        <w:rPr>
          <w:rStyle w:val="CharSchNo"/>
        </w:rPr>
        <w:t>Schedule 1</w:t>
      </w:r>
      <w:r>
        <w:t> — </w:t>
      </w:r>
      <w:r>
        <w:rPr>
          <w:rStyle w:val="CharSchText"/>
        </w:rPr>
        <w:t>Prescribed fees</w:t>
      </w:r>
      <w:bookmarkEnd w:id="41"/>
      <w:bookmarkEnd w:id="42"/>
      <w:bookmarkEnd w:id="43"/>
      <w:bookmarkEnd w:id="44"/>
      <w:bookmarkEnd w:id="45"/>
    </w:p>
    <w:p>
      <w:pPr>
        <w:pStyle w:val="yShoulderClause"/>
      </w:pPr>
      <w:r>
        <w:t>[r. 3(1)]</w:t>
      </w:r>
    </w:p>
    <w:p>
      <w:pPr>
        <w:pStyle w:val="yFootnoteheading"/>
        <w:spacing w:after="60"/>
      </w:pPr>
      <w:r>
        <w:tab/>
        <w:t>[Heading inserted in Gazette 23 Jun 2009 p. 2476.]</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410"/>
        <w:gridCol w:w="2693"/>
      </w:tblGrid>
      <w:tr>
        <w:trPr>
          <w:tblHeader/>
        </w:trPr>
        <w:tc>
          <w:tcPr>
            <w:tcW w:w="1276" w:type="dxa"/>
          </w:tcPr>
          <w:p>
            <w:pPr>
              <w:pStyle w:val="yTableNAm"/>
              <w:jc w:val="center"/>
              <w:rPr>
                <w:b/>
                <w:bCs/>
              </w:rPr>
            </w:pPr>
            <w:r>
              <w:rPr>
                <w:b/>
                <w:bCs/>
              </w:rPr>
              <w:t>Column 1</w:t>
            </w:r>
            <w:r>
              <w:rPr>
                <w:b/>
                <w:bCs/>
              </w:rPr>
              <w:br/>
              <w:t>Item</w:t>
            </w:r>
          </w:p>
        </w:tc>
        <w:tc>
          <w:tcPr>
            <w:tcW w:w="2410" w:type="dxa"/>
          </w:tcPr>
          <w:p>
            <w:pPr>
              <w:pStyle w:val="yTableNAm"/>
              <w:jc w:val="center"/>
              <w:rPr>
                <w:b/>
                <w:bCs/>
              </w:rPr>
            </w:pPr>
            <w:r>
              <w:rPr>
                <w:b/>
                <w:bCs/>
              </w:rPr>
              <w:t>Column 2</w:t>
            </w:r>
            <w:r>
              <w:rPr>
                <w:b/>
                <w:bCs/>
              </w:rPr>
              <w:br/>
              <w:t>Provision of Act</w:t>
            </w:r>
          </w:p>
        </w:tc>
        <w:tc>
          <w:tcPr>
            <w:tcW w:w="2693" w:type="dxa"/>
          </w:tcPr>
          <w:p>
            <w:pPr>
              <w:pStyle w:val="yTableNAm"/>
              <w:ind w:right="-2"/>
              <w:jc w:val="center"/>
              <w:rPr>
                <w:b/>
                <w:bCs/>
              </w:rPr>
            </w:pPr>
            <w:r>
              <w:rPr>
                <w:b/>
                <w:bCs/>
              </w:rPr>
              <w:t>Column 3</w:t>
            </w:r>
            <w:r>
              <w:rPr>
                <w:b/>
                <w:bCs/>
              </w:rPr>
              <w:br/>
              <w:t>Amount of prescribed fee</w:t>
            </w:r>
            <w:r>
              <w:rPr>
                <w:b/>
                <w:bCs/>
              </w:rPr>
              <w:br/>
              <w:t>($)</w:t>
            </w:r>
          </w:p>
        </w:tc>
      </w:tr>
      <w:tr>
        <w:tc>
          <w:tcPr>
            <w:tcW w:w="1276" w:type="dxa"/>
          </w:tcPr>
          <w:p>
            <w:pPr>
              <w:pStyle w:val="yTableNAm"/>
            </w:pPr>
            <w:r>
              <w:t>1.</w:t>
            </w:r>
          </w:p>
        </w:tc>
        <w:tc>
          <w:tcPr>
            <w:tcW w:w="2410" w:type="dxa"/>
          </w:tcPr>
          <w:p>
            <w:pPr>
              <w:pStyle w:val="yTableNAm"/>
            </w:pPr>
            <w:r>
              <w:t>s. 21(1)(f)</w:t>
            </w:r>
          </w:p>
        </w:tc>
        <w:tc>
          <w:tcPr>
            <w:tcW w:w="2693" w:type="dxa"/>
          </w:tcPr>
          <w:p>
            <w:pPr>
              <w:pStyle w:val="yTableNAm"/>
              <w:ind w:right="838"/>
              <w:jc w:val="right"/>
            </w:pPr>
            <w:r>
              <w:t>4 064.00</w:t>
            </w:r>
          </w:p>
        </w:tc>
      </w:tr>
      <w:tr>
        <w:tc>
          <w:tcPr>
            <w:tcW w:w="1276" w:type="dxa"/>
          </w:tcPr>
          <w:p>
            <w:pPr>
              <w:pStyle w:val="yTableNAm"/>
            </w:pPr>
            <w:r>
              <w:t>2.</w:t>
            </w:r>
          </w:p>
        </w:tc>
        <w:tc>
          <w:tcPr>
            <w:tcW w:w="2410" w:type="dxa"/>
          </w:tcPr>
          <w:p>
            <w:pPr>
              <w:pStyle w:val="yTableNAm"/>
            </w:pPr>
            <w:r>
              <w:t>s. 24(1)(a)</w:t>
            </w:r>
          </w:p>
        </w:tc>
        <w:tc>
          <w:tcPr>
            <w:tcW w:w="2693" w:type="dxa"/>
          </w:tcPr>
          <w:p>
            <w:pPr>
              <w:pStyle w:val="yTableNAm"/>
              <w:tabs>
                <w:tab w:val="clear" w:pos="567"/>
              </w:tabs>
              <w:ind w:right="838"/>
              <w:jc w:val="right"/>
            </w:pPr>
            <w:r>
              <w:t>4 064.00</w:t>
            </w:r>
          </w:p>
        </w:tc>
      </w:tr>
      <w:tr>
        <w:tc>
          <w:tcPr>
            <w:tcW w:w="1276" w:type="dxa"/>
          </w:tcPr>
          <w:p>
            <w:pPr>
              <w:pStyle w:val="yTableNAm"/>
            </w:pPr>
            <w:r>
              <w:t>3.</w:t>
            </w:r>
          </w:p>
        </w:tc>
        <w:tc>
          <w:tcPr>
            <w:tcW w:w="2410" w:type="dxa"/>
          </w:tcPr>
          <w:p>
            <w:pPr>
              <w:pStyle w:val="yTableNAm"/>
            </w:pPr>
            <w:r>
              <w:t>s. 30(2)(c)</w:t>
            </w:r>
          </w:p>
        </w:tc>
        <w:tc>
          <w:tcPr>
            <w:tcW w:w="2693" w:type="dxa"/>
          </w:tcPr>
          <w:p>
            <w:pPr>
              <w:pStyle w:val="yTableNAm"/>
              <w:ind w:right="838"/>
              <w:jc w:val="right"/>
            </w:pPr>
            <w:r>
              <w:t>1 626.00</w:t>
            </w:r>
          </w:p>
        </w:tc>
      </w:tr>
      <w:tr>
        <w:tc>
          <w:tcPr>
            <w:tcW w:w="1276" w:type="dxa"/>
          </w:tcPr>
          <w:p>
            <w:pPr>
              <w:pStyle w:val="yTableNAm"/>
            </w:pPr>
            <w:r>
              <w:t>4.</w:t>
            </w:r>
          </w:p>
        </w:tc>
        <w:tc>
          <w:tcPr>
            <w:tcW w:w="2410" w:type="dxa"/>
          </w:tcPr>
          <w:p>
            <w:pPr>
              <w:pStyle w:val="yTableNAm"/>
            </w:pPr>
            <w:r>
              <w:t>s. 38A(2)(e)</w:t>
            </w:r>
          </w:p>
        </w:tc>
        <w:tc>
          <w:tcPr>
            <w:tcW w:w="2693" w:type="dxa"/>
          </w:tcPr>
          <w:p>
            <w:pPr>
              <w:pStyle w:val="yTableNAm"/>
              <w:ind w:right="838"/>
              <w:jc w:val="right"/>
            </w:pPr>
            <w:r>
              <w:t>1 626.00</w:t>
            </w:r>
          </w:p>
        </w:tc>
      </w:tr>
      <w:tr>
        <w:tc>
          <w:tcPr>
            <w:tcW w:w="1276" w:type="dxa"/>
          </w:tcPr>
          <w:p>
            <w:pPr>
              <w:pStyle w:val="yTableNAm"/>
            </w:pPr>
            <w:r>
              <w:t>5.</w:t>
            </w:r>
          </w:p>
        </w:tc>
        <w:tc>
          <w:tcPr>
            <w:tcW w:w="2410" w:type="dxa"/>
          </w:tcPr>
          <w:p>
            <w:pPr>
              <w:pStyle w:val="yTableNAm"/>
            </w:pPr>
            <w:r>
              <w:t>s. 38F(2)(d)</w:t>
            </w:r>
          </w:p>
        </w:tc>
        <w:tc>
          <w:tcPr>
            <w:tcW w:w="2693" w:type="dxa"/>
          </w:tcPr>
          <w:p>
            <w:pPr>
              <w:pStyle w:val="yTableNAm"/>
              <w:ind w:right="838"/>
              <w:jc w:val="right"/>
            </w:pPr>
            <w:r>
              <w:t>1 626.00</w:t>
            </w:r>
          </w:p>
        </w:tc>
      </w:tr>
      <w:tr>
        <w:tc>
          <w:tcPr>
            <w:tcW w:w="1276" w:type="dxa"/>
          </w:tcPr>
          <w:p>
            <w:pPr>
              <w:pStyle w:val="yTableNAm"/>
            </w:pPr>
            <w:r>
              <w:t>6.</w:t>
            </w:r>
          </w:p>
        </w:tc>
        <w:tc>
          <w:tcPr>
            <w:tcW w:w="2410" w:type="dxa"/>
          </w:tcPr>
          <w:p>
            <w:pPr>
              <w:pStyle w:val="yTableNAm"/>
            </w:pPr>
            <w:r>
              <w:t>s. 41(1)(e)</w:t>
            </w:r>
          </w:p>
        </w:tc>
        <w:tc>
          <w:tcPr>
            <w:tcW w:w="2693" w:type="dxa"/>
          </w:tcPr>
          <w:p>
            <w:pPr>
              <w:pStyle w:val="yTableNAm"/>
              <w:ind w:right="838"/>
              <w:jc w:val="right"/>
            </w:pPr>
            <w:r>
              <w:t>1 626.00</w:t>
            </w:r>
          </w:p>
        </w:tc>
      </w:tr>
      <w:tr>
        <w:tc>
          <w:tcPr>
            <w:tcW w:w="1276" w:type="dxa"/>
          </w:tcPr>
          <w:p>
            <w:pPr>
              <w:pStyle w:val="yTableNAm"/>
            </w:pPr>
            <w:r>
              <w:t>7.</w:t>
            </w:r>
          </w:p>
        </w:tc>
        <w:tc>
          <w:tcPr>
            <w:tcW w:w="2410" w:type="dxa"/>
          </w:tcPr>
          <w:p>
            <w:pPr>
              <w:pStyle w:val="yTableNAm"/>
            </w:pPr>
            <w:r>
              <w:t>s. 48(1)(a)</w:t>
            </w:r>
          </w:p>
        </w:tc>
        <w:tc>
          <w:tcPr>
            <w:tcW w:w="2693" w:type="dxa"/>
          </w:tcPr>
          <w:p>
            <w:pPr>
              <w:pStyle w:val="yTableNAm"/>
              <w:ind w:right="838"/>
              <w:jc w:val="right"/>
            </w:pPr>
            <w:r>
              <w:t>4 064.00</w:t>
            </w:r>
          </w:p>
        </w:tc>
      </w:tr>
      <w:tr>
        <w:tc>
          <w:tcPr>
            <w:tcW w:w="1276" w:type="dxa"/>
          </w:tcPr>
          <w:p>
            <w:pPr>
              <w:pStyle w:val="yTableNAm"/>
            </w:pPr>
            <w:r>
              <w:t>8.</w:t>
            </w:r>
          </w:p>
        </w:tc>
        <w:tc>
          <w:tcPr>
            <w:tcW w:w="2410" w:type="dxa"/>
          </w:tcPr>
          <w:p>
            <w:pPr>
              <w:pStyle w:val="yTableNAm"/>
            </w:pPr>
            <w:r>
              <w:t>s. 51(2)(e)</w:t>
            </w:r>
          </w:p>
        </w:tc>
        <w:tc>
          <w:tcPr>
            <w:tcW w:w="2693" w:type="dxa"/>
          </w:tcPr>
          <w:p>
            <w:pPr>
              <w:pStyle w:val="yTableNAm"/>
              <w:ind w:right="838"/>
              <w:jc w:val="right"/>
            </w:pPr>
            <w:r>
              <w:t>813.00</w:t>
            </w:r>
          </w:p>
        </w:tc>
      </w:tr>
      <w:tr>
        <w:tc>
          <w:tcPr>
            <w:tcW w:w="1276" w:type="dxa"/>
          </w:tcPr>
          <w:p>
            <w:pPr>
              <w:pStyle w:val="yTableNAm"/>
            </w:pPr>
            <w:r>
              <w:t>9.</w:t>
            </w:r>
          </w:p>
        </w:tc>
        <w:tc>
          <w:tcPr>
            <w:tcW w:w="2410" w:type="dxa"/>
          </w:tcPr>
          <w:p>
            <w:pPr>
              <w:pStyle w:val="yTableNAm"/>
            </w:pPr>
            <w:r>
              <w:t>s. 54(2)(d)</w:t>
            </w:r>
          </w:p>
        </w:tc>
        <w:tc>
          <w:tcPr>
            <w:tcW w:w="2693" w:type="dxa"/>
          </w:tcPr>
          <w:p>
            <w:pPr>
              <w:pStyle w:val="yTableNAm"/>
              <w:ind w:right="838"/>
              <w:jc w:val="right"/>
            </w:pPr>
            <w:r>
              <w:t>1 626.00</w:t>
            </w:r>
          </w:p>
        </w:tc>
      </w:tr>
      <w:tr>
        <w:tc>
          <w:tcPr>
            <w:tcW w:w="1276" w:type="dxa"/>
          </w:tcPr>
          <w:p>
            <w:pPr>
              <w:pStyle w:val="yTableNAm"/>
            </w:pPr>
            <w:r>
              <w:t>10</w:t>
            </w:r>
          </w:p>
        </w:tc>
        <w:tc>
          <w:tcPr>
            <w:tcW w:w="2410" w:type="dxa"/>
          </w:tcPr>
          <w:p>
            <w:pPr>
              <w:pStyle w:val="yTableNAm"/>
            </w:pPr>
            <w:r>
              <w:t>s. 64(1)(f)</w:t>
            </w:r>
          </w:p>
        </w:tc>
        <w:tc>
          <w:tcPr>
            <w:tcW w:w="2693" w:type="dxa"/>
          </w:tcPr>
          <w:p>
            <w:pPr>
              <w:pStyle w:val="yTableNAm"/>
              <w:ind w:right="838"/>
              <w:jc w:val="right"/>
            </w:pPr>
            <w:r>
              <w:t>4 064.00</w:t>
            </w:r>
          </w:p>
        </w:tc>
      </w:tr>
      <w:tr>
        <w:tc>
          <w:tcPr>
            <w:tcW w:w="1276" w:type="dxa"/>
          </w:tcPr>
          <w:p>
            <w:pPr>
              <w:pStyle w:val="yTableNAm"/>
            </w:pPr>
            <w:r>
              <w:t>11.</w:t>
            </w:r>
          </w:p>
        </w:tc>
        <w:tc>
          <w:tcPr>
            <w:tcW w:w="2410" w:type="dxa"/>
          </w:tcPr>
          <w:p>
            <w:pPr>
              <w:pStyle w:val="yTableNAm"/>
            </w:pPr>
            <w:r>
              <w:t>s. 68(2)(c)</w:t>
            </w:r>
          </w:p>
        </w:tc>
        <w:tc>
          <w:tcPr>
            <w:tcW w:w="2693" w:type="dxa"/>
          </w:tcPr>
          <w:p>
            <w:pPr>
              <w:pStyle w:val="yTableNAm"/>
              <w:ind w:right="838"/>
              <w:jc w:val="right"/>
            </w:pPr>
            <w:r>
              <w:t>1 626.00</w:t>
            </w:r>
          </w:p>
        </w:tc>
      </w:tr>
      <w:tr>
        <w:tc>
          <w:tcPr>
            <w:tcW w:w="1276" w:type="dxa"/>
          </w:tcPr>
          <w:p>
            <w:pPr>
              <w:pStyle w:val="yTableNAm"/>
            </w:pPr>
            <w:r>
              <w:t>12.</w:t>
            </w:r>
          </w:p>
        </w:tc>
        <w:tc>
          <w:tcPr>
            <w:tcW w:w="2410" w:type="dxa"/>
          </w:tcPr>
          <w:p>
            <w:pPr>
              <w:pStyle w:val="yTableNAm"/>
            </w:pPr>
            <w:r>
              <w:t>s. 71(2)(e)</w:t>
            </w:r>
          </w:p>
        </w:tc>
        <w:tc>
          <w:tcPr>
            <w:tcW w:w="2693" w:type="dxa"/>
          </w:tcPr>
          <w:p>
            <w:pPr>
              <w:pStyle w:val="yTableNAm"/>
              <w:ind w:right="838"/>
              <w:jc w:val="right"/>
            </w:pPr>
            <w:r>
              <w:t>813.00</w:t>
            </w:r>
          </w:p>
        </w:tc>
      </w:tr>
      <w:tr>
        <w:tc>
          <w:tcPr>
            <w:tcW w:w="1276" w:type="dxa"/>
          </w:tcPr>
          <w:p>
            <w:pPr>
              <w:pStyle w:val="yTableNAm"/>
            </w:pPr>
            <w:r>
              <w:t>13.</w:t>
            </w:r>
          </w:p>
        </w:tc>
        <w:tc>
          <w:tcPr>
            <w:tcW w:w="2410" w:type="dxa"/>
          </w:tcPr>
          <w:p>
            <w:pPr>
              <w:pStyle w:val="yTableNAm"/>
            </w:pPr>
            <w:r>
              <w:t>s. 79(2)</w:t>
            </w:r>
          </w:p>
        </w:tc>
        <w:tc>
          <w:tcPr>
            <w:tcW w:w="2693" w:type="dxa"/>
          </w:tcPr>
          <w:p>
            <w:pPr>
              <w:pStyle w:val="yTableNAm"/>
              <w:ind w:right="838"/>
              <w:jc w:val="right"/>
            </w:pPr>
            <w:r>
              <w:t>81.00</w:t>
            </w:r>
          </w:p>
        </w:tc>
      </w:tr>
      <w:tr>
        <w:tc>
          <w:tcPr>
            <w:tcW w:w="1276" w:type="dxa"/>
          </w:tcPr>
          <w:p>
            <w:pPr>
              <w:pStyle w:val="yTableNAm"/>
            </w:pPr>
            <w:r>
              <w:t>14.</w:t>
            </w:r>
          </w:p>
        </w:tc>
        <w:tc>
          <w:tcPr>
            <w:tcW w:w="2410" w:type="dxa"/>
          </w:tcPr>
          <w:p>
            <w:pPr>
              <w:pStyle w:val="yTableNAm"/>
            </w:pPr>
            <w:r>
              <w:t>s. 79(3)(b)</w:t>
            </w:r>
          </w:p>
        </w:tc>
        <w:tc>
          <w:tcPr>
            <w:tcW w:w="2693" w:type="dxa"/>
          </w:tcPr>
          <w:p>
            <w:pPr>
              <w:pStyle w:val="yTableNAm"/>
              <w:ind w:right="838"/>
              <w:jc w:val="right"/>
            </w:pPr>
            <w:r>
              <w:t>81.00</w:t>
            </w:r>
          </w:p>
        </w:tc>
      </w:tr>
      <w:tr>
        <w:tc>
          <w:tcPr>
            <w:tcW w:w="1276" w:type="dxa"/>
          </w:tcPr>
          <w:p>
            <w:pPr>
              <w:pStyle w:val="yTableNAm"/>
            </w:pPr>
            <w:r>
              <w:t>15.</w:t>
            </w:r>
          </w:p>
        </w:tc>
        <w:tc>
          <w:tcPr>
            <w:tcW w:w="2410" w:type="dxa"/>
          </w:tcPr>
          <w:p>
            <w:pPr>
              <w:pStyle w:val="yTableNAm"/>
            </w:pPr>
            <w:r>
              <w:t>s. 86(1)</w:t>
            </w:r>
          </w:p>
        </w:tc>
        <w:tc>
          <w:tcPr>
            <w:tcW w:w="2693" w:type="dxa"/>
          </w:tcPr>
          <w:p>
            <w:pPr>
              <w:pStyle w:val="yTableNAm"/>
              <w:ind w:right="838"/>
              <w:jc w:val="right"/>
            </w:pPr>
            <w:r>
              <w:t>17.00</w:t>
            </w:r>
          </w:p>
        </w:tc>
      </w:tr>
      <w:tr>
        <w:tc>
          <w:tcPr>
            <w:tcW w:w="1276" w:type="dxa"/>
          </w:tcPr>
          <w:p>
            <w:pPr>
              <w:pStyle w:val="yTableNAm"/>
            </w:pPr>
            <w:r>
              <w:t>16.</w:t>
            </w:r>
          </w:p>
        </w:tc>
        <w:tc>
          <w:tcPr>
            <w:tcW w:w="2410" w:type="dxa"/>
          </w:tcPr>
          <w:p>
            <w:pPr>
              <w:pStyle w:val="yTableNAm"/>
            </w:pPr>
            <w:r>
              <w:t>s. 87(3)</w:t>
            </w:r>
          </w:p>
        </w:tc>
        <w:tc>
          <w:tcPr>
            <w:tcW w:w="2693" w:type="dxa"/>
          </w:tcPr>
          <w:p>
            <w:pPr>
              <w:pStyle w:val="yTableNAm"/>
              <w:ind w:right="838"/>
              <w:jc w:val="right"/>
            </w:pPr>
            <w:r>
              <w:t>41.00</w:t>
            </w:r>
          </w:p>
        </w:tc>
      </w:tr>
      <w:tr>
        <w:tc>
          <w:tcPr>
            <w:tcW w:w="1276" w:type="dxa"/>
          </w:tcPr>
          <w:p>
            <w:pPr>
              <w:pStyle w:val="yTableNAm"/>
            </w:pPr>
            <w:r>
              <w:t>17.</w:t>
            </w:r>
          </w:p>
        </w:tc>
        <w:tc>
          <w:tcPr>
            <w:tcW w:w="2410" w:type="dxa"/>
          </w:tcPr>
          <w:p>
            <w:pPr>
              <w:pStyle w:val="yTableNAm"/>
            </w:pPr>
            <w:r>
              <w:t>s. 111(2)(d)</w:t>
            </w:r>
          </w:p>
        </w:tc>
        <w:tc>
          <w:tcPr>
            <w:tcW w:w="2693" w:type="dxa"/>
          </w:tcPr>
          <w:p>
            <w:pPr>
              <w:pStyle w:val="yTableNAm"/>
              <w:ind w:right="838"/>
              <w:jc w:val="right"/>
            </w:pPr>
            <w:r>
              <w:t>813.00</w:t>
            </w:r>
          </w:p>
        </w:tc>
      </w:tr>
      <w:tr>
        <w:tc>
          <w:tcPr>
            <w:tcW w:w="1276" w:type="dxa"/>
          </w:tcPr>
          <w:p>
            <w:pPr>
              <w:pStyle w:val="yTableNAm"/>
            </w:pPr>
            <w:r>
              <w:t>18.</w:t>
            </w:r>
          </w:p>
        </w:tc>
        <w:tc>
          <w:tcPr>
            <w:tcW w:w="2410" w:type="dxa"/>
          </w:tcPr>
          <w:p>
            <w:pPr>
              <w:pStyle w:val="yTableNAm"/>
            </w:pPr>
            <w:r>
              <w:t>s. 141</w:t>
            </w:r>
          </w:p>
        </w:tc>
        <w:tc>
          <w:tcPr>
            <w:tcW w:w="2693" w:type="dxa"/>
          </w:tcPr>
          <w:p>
            <w:pPr>
              <w:pStyle w:val="yTableNAm"/>
              <w:ind w:right="838"/>
              <w:jc w:val="right"/>
            </w:pPr>
            <w:r>
              <w:t>115.00</w:t>
            </w:r>
          </w:p>
        </w:tc>
      </w:tr>
    </w:tbl>
    <w:p>
      <w:pPr>
        <w:pStyle w:val="yFootnotesection"/>
      </w:pPr>
      <w:r>
        <w:tab/>
        <w:t>[Schedule 1 inserted in Gazette 23 Jun 2009 p. 2476; amended in Gazette 9 Feb 2010 p. 270.]</w:t>
      </w:r>
    </w:p>
    <w:p>
      <w:pPr>
        <w:pStyle w:val="yScheduleHeading"/>
      </w:pPr>
      <w:bookmarkStart w:id="47" w:name="_Toc233612461"/>
      <w:bookmarkStart w:id="48" w:name="_Toc233612479"/>
      <w:bookmarkStart w:id="49" w:name="_Toc233704718"/>
      <w:bookmarkStart w:id="50" w:name="_Toc253405285"/>
      <w:bookmarkStart w:id="51" w:name="_Toc253405385"/>
      <w:r>
        <w:rPr>
          <w:rStyle w:val="CharSchNo"/>
        </w:rPr>
        <w:t>Schedule 2</w:t>
      </w:r>
      <w:bookmarkEnd w:id="46"/>
      <w:bookmarkEnd w:id="47"/>
      <w:bookmarkEnd w:id="48"/>
      <w:bookmarkEnd w:id="49"/>
      <w:bookmarkEnd w:id="50"/>
      <w:bookmarkEnd w:id="51"/>
    </w:p>
    <w:p>
      <w:pPr>
        <w:pStyle w:val="yShoulderClause"/>
      </w:pPr>
      <w:r>
        <w:t>[Regulation 4]</w:t>
      </w:r>
    </w:p>
    <w:p>
      <w:pPr>
        <w:pStyle w:val="MiscellaneousHeading"/>
        <w:rPr>
          <w:i/>
          <w:snapToGrid w:val="0"/>
        </w:rPr>
      </w:pPr>
      <w:r>
        <w:rPr>
          <w:i/>
          <w:snapToGrid w:val="0"/>
        </w:rPr>
        <w:t>Petroleum (Submerged Lands) Act 1982</w:t>
      </w:r>
    </w:p>
    <w:p>
      <w:pPr>
        <w:pStyle w:val="MiscellaneousHeading"/>
        <w:spacing w:before="60"/>
        <w:rPr>
          <w:i/>
          <w:snapToGrid w:val="0"/>
        </w:rPr>
      </w:pPr>
      <w:r>
        <w:rPr>
          <w:i/>
          <w:snapToGrid w:val="0"/>
        </w:rPr>
        <w:t>Petroleum (Submerged Lands) Regulations 1990</w:t>
      </w:r>
    </w:p>
    <w:p>
      <w:pPr>
        <w:pStyle w:val="MiscellaneousHeading"/>
        <w:rPr>
          <w:b/>
          <w:snapToGrid w:val="0"/>
        </w:rPr>
      </w:pPr>
      <w:r>
        <w:rPr>
          <w:b/>
          <w:snapToGrid w:val="0"/>
        </w:rPr>
        <w:t>Form of Instrument of Transfer of Title</w:t>
      </w:r>
    </w:p>
    <w:p>
      <w:pPr>
        <w:pStyle w:val="MiscellaneousHeading"/>
        <w:spacing w:before="0"/>
        <w:rPr>
          <w:b/>
          <w:snapToGrid w:val="0"/>
        </w:rPr>
      </w:pPr>
      <w:r>
        <w:rPr>
          <w:b/>
          <w:snapToGrid w:val="0"/>
        </w:rPr>
        <w:t xml:space="preserve">under section 78 of </w:t>
      </w:r>
      <w:r>
        <w:rPr>
          <w:b/>
          <w:i/>
          <w:snapToGrid w:val="0"/>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2" w:name="_Toc233612462"/>
      <w:bookmarkStart w:id="53" w:name="_Toc233612480"/>
      <w:bookmarkStart w:id="54" w:name="_Toc233704719"/>
      <w:bookmarkStart w:id="55" w:name="_Toc253405286"/>
      <w:bookmarkStart w:id="56" w:name="_Toc253405386"/>
      <w:r>
        <w:t>Notes</w:t>
      </w:r>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p>
    <w:p>
      <w:pPr>
        <w:pStyle w:val="nHeading3"/>
        <w:spacing w:before="160"/>
        <w:rPr>
          <w:snapToGrid w:val="0"/>
        </w:rPr>
      </w:pPr>
      <w:bookmarkStart w:id="57" w:name="_Toc253405387"/>
      <w:r>
        <w:rPr>
          <w:snapToGrid w:val="0"/>
        </w:rPr>
        <w:t>Com</w:t>
      </w:r>
      <w:bookmarkStart w:id="58" w:name="UpToHere"/>
      <w:bookmarkEnd w:id="58"/>
      <w:r>
        <w:rPr>
          <w:snapToGrid w:val="0"/>
        </w:rPr>
        <w:t>pilation table</w:t>
      </w:r>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3092-4</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673-5</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Borders>
              <w:bottom w:val="single" w:sz="8" w:space="0" w:color="auto"/>
            </w:tcBorders>
          </w:tcPr>
          <w:p>
            <w:pPr>
              <w:pStyle w:val="nTable"/>
              <w:spacing w:after="40"/>
              <w:ind w:right="113"/>
              <w:rPr>
                <w:i/>
                <w:sz w:val="19"/>
              </w:rPr>
            </w:pPr>
            <w:r>
              <w:rPr>
                <w:i/>
                <w:sz w:val="19"/>
              </w:rPr>
              <w:t>Petroleum (Submerged Lands) Amendment Regulations 2010</w:t>
            </w:r>
          </w:p>
        </w:tc>
        <w:tc>
          <w:tcPr>
            <w:tcW w:w="1276" w:type="dxa"/>
            <w:tcBorders>
              <w:bottom w:val="single" w:sz="8" w:space="0" w:color="auto"/>
            </w:tcBorders>
          </w:tcPr>
          <w:p>
            <w:pPr>
              <w:pStyle w:val="nTable"/>
              <w:spacing w:after="40"/>
              <w:rPr>
                <w:sz w:val="19"/>
              </w:rPr>
            </w:pPr>
            <w:r>
              <w:rPr>
                <w:sz w:val="19"/>
              </w:rPr>
              <w:t>9 Feb 2010 p. 270</w:t>
            </w:r>
          </w:p>
        </w:tc>
        <w:tc>
          <w:tcPr>
            <w:tcW w:w="2693" w:type="dxa"/>
            <w:tcBorders>
              <w:bottom w:val="single" w:sz="8" w:space="0" w:color="auto"/>
            </w:tcBorders>
          </w:tcPr>
          <w:p>
            <w:pPr>
              <w:pStyle w:val="nTable"/>
              <w:spacing w:after="40"/>
              <w:rPr>
                <w:snapToGrid w:val="0"/>
                <w:spacing w:val="-2"/>
                <w:sz w:val="19"/>
                <w:lang w:val="en-US"/>
              </w:rPr>
            </w:pPr>
            <w:r>
              <w:rPr>
                <w:snapToGrid w:val="0"/>
                <w:spacing w:val="-2"/>
                <w:sz w:val="19"/>
                <w:lang w:val="en-US"/>
              </w:rPr>
              <w:t>r. 1 and 2: 9 Feb 2010 (see r. 2(a));</w:t>
            </w:r>
            <w:r>
              <w:rPr>
                <w:snapToGrid w:val="0"/>
                <w:spacing w:val="-2"/>
                <w:sz w:val="19"/>
                <w:lang w:val="en-US"/>
              </w:rPr>
              <w:br/>
              <w:t>Regulations other than r. 1 and 2: 10 Jul 2010 (see r. 2(b))</w:t>
            </w:r>
          </w:p>
        </w:tc>
      </w:tr>
    </w:tbl>
    <w:p>
      <w:pPr>
        <w:pStyle w:val="nSubsection"/>
        <w:spacing w:before="60"/>
      </w:pPr>
      <w:r>
        <w:rPr>
          <w:vertAlign w:val="superscript"/>
        </w:rPr>
        <w:t>2</w:t>
      </w:r>
      <w:r>
        <w:tab/>
        <w:t xml:space="preserve">Division 4A (sections 74A to 74I) of the </w:t>
      </w:r>
      <w:r>
        <w:rPr>
          <w:i/>
        </w:rPr>
        <w:t>Petroleum (Submerged Lands) Act 1982</w:t>
      </w:r>
      <w:r>
        <w:t xml:space="preserve"> was repealed by the </w:t>
      </w:r>
      <w:r>
        <w:rPr>
          <w:i/>
        </w:rPr>
        <w:t>Acts Amendment and Repeal (Native Title) Act 1995</w:t>
      </w:r>
      <w:r>
        <w:t xml:space="preserve"> (No. 52 of 1995).</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Pr>
        <w:jc w:val="cente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(Submerged Lands)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244"/>
    <w:docVar w:name="WAFER_20151208155244" w:val="RemoveTrackChanges"/>
    <w:docVar w:name="WAFER_20151208155244_GUID" w:val="bae7f2bf-eabe-43c1-9aa8-025cc96c13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3000</Words>
  <Characters>14915</Characters>
  <Application>Microsoft Office Word</Application>
  <DocSecurity>0</DocSecurity>
  <Lines>532</Lines>
  <Paragraphs>358</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17557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1990 - 01-d0-02</dc:title>
  <dc:subject/>
  <dc:creator/>
  <cp:keywords/>
  <dc:description/>
  <cp:lastModifiedBy>svcMRProcess</cp:lastModifiedBy>
  <cp:revision>4</cp:revision>
  <cp:lastPrinted>2009-06-24T04:58:00Z</cp:lastPrinted>
  <dcterms:created xsi:type="dcterms:W3CDTF">2020-02-27T13:15:00Z</dcterms:created>
  <dcterms:modified xsi:type="dcterms:W3CDTF">2020-02-27T13:15:00Z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20100210</vt:lpwstr>
  </property>
  <property fmtid="{D5CDD505-2E9C-101B-9397-08002B2CF9AE}" pid="4" name="DocumentType">
    <vt:lpwstr>Reg</vt:lpwstr>
  </property>
  <property fmtid="{D5CDD505-2E9C-101B-9397-08002B2CF9AE}" pid="5" name="AsAtDate">
    <vt:lpwstr>10 Feb 2010</vt:lpwstr>
  </property>
  <property fmtid="{D5CDD505-2E9C-101B-9397-08002B2CF9AE}" pid="6" name="Suffix">
    <vt:lpwstr>01-d0-02</vt:lpwstr>
  </property>
  <property fmtid="{D5CDD505-2E9C-101B-9397-08002B2CF9AE}" pid="7" name="OwlsUID">
    <vt:i4>4687</vt:i4>
  </property>
</Properties>
</file>