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Guardianship and Administration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_Toc253657997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_Toc253657998 \h </w:instrText>
      </w:r>
      <w:r>
        <w:fldChar w:fldCharType="separate"/>
      </w:r>
      <w:r>
        <w:t>2</w:t>
      </w:r>
      <w:r>
        <w:fldChar w:fldCharType="end"/>
      </w:r>
    </w:p>
    <w:p>
      <w:pPr>
        <w:pStyle w:val="TOC2"/>
        <w:tabs>
          <w:tab w:val="right" w:leader="dot" w:pos="7086"/>
        </w:tabs>
        <w:rPr>
          <w:b w:val="0"/>
          <w:sz w:val="24"/>
          <w:szCs w:val="24"/>
        </w:rPr>
      </w:pPr>
      <w:r>
        <w:rPr>
          <w:szCs w:val="30"/>
        </w:rPr>
        <w:t>Part 2 — Estate administration</w:t>
      </w:r>
    </w:p>
    <w:p>
      <w:pPr>
        <w:pStyle w:val="TOC8"/>
        <w:rPr>
          <w:sz w:val="24"/>
          <w:szCs w:val="24"/>
        </w:rPr>
      </w:pPr>
      <w:r>
        <w:rPr>
          <w:szCs w:val="24"/>
        </w:rPr>
        <w:t>3.</w:t>
      </w:r>
      <w:r>
        <w:rPr>
          <w:szCs w:val="24"/>
        </w:rPr>
        <w:tab/>
        <w:t>Information as to administrator and estate</w:t>
      </w:r>
      <w:r>
        <w:tab/>
      </w:r>
      <w:r>
        <w:fldChar w:fldCharType="begin"/>
      </w:r>
      <w:r>
        <w:instrText xml:space="preserve"> PAGEREF _Toc253658000 \h </w:instrText>
      </w:r>
      <w:r>
        <w:fldChar w:fldCharType="separate"/>
      </w:r>
      <w:r>
        <w:t>3</w:t>
      </w:r>
      <w:r>
        <w:fldChar w:fldCharType="end"/>
      </w:r>
    </w:p>
    <w:p>
      <w:pPr>
        <w:pStyle w:val="TOC8"/>
        <w:rPr>
          <w:sz w:val="24"/>
          <w:szCs w:val="24"/>
        </w:rPr>
      </w:pPr>
      <w:r>
        <w:rPr>
          <w:szCs w:val="24"/>
        </w:rPr>
        <w:t>4.</w:t>
      </w:r>
      <w:r>
        <w:rPr>
          <w:szCs w:val="24"/>
        </w:rPr>
        <w:tab/>
        <w:t>Examination of accounts</w:t>
      </w:r>
      <w:r>
        <w:tab/>
      </w:r>
      <w:r>
        <w:fldChar w:fldCharType="begin"/>
      </w:r>
      <w:r>
        <w:instrText xml:space="preserve"> PAGEREF _Toc253658001 \h </w:instrText>
      </w:r>
      <w:r>
        <w:fldChar w:fldCharType="separate"/>
      </w:r>
      <w:r>
        <w:t>3</w:t>
      </w:r>
      <w:r>
        <w:fldChar w:fldCharType="end"/>
      </w:r>
    </w:p>
    <w:p>
      <w:pPr>
        <w:pStyle w:val="TOC8"/>
        <w:rPr>
          <w:sz w:val="24"/>
          <w:szCs w:val="24"/>
        </w:rPr>
      </w:pPr>
      <w:r>
        <w:rPr>
          <w:szCs w:val="24"/>
        </w:rPr>
        <w:t>5.</w:t>
      </w:r>
      <w:r>
        <w:rPr>
          <w:szCs w:val="24"/>
        </w:rPr>
        <w:tab/>
        <w:t>False or misleading information</w:t>
      </w:r>
      <w:r>
        <w:tab/>
      </w:r>
      <w:r>
        <w:fldChar w:fldCharType="begin"/>
      </w:r>
      <w:r>
        <w:instrText xml:space="preserve"> PAGEREF _Toc253658002 \h </w:instrText>
      </w:r>
      <w:r>
        <w:fldChar w:fldCharType="separate"/>
      </w:r>
      <w:r>
        <w:t>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Enduring powers of guardianship and advance health directives</w:t>
      </w:r>
    </w:p>
    <w:p>
      <w:pPr>
        <w:pStyle w:val="TOC8"/>
        <w:rPr>
          <w:sz w:val="24"/>
          <w:szCs w:val="24"/>
        </w:rPr>
      </w:pPr>
      <w:r>
        <w:rPr>
          <w:szCs w:val="24"/>
        </w:rPr>
        <w:t>6.</w:t>
      </w:r>
      <w:r>
        <w:rPr>
          <w:szCs w:val="24"/>
        </w:rPr>
        <w:tab/>
        <w:t>Enduring power of guardianship (Schedule 1)</w:t>
      </w:r>
      <w:r>
        <w:tab/>
      </w:r>
      <w:r>
        <w:fldChar w:fldCharType="begin"/>
      </w:r>
      <w:r>
        <w:instrText xml:space="preserve"> PAGEREF _Toc253658004 \h </w:instrText>
      </w:r>
      <w:r>
        <w:fldChar w:fldCharType="separate"/>
      </w:r>
      <w:r>
        <w:t>5</w:t>
      </w:r>
      <w:r>
        <w:fldChar w:fldCharType="end"/>
      </w:r>
    </w:p>
    <w:p>
      <w:pPr>
        <w:pStyle w:val="TOC8"/>
        <w:rPr>
          <w:sz w:val="24"/>
          <w:szCs w:val="24"/>
        </w:rPr>
      </w:pPr>
      <w:r>
        <w:rPr>
          <w:szCs w:val="24"/>
        </w:rPr>
        <w:t>7.</w:t>
      </w:r>
      <w:r>
        <w:rPr>
          <w:szCs w:val="24"/>
        </w:rPr>
        <w:tab/>
        <w:t>Advance health directive (Schedule 2)</w:t>
      </w:r>
      <w:r>
        <w:tab/>
      </w:r>
      <w:r>
        <w:fldChar w:fldCharType="begin"/>
      </w:r>
      <w:r>
        <w:instrText xml:space="preserve"> PAGEREF _Toc253658005 \h </w:instrText>
      </w:r>
      <w:r>
        <w:fldChar w:fldCharType="separate"/>
      </w:r>
      <w:r>
        <w:t>5</w:t>
      </w:r>
      <w:r>
        <w:fldChar w:fldCharType="end"/>
      </w:r>
    </w:p>
    <w:p>
      <w:pPr>
        <w:pStyle w:val="TOC8"/>
        <w:rPr>
          <w:sz w:val="24"/>
          <w:szCs w:val="24"/>
        </w:rPr>
      </w:pPr>
      <w:r>
        <w:rPr>
          <w:szCs w:val="24"/>
        </w:rPr>
        <w:t>8.</w:t>
      </w:r>
      <w:r>
        <w:rPr>
          <w:szCs w:val="24"/>
        </w:rPr>
        <w:tab/>
        <w:t>Status of notes in forms</w:t>
      </w:r>
      <w:r>
        <w:tab/>
      </w:r>
      <w:r>
        <w:fldChar w:fldCharType="begin"/>
      </w:r>
      <w:r>
        <w:instrText xml:space="preserve"> PAGEREF _Toc253658006 \h </w:instrText>
      </w:r>
      <w:r>
        <w:fldChar w:fldCharType="separate"/>
      </w:r>
      <w:r>
        <w:t>5</w:t>
      </w:r>
      <w:r>
        <w:fldChar w:fldCharType="end"/>
      </w:r>
    </w:p>
    <w:p>
      <w:pPr>
        <w:pStyle w:val="TOC2"/>
        <w:tabs>
          <w:tab w:val="right" w:leader="dot" w:pos="7086"/>
        </w:tabs>
        <w:rPr>
          <w:b w:val="0"/>
          <w:sz w:val="24"/>
          <w:szCs w:val="24"/>
        </w:rPr>
      </w:pPr>
      <w:r>
        <w:rPr>
          <w:szCs w:val="28"/>
        </w:rPr>
        <w:t>Schedule 1 — Enduring power of guardianship form</w:t>
      </w:r>
    </w:p>
    <w:p>
      <w:pPr>
        <w:pStyle w:val="TOC2"/>
        <w:tabs>
          <w:tab w:val="right" w:leader="dot" w:pos="7086"/>
        </w:tabs>
        <w:rPr>
          <w:b w:val="0"/>
          <w:sz w:val="24"/>
          <w:szCs w:val="24"/>
        </w:rPr>
      </w:pPr>
      <w:r>
        <w:rPr>
          <w:szCs w:val="28"/>
        </w:rPr>
        <w:t>Schedule 2 — Advance health directive form</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_Toc253658010 \h </w:instrText>
      </w:r>
      <w:r>
        <w:fldChar w:fldCharType="separate"/>
      </w:r>
      <w:r>
        <w:t>27</w:t>
      </w:r>
      <w:r>
        <w:fldChar w:fldCharType="end"/>
      </w:r>
    </w:p>
    <w:p>
      <w:pPr>
        <w:pStyle w:val="TOC4"/>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Guardianship and Administration Act 1990</w:t>
      </w:r>
    </w:p>
    <w:p>
      <w:pPr>
        <w:pStyle w:val="NameofActReg"/>
      </w:pPr>
      <w:r>
        <w:t>Guardianship and Administration Regulations 2005</w:t>
      </w:r>
    </w:p>
    <w:p>
      <w:pPr>
        <w:pStyle w:val="Heading2"/>
      </w:pPr>
      <w:bookmarkStart w:id="1" w:name="_Toc252972154"/>
      <w:bookmarkStart w:id="2" w:name="_Toc253657828"/>
      <w:bookmarkStart w:id="3" w:name="_Toc253657996"/>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94084412"/>
      <w:r>
        <w:rPr>
          <w:rStyle w:val="CharPartNo"/>
        </w:rPr>
        <w:t>Part 1</w:t>
      </w:r>
      <w:r>
        <w:t xml:space="preserve"> — </w:t>
      </w:r>
      <w:r>
        <w:rPr>
          <w:rStyle w:val="CharPartText"/>
        </w:rPr>
        <w:t>Preliminary matters</w:t>
      </w:r>
      <w:bookmarkEnd w:id="1"/>
      <w:bookmarkEnd w:id="2"/>
      <w:bookmarkEnd w:id="3"/>
    </w:p>
    <w:p>
      <w:pPr>
        <w:pStyle w:val="Footnoteheading"/>
      </w:pPr>
      <w:r>
        <w:tab/>
        <w:t>[Heading inserted in Gazette 15 Sep 2009 p. 3583.]</w:t>
      </w:r>
    </w:p>
    <w:p>
      <w:pPr>
        <w:pStyle w:val="Heading5"/>
      </w:pPr>
      <w:bookmarkStart w:id="12" w:name="_Toc253657997"/>
      <w:r>
        <w:rPr>
          <w:rStyle w:val="CharSectno"/>
        </w:rPr>
        <w:t>1</w:t>
      </w:r>
      <w:r>
        <w:t>.</w:t>
      </w:r>
      <w:r>
        <w:tab/>
        <w:t>Citation</w:t>
      </w:r>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94084413"/>
      <w:bookmarkStart w:id="21" w:name="_Toc25365799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22" w:name="_Toc252972157"/>
      <w:bookmarkStart w:id="23" w:name="_Toc253657831"/>
      <w:bookmarkStart w:id="24" w:name="_Toc253657999"/>
      <w:bookmarkStart w:id="25" w:name="_Toc94084414"/>
      <w:r>
        <w:rPr>
          <w:rStyle w:val="CharPartNo"/>
        </w:rPr>
        <w:t>Part 2</w:t>
      </w:r>
      <w:r>
        <w:t xml:space="preserve"> — </w:t>
      </w:r>
      <w:r>
        <w:rPr>
          <w:rStyle w:val="CharPartText"/>
        </w:rPr>
        <w:t>Estate administration</w:t>
      </w:r>
      <w:bookmarkEnd w:id="22"/>
      <w:bookmarkEnd w:id="23"/>
      <w:bookmarkEnd w:id="24"/>
    </w:p>
    <w:p>
      <w:pPr>
        <w:pStyle w:val="Footnoteheading"/>
      </w:pPr>
      <w:r>
        <w:tab/>
        <w:t>[Heading inserted in Gazette 15 Sep 2009 p. 3583.]</w:t>
      </w:r>
    </w:p>
    <w:p>
      <w:pPr>
        <w:pStyle w:val="Heading5"/>
      </w:pPr>
      <w:bookmarkStart w:id="26" w:name="_Toc253658000"/>
      <w:r>
        <w:rPr>
          <w:rStyle w:val="CharSectno"/>
        </w:rPr>
        <w:t>3</w:t>
      </w:r>
      <w:r>
        <w:t>.</w:t>
      </w:r>
      <w:r>
        <w:tab/>
        <w:t>Information as to administrator and estate</w:t>
      </w:r>
      <w:bookmarkEnd w:id="25"/>
      <w:bookmarkEnd w:id="26"/>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7" w:name="_Toc94084415"/>
      <w:bookmarkStart w:id="28" w:name="_Toc253658001"/>
      <w:r>
        <w:rPr>
          <w:rStyle w:val="CharSectno"/>
        </w:rPr>
        <w:t>4</w:t>
      </w:r>
      <w:r>
        <w:t>.</w:t>
      </w:r>
      <w:r>
        <w:tab/>
        <w:t>Examination of accounts</w:t>
      </w:r>
      <w:bookmarkEnd w:id="27"/>
      <w:bookmarkEnd w:id="28"/>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9" w:name="_Toc94084416"/>
      <w:bookmarkStart w:id="30" w:name="_Toc253658002"/>
      <w:r>
        <w:rPr>
          <w:rStyle w:val="CharSectno"/>
        </w:rPr>
        <w:t>5</w:t>
      </w:r>
      <w:r>
        <w:t>.</w:t>
      </w:r>
      <w:r>
        <w:tab/>
        <w:t>False or misleading information</w:t>
      </w:r>
      <w:bookmarkEnd w:id="29"/>
      <w:bookmarkEnd w:id="30"/>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Ednotesection"/>
      </w:pPr>
      <w:r>
        <w:t>[</w:t>
      </w:r>
      <w:r>
        <w:rPr>
          <w:b/>
          <w:bCs/>
        </w:rPr>
        <w:t>6.</w:t>
      </w:r>
      <w:r>
        <w:tab/>
        <w:t>Deleted in Gazette 15 Sep 2009 p. 3584.]</w:t>
      </w:r>
    </w:p>
    <w:p>
      <w:pPr>
        <w:pStyle w:val="Heading2"/>
      </w:pPr>
      <w:bookmarkStart w:id="31" w:name="_Toc252972161"/>
      <w:bookmarkStart w:id="32" w:name="_Toc253657835"/>
      <w:bookmarkStart w:id="33" w:name="_Toc253658003"/>
      <w:r>
        <w:rPr>
          <w:rStyle w:val="CharPartNo"/>
        </w:rPr>
        <w:t>Part 3</w:t>
      </w:r>
      <w:r>
        <w:rPr>
          <w:b w:val="0"/>
        </w:rPr>
        <w:t> </w:t>
      </w:r>
      <w:r>
        <w:t>—</w:t>
      </w:r>
      <w:r>
        <w:rPr>
          <w:b w:val="0"/>
        </w:rPr>
        <w:t> </w:t>
      </w:r>
      <w:r>
        <w:rPr>
          <w:rStyle w:val="CharPartText"/>
        </w:rPr>
        <w:t>Enduring powers of guardianship and advance health directives</w:t>
      </w:r>
      <w:bookmarkEnd w:id="31"/>
      <w:bookmarkEnd w:id="32"/>
      <w:bookmarkEnd w:id="33"/>
    </w:p>
    <w:p>
      <w:pPr>
        <w:pStyle w:val="Footnoteheading"/>
      </w:pPr>
      <w:r>
        <w:tab/>
        <w:t>[Heading inserted in Gazette 15 Sep 2009 p. 3584.]</w:t>
      </w:r>
    </w:p>
    <w:p>
      <w:pPr>
        <w:pStyle w:val="Heading5"/>
      </w:pPr>
      <w:bookmarkStart w:id="34" w:name="_Toc253658004"/>
      <w:r>
        <w:rPr>
          <w:rStyle w:val="CharSectno"/>
        </w:rPr>
        <w:t>6</w:t>
      </w:r>
      <w:r>
        <w:t>.</w:t>
      </w:r>
      <w:r>
        <w:tab/>
        <w:t>Enduring power of guardianship (Schedule 1)</w:t>
      </w:r>
      <w:bookmarkEnd w:id="34"/>
    </w:p>
    <w:p>
      <w:pPr>
        <w:pStyle w:val="Subsection"/>
      </w:pPr>
      <w:r>
        <w:tab/>
      </w:r>
      <w:r>
        <w:tab/>
        <w:t>The form prescribed for an enduring power of guardianship is the form in Schedule 1.</w:t>
      </w:r>
    </w:p>
    <w:p>
      <w:pPr>
        <w:pStyle w:val="Footnotesection"/>
      </w:pPr>
      <w:r>
        <w:tab/>
        <w:t>[Regulation 6 inserted in Gazette 15 Sep 2009 p. 3584.]</w:t>
      </w:r>
    </w:p>
    <w:p>
      <w:pPr>
        <w:pStyle w:val="Heading5"/>
      </w:pPr>
      <w:bookmarkStart w:id="35" w:name="_Toc253658005"/>
      <w:r>
        <w:rPr>
          <w:rStyle w:val="CharSectno"/>
        </w:rPr>
        <w:t>7</w:t>
      </w:r>
      <w:r>
        <w:t>.</w:t>
      </w:r>
      <w:r>
        <w:tab/>
        <w:t>Advance health directive (Schedule 2)</w:t>
      </w:r>
      <w:bookmarkEnd w:id="35"/>
    </w:p>
    <w:p>
      <w:pPr>
        <w:pStyle w:val="Subsection"/>
      </w:pPr>
      <w:r>
        <w:tab/>
      </w:r>
      <w:r>
        <w:tab/>
        <w:t>The form prescribed for an advance health directive is the form in Schedule 2.</w:t>
      </w:r>
    </w:p>
    <w:p>
      <w:pPr>
        <w:pStyle w:val="Footnotesection"/>
      </w:pPr>
      <w:r>
        <w:tab/>
        <w:t>[Regulation 7 inserted in Gazette 15 Sep 2009 p. 3584.]</w:t>
      </w:r>
    </w:p>
    <w:p>
      <w:pPr>
        <w:pStyle w:val="Heading5"/>
      </w:pPr>
      <w:bookmarkStart w:id="36" w:name="_Toc253658006"/>
      <w:r>
        <w:rPr>
          <w:rStyle w:val="CharSectno"/>
        </w:rPr>
        <w:t>8</w:t>
      </w:r>
      <w:r>
        <w:t>.</w:t>
      </w:r>
      <w:r>
        <w:tab/>
        <w:t>Status of notes in forms</w:t>
      </w:r>
      <w:bookmarkEnd w:id="36"/>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in Gazette 15 Sep 2009 p. 3584.]</w:t>
      </w:r>
    </w:p>
    <w:p>
      <w:pPr>
        <w:pStyle w:val="Footnote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 w:name="_Toc252972165"/>
      <w:bookmarkStart w:id="38" w:name="_Toc253657839"/>
      <w:bookmarkStart w:id="39" w:name="_Toc253658007"/>
      <w:r>
        <w:rPr>
          <w:rStyle w:val="CharSchNo"/>
        </w:rPr>
        <w:t>Schedule 1</w:t>
      </w:r>
      <w:r>
        <w:t xml:space="preserve"> — </w:t>
      </w:r>
      <w:r>
        <w:rPr>
          <w:rStyle w:val="CharSchText"/>
        </w:rPr>
        <w:t>Enduring power of guardianship form</w:t>
      </w:r>
      <w:bookmarkEnd w:id="37"/>
      <w:bookmarkEnd w:id="38"/>
      <w:bookmarkEnd w:id="39"/>
    </w:p>
    <w:p>
      <w:pPr>
        <w:pStyle w:val="yShoulderClause"/>
      </w:pPr>
      <w:r>
        <w:t>[r. 6]</w:t>
      </w:r>
    </w:p>
    <w:p>
      <w:pPr>
        <w:pStyle w:val="yFootnotesection"/>
      </w:pPr>
      <w:r>
        <w:tab/>
        <w:t>[Heading inserted in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w:t>
      </w:r>
      <w:r>
        <w:t xml:space="preserve"> </w:t>
      </w:r>
      <w:r>
        <w:rPr>
          <w:i/>
          <w:iCs/>
        </w:rPr>
        <w:t>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i/>
                <w:iCs/>
                <w:vertAlign w:val="superscript"/>
              </w:rPr>
              <w:t>6</w:t>
            </w:r>
          </w:p>
          <w:p>
            <w:pPr>
              <w:pStyle w:val="yMiscellaneousBody"/>
              <w:ind w:left="492" w:hanging="492"/>
              <w:rPr>
                <w:i/>
                <w:iCs/>
              </w:rPr>
            </w:pPr>
            <w:r>
              <w:rPr>
                <w:i/>
                <w:iCs/>
              </w:rPr>
              <w:t>•</w:t>
            </w:r>
            <w:r>
              <w:rPr>
                <w:i/>
                <w:iCs/>
              </w:rPr>
              <w:tab/>
              <w:t xml:space="preserve">You can only appoint a person to be a substitute enduring guardian if that person is 18 years of age or older and has full legal capacity. </w:t>
            </w:r>
            <w:r>
              <w:rPr>
                <w:i/>
                <w:iCs/>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pPr>
      <w:r>
        <w:tab/>
        <w:t>...........................................................................………….............</w:t>
      </w:r>
    </w:p>
    <w:p>
      <w:pPr>
        <w:pStyle w:val="yMiscellaneousBody"/>
        <w:tabs>
          <w:tab w:val="left" w:pos="480"/>
        </w:tabs>
        <w:ind w:left="1080" w:hanging="1080"/>
      </w:pPr>
      <w:r>
        <w:tab/>
        <w:t>(k)</w:t>
      </w:r>
      <w:r>
        <w:tab/>
        <w:t>.........................................................................................…………</w:t>
      </w:r>
    </w:p>
    <w:p>
      <w:pPr>
        <w:pStyle w:val="yMiscellaneousBody"/>
      </w:pP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6:</w:t>
            </w:r>
          </w:p>
          <w:p>
            <w:pPr>
              <w:pStyle w:val="yMiscellaneousBody"/>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tabs>
                <w:tab w:val="left" w:pos="480"/>
              </w:tabs>
              <w:spacing w:before="80"/>
              <w:ind w:left="960" w:hanging="960"/>
              <w:rPr>
                <w:i/>
                <w:iCs/>
              </w:rPr>
            </w:pPr>
            <w:r>
              <w:rPr>
                <w:i/>
                <w:iCs/>
              </w:rPr>
              <w:tab/>
            </w:r>
            <w:bookmarkStart w:id="40" w:name="UpToHere"/>
            <w:bookmarkEnd w:id="40"/>
            <w:r>
              <w:rPr>
                <w:i/>
                <w:iCs/>
              </w:rPr>
              <w:t>(a)</w:t>
            </w:r>
            <w:r>
              <w:rPr>
                <w:i/>
                <w:iCs/>
              </w:rPr>
              <w:tab/>
              <w:t>if I need to be moved into a residential care facility, do not move me into XYZ Nursing Home;</w:t>
            </w:r>
          </w:p>
          <w:p>
            <w:pPr>
              <w:pStyle w:val="yMiscellaneousBody"/>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keepNext/>
        <w:keepLines/>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keepNext/>
        <w:keepLines/>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keepNext/>
        <w:keepLines/>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rPr>
          <w:u w:val="single"/>
        </w:rPr>
      </w:pPr>
      <w:r>
        <w:rPr>
          <w:u w:val="single"/>
        </w:rPr>
        <w:t>…………………………………………………………………………………</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rPr>
        <w:t>13</w:t>
      </w:r>
      <w:r>
        <w:rPr>
          <w:sz w:val="20"/>
        </w:rPr>
        <w:tab/>
        <w:t>GAA Act s. 110G(3)</w:t>
      </w:r>
    </w:p>
    <w:p>
      <w:pPr>
        <w:pStyle w:val="yMiscellaneousBody"/>
        <w:spacing w:before="0"/>
        <w:ind w:left="360" w:hanging="360"/>
        <w:rPr>
          <w:sz w:val="20"/>
        </w:rPr>
      </w:pPr>
      <w:r>
        <w:rPr>
          <w:sz w:val="20"/>
        </w:rPr>
        <w:t>14</w:t>
      </w:r>
      <w:r>
        <w:rPr>
          <w:sz w:val="20"/>
        </w:rPr>
        <w:tab/>
        <w:t>GAA Act s. 110G(4)</w:t>
      </w:r>
    </w:p>
    <w:p>
      <w:pPr>
        <w:pStyle w:val="yMiscellaneousBody"/>
        <w:spacing w:before="0"/>
        <w:ind w:left="360" w:hanging="360"/>
        <w:rPr>
          <w:sz w:val="20"/>
        </w:rPr>
      </w:pPr>
      <w:r>
        <w:rPr>
          <w:sz w:val="20"/>
        </w:rPr>
        <w:t>15</w:t>
      </w:r>
      <w:r>
        <w:rPr>
          <w:sz w:val="20"/>
        </w:rPr>
        <w:tab/>
        <w:t>GAA Act s. 110E(1)(b)</w:t>
      </w:r>
    </w:p>
    <w:p>
      <w:pPr>
        <w:pStyle w:val="yMiscellaneousBody"/>
        <w:spacing w:before="0"/>
        <w:ind w:left="360" w:hanging="360"/>
        <w:rPr>
          <w:sz w:val="20"/>
        </w:rPr>
      </w:pPr>
      <w:r>
        <w:rPr>
          <w:sz w:val="20"/>
        </w:rPr>
        <w:t>16</w:t>
      </w:r>
      <w:r>
        <w:rPr>
          <w:sz w:val="20"/>
        </w:rPr>
        <w:tab/>
        <w:t>GAA Act s. 110E(1)(c) and (d) and (2)</w:t>
      </w:r>
    </w:p>
    <w:p>
      <w:pPr>
        <w:pStyle w:val="yMiscellaneousBody"/>
        <w:spacing w:before="0"/>
        <w:ind w:left="360" w:hanging="360"/>
        <w:rPr>
          <w:sz w:val="20"/>
        </w:rPr>
      </w:pPr>
      <w:r>
        <w:rPr>
          <w:sz w:val="20"/>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rPr>
        <w:t>18</w:t>
      </w:r>
      <w:r>
        <w:rPr>
          <w:sz w:val="20"/>
        </w:rPr>
        <w:tab/>
        <w:t>GAA Act s. 110E(1)(e)</w:t>
      </w:r>
    </w:p>
    <w:p>
      <w:pPr>
        <w:pStyle w:val="yMiscellaneousBody"/>
        <w:spacing w:before="0"/>
        <w:ind w:left="360" w:hanging="360"/>
        <w:rPr>
          <w:sz w:val="20"/>
        </w:rPr>
      </w:pPr>
      <w:r>
        <w:rPr>
          <w:sz w:val="20"/>
        </w:rPr>
        <w:t>19</w:t>
      </w:r>
      <w:r>
        <w:rPr>
          <w:sz w:val="20"/>
        </w:rPr>
        <w:tab/>
        <w:t>GAA Act s. 110E(1)(f) and (g) and (2)</w:t>
      </w:r>
    </w:p>
    <w:p>
      <w:pPr>
        <w:pStyle w:val="yFootnotesection"/>
      </w:pPr>
      <w:r>
        <w:tab/>
        <w:t>[Schedule 1 inserted in Gazette 15 Sep 2009 p. 3584-93; amended in Gazette 18 Dec 2009 p. 5169.]</w:t>
      </w:r>
    </w:p>
    <w:p>
      <w:pPr>
        <w:pStyle w:val="yScheduleHeading"/>
      </w:pPr>
      <w:bookmarkStart w:id="41" w:name="_Toc252972166"/>
      <w:bookmarkStart w:id="42" w:name="_Toc253657840"/>
      <w:bookmarkStart w:id="43" w:name="_Toc253658008"/>
      <w:r>
        <w:rPr>
          <w:rStyle w:val="CharSchNo"/>
        </w:rPr>
        <w:t>Schedule 2</w:t>
      </w:r>
      <w:r>
        <w:t> — </w:t>
      </w:r>
      <w:r>
        <w:rPr>
          <w:rStyle w:val="CharSchText"/>
        </w:rPr>
        <w:t>Advance health directive form</w:t>
      </w:r>
      <w:bookmarkEnd w:id="41"/>
      <w:bookmarkEnd w:id="42"/>
      <w:bookmarkEnd w:id="43"/>
    </w:p>
    <w:p>
      <w:pPr>
        <w:pStyle w:val="yShoulderClause"/>
      </w:pPr>
      <w:r>
        <w:t>[r. 7]</w:t>
      </w:r>
    </w:p>
    <w:p>
      <w:pPr>
        <w:pStyle w:val="yFootnotesection"/>
      </w:pPr>
      <w:r>
        <w:tab/>
        <w:t>[Heading inserted in Gazette 15 Sep 2009 p. 3594.]</w:t>
      </w:r>
    </w:p>
    <w:p>
      <w:pPr>
        <w:pStyle w:val="yMiscellaneousHeading"/>
        <w:spacing w:after="120"/>
        <w:rPr>
          <w:b/>
          <w:bCs/>
        </w:rPr>
      </w:pPr>
      <w:r>
        <w:rPr>
          <w:b/>
          <w:bCs/>
        </w:rPr>
        <w:t>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w:t>
            </w:r>
          </w:p>
          <w:p>
            <w:pPr>
              <w:pStyle w:val="yMiscellaneousBody"/>
              <w:ind w:left="480" w:hanging="480"/>
              <w:rPr>
                <w:i/>
                <w:iCs/>
              </w:rPr>
            </w:pPr>
            <w:r>
              <w:rPr>
                <w:i/>
                <w:iCs/>
              </w:rPr>
              <w:t>•</w:t>
            </w:r>
            <w:r>
              <w:rPr>
                <w:i/>
                <w:iCs/>
              </w:rPr>
              <w:tab/>
              <w:t>To make an advance health directive, you must be 18 years of age or older and have full legal capacity</w:t>
            </w:r>
            <w:r>
              <w:t>.</w:t>
            </w:r>
            <w:r>
              <w:rPr>
                <w:vertAlign w:val="superscript"/>
              </w:rPr>
              <w:t> 1</w:t>
            </w:r>
          </w:p>
          <w:p>
            <w:pPr>
              <w:pStyle w:val="yMiscellaneousBody"/>
              <w:ind w:left="480" w:hanging="480"/>
              <w:rPr>
                <w:b/>
                <w:bCs/>
              </w:rPr>
            </w:pPr>
            <w:r>
              <w:t>•</w:t>
            </w:r>
            <w:r>
              <w:tab/>
            </w:r>
            <w:r>
              <w:rPr>
                <w:i/>
                <w:iCs/>
              </w:rPr>
              <w:t>A person who makes an advance health directive is called “the maker”.</w:t>
            </w:r>
          </w:p>
        </w:tc>
      </w:tr>
    </w:tbl>
    <w:p>
      <w:pPr>
        <w:pStyle w:val="yMiscellaneousBody"/>
      </w:pPr>
      <w:r>
        <w:t xml:space="preserve">This advance health directive is made under the </w:t>
      </w:r>
      <w:r>
        <w:rPr>
          <w:i/>
          <w:iCs/>
        </w:rPr>
        <w:t>Guardianship and</w:t>
      </w:r>
      <w:r>
        <w:t xml:space="preserve"> </w:t>
      </w:r>
      <w:r>
        <w:rPr>
          <w:i/>
          <w:iCs/>
        </w:rPr>
        <w:t>Administration Act 1990</w:t>
      </w:r>
      <w:r>
        <w:t xml:space="preserve"> Part 9B on </w:t>
      </w:r>
    </w:p>
    <w:p>
      <w:pPr>
        <w:pStyle w:val="yMiscellaneousBody"/>
      </w:pPr>
      <w:r>
        <w:t>the .......................................... day of ........................................... 20.....</w:t>
      </w:r>
    </w:p>
    <w:p>
      <w:pPr>
        <w:pStyle w:val="yMiscellaneousBody"/>
      </w:pPr>
      <w:r>
        <w:t>by ............................................................................................................</w:t>
      </w:r>
    </w:p>
    <w:p>
      <w:pPr>
        <w:pStyle w:val="yMiscellaneousBody"/>
        <w:spacing w:before="0"/>
        <w:jc w:val="center"/>
      </w:pPr>
      <w:r>
        <w:rPr>
          <w:i/>
          <w:iCs/>
        </w:rPr>
        <w:t>(maker’s full name)</w:t>
      </w:r>
    </w:p>
    <w:p>
      <w:pPr>
        <w:pStyle w:val="yMiscellaneousBody"/>
      </w:pPr>
      <w:r>
        <w:t>of .............................................................................................................</w:t>
      </w:r>
    </w:p>
    <w:p>
      <w:pPr>
        <w:pStyle w:val="yMiscellaneousBody"/>
        <w:spacing w:before="0"/>
        <w:jc w:val="center"/>
      </w:pPr>
      <w:r>
        <w:rPr>
          <w:i/>
          <w:iCs/>
        </w:rPr>
        <w:t>(maker’s residential address)</w:t>
      </w:r>
    </w:p>
    <w:p>
      <w:pPr>
        <w:pStyle w:val="yMiscellaneousBody"/>
      </w:pPr>
      <w:r>
        <w:t>born on ....................................................................................................</w:t>
      </w:r>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treatment decisions:</w:t>
            </w:r>
          </w:p>
          <w:p>
            <w:pPr>
              <w:pStyle w:val="yMiscellaneousBody"/>
              <w:ind w:left="480" w:hanging="480"/>
              <w:rPr>
                <w:i/>
                <w:iCs/>
              </w:rPr>
            </w:pPr>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p>
          <w:p>
            <w:pPr>
              <w:pStyle w:val="yMiscellaneousBody"/>
              <w:ind w:left="480" w:hanging="480"/>
              <w:rPr>
                <w:i/>
                <w:iCs/>
                <w:vertAlign w:val="superscript"/>
              </w:rPr>
            </w:pPr>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p>
          <w:p>
            <w:pPr>
              <w:pStyle w:val="yMiscellaneousBody"/>
              <w:ind w:left="480" w:hanging="480"/>
              <w:rPr>
                <w:i/>
                <w:iCs/>
                <w:vertAlign w:val="superscript"/>
              </w:rPr>
            </w:pPr>
            <w:r>
              <w:rPr>
                <w:i/>
                <w:iCs/>
              </w:rPr>
              <w:t>•</w:t>
            </w:r>
            <w:r>
              <w:rPr>
                <w:i/>
                <w:iCs/>
              </w:rPr>
              <w:tab/>
              <w:t>A treatment decision operates only in the circumstances that you specify</w:t>
            </w:r>
            <w:r>
              <w:t>.</w:t>
            </w:r>
            <w:r>
              <w:rPr>
                <w:vertAlign w:val="superscript"/>
              </w:rPr>
              <w:t> 4</w:t>
            </w:r>
          </w:p>
          <w:p>
            <w:pPr>
              <w:pStyle w:val="yMiscellaneousBody"/>
              <w:ind w:left="480" w:hanging="480"/>
              <w:rPr>
                <w:i/>
                <w:iCs/>
              </w:rPr>
            </w:pPr>
            <w:r>
              <w:rPr>
                <w:i/>
                <w:iCs/>
              </w:rPr>
              <w:t>•</w:t>
            </w:r>
            <w:r>
              <w:rPr>
                <w:i/>
                <w:iCs/>
              </w:rPr>
              <w:tab/>
              <w:t>Treatment to which you consent in this advance health directive can be provided to you.</w:t>
            </w:r>
          </w:p>
          <w:p>
            <w:pPr>
              <w:pStyle w:val="yMiscellaneousBody"/>
              <w:ind w:left="480" w:hanging="480"/>
              <w:rPr>
                <w:i/>
                <w:iCs/>
              </w:rPr>
            </w:pPr>
            <w:r>
              <w:rPr>
                <w:i/>
                <w:iCs/>
              </w:rPr>
              <w:t>•</w:t>
            </w:r>
            <w:r>
              <w:rPr>
                <w:i/>
                <w:iCs/>
              </w:rPr>
              <w:tab/>
              <w:t>Treatment to which you refuse consent in this advance health directive cannot be provided to you.</w:t>
            </w:r>
          </w:p>
          <w:p>
            <w:pPr>
              <w:pStyle w:val="yMiscellaneousBody"/>
              <w:ind w:left="480" w:hanging="480"/>
              <w:rPr>
                <w:b/>
                <w:bCs/>
              </w:rPr>
            </w:pPr>
            <w:r>
              <w:rPr>
                <w:i/>
                <w:iCs/>
              </w:rPr>
              <w:t>•</w:t>
            </w:r>
            <w:r>
              <w:rPr>
                <w:i/>
                <w:iCs/>
              </w:rPr>
              <w:tab/>
              <w:t>Your enduring guardian or guardian or another person cannot consent or refuse consent on your behalf to any treatment to which this advance health directive applies.</w:t>
            </w:r>
            <w:r>
              <w:rPr>
                <w:vertAlign w:val="superscript"/>
              </w:rPr>
              <w:t> 5</w:t>
            </w:r>
          </w:p>
        </w:tc>
      </w:tr>
    </w:tbl>
    <w:p>
      <w:pPr>
        <w:pStyle w:val="yMiscellaneousBody"/>
        <w:tabs>
          <w:tab w:val="left" w:pos="600"/>
        </w:tabs>
        <w:rPr>
          <w:b/>
          <w:bCs/>
        </w:rPr>
      </w:pPr>
      <w:r>
        <w:rPr>
          <w:b/>
          <w:bCs/>
        </w:rPr>
        <w:t>1.</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keepNext/>
        <w:keepLines/>
        <w:tabs>
          <w:tab w:val="left" w:pos="600"/>
        </w:tabs>
        <w:rPr>
          <w:b/>
          <w:bCs/>
        </w:rPr>
      </w:pPr>
      <w:r>
        <w:rPr>
          <w:b/>
          <w:bCs/>
        </w:rPr>
        <w:t>2.</w:t>
      </w:r>
      <w:r>
        <w:rPr>
          <w:b/>
          <w:bCs/>
        </w:rPr>
        <w:tab/>
        <w:t>Treatment decision</w:t>
      </w:r>
    </w:p>
    <w:p>
      <w:pPr>
        <w:pStyle w:val="yMiscellaneousBody"/>
        <w:keepNext/>
        <w:keepLines/>
      </w:pPr>
      <w:r>
        <w:t>In the following circumstances:</w:t>
      </w:r>
    </w:p>
    <w:p>
      <w:pPr>
        <w:pStyle w:val="yMiscellaneousBody"/>
        <w:keepNext/>
        <w:keepLines/>
      </w:pPr>
      <w:r>
        <w:t>...............................................................................................................………….</w:t>
      </w:r>
    </w:p>
    <w:p>
      <w:pPr>
        <w:pStyle w:val="yMiscellaneousBody"/>
        <w:keepNext/>
        <w:keepLines/>
      </w:pPr>
      <w:r>
        <w:t>...............................................................................................................………….</w:t>
      </w:r>
    </w:p>
    <w:p>
      <w:pPr>
        <w:pStyle w:val="yMiscellaneousBody"/>
        <w:keepNext/>
        <w:keepLines/>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tabs>
          <w:tab w:val="left" w:pos="600"/>
        </w:tabs>
        <w:rPr>
          <w:b/>
          <w:bCs/>
        </w:rPr>
      </w:pPr>
      <w:r>
        <w:rPr>
          <w:b/>
          <w:bCs/>
        </w:rPr>
        <w:t>3.</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maker about signing and witnessing:</w:t>
            </w:r>
          </w:p>
          <w:p>
            <w:pPr>
              <w:pStyle w:val="yMiscellaneousBody"/>
              <w:ind w:left="480" w:hanging="480"/>
              <w:rPr>
                <w:i/>
                <w:iCs/>
              </w:rPr>
            </w:pPr>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p>
          <w:p>
            <w:pPr>
              <w:pStyle w:val="yMiscellaneousBody"/>
              <w:ind w:left="480" w:hanging="480"/>
              <w:rPr>
                <w:i/>
                <w:iCs/>
              </w:rPr>
            </w:pPr>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p>
          <w:p>
            <w:pPr>
              <w:pStyle w:val="yMiscellaneousBody"/>
              <w:ind w:left="480" w:hanging="480"/>
              <w:rPr>
                <w:i/>
                <w:iCs/>
              </w:rPr>
            </w:pPr>
            <w:r>
              <w:rPr>
                <w:i/>
                <w:iCs/>
              </w:rPr>
              <w:t>•</w:t>
            </w:r>
            <w:r>
              <w:rPr>
                <w:i/>
                <w:iCs/>
              </w:rPr>
              <w:tab/>
              <w:t>Each of the witnesses must be 18 years of age or older and cannot be you or the person signing for you (if applicable).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p>
          <w:p>
            <w:pPr>
              <w:pStyle w:val="yMiscellaneousBody"/>
              <w:ind w:left="480" w:hanging="480"/>
              <w:rPr>
                <w:b/>
                <w:bCs/>
              </w:rPr>
            </w:pPr>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p>
        </w:tc>
      </w:tr>
    </w:tbl>
    <w:p>
      <w:pPr>
        <w:pStyle w:val="yMiscellaneousBody"/>
      </w:pPr>
      <w:r>
        <w:t>Signed by:</w:t>
      </w:r>
    </w:p>
    <w:p>
      <w:pPr>
        <w:pStyle w:val="yMiscellaneousBody"/>
      </w:pPr>
      <w:r>
        <w:t>.................................................................................................................</w:t>
      </w:r>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vertAlign w:val="superscript"/>
              </w:rPr>
            </w:pPr>
            <w:r>
              <w:rPr>
                <w:i/>
                <w:iCs/>
              </w:rPr>
              <w:t>•</w:t>
            </w:r>
            <w:r>
              <w:rPr>
                <w:i/>
                <w:iCs/>
              </w:rPr>
              <w:tab/>
              <w:t>You are encouraged (but are not required) to seek legal or medical advice before making this advance health directive</w:t>
            </w:r>
            <w:r>
              <w:t>.</w:t>
            </w:r>
            <w:r>
              <w:rPr>
                <w:vertAlign w:val="superscript"/>
              </w:rPr>
              <w:t> 9</w:t>
            </w:r>
          </w:p>
          <w:p>
            <w:pPr>
              <w:pStyle w:val="yMiscellaneousBody"/>
              <w:ind w:left="480" w:hanging="480"/>
              <w:rPr>
                <w:i/>
                <w:iCs/>
                <w:vertAlign w:val="superscript"/>
              </w:rPr>
            </w:pPr>
            <w:r>
              <w:rPr>
                <w:i/>
                <w:iCs/>
              </w:rPr>
              <w:t>•</w:t>
            </w:r>
            <w:r>
              <w:rPr>
                <w:i/>
                <w:iCs/>
              </w:rPr>
              <w:tab/>
              <w:t>If you wish to indicate that you have obtained legal or medical advice and wish to identify the person who gave you the advice, complete the relevant part of the statement.</w:t>
            </w:r>
          </w:p>
          <w:p>
            <w:pPr>
              <w:pStyle w:val="yMiscellaneousBody"/>
              <w:ind w:left="480" w:hanging="480"/>
              <w:rPr>
                <w:i/>
                <w:iCs/>
              </w:rPr>
            </w:pPr>
            <w:r>
              <w:rPr>
                <w:i/>
                <w:iCs/>
              </w:rPr>
              <w:t>•</w:t>
            </w:r>
            <w:r>
              <w:rPr>
                <w:i/>
                <w:iCs/>
              </w:rPr>
              <w:tab/>
              <w:t>If you wish to indicate that you have obtained legal or medical advice but do not wish to identify the person who gave you the advice, cross out and initial the relevant part of the statement.</w:t>
            </w:r>
          </w:p>
          <w:p>
            <w:pPr>
              <w:pStyle w:val="yMiscellaneousBody"/>
              <w:ind w:left="480" w:hanging="480"/>
              <w:rPr>
                <w:i/>
                <w:iCs/>
              </w:rPr>
            </w:pPr>
            <w:r>
              <w:rPr>
                <w:i/>
                <w:iCs/>
              </w:rPr>
              <w:t>•</w:t>
            </w:r>
            <w:r>
              <w:rPr>
                <w:i/>
                <w:iCs/>
              </w:rPr>
              <w:tab/>
              <w:t>If you do not wish to indicate whether or not you have obtained legal or medical advice, you may (but do not have to) cross out and initial the statement.</w:t>
            </w:r>
          </w:p>
          <w:p>
            <w:pPr>
              <w:pStyle w:val="yMiscellaneousBody"/>
              <w:ind w:left="480" w:hanging="480"/>
              <w:rPr>
                <w:i/>
                <w:iCs/>
              </w:rPr>
            </w:pPr>
            <w:r>
              <w:rPr>
                <w:i/>
                <w:iCs/>
              </w:rPr>
              <w:t>•</w:t>
            </w:r>
            <w:r>
              <w:rPr>
                <w:i/>
                <w:iCs/>
              </w:rPr>
              <w:tab/>
              <w:t>If you do not wish to obtain legal or medical advice, you may (but do not have to) cross out and initial the statement.</w:t>
            </w:r>
          </w:p>
          <w:p>
            <w:pPr>
              <w:pStyle w:val="yMiscellaneousBody"/>
              <w:ind w:left="480" w:hanging="480"/>
              <w:rPr>
                <w:b/>
                <w:bCs/>
              </w:rPr>
            </w:pPr>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p>
        </w:tc>
      </w:tr>
    </w:tbl>
    <w:p>
      <w:pPr>
        <w:pStyle w:val="yMiscellaneousBody"/>
      </w:pPr>
      <w:r>
        <w:t>Before making this advance health directive, I obtained legal advice about making it.</w:t>
      </w:r>
    </w:p>
    <w:p>
      <w:pPr>
        <w:pStyle w:val="yMiscellaneousBody"/>
      </w:pPr>
      <w:r>
        <w:t>I obtained that legal advice from ............................................................</w:t>
      </w:r>
    </w:p>
    <w:p>
      <w:pPr>
        <w:pStyle w:val="yMiscellaneousBody"/>
      </w:pPr>
      <w:r>
        <w:t>.................................................................................................................</w:t>
      </w:r>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I obtained that medical advice from .......................................................</w:t>
      </w:r>
    </w:p>
    <w:p>
      <w:pPr>
        <w:pStyle w:val="yMiscellaneousBody"/>
      </w:pPr>
      <w:r>
        <w:t>.................................................................................................................</w:t>
      </w:r>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rPr>
                <w:b/>
                <w:bCs/>
              </w:rPr>
            </w:pPr>
            <w:r>
              <w:rPr>
                <w:i/>
                <w:iCs/>
              </w:rPr>
              <w:t>•</w:t>
            </w:r>
            <w:r>
              <w:rPr>
                <w:i/>
                <w:iCs/>
              </w:rPr>
              <w:tab/>
              <w:t>You do not have to say anything in this advance health directive about whether or not you have made an enduring power of guardianship. You can leave the box next to the statement blank.</w:t>
            </w:r>
          </w:p>
        </w:tc>
      </w:tr>
    </w:tbl>
    <w:p>
      <w:pPr>
        <w:pStyle w:val="yMiscellaneousBody"/>
        <w:tabs>
          <w:tab w:val="left" w:pos="5160"/>
        </w:tabs>
      </w:pPr>
      <w:r>
        <w:t>I have made an enduring power of guardianship.</w:t>
      </w:r>
      <w:r>
        <w:tab/>
      </w:r>
      <w:r>
        <w:sym w:font="Wingdings 2" w:char="F0A3"/>
      </w:r>
    </w:p>
    <w:p>
      <w:pPr>
        <w:pStyle w:val="yMiscellaneousBody"/>
        <w:tabs>
          <w:tab w:val="left" w:pos="5160"/>
        </w:tabs>
      </w:pPr>
      <w:r>
        <w:t>________________________________________________________________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110P</w:t>
      </w:r>
    </w:p>
    <w:p>
      <w:pPr>
        <w:pStyle w:val="yMiscellaneousBody"/>
        <w:spacing w:before="0"/>
        <w:ind w:left="357" w:hanging="357"/>
        <w:rPr>
          <w:sz w:val="20"/>
        </w:rPr>
      </w:pPr>
      <w:r>
        <w:rPr>
          <w:sz w:val="20"/>
          <w:vertAlign w:val="superscript"/>
        </w:rPr>
        <w:t>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 xml:space="preserve">GAA Act s. 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 110S(2)</w:t>
      </w:r>
    </w:p>
    <w:p>
      <w:pPr>
        <w:pStyle w:val="yMiscellaneousBody"/>
        <w:spacing w:before="0"/>
        <w:ind w:left="357" w:hanging="357"/>
        <w:rPr>
          <w:sz w:val="20"/>
        </w:rPr>
      </w:pPr>
      <w:r>
        <w:rPr>
          <w:sz w:val="20"/>
          <w:vertAlign w:val="superscript"/>
        </w:rPr>
        <w:t>5</w:t>
      </w:r>
      <w:r>
        <w:rPr>
          <w:sz w:val="20"/>
        </w:rPr>
        <w:tab/>
        <w:t>GAA Act s. 110ZJ</w:t>
      </w:r>
    </w:p>
    <w:p>
      <w:pPr>
        <w:pStyle w:val="yMiscellaneousBody"/>
        <w:spacing w:before="0"/>
        <w:ind w:left="357" w:hanging="357"/>
        <w:rPr>
          <w:sz w:val="20"/>
        </w:rPr>
      </w:pPr>
      <w:r>
        <w:rPr>
          <w:sz w:val="20"/>
          <w:vertAlign w:val="superscript"/>
        </w:rPr>
        <w:t>6</w:t>
      </w:r>
      <w:r>
        <w:rPr>
          <w:sz w:val="20"/>
        </w:rPr>
        <w:tab/>
        <w:t>GAA Act s. 110Q(1)(c)</w:t>
      </w:r>
    </w:p>
    <w:p>
      <w:pPr>
        <w:pStyle w:val="yMiscellaneousBody"/>
        <w:spacing w:before="0"/>
        <w:ind w:left="357" w:hanging="357"/>
        <w:rPr>
          <w:sz w:val="20"/>
        </w:rPr>
      </w:pPr>
      <w:r>
        <w:rPr>
          <w:sz w:val="20"/>
          <w:vertAlign w:val="superscript"/>
        </w:rPr>
        <w:t>7</w:t>
      </w:r>
      <w:r>
        <w:rPr>
          <w:sz w:val="20"/>
        </w:rPr>
        <w:tab/>
        <w:t>GAA Act s. 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 2005</w:t>
      </w:r>
      <w:r>
        <w:rPr>
          <w:sz w:val="20"/>
        </w:rPr>
        <w:t xml:space="preserve"> s. 12(6) and Sch. 2</w:t>
      </w:r>
    </w:p>
    <w:p>
      <w:pPr>
        <w:pStyle w:val="yMiscellaneousBody"/>
        <w:spacing w:before="0"/>
        <w:ind w:left="357" w:hanging="357"/>
        <w:rPr>
          <w:sz w:val="20"/>
        </w:rPr>
      </w:pPr>
      <w:r>
        <w:rPr>
          <w:sz w:val="20"/>
          <w:vertAlign w:val="superscript"/>
        </w:rPr>
        <w:t>9</w:t>
      </w:r>
      <w:r>
        <w:rPr>
          <w:sz w:val="20"/>
        </w:rPr>
        <w:tab/>
        <w:t>GAA Act s. 110Q(1)(b) and (2) and 110QA</w:t>
      </w:r>
    </w:p>
    <w:p>
      <w:pPr>
        <w:pStyle w:val="yFootnotesection"/>
      </w:pPr>
      <w:r>
        <w:tab/>
        <w:t>[Schedule 2 inserted in Gazette 15 Sep 2009 p. 3594-97; amended in Gazette 18 Dec 2009 p. 5169.]</w:t>
      </w:r>
    </w:p>
    <w:p>
      <w:pPr>
        <w:pStyle w:val="yMiscellaneousBody"/>
        <w:spacing w:before="0"/>
        <w:ind w:left="357" w:hanging="357"/>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4" w:name="_Toc94083118"/>
      <w:bookmarkStart w:id="45" w:name="_Toc94084242"/>
      <w:bookmarkStart w:id="46" w:name="_Toc94084418"/>
      <w:bookmarkStart w:id="47" w:name="_Toc240703584"/>
      <w:bookmarkStart w:id="48" w:name="_Toc240775140"/>
    </w:p>
    <w:p>
      <w:pPr>
        <w:pStyle w:val="nHeading2"/>
      </w:pPr>
      <w:bookmarkStart w:id="49" w:name="_Toc252972167"/>
      <w:bookmarkStart w:id="50" w:name="_Toc253657841"/>
      <w:bookmarkStart w:id="51" w:name="_Toc253658009"/>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and </w:t>
      </w:r>
      <w:r>
        <w:rPr>
          <w:snapToGrid w:val="0"/>
        </w:rPr>
        <w:t xml:space="preserve">includes the amendments made by the other written laws referred to in the following table. </w:t>
      </w:r>
    </w:p>
    <w:p>
      <w:pPr>
        <w:pStyle w:val="nHeading3"/>
      </w:pPr>
      <w:bookmarkStart w:id="52" w:name="_Toc253658010"/>
      <w: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Guardianship and Administration Regulations 2005</w:t>
            </w:r>
          </w:p>
        </w:tc>
        <w:tc>
          <w:tcPr>
            <w:tcW w:w="1276" w:type="dxa"/>
            <w:tcBorders>
              <w:top w:val="single" w:sz="8" w:space="0" w:color="auto"/>
            </w:tcBorders>
          </w:tcPr>
          <w:p>
            <w:pPr>
              <w:pStyle w:val="nTable"/>
              <w:spacing w:after="40"/>
              <w:rPr>
                <w:sz w:val="19"/>
              </w:rPr>
            </w:pPr>
            <w:r>
              <w:rPr>
                <w:sz w:val="19"/>
              </w:rPr>
              <w:t>21 Jan 2005 p. 268-9</w:t>
            </w:r>
          </w:p>
        </w:tc>
        <w:tc>
          <w:tcPr>
            <w:tcW w:w="2693" w:type="dxa"/>
            <w:tcBorders>
              <w:top w:val="single" w:sz="8" w:space="0" w:color="auto"/>
            </w:tcBorders>
          </w:tcPr>
          <w:p>
            <w:pPr>
              <w:pStyle w:val="nTable"/>
              <w:spacing w:after="40"/>
              <w:rPr>
                <w:iCs/>
                <w:sz w:val="19"/>
              </w:rPr>
            </w:pPr>
            <w:r>
              <w:rPr>
                <w:sz w:val="19"/>
              </w:rPr>
              <w:t xml:space="preserve">24 Jan 2005 (see r. 2 and </w:t>
            </w:r>
            <w:r>
              <w:rPr>
                <w:i/>
                <w:sz w:val="19"/>
              </w:rPr>
              <w:t>Gazette</w:t>
            </w:r>
            <w:r>
              <w:rPr>
                <w:iCs/>
                <w:sz w:val="19"/>
              </w:rPr>
              <w:t xml:space="preserve"> 31 Dec 2004 p. 7130)</w:t>
            </w:r>
          </w:p>
        </w:tc>
      </w:tr>
      <w:tr>
        <w:tc>
          <w:tcPr>
            <w:tcW w:w="3118" w:type="dxa"/>
          </w:tcPr>
          <w:p>
            <w:pPr>
              <w:pStyle w:val="nTable"/>
              <w:spacing w:after="40"/>
              <w:rPr>
                <w:i/>
                <w:noProof/>
                <w:snapToGrid w:val="0"/>
                <w:sz w:val="19"/>
              </w:rPr>
            </w:pPr>
            <w:r>
              <w:rPr>
                <w:i/>
                <w:noProof/>
                <w:snapToGrid w:val="0"/>
                <w:sz w:val="19"/>
              </w:rPr>
              <w:t>Guardianship and Administration Amendment Regulations 2009</w:t>
            </w:r>
          </w:p>
        </w:tc>
        <w:tc>
          <w:tcPr>
            <w:tcW w:w="1276" w:type="dxa"/>
          </w:tcPr>
          <w:p>
            <w:pPr>
              <w:pStyle w:val="nTable"/>
              <w:spacing w:after="40"/>
              <w:rPr>
                <w:sz w:val="19"/>
              </w:rPr>
            </w:pPr>
            <w:r>
              <w:rPr>
                <w:snapToGrid w:val="0"/>
                <w:sz w:val="19"/>
                <w:lang w:val="en-US"/>
              </w:rPr>
              <w:t>15 Sep 2009 p. 3583</w:t>
            </w:r>
            <w:r>
              <w:rPr>
                <w:snapToGrid w:val="0"/>
                <w:sz w:val="19"/>
                <w:lang w:val="en-US"/>
              </w:rPr>
              <w:noBreakHyphen/>
              <w:t>97</w:t>
            </w:r>
          </w:p>
        </w:tc>
        <w:tc>
          <w:tcPr>
            <w:tcW w:w="2693" w:type="dxa"/>
          </w:tcPr>
          <w:p>
            <w:pPr>
              <w:pStyle w:val="nTable"/>
              <w:spacing w:after="40"/>
              <w:rPr>
                <w:sz w:val="19"/>
              </w:rPr>
            </w:pPr>
            <w:r>
              <w:rPr>
                <w:sz w:val="19"/>
              </w:rPr>
              <w:t>r. 1 and 2: 15 Sep 2009 (see r. 2(a));</w:t>
            </w:r>
            <w:r>
              <w:rPr>
                <w:sz w:val="19"/>
              </w:rPr>
              <w:br/>
              <w:t xml:space="preserve">Regulations other than r. 1 and 2: 15 Feb 2010 (see r. 2(b) and </w:t>
            </w:r>
            <w:r>
              <w:rPr>
                <w:i/>
                <w:iCs/>
                <w:sz w:val="19"/>
              </w:rPr>
              <w:t>Gazette</w:t>
            </w:r>
            <w:r>
              <w:rPr>
                <w:sz w:val="19"/>
              </w:rPr>
              <w:t xml:space="preserve"> 8 Jan 2010 p. 9)</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Guardianship and Administration Amendment Regulations (No. 2) 2009</w:t>
            </w:r>
          </w:p>
        </w:tc>
        <w:tc>
          <w:tcPr>
            <w:tcW w:w="1276" w:type="dxa"/>
            <w:tcBorders>
              <w:bottom w:val="single" w:sz="8" w:space="0" w:color="auto"/>
            </w:tcBorders>
          </w:tcPr>
          <w:p>
            <w:pPr>
              <w:pStyle w:val="nTable"/>
              <w:spacing w:after="40"/>
              <w:rPr>
                <w:snapToGrid w:val="0"/>
                <w:sz w:val="19"/>
                <w:lang w:val="en-US"/>
              </w:rPr>
            </w:pPr>
            <w:r>
              <w:rPr>
                <w:snapToGrid w:val="0"/>
                <w:sz w:val="19"/>
                <w:lang w:val="en-US"/>
              </w:rPr>
              <w:t>18 Dec 2009 p. 5168-9</w:t>
            </w:r>
          </w:p>
        </w:tc>
        <w:tc>
          <w:tcPr>
            <w:tcW w:w="2693" w:type="dxa"/>
            <w:tcBorders>
              <w:bottom w:val="single" w:sz="8" w:space="0" w:color="auto"/>
            </w:tcBorders>
          </w:tcPr>
          <w:p>
            <w:pPr>
              <w:pStyle w:val="nTable"/>
              <w:spacing w:after="40"/>
              <w:rPr>
                <w:sz w:val="19"/>
              </w:rPr>
            </w:pPr>
            <w:r>
              <w:rPr>
                <w:sz w:val="19"/>
              </w:rPr>
              <w:t>r. 1 and 2: 18 Dec 2009 (see r. 2(a));</w:t>
            </w:r>
            <w:r>
              <w:rPr>
                <w:sz w:val="19"/>
              </w:rPr>
              <w:br/>
              <w:t xml:space="preserve">Regulations other than r. 1 and 2: 15 Feb 2010 (see r. 2(b) and </w:t>
            </w:r>
            <w:r>
              <w:rPr>
                <w:i/>
                <w:iCs/>
                <w:sz w:val="19"/>
              </w:rPr>
              <w:t>Gazette</w:t>
            </w:r>
            <w:r>
              <w:rPr>
                <w:sz w:val="19"/>
              </w:rPr>
              <w:t xml:space="preserve"> 8 Jan 2010 p. 9)</w:t>
            </w:r>
          </w:p>
        </w:tc>
      </w:tr>
    </w:tbl>
    <w:p>
      <w:pPr>
        <w:ind w:left="567" w:hanging="447"/>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13"/>
    <w:docVar w:name="WAFER_20151211140413" w:val="RemoveTrackChanges"/>
    <w:docVar w:name="WAFER_20151211140413_GUID" w:val="991a9421-c8a9-417b-b878-73efceb67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4039</Words>
  <Characters>36112</Characters>
  <Application>Microsoft Office Word</Application>
  <DocSecurity>0</DocSecurity>
  <Lines>722</Lines>
  <Paragraphs>581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 matters</vt:lpstr>
      <vt:lpstr>    Part 2 — Estate administration</vt:lpstr>
      <vt:lpstr>    Part 3 — Enduring powers of guardianship and advance health directives</vt:lpstr>
      <vt:lpstr>    Schedule 1 — Enduring power of guardianship form</vt:lpstr>
      <vt:lpstr>    Schedule 2 — Advance health directive form</vt:lpstr>
      <vt:lpstr>    Notes</vt:lpstr>
    </vt:vector>
  </TitlesOfParts>
  <Manager/>
  <Company/>
  <LinksUpToDate>false</LinksUpToDate>
  <CharactersWithSpaces>39570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2005 - 00-e0-04</dc:title>
  <dc:subject/>
  <dc:creator/>
  <cp:keywords/>
  <dc:description/>
  <cp:lastModifiedBy>svcMRProcess</cp:lastModifiedBy>
  <cp:revision>4</cp:revision>
  <cp:lastPrinted>2010-02-08T02:07:00Z</cp:lastPrinted>
  <dcterms:created xsi:type="dcterms:W3CDTF">2015-12-14T13:46:00Z</dcterms:created>
  <dcterms:modified xsi:type="dcterms:W3CDTF">2015-12-14T13:46:00Z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20100215</vt:lpwstr>
  </property>
  <property fmtid="{D5CDD505-2E9C-101B-9397-08002B2CF9AE}" pid="4" name="DocumentType">
    <vt:lpwstr>Reg</vt:lpwstr>
  </property>
  <property fmtid="{D5CDD505-2E9C-101B-9397-08002B2CF9AE}" pid="5" name="OwlsUID">
    <vt:i4>34057</vt:i4>
  </property>
  <property fmtid="{D5CDD505-2E9C-101B-9397-08002B2CF9AE}" pid="6" name="AsAtDate">
    <vt:lpwstr>15 Feb 2010</vt:lpwstr>
  </property>
  <property fmtid="{D5CDD505-2E9C-101B-9397-08002B2CF9AE}" pid="7" name="Suffix">
    <vt:lpwstr>00-e0-04</vt:lpwstr>
  </property>
</Properties>
</file>