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_Toc254941768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(section 4A(2)(a))</w:t>
      </w:r>
      <w:r>
        <w:tab/>
      </w:r>
      <w:r>
        <w:fldChar w:fldCharType="begin"/>
      </w:r>
      <w:r>
        <w:instrText xml:space="preserve"> PAGEREF _Toc254941769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(section 4A(2)(b))</w:t>
      </w:r>
      <w:r>
        <w:tab/>
      </w:r>
      <w:r>
        <w:fldChar w:fldCharType="begin"/>
      </w:r>
      <w:r>
        <w:instrText xml:space="preserve"> PAGEREF _Toc254941770 \h </w:instrText>
      </w:r>
      <w:r>
        <w:fldChar w:fldCharType="separate"/>
      </w:r>
      <w:r>
        <w:t>1</w:t>
      </w:r>
      <w:r>
        <w:fldChar w:fldCharType="end"/>
      </w:r>
    </w:p>
    <w:p>
      <w:pPr>
        <w:pStyle w:val="TOC8"/>
        <w:rPr>
          <w:sz w:val="24"/>
          <w:szCs w:val="24"/>
        </w:rPr>
      </w:pPr>
      <w:r>
        <w:rPr>
          <w:szCs w:val="24"/>
        </w:rPr>
        <w:t>4.</w:t>
      </w:r>
      <w:r>
        <w:rPr>
          <w:szCs w:val="24"/>
        </w:rPr>
        <w:tab/>
        <w:t>Prescribed statutory corporations (section 4B(2))</w:t>
      </w:r>
      <w:r>
        <w:tab/>
      </w:r>
      <w:r>
        <w:fldChar w:fldCharType="begin"/>
      </w:r>
      <w:r>
        <w:instrText xml:space="preserve"> PAGEREF _Toc254941771 \h </w:instrText>
      </w:r>
      <w:r>
        <w:fldChar w:fldCharType="separate"/>
      </w:r>
      <w:r>
        <w:t>1</w:t>
      </w:r>
      <w:r>
        <w:fldChar w:fldCharType="end"/>
      </w:r>
    </w:p>
    <w:p>
      <w:pPr>
        <w:pStyle w:val="TOC8"/>
        <w:rPr>
          <w:sz w:val="24"/>
          <w:szCs w:val="24"/>
        </w:rPr>
      </w:pPr>
      <w:r>
        <w:rPr>
          <w:szCs w:val="24"/>
        </w:rPr>
        <w:t>5.</w:t>
      </w:r>
      <w:r>
        <w:rPr>
          <w:szCs w:val="24"/>
        </w:rPr>
        <w:tab/>
        <w:t>Prescribed activities by statutory corporations (section 4B(2))</w:t>
      </w:r>
      <w:r>
        <w:tab/>
      </w:r>
      <w:r>
        <w:fldChar w:fldCharType="begin"/>
      </w:r>
      <w:r>
        <w:instrText xml:space="preserve"> PAGEREF _Toc254941772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Part 1 — Prescribed financial entities (regulation 2)</w:t>
      </w:r>
    </w:p>
    <w:p>
      <w:pPr>
        <w:pStyle w:val="TOC2"/>
        <w:tabs>
          <w:tab w:val="right" w:leader="dot" w:pos="7086"/>
        </w:tabs>
        <w:rPr>
          <w:b w:val="0"/>
          <w:sz w:val="24"/>
          <w:szCs w:val="24"/>
        </w:rPr>
      </w:pPr>
      <w:r>
        <w:rPr>
          <w:sz w:val="24"/>
          <w:szCs w:val="28"/>
        </w:rPr>
        <w:t>Part 2 — Prescribed activities (regulation 3)</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_Toc254941780 \h </w:instrText>
      </w:r>
      <w:r>
        <w:fldChar w:fldCharType="separate"/>
      </w:r>
      <w:r>
        <w:t>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25494176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254941769"/>
      <w:r>
        <w:rPr>
          <w:rStyle w:val="CharSectno"/>
        </w:rPr>
        <w:t>2</w:t>
      </w:r>
      <w:r>
        <w:rPr>
          <w:snapToGrid w:val="0"/>
        </w:rPr>
        <w:t>.</w:t>
      </w:r>
      <w:r>
        <w:rPr>
          <w:snapToGrid w:val="0"/>
        </w:rPr>
        <w:tab/>
        <w:t>Prescribed financial entities (section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254941770"/>
      <w:r>
        <w:rPr>
          <w:rStyle w:val="CharSectno"/>
        </w:rPr>
        <w:t>3</w:t>
      </w:r>
      <w:r>
        <w:rPr>
          <w:snapToGrid w:val="0"/>
        </w:rPr>
        <w:t>.</w:t>
      </w:r>
      <w:r>
        <w:rPr>
          <w:snapToGrid w:val="0"/>
        </w:rPr>
        <w:tab/>
        <w:t>Prescribed activities by financial entities (section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254941771"/>
      <w:r>
        <w:rPr>
          <w:rStyle w:val="CharSectno"/>
        </w:rPr>
        <w:t>4</w:t>
      </w:r>
      <w:r>
        <w:t>.</w:t>
      </w:r>
      <w:r>
        <w:tab/>
        <w:t>Prescribed statutory corporations (section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254941772"/>
      <w:r>
        <w:rPr>
          <w:rStyle w:val="CharSectno"/>
        </w:rPr>
        <w:t>5</w:t>
      </w:r>
      <w:r>
        <w:t>.</w:t>
      </w:r>
      <w:r>
        <w:tab/>
        <w:t>Prescribed activities by statutory corporations (section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r>
        <w:rPr>
          <w:rStyle w:val="CharSchText"/>
        </w:rPr>
        <w:t xml:space="preserve"> </w:t>
      </w:r>
    </w:p>
    <w:p>
      <w:pPr>
        <w:pStyle w:val="yFootnoteheading"/>
        <w:tabs>
          <w:tab w:val="left" w:pos="600"/>
        </w:tabs>
      </w:pPr>
      <w:r>
        <w:tab/>
        <w:t>[Heading inserted in Gazette 31 Aug 1999 p. 4241.]</w:t>
      </w:r>
    </w:p>
    <w:p>
      <w:pPr>
        <w:pStyle w:val="yHeading2"/>
        <w:jc w:val="left"/>
        <w:outlineLvl w:val="9"/>
        <w:rPr>
          <w:sz w:val="24"/>
        </w:rPr>
      </w:pPr>
      <w:bookmarkStart w:id="38" w:name="_Toc148755069"/>
      <w:bookmarkStart w:id="39" w:name="_Toc148755150"/>
      <w:bookmarkStart w:id="40" w:name="_Toc148755207"/>
      <w:bookmarkStart w:id="41" w:name="_Toc148756373"/>
      <w:bookmarkStart w:id="42" w:name="_Toc151261972"/>
      <w:bookmarkStart w:id="43" w:name="_Toc151273240"/>
      <w:bookmarkStart w:id="44" w:name="_Toc155002620"/>
      <w:bookmarkStart w:id="45" w:name="_Toc155078578"/>
      <w:bookmarkStart w:id="46" w:name="_Toc172090109"/>
      <w:bookmarkStart w:id="47" w:name="_Toc199299381"/>
      <w:bookmarkStart w:id="48" w:name="_Toc254860846"/>
      <w:bookmarkStart w:id="49" w:name="_Toc254941774"/>
      <w:r>
        <w:rPr>
          <w:rStyle w:val="CharSDivNo"/>
        </w:rPr>
        <w:t>Part 1</w:t>
      </w:r>
      <w:r>
        <w:rPr>
          <w:sz w:val="24"/>
        </w:rPr>
        <w:t xml:space="preserve"> — </w:t>
      </w:r>
      <w:r>
        <w:rPr>
          <w:rStyle w:val="CharSDivText"/>
        </w:rPr>
        <w:t>Prescribed financial entities (regulation 2)</w:t>
      </w:r>
      <w:bookmarkEnd w:id="38"/>
      <w:bookmarkEnd w:id="39"/>
      <w:bookmarkEnd w:id="40"/>
      <w:bookmarkEnd w:id="41"/>
      <w:bookmarkEnd w:id="42"/>
      <w:bookmarkEnd w:id="43"/>
      <w:bookmarkEnd w:id="44"/>
      <w:bookmarkEnd w:id="45"/>
      <w:bookmarkEnd w:id="46"/>
      <w:bookmarkEnd w:id="47"/>
      <w:bookmarkEnd w:id="48"/>
      <w:bookmarkEnd w:id="49"/>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p>
    <w:p>
      <w:pPr>
        <w:pStyle w:val="yHeading2"/>
        <w:jc w:val="left"/>
        <w:outlineLvl w:val="9"/>
        <w:rPr>
          <w:sz w:val="24"/>
        </w:rPr>
      </w:pPr>
      <w:bookmarkStart w:id="50" w:name="_Toc151261973"/>
      <w:bookmarkStart w:id="51" w:name="_Toc151273241"/>
      <w:bookmarkStart w:id="52" w:name="_Toc155002621"/>
      <w:bookmarkStart w:id="53" w:name="_Toc155078579"/>
      <w:bookmarkStart w:id="54" w:name="_Toc172090110"/>
      <w:bookmarkStart w:id="55" w:name="_Toc199299382"/>
      <w:bookmarkStart w:id="56" w:name="_Toc254860847"/>
      <w:bookmarkStart w:id="57" w:name="_Toc254941775"/>
      <w:bookmarkStart w:id="58" w:name="_Toc148755070"/>
      <w:bookmarkStart w:id="59" w:name="_Toc148755151"/>
      <w:bookmarkStart w:id="60" w:name="_Toc148755208"/>
      <w:bookmarkStart w:id="61" w:name="_Toc148756374"/>
      <w:r>
        <w:rPr>
          <w:rStyle w:val="CharSDivNo"/>
        </w:rPr>
        <w:t>Part 2</w:t>
      </w:r>
      <w:r>
        <w:rPr>
          <w:sz w:val="24"/>
        </w:rPr>
        <w:t xml:space="preserve"> — </w:t>
      </w:r>
      <w:r>
        <w:rPr>
          <w:rStyle w:val="CharSDivText"/>
        </w:rPr>
        <w:t>Prescribed activities (regulation 3)</w:t>
      </w:r>
      <w:bookmarkEnd w:id="50"/>
      <w:bookmarkEnd w:id="51"/>
      <w:bookmarkEnd w:id="52"/>
      <w:bookmarkEnd w:id="53"/>
      <w:bookmarkEnd w:id="54"/>
      <w:bookmarkEnd w:id="55"/>
      <w:bookmarkEnd w:id="56"/>
      <w:bookmarkEnd w:id="57"/>
    </w:p>
    <w:bookmarkEnd w:id="58"/>
    <w:bookmarkEnd w:id="59"/>
    <w:bookmarkEnd w:id="60"/>
    <w:bookmarkEnd w:id="61"/>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p>
    <w:p>
      <w:pPr>
        <w:pStyle w:val="yScheduleHeading"/>
      </w:pPr>
      <w:bookmarkStart w:id="62" w:name="_Toc148755071"/>
      <w:bookmarkStart w:id="63" w:name="_Toc148755152"/>
      <w:bookmarkStart w:id="64" w:name="_Toc148755209"/>
      <w:bookmarkStart w:id="65" w:name="_Toc148756375"/>
      <w:bookmarkStart w:id="66" w:name="_Toc151261974"/>
      <w:bookmarkStart w:id="67" w:name="_Toc151273242"/>
      <w:bookmarkStart w:id="68" w:name="_Toc155002622"/>
      <w:bookmarkStart w:id="69" w:name="_Toc155078580"/>
      <w:bookmarkStart w:id="70" w:name="_Toc172090111"/>
      <w:bookmarkStart w:id="71" w:name="_Toc199299383"/>
      <w:bookmarkStart w:id="72" w:name="_Toc254860848"/>
      <w:bookmarkStart w:id="73" w:name="_Toc254941776"/>
      <w:r>
        <w:rPr>
          <w:rStyle w:val="CharSchNo"/>
        </w:rPr>
        <w:t>Schedule 2</w:t>
      </w:r>
      <w:bookmarkEnd w:id="62"/>
      <w:bookmarkEnd w:id="63"/>
      <w:bookmarkEnd w:id="64"/>
      <w:bookmarkEnd w:id="65"/>
      <w:bookmarkEnd w:id="66"/>
      <w:bookmarkEnd w:id="67"/>
      <w:bookmarkEnd w:id="68"/>
      <w:bookmarkEnd w:id="69"/>
      <w:bookmarkEnd w:id="70"/>
      <w:bookmarkEnd w:id="71"/>
      <w:bookmarkEnd w:id="72"/>
      <w:bookmarkEnd w:id="73"/>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74" w:name="_Toc148755072"/>
      <w:bookmarkStart w:id="75" w:name="_Toc148755153"/>
      <w:bookmarkStart w:id="76" w:name="_Toc148755210"/>
      <w:bookmarkStart w:id="77" w:name="_Toc148756376"/>
      <w:bookmarkStart w:id="78" w:name="_Toc151261975"/>
      <w:bookmarkStart w:id="79" w:name="_Toc151273243"/>
      <w:bookmarkStart w:id="80" w:name="_Toc155002623"/>
      <w:bookmarkStart w:id="81" w:name="_Toc155078581"/>
      <w:bookmarkStart w:id="82" w:name="_Toc172090112"/>
      <w:bookmarkStart w:id="83" w:name="_Toc199299384"/>
      <w:bookmarkStart w:id="84" w:name="_Toc254860849"/>
      <w:bookmarkStart w:id="85" w:name="_Toc254941777"/>
      <w:r>
        <w:rPr>
          <w:rStyle w:val="CharSDivNo"/>
        </w:rPr>
        <w:t>Part 1</w:t>
      </w:r>
      <w:r>
        <w:t xml:space="preserve"> — </w:t>
      </w:r>
      <w:r>
        <w:rPr>
          <w:rStyle w:val="CharSDivText"/>
        </w:rPr>
        <w:t>Prescribed statutory corporations (regulation 4)</w:t>
      </w:r>
      <w:bookmarkEnd w:id="74"/>
      <w:bookmarkEnd w:id="75"/>
      <w:bookmarkEnd w:id="76"/>
      <w:bookmarkEnd w:id="77"/>
      <w:bookmarkEnd w:id="78"/>
      <w:bookmarkEnd w:id="79"/>
      <w:bookmarkEnd w:id="80"/>
      <w:bookmarkEnd w:id="81"/>
      <w:bookmarkEnd w:id="82"/>
      <w:bookmarkEnd w:id="83"/>
      <w:bookmarkEnd w:id="84"/>
      <w:bookmarkEnd w:id="85"/>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Chemistry Centre (WA)</w:t>
      </w:r>
    </w:p>
    <w:p>
      <w:pPr>
        <w:pStyle w:val="yMiscellaneousBody"/>
        <w:tabs>
          <w:tab w:val="left" w:pos="879"/>
        </w:tabs>
        <w:ind w:left="879" w:hanging="879"/>
      </w:pPr>
      <w:r>
        <w:tab/>
        <w:t>Commissioner of Main Roads</w:t>
      </w:r>
    </w:p>
    <w:p>
      <w:pPr>
        <w:pStyle w:val="yMiscellaneousBody"/>
        <w:tabs>
          <w:tab w:val="left" w:pos="879"/>
        </w:tabs>
        <w:ind w:left="879" w:hanging="879"/>
      </w:pPr>
      <w:r>
        <w:tab/>
        <w:t>Disability Services Commission</w:t>
      </w:r>
    </w:p>
    <w:p>
      <w:pPr>
        <w:pStyle w:val="yMiscellaneousBody"/>
        <w:tabs>
          <w:tab w:val="left" w:pos="879"/>
        </w:tabs>
        <w:ind w:left="879" w:hanging="879"/>
      </w:pPr>
      <w:r>
        <w:tab/>
        <w:t>Fire and Emergency Services Authority of Western Australia</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Swan River Trust</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w:t>
      </w:r>
    </w:p>
    <w:p>
      <w:pPr>
        <w:pStyle w:val="yHeading2"/>
        <w:jc w:val="left"/>
        <w:outlineLvl w:val="9"/>
      </w:pPr>
      <w:bookmarkStart w:id="86" w:name="_Toc148755073"/>
      <w:bookmarkStart w:id="87" w:name="_Toc148755154"/>
      <w:bookmarkStart w:id="88" w:name="_Toc148755211"/>
      <w:bookmarkStart w:id="89" w:name="_Toc148756377"/>
      <w:bookmarkStart w:id="90" w:name="_Toc151261976"/>
      <w:bookmarkStart w:id="91" w:name="_Toc151273244"/>
      <w:bookmarkStart w:id="92" w:name="_Toc155002624"/>
      <w:bookmarkStart w:id="93" w:name="_Toc155078582"/>
      <w:bookmarkStart w:id="94" w:name="_Toc172090113"/>
      <w:bookmarkStart w:id="95" w:name="_Toc199299385"/>
      <w:bookmarkStart w:id="96" w:name="_Toc254860850"/>
      <w:bookmarkStart w:id="97" w:name="_Toc254941778"/>
      <w:r>
        <w:rPr>
          <w:rStyle w:val="CharSDivNo"/>
        </w:rPr>
        <w:t>Part 2</w:t>
      </w:r>
      <w:r>
        <w:t xml:space="preserve"> — </w:t>
      </w:r>
      <w:r>
        <w:rPr>
          <w:rStyle w:val="CharSDivText"/>
        </w:rPr>
        <w:t>Prescribed activities (regulation 5)</w:t>
      </w:r>
      <w:bookmarkEnd w:id="86"/>
      <w:bookmarkEnd w:id="87"/>
      <w:bookmarkEnd w:id="88"/>
      <w:bookmarkEnd w:id="89"/>
      <w:bookmarkEnd w:id="90"/>
      <w:bookmarkEnd w:id="91"/>
      <w:bookmarkEnd w:id="92"/>
      <w:bookmarkEnd w:id="93"/>
      <w:bookmarkEnd w:id="94"/>
      <w:bookmarkEnd w:id="95"/>
      <w:bookmarkEnd w:id="96"/>
      <w:bookmarkEnd w:id="97"/>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rStyle w:val="CharDefText"/>
          <w:bCs/>
        </w:rPr>
        <w:t>scientific support</w:t>
      </w:r>
      <w:r>
        <w:t xml:space="preserve"> includes —</w:t>
      </w:r>
    </w:p>
    <w:p>
      <w:pPr>
        <w:pStyle w:val="yDefpara"/>
      </w:pPr>
      <w:r>
        <w:tab/>
        <w:t>(a)</w:t>
      </w:r>
      <w:r>
        <w:tab/>
        <w:t>providing analytical information; and</w:t>
      </w:r>
    </w:p>
    <w:p>
      <w:pPr>
        <w:pStyle w:val="yDefpara"/>
      </w:pPr>
      <w:r>
        <w:tab/>
        <w:t>(b)</w:t>
      </w:r>
      <w:r>
        <w:tab/>
        <w:t>providing expert advice and expert evidence; and</w:t>
      </w:r>
    </w:p>
    <w:p>
      <w:pPr>
        <w:pStyle w:val="yDefpara"/>
      </w:pPr>
      <w:r>
        <w:tab/>
        <w:t>(c)</w:t>
      </w:r>
      <w:r>
        <w:tab/>
        <w:t>solving problems; and</w:t>
      </w:r>
    </w:p>
    <w:p>
      <w:pPr>
        <w:pStyle w:val="yDefpara"/>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879"/>
        </w:tabs>
        <w:ind w:left="879" w:hanging="879"/>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879"/>
        </w:tabs>
        <w:ind w:left="879" w:hanging="879"/>
      </w:pPr>
      <w:r>
        <w:tab/>
        <w:t>The sale, leasing or licensing by the Disability Services Commission of goods, information, publications or intellectual property relating to disability services.</w:t>
      </w:r>
    </w:p>
    <w:p>
      <w:pPr>
        <w:pStyle w:val="yMiscellaneousBody"/>
        <w:tabs>
          <w:tab w:val="left" w:pos="879"/>
        </w:tabs>
        <w:ind w:left="879" w:hanging="879"/>
      </w:pPr>
      <w:r>
        <w:tab/>
        <w:t>The provision or sale by the Disability Services Commission of advertising opportunities or opportunities having a purpose similar to advertising, relating to disability services.</w:t>
      </w:r>
    </w:p>
    <w:p>
      <w:pPr>
        <w:pStyle w:val="yMiscellaneousBody"/>
        <w:tabs>
          <w:tab w:val="left" w:pos="879"/>
        </w:tabs>
        <w:ind w:left="879" w:hanging="879"/>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879"/>
        </w:tabs>
        <w:ind w:left="879" w:hanging="879"/>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879"/>
        </w:tabs>
        <w:ind w:left="879" w:hanging="879"/>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MiscellaneousBody"/>
        <w:keepNext/>
        <w:keepLines/>
        <w:tabs>
          <w:tab w:val="left" w:pos="879"/>
        </w:tabs>
        <w:rPr>
          <w:u w:val="single"/>
        </w:rPr>
      </w:pPr>
      <w:r>
        <w:rPr>
          <w:u w:val="single"/>
        </w:rPr>
        <w:t>Wheatbelt Development Commission</w:t>
      </w:r>
    </w:p>
    <w:p>
      <w:pPr>
        <w:pStyle w:val="yMiscellaneousBody"/>
        <w:tabs>
          <w:tab w:val="left" w:pos="879"/>
        </w:tabs>
        <w:ind w:left="879" w:hanging="879"/>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879"/>
        </w:tabs>
        <w:ind w:left="879" w:hanging="879"/>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8" w:name="_Toc78268369"/>
      <w:bookmarkStart w:id="99" w:name="_Toc78691804"/>
      <w:bookmarkStart w:id="100" w:name="_Toc78779391"/>
      <w:bookmarkStart w:id="101" w:name="_Toc78779448"/>
      <w:bookmarkStart w:id="102" w:name="_Toc80516916"/>
      <w:bookmarkStart w:id="103" w:name="_Toc80757874"/>
      <w:bookmarkStart w:id="104" w:name="_Toc81368845"/>
      <w:bookmarkStart w:id="105" w:name="_Toc82932363"/>
      <w:bookmarkStart w:id="106" w:name="_Toc84323492"/>
      <w:bookmarkStart w:id="107" w:name="_Toc84387648"/>
      <w:bookmarkStart w:id="108" w:name="_Toc109117898"/>
      <w:bookmarkStart w:id="109" w:name="_Toc109198193"/>
      <w:bookmarkStart w:id="110" w:name="_Toc111526201"/>
      <w:bookmarkStart w:id="111" w:name="_Toc111543374"/>
      <w:bookmarkStart w:id="112" w:name="_Toc111543450"/>
      <w:bookmarkStart w:id="113" w:name="_Toc119750152"/>
      <w:bookmarkStart w:id="114" w:name="_Toc148754265"/>
      <w:bookmarkStart w:id="115" w:name="_Toc148755074"/>
      <w:bookmarkStart w:id="116" w:name="_Toc148755155"/>
      <w:bookmarkStart w:id="117" w:name="_Toc148755212"/>
      <w:bookmarkStart w:id="118" w:name="_Toc148756378"/>
      <w:bookmarkStart w:id="119" w:name="_Toc151261977"/>
    </w:p>
    <w:p>
      <w:pPr>
        <w:pStyle w:val="nHeading2"/>
      </w:pPr>
      <w:bookmarkStart w:id="120" w:name="_Toc151273245"/>
      <w:bookmarkStart w:id="121" w:name="_Toc155002625"/>
      <w:bookmarkStart w:id="122" w:name="_Toc155078583"/>
      <w:bookmarkStart w:id="123" w:name="_Toc172090114"/>
      <w:bookmarkStart w:id="124" w:name="_Toc199299386"/>
      <w:bookmarkStart w:id="125" w:name="_Toc254860851"/>
      <w:bookmarkStart w:id="126" w:name="_Toc254941779"/>
      <w:r>
        <w:t>Notes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151273246"/>
      <w:bookmarkStart w:id="128" w:name="_Toc254941780"/>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Borders>
              <w:bottom w:val="single" w:sz="4" w:space="0" w:color="auto"/>
            </w:tcBorders>
          </w:tcPr>
          <w:p>
            <w:pPr>
              <w:pStyle w:val="nTable"/>
              <w:spacing w:after="40"/>
              <w:ind w:right="170"/>
              <w:rPr>
                <w:i/>
                <w:sz w:val="19"/>
              </w:rPr>
            </w:pPr>
            <w:r>
              <w:rPr>
                <w:i/>
                <w:sz w:val="19"/>
              </w:rPr>
              <w:t>State Trading Concerns (Authorisation) Amendment Regulations (No. 2) 2009</w:t>
            </w:r>
          </w:p>
        </w:tc>
        <w:tc>
          <w:tcPr>
            <w:tcW w:w="1276" w:type="dxa"/>
            <w:tcBorders>
              <w:bottom w:val="single" w:sz="4" w:space="0" w:color="auto"/>
            </w:tcBorders>
          </w:tcPr>
          <w:p>
            <w:pPr>
              <w:pStyle w:val="nTable"/>
              <w:spacing w:after="40"/>
              <w:rPr>
                <w:sz w:val="19"/>
              </w:rPr>
            </w:pPr>
            <w:r>
              <w:rPr>
                <w:sz w:val="19"/>
              </w:rPr>
              <w:t>26 Feb 2010 p. 818-19</w:t>
            </w:r>
          </w:p>
        </w:tc>
        <w:tc>
          <w:tcPr>
            <w:tcW w:w="2693" w:type="dxa"/>
            <w:tcBorders>
              <w:bottom w:val="single" w:sz="4" w:space="0" w:color="auto"/>
            </w:tcBorders>
          </w:tcPr>
          <w:p>
            <w:pPr>
              <w:pStyle w:val="nTable"/>
              <w:spacing w:after="40"/>
              <w:rPr>
                <w:sz w:val="19"/>
              </w:rPr>
            </w:pPr>
            <w:r>
              <w:rPr>
                <w:sz w:val="19"/>
              </w:rPr>
              <w:t>r. 1 and 2: 26 Feb 2010 (see r. 2(a));</w:t>
            </w:r>
            <w:r>
              <w:rPr>
                <w:sz w:val="19"/>
              </w:rPr>
              <w:br/>
              <w:t>Regulations other than r. 1 and 2: 27 Feb 2010 (see r. 2(b))</w:t>
            </w:r>
          </w:p>
        </w:tc>
      </w:tr>
    </w:tbl>
    <w:p>
      <w:pPr>
        <w:pStyle w:val="nSubsection"/>
        <w:keepLines/>
        <w:rPr>
          <w:snapToGrid w:val="0"/>
        </w:rPr>
      </w:pPr>
      <w:bookmarkStart w:id="129" w:name="UpToHere"/>
      <w:bookmarkEnd w:id="129"/>
      <w:r>
        <w:rPr>
          <w:snapToGrid w:val="0"/>
          <w:vertAlign w:val="superscript"/>
        </w:rPr>
        <w:t>2</w:t>
      </w:r>
      <w:r>
        <w:rPr>
          <w:snapToGrid w:val="0"/>
        </w:rPr>
        <w:tab/>
        <w:t xml:space="preserve">Under the </w:t>
      </w:r>
      <w:r>
        <w:rPr>
          <w:i/>
          <w:iCs/>
          <w:snapToGrid w:val="0"/>
        </w:rPr>
        <w:t xml:space="preserve">Public Sector Management Act 1994 </w:t>
      </w:r>
      <w:r>
        <w:rPr>
          <w:snapToGrid w:val="0"/>
        </w:rPr>
        <w:t>departments can be established and named.  At the time of this compilation, the designation of the department known as the Department of Justice has been altered to the Department of the Attorney General and the Department of Corrective Services is established.</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30" w:name="_Toc140397906"/>
      <w:bookmarkStart w:id="131" w:name="_Toc140980041"/>
      <w:bookmarkStart w:id="132" w:name="_Toc140980256"/>
      <w:bookmarkStart w:id="133" w:name="_Toc151261979"/>
    </w:p>
    <w:bookmarkEnd w:id="130"/>
    <w:bookmarkEnd w:id="131"/>
    <w:bookmarkEnd w:id="132"/>
    <w:bookmarkEnd w:id="133"/>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46"/>
    <w:docVar w:name="WAFER_20151210154846" w:val="RemoveTrackChanges"/>
    <w:docVar w:name="WAFER_20151210154846_GUID" w:val="e7e6804c-3ca6-44ef-89f3-014c10cf5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3460</Words>
  <Characters>19140</Characters>
  <Application>Microsoft Office Word</Application>
  <DocSecurity>0</DocSecurity>
  <Lines>660</Lines>
  <Paragraphs>376</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1998 - 03-e0-02</dc:title>
  <dc:subject/>
  <dc:creator/>
  <cp:keywords/>
  <dc:description/>
  <cp:lastModifiedBy>svcMRProcess</cp:lastModifiedBy>
  <cp:revision>4</cp:revision>
  <cp:lastPrinted>2006-11-27T03:56:00Z</cp:lastPrinted>
  <dcterms:created xsi:type="dcterms:W3CDTF">2018-09-16T21:38:00Z</dcterms:created>
  <dcterms:modified xsi:type="dcterms:W3CDTF">2018-09-16T21:38:00Z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20100227</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AsAtDate">
    <vt:lpwstr>27 Feb 2010</vt:lpwstr>
  </property>
  <property fmtid="{D5CDD505-2E9C-101B-9397-08002B2CF9AE}" pid="8" name="Suffix">
    <vt:lpwstr>03-e0-02</vt:lpwstr>
  </property>
</Properties>
</file>