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Lotteries Commission Act 1990</w:t>
      </w:r>
    </w:p>
    <w:p>
      <w:pPr>
        <w:pStyle w:val="NameofActRegPage1"/>
        <w:spacing w:before="204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(Soccer Pools) Rules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State">
        <w:smartTag w:uri="urn:schemas-microsoft-com:office:smarttags" w:element="plac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Lotteries Commission (Soccer Pools) Rules 1996</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_Toc256151468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rules</w:t>
      </w:r>
      <w:r>
        <w:tab/>
      </w:r>
      <w:r>
        <w:fldChar w:fldCharType="begin"/>
      </w:r>
      <w:r>
        <w:instrText xml:space="preserve"> PAGEREF _Toc256151469 \h </w:instrText>
      </w:r>
      <w:r>
        <w:fldChar w:fldCharType="separate"/>
      </w:r>
      <w:r>
        <w:t>1</w:t>
      </w:r>
      <w:r>
        <w:fldChar w:fldCharType="end"/>
      </w:r>
    </w:p>
    <w:p>
      <w:pPr>
        <w:pStyle w:val="TOC2"/>
        <w:tabs>
          <w:tab w:val="right" w:leader="dot" w:pos="7086"/>
        </w:tabs>
        <w:rPr>
          <w:b w:val="0"/>
          <w:sz w:val="24"/>
          <w:szCs w:val="24"/>
        </w:rPr>
      </w:pPr>
      <w:r>
        <w:rPr>
          <w:szCs w:val="30"/>
        </w:rPr>
        <w:t>Part 2 — Determination of results of Soccer Pools</w:t>
      </w:r>
    </w:p>
    <w:p>
      <w:pPr>
        <w:pStyle w:val="TOC8"/>
        <w:rPr>
          <w:sz w:val="24"/>
          <w:szCs w:val="24"/>
        </w:rPr>
      </w:pPr>
      <w:r>
        <w:rPr>
          <w:szCs w:val="24"/>
        </w:rPr>
        <w:t>3</w:t>
      </w:r>
      <w:r>
        <w:rPr>
          <w:snapToGrid w:val="0"/>
          <w:szCs w:val="24"/>
        </w:rPr>
        <w:t>.</w:t>
      </w:r>
      <w:r>
        <w:rPr>
          <w:snapToGrid w:val="0"/>
          <w:szCs w:val="24"/>
        </w:rPr>
        <w:tab/>
        <w:t>Terms used in this Part</w:t>
      </w:r>
      <w:r>
        <w:tab/>
      </w:r>
      <w:r>
        <w:fldChar w:fldCharType="begin"/>
      </w:r>
      <w:r>
        <w:instrText xml:space="preserve"> PAGEREF _Toc256151471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Determination of the winning numbers</w:t>
      </w:r>
      <w:r>
        <w:tab/>
      </w:r>
      <w:r>
        <w:fldChar w:fldCharType="begin"/>
      </w:r>
      <w:r>
        <w:instrText xml:space="preserve"> PAGEREF _Toc256151472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Ranking matches</w:t>
      </w:r>
      <w:r>
        <w:tab/>
      </w:r>
      <w:r>
        <w:fldChar w:fldCharType="begin"/>
      </w:r>
      <w:r>
        <w:instrText xml:space="preserve"> PAGEREF _Toc256151473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Dealing with void matches</w:t>
      </w:r>
      <w:r>
        <w:tab/>
      </w:r>
      <w:r>
        <w:fldChar w:fldCharType="begin"/>
      </w:r>
      <w:r>
        <w:instrText xml:space="preserve"> PAGEREF _Toc256151474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When Pools Games are to be cancelled</w:t>
      </w:r>
      <w:r>
        <w:tab/>
      </w:r>
      <w:r>
        <w:fldChar w:fldCharType="begin"/>
      </w:r>
      <w:r>
        <w:instrText xml:space="preserve"> PAGEREF _Toc256151475 \h </w:instrText>
      </w:r>
      <w:r>
        <w:fldChar w:fldCharType="separate"/>
      </w:r>
      <w:r>
        <w:t>6</w:t>
      </w:r>
      <w:r>
        <w:fldChar w:fldCharType="end"/>
      </w:r>
    </w:p>
    <w:p>
      <w:pPr>
        <w:pStyle w:val="TOC8"/>
        <w:rPr>
          <w:sz w:val="24"/>
          <w:szCs w:val="24"/>
        </w:rPr>
      </w:pPr>
      <w:r>
        <w:rPr>
          <w:szCs w:val="24"/>
        </w:rPr>
        <w:t>8A.</w:t>
      </w:r>
      <w:r>
        <w:rPr>
          <w:szCs w:val="24"/>
        </w:rPr>
        <w:tab/>
        <w:t>Commission may withdraw from non</w:t>
      </w:r>
      <w:r>
        <w:rPr>
          <w:szCs w:val="24"/>
        </w:rPr>
        <w:noBreakHyphen/>
        <w:t>conforming Pools Game</w:t>
      </w:r>
      <w:r>
        <w:tab/>
      </w:r>
      <w:r>
        <w:fldChar w:fldCharType="begin"/>
      </w:r>
      <w:r>
        <w:instrText xml:space="preserve"> PAGEREF _Toc256151476 \h </w:instrText>
      </w:r>
      <w:r>
        <w:fldChar w:fldCharType="separate"/>
      </w:r>
      <w:r>
        <w:t>7</w:t>
      </w:r>
      <w:r>
        <w:fldChar w:fldCharType="end"/>
      </w:r>
    </w:p>
    <w:p>
      <w:pPr>
        <w:pStyle w:val="TOC2"/>
        <w:tabs>
          <w:tab w:val="right" w:leader="dot" w:pos="7086"/>
        </w:tabs>
        <w:rPr>
          <w:b w:val="0"/>
          <w:sz w:val="24"/>
          <w:szCs w:val="24"/>
        </w:rPr>
      </w:pPr>
      <w:r>
        <w:rPr>
          <w:szCs w:val="30"/>
        </w:rPr>
        <w:t>Part 3 — Requirements for entry</w:t>
      </w:r>
    </w:p>
    <w:p>
      <w:pPr>
        <w:pStyle w:val="TOC8"/>
        <w:rPr>
          <w:sz w:val="24"/>
          <w:szCs w:val="24"/>
        </w:rPr>
      </w:pPr>
      <w:r>
        <w:rPr>
          <w:szCs w:val="24"/>
        </w:rPr>
        <w:t>9</w:t>
      </w:r>
      <w:r>
        <w:rPr>
          <w:snapToGrid w:val="0"/>
          <w:szCs w:val="24"/>
        </w:rPr>
        <w:t>.</w:t>
      </w:r>
      <w:r>
        <w:rPr>
          <w:snapToGrid w:val="0"/>
          <w:szCs w:val="24"/>
        </w:rPr>
        <w:tab/>
        <w:t>Playslip</w:t>
      </w:r>
      <w:r>
        <w:tab/>
      </w:r>
      <w:r>
        <w:fldChar w:fldCharType="begin"/>
      </w:r>
      <w:r>
        <w:instrText xml:space="preserve"> PAGEREF _Toc256151478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Methods of entry</w:t>
      </w:r>
      <w:r>
        <w:tab/>
      </w:r>
      <w:r>
        <w:fldChar w:fldCharType="begin"/>
      </w:r>
      <w:r>
        <w:instrText xml:space="preserve"> PAGEREF _Toc256151479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No limit to number of entries</w:t>
      </w:r>
      <w:r>
        <w:tab/>
      </w:r>
      <w:r>
        <w:fldChar w:fldCharType="begin"/>
      </w:r>
      <w:r>
        <w:instrText xml:space="preserve"> PAGEREF _Toc256151480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Super 66 entry</w:t>
      </w:r>
      <w:r>
        <w:tab/>
      </w:r>
      <w:r>
        <w:fldChar w:fldCharType="begin"/>
      </w:r>
      <w:r>
        <w:instrText xml:space="preserve"> PAGEREF _Toc256151481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Completion of playslip</w:t>
      </w:r>
      <w:r>
        <w:tab/>
      </w:r>
      <w:r>
        <w:fldChar w:fldCharType="begin"/>
      </w:r>
      <w:r>
        <w:instrText xml:space="preserve"> PAGEREF _Toc256151482 \h </w:instrText>
      </w:r>
      <w:r>
        <w:fldChar w:fldCharType="separate"/>
      </w:r>
      <w:r>
        <w:t>9</w:t>
      </w:r>
      <w:r>
        <w:fldChar w:fldCharType="end"/>
      </w:r>
    </w:p>
    <w:p>
      <w:pPr>
        <w:pStyle w:val="TOC8"/>
        <w:rPr>
          <w:sz w:val="24"/>
          <w:szCs w:val="24"/>
        </w:rPr>
      </w:pPr>
      <w:r>
        <w:rPr>
          <w:szCs w:val="24"/>
        </w:rPr>
        <w:t>13A.</w:t>
      </w:r>
      <w:r>
        <w:rPr>
          <w:szCs w:val="24"/>
        </w:rPr>
        <w:tab/>
        <w:t>Ticket repeat</w:t>
      </w:r>
      <w:r>
        <w:tab/>
      </w:r>
      <w:r>
        <w:fldChar w:fldCharType="begin"/>
      </w:r>
      <w:r>
        <w:instrText xml:space="preserve"> PAGEREF _Toc256151483 \h </w:instrText>
      </w:r>
      <w:r>
        <w:fldChar w:fldCharType="separate"/>
      </w:r>
      <w:r>
        <w:t>10</w:t>
      </w:r>
      <w:r>
        <w:fldChar w:fldCharType="end"/>
      </w:r>
    </w:p>
    <w:p>
      <w:pPr>
        <w:pStyle w:val="TOC8"/>
        <w:rPr>
          <w:sz w:val="24"/>
          <w:szCs w:val="24"/>
        </w:rPr>
      </w:pPr>
      <w:r>
        <w:rPr>
          <w:szCs w:val="24"/>
        </w:rPr>
        <w:t>13B.</w:t>
      </w:r>
      <w:r>
        <w:rPr>
          <w:szCs w:val="24"/>
        </w:rPr>
        <w:tab/>
        <w:t>Favourite numbers</w:t>
      </w:r>
      <w:r>
        <w:tab/>
      </w:r>
      <w:r>
        <w:fldChar w:fldCharType="begin"/>
      </w:r>
      <w:r>
        <w:instrText xml:space="preserve"> PAGEREF _Toc256151484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Oral request for entry</w:t>
      </w:r>
      <w:r>
        <w:tab/>
      </w:r>
      <w:r>
        <w:fldChar w:fldCharType="begin"/>
      </w:r>
      <w:r>
        <w:instrText xml:space="preserve"> PAGEREF _Toc256151485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Entry by mail</w:t>
      </w:r>
      <w:r>
        <w:tab/>
      </w:r>
      <w:r>
        <w:fldChar w:fldCharType="begin"/>
      </w:r>
      <w:r>
        <w:instrText xml:space="preserve"> PAGEREF _Toc256151486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Receipted tickets</w:t>
      </w:r>
      <w:r>
        <w:tab/>
      </w:r>
      <w:r>
        <w:fldChar w:fldCharType="begin"/>
      </w:r>
      <w:r>
        <w:instrText xml:space="preserve"> PAGEREF _Toc256151487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Surrender of receipted ticket</w:t>
      </w:r>
      <w:r>
        <w:tab/>
      </w:r>
      <w:r>
        <w:fldChar w:fldCharType="begin"/>
      </w:r>
      <w:r>
        <w:instrText xml:space="preserve"> PAGEREF _Toc256151488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Accuracy of receipted ticket</w:t>
      </w:r>
      <w:r>
        <w:tab/>
      </w:r>
      <w:r>
        <w:fldChar w:fldCharType="begin"/>
      </w:r>
      <w:r>
        <w:instrText xml:space="preserve"> PAGEREF _Toc256151489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Validity of receipted ticket</w:t>
      </w:r>
      <w:r>
        <w:tab/>
      </w:r>
      <w:r>
        <w:fldChar w:fldCharType="begin"/>
      </w:r>
      <w:r>
        <w:instrText xml:space="preserve"> PAGEREF _Toc256151490 \h </w:instrText>
      </w:r>
      <w:r>
        <w:fldChar w:fldCharType="separate"/>
      </w:r>
      <w:r>
        <w:t>15</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Syndicate entries</w:t>
      </w:r>
    </w:p>
    <w:p>
      <w:pPr>
        <w:pStyle w:val="TOC8"/>
        <w:rPr>
          <w:sz w:val="24"/>
          <w:szCs w:val="24"/>
        </w:rPr>
      </w:pPr>
      <w:r>
        <w:rPr>
          <w:szCs w:val="24"/>
        </w:rPr>
        <w:lastRenderedPageBreak/>
        <w:t>19A.</w:t>
      </w:r>
      <w:r>
        <w:rPr>
          <w:szCs w:val="24"/>
        </w:rPr>
        <w:tab/>
        <w:t>Application of this Part</w:t>
      </w:r>
      <w:r>
        <w:tab/>
      </w:r>
      <w:r>
        <w:fldChar w:fldCharType="begin"/>
      </w:r>
      <w:r>
        <w:instrText xml:space="preserve"> PAGEREF _Toc256151492 \h </w:instrText>
      </w:r>
      <w:r>
        <w:fldChar w:fldCharType="separate"/>
      </w:r>
      <w:r>
        <w:t>17</w:t>
      </w:r>
      <w:r>
        <w:fldChar w:fldCharType="end"/>
      </w:r>
    </w:p>
    <w:p>
      <w:pPr>
        <w:pStyle w:val="TOC8"/>
        <w:rPr>
          <w:sz w:val="24"/>
          <w:szCs w:val="24"/>
        </w:rPr>
      </w:pPr>
      <w:r>
        <w:rPr>
          <w:szCs w:val="24"/>
        </w:rPr>
        <w:t>19B.</w:t>
      </w:r>
      <w:r>
        <w:rPr>
          <w:szCs w:val="24"/>
        </w:rPr>
        <w:tab/>
        <w:t>Establishing a syndicate</w:t>
      </w:r>
      <w:r>
        <w:tab/>
      </w:r>
      <w:r>
        <w:fldChar w:fldCharType="begin"/>
      </w:r>
      <w:r>
        <w:instrText xml:space="preserve"> PAGEREF _Toc256151493 \h </w:instrText>
      </w:r>
      <w:r>
        <w:fldChar w:fldCharType="separate"/>
      </w:r>
      <w:r>
        <w:t>17</w:t>
      </w:r>
      <w:r>
        <w:fldChar w:fldCharType="end"/>
      </w:r>
    </w:p>
    <w:p>
      <w:pPr>
        <w:pStyle w:val="TOC8"/>
        <w:rPr>
          <w:sz w:val="24"/>
          <w:szCs w:val="24"/>
        </w:rPr>
      </w:pPr>
      <w:r>
        <w:rPr>
          <w:szCs w:val="24"/>
        </w:rPr>
        <w:t>19C.</w:t>
      </w:r>
      <w:r>
        <w:rPr>
          <w:szCs w:val="24"/>
        </w:rPr>
        <w:tab/>
        <w:t>Syndicate share and cost parameters</w:t>
      </w:r>
      <w:r>
        <w:tab/>
      </w:r>
      <w:r>
        <w:fldChar w:fldCharType="begin"/>
      </w:r>
      <w:r>
        <w:instrText xml:space="preserve"> PAGEREF _Toc256151494 \h </w:instrText>
      </w:r>
      <w:r>
        <w:fldChar w:fldCharType="separate"/>
      </w:r>
      <w:r>
        <w:t>18</w:t>
      </w:r>
      <w:r>
        <w:fldChar w:fldCharType="end"/>
      </w:r>
    </w:p>
    <w:p>
      <w:pPr>
        <w:pStyle w:val="TOC8"/>
        <w:rPr>
          <w:sz w:val="24"/>
          <w:szCs w:val="24"/>
        </w:rPr>
      </w:pPr>
      <w:r>
        <w:rPr>
          <w:szCs w:val="24"/>
        </w:rPr>
        <w:t>19D.</w:t>
      </w:r>
      <w:r>
        <w:rPr>
          <w:szCs w:val="24"/>
        </w:rPr>
        <w:tab/>
        <w:t>Agent’s component of a syndicate share</w:t>
      </w:r>
      <w:r>
        <w:tab/>
      </w:r>
      <w:r>
        <w:fldChar w:fldCharType="begin"/>
      </w:r>
      <w:r>
        <w:instrText xml:space="preserve"> PAGEREF _Toc256151495 \h </w:instrText>
      </w:r>
      <w:r>
        <w:fldChar w:fldCharType="separate"/>
      </w:r>
      <w:r>
        <w:t>18</w:t>
      </w:r>
      <w:r>
        <w:fldChar w:fldCharType="end"/>
      </w:r>
    </w:p>
    <w:p>
      <w:pPr>
        <w:pStyle w:val="TOC8"/>
        <w:rPr>
          <w:sz w:val="24"/>
          <w:szCs w:val="24"/>
        </w:rPr>
      </w:pPr>
      <w:r>
        <w:rPr>
          <w:szCs w:val="24"/>
        </w:rPr>
        <w:t>19E.</w:t>
      </w:r>
      <w:r>
        <w:rPr>
          <w:szCs w:val="24"/>
        </w:rPr>
        <w:tab/>
        <w:t>Syndicate participation parameters</w:t>
      </w:r>
      <w:r>
        <w:tab/>
      </w:r>
      <w:r>
        <w:fldChar w:fldCharType="begin"/>
      </w:r>
      <w:r>
        <w:instrText xml:space="preserve"> PAGEREF _Toc256151496 \h </w:instrText>
      </w:r>
      <w:r>
        <w:fldChar w:fldCharType="separate"/>
      </w:r>
      <w:r>
        <w:t>19</w:t>
      </w:r>
      <w:r>
        <w:fldChar w:fldCharType="end"/>
      </w:r>
    </w:p>
    <w:p>
      <w:pPr>
        <w:pStyle w:val="TOC8"/>
        <w:rPr>
          <w:sz w:val="24"/>
          <w:szCs w:val="24"/>
        </w:rPr>
      </w:pPr>
      <w:r>
        <w:rPr>
          <w:szCs w:val="24"/>
        </w:rPr>
        <w:t>19F.</w:t>
      </w:r>
      <w:r>
        <w:rPr>
          <w:szCs w:val="24"/>
        </w:rPr>
        <w:tab/>
        <w:t>Types of syndicates</w:t>
      </w:r>
      <w:r>
        <w:tab/>
      </w:r>
      <w:r>
        <w:fldChar w:fldCharType="begin"/>
      </w:r>
      <w:r>
        <w:instrText xml:space="preserve"> PAGEREF _Toc256151497 \h </w:instrText>
      </w:r>
      <w:r>
        <w:fldChar w:fldCharType="separate"/>
      </w:r>
      <w:r>
        <w:t>19</w:t>
      </w:r>
      <w:r>
        <w:fldChar w:fldCharType="end"/>
      </w:r>
    </w:p>
    <w:p>
      <w:pPr>
        <w:pStyle w:val="TOC8"/>
        <w:rPr>
          <w:sz w:val="24"/>
          <w:szCs w:val="24"/>
        </w:rPr>
      </w:pPr>
      <w:r>
        <w:rPr>
          <w:szCs w:val="24"/>
        </w:rPr>
        <w:t>19G.</w:t>
      </w:r>
      <w:r>
        <w:rPr>
          <w:szCs w:val="24"/>
        </w:rPr>
        <w:tab/>
        <w:t>Syndicate share receipted ticket</w:t>
      </w:r>
      <w:r>
        <w:tab/>
      </w:r>
      <w:r>
        <w:fldChar w:fldCharType="begin"/>
      </w:r>
      <w:r>
        <w:instrText xml:space="preserve"> PAGEREF _Toc256151498 \h </w:instrText>
      </w:r>
      <w:r>
        <w:fldChar w:fldCharType="separate"/>
      </w:r>
      <w:r>
        <w:t>19</w:t>
      </w:r>
      <w:r>
        <w:fldChar w:fldCharType="end"/>
      </w:r>
    </w:p>
    <w:p>
      <w:pPr>
        <w:pStyle w:val="TOC8"/>
        <w:rPr>
          <w:sz w:val="24"/>
          <w:szCs w:val="24"/>
        </w:rPr>
      </w:pPr>
      <w:r>
        <w:rPr>
          <w:szCs w:val="24"/>
        </w:rPr>
        <w:t>19H.</w:t>
      </w:r>
      <w:r>
        <w:rPr>
          <w:szCs w:val="24"/>
        </w:rPr>
        <w:tab/>
        <w:t>Syndicate master ticket</w:t>
      </w:r>
      <w:r>
        <w:tab/>
      </w:r>
      <w:r>
        <w:fldChar w:fldCharType="begin"/>
      </w:r>
      <w:r>
        <w:instrText xml:space="preserve"> PAGEREF _Toc256151499 \h </w:instrText>
      </w:r>
      <w:r>
        <w:fldChar w:fldCharType="separate"/>
      </w:r>
      <w:r>
        <w:t>20</w:t>
      </w:r>
      <w:r>
        <w:fldChar w:fldCharType="end"/>
      </w:r>
    </w:p>
    <w:p>
      <w:pPr>
        <w:pStyle w:val="TOC2"/>
        <w:tabs>
          <w:tab w:val="right" w:leader="dot" w:pos="7086"/>
        </w:tabs>
        <w:rPr>
          <w:b w:val="0"/>
          <w:sz w:val="24"/>
          <w:szCs w:val="24"/>
        </w:rPr>
      </w:pPr>
      <w:r>
        <w:rPr>
          <w:szCs w:val="30"/>
        </w:rPr>
        <w:t>Part 4 — General duties of Commission</w:t>
      </w:r>
    </w:p>
    <w:p>
      <w:pPr>
        <w:pStyle w:val="TOC8"/>
        <w:rPr>
          <w:sz w:val="24"/>
          <w:szCs w:val="24"/>
        </w:rPr>
      </w:pPr>
      <w:r>
        <w:rPr>
          <w:szCs w:val="24"/>
        </w:rPr>
        <w:t>20</w:t>
      </w:r>
      <w:r>
        <w:rPr>
          <w:snapToGrid w:val="0"/>
          <w:szCs w:val="24"/>
        </w:rPr>
        <w:t>.</w:t>
      </w:r>
      <w:r>
        <w:rPr>
          <w:snapToGrid w:val="0"/>
          <w:szCs w:val="24"/>
        </w:rPr>
        <w:tab/>
        <w:t>Pools to be numbered</w:t>
      </w:r>
      <w:r>
        <w:tab/>
      </w:r>
      <w:r>
        <w:fldChar w:fldCharType="begin"/>
      </w:r>
      <w:r>
        <w:instrText xml:space="preserve"> PAGEREF _Toc256151501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Publication of match list</w:t>
      </w:r>
      <w:r>
        <w:tab/>
      </w:r>
      <w:r>
        <w:fldChar w:fldCharType="begin"/>
      </w:r>
      <w:r>
        <w:instrText xml:space="preserve"> PAGEREF _Toc256151502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Publication of results</w:t>
      </w:r>
      <w:r>
        <w:tab/>
      </w:r>
      <w:r>
        <w:fldChar w:fldCharType="begin"/>
      </w:r>
      <w:r>
        <w:instrText xml:space="preserve"> PAGEREF _Toc256151503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Soccer pools prize pool and prize reserve fund</w:t>
      </w:r>
      <w:r>
        <w:tab/>
      </w:r>
      <w:r>
        <w:fldChar w:fldCharType="begin"/>
      </w:r>
      <w:r>
        <w:instrText xml:space="preserve"> PAGEREF _Toc256151504 \h </w:instrText>
      </w:r>
      <w:r>
        <w:fldChar w:fldCharType="separate"/>
      </w:r>
      <w:r>
        <w:t>22</w:t>
      </w:r>
      <w:r>
        <w:fldChar w:fldCharType="end"/>
      </w:r>
    </w:p>
    <w:p>
      <w:pPr>
        <w:pStyle w:val="TOC2"/>
        <w:tabs>
          <w:tab w:val="right" w:leader="dot" w:pos="7086"/>
        </w:tabs>
        <w:rPr>
          <w:b w:val="0"/>
          <w:sz w:val="24"/>
          <w:szCs w:val="24"/>
        </w:rPr>
      </w:pPr>
      <w:r>
        <w:rPr>
          <w:szCs w:val="30"/>
        </w:rPr>
        <w:t>Part 5 — Determination of pools game prizes</w:t>
      </w:r>
    </w:p>
    <w:p>
      <w:pPr>
        <w:pStyle w:val="TOC8"/>
        <w:rPr>
          <w:sz w:val="24"/>
          <w:szCs w:val="24"/>
        </w:rPr>
      </w:pPr>
      <w:r>
        <w:rPr>
          <w:szCs w:val="24"/>
        </w:rPr>
        <w:t>24</w:t>
      </w:r>
      <w:r>
        <w:rPr>
          <w:snapToGrid w:val="0"/>
          <w:szCs w:val="24"/>
        </w:rPr>
        <w:t>.</w:t>
      </w:r>
      <w:r>
        <w:rPr>
          <w:snapToGrid w:val="0"/>
          <w:szCs w:val="24"/>
        </w:rPr>
        <w:tab/>
        <w:t>Criteria for prizes</w:t>
      </w:r>
      <w:r>
        <w:tab/>
      </w:r>
      <w:r>
        <w:fldChar w:fldCharType="begin"/>
      </w:r>
      <w:r>
        <w:instrText xml:space="preserve"> PAGEREF _Toc256151506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Only systems entry can win in more than one division</w:t>
      </w:r>
      <w:r>
        <w:tab/>
      </w:r>
      <w:r>
        <w:fldChar w:fldCharType="begin"/>
      </w:r>
      <w:r>
        <w:instrText xml:space="preserve"> PAGEREF _Toc256151507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Distribution of prize pool</w:t>
      </w:r>
      <w:r>
        <w:tab/>
      </w:r>
      <w:r>
        <w:fldChar w:fldCharType="begin"/>
      </w:r>
      <w:r>
        <w:instrText xml:space="preserve"> PAGEREF _Toc256151508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Division 1 jackpot</w:t>
      </w:r>
      <w:r>
        <w:tab/>
      </w:r>
      <w:r>
        <w:fldChar w:fldCharType="begin"/>
      </w:r>
      <w:r>
        <w:instrText xml:space="preserve"> PAGEREF _Toc256151509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Divisions 2 — 5 prize pools may be varied or re</w:t>
      </w:r>
      <w:r>
        <w:rPr>
          <w:snapToGrid w:val="0"/>
          <w:szCs w:val="24"/>
        </w:rPr>
        <w:noBreakHyphen/>
        <w:t>allocated</w:t>
      </w:r>
      <w:r>
        <w:tab/>
      </w:r>
      <w:r>
        <w:fldChar w:fldCharType="begin"/>
      </w:r>
      <w:r>
        <w:instrText xml:space="preserve"> PAGEREF _Toc256151510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Bonus Pools Games and guaranteed prize pools</w:t>
      </w:r>
      <w:r>
        <w:tab/>
      </w:r>
      <w:r>
        <w:fldChar w:fldCharType="begin"/>
      </w:r>
      <w:r>
        <w:instrText xml:space="preserve"> PAGEREF _Toc256151511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Division 1 prizes</w:t>
      </w:r>
      <w:r>
        <w:tab/>
      </w:r>
      <w:r>
        <w:fldChar w:fldCharType="begin"/>
      </w:r>
      <w:r>
        <w:instrText xml:space="preserve"> PAGEREF _Toc256151512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Division 2, 3, 4 and 5 prizes</w:t>
      </w:r>
      <w:r>
        <w:tab/>
      </w:r>
      <w:r>
        <w:fldChar w:fldCharType="begin"/>
      </w:r>
      <w:r>
        <w:instrText xml:space="preserve"> PAGEREF _Toc256151513 \h </w:instrText>
      </w:r>
      <w:r>
        <w:fldChar w:fldCharType="separate"/>
      </w:r>
      <w:r>
        <w:t>27</w:t>
      </w:r>
      <w:r>
        <w:fldChar w:fldCharType="end"/>
      </w:r>
    </w:p>
    <w:p>
      <w:pPr>
        <w:pStyle w:val="TOC8"/>
        <w:rPr>
          <w:sz w:val="24"/>
          <w:szCs w:val="24"/>
        </w:rPr>
      </w:pPr>
      <w:r>
        <w:rPr>
          <w:szCs w:val="24"/>
        </w:rPr>
        <w:t>31A.</w:t>
      </w:r>
      <w:r>
        <w:rPr>
          <w:szCs w:val="24"/>
        </w:rPr>
        <w:tab/>
        <w:t>Claiming a syndicate share prize</w:t>
      </w:r>
      <w:r>
        <w:tab/>
      </w:r>
      <w:r>
        <w:fldChar w:fldCharType="begin"/>
      </w:r>
      <w:r>
        <w:instrText xml:space="preserve"> PAGEREF _Toc256151514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Commission may require a statutory declaration</w:t>
      </w:r>
      <w:r>
        <w:tab/>
      </w:r>
      <w:r>
        <w:fldChar w:fldCharType="begin"/>
      </w:r>
      <w:r>
        <w:instrText xml:space="preserve"> PAGEREF _Toc256151515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Publication of names and addresses of prize winners</w:t>
      </w:r>
      <w:r>
        <w:tab/>
      </w:r>
      <w:r>
        <w:fldChar w:fldCharType="begin"/>
      </w:r>
      <w:r>
        <w:instrText xml:space="preserve"> PAGEREF _Toc256151516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Player Registration Service</w:t>
      </w:r>
      <w:r>
        <w:tab/>
      </w:r>
      <w:r>
        <w:fldChar w:fldCharType="begin"/>
      </w:r>
      <w:r>
        <w:instrText xml:space="preserve"> PAGEREF _Toc256151517 \h </w:instrText>
      </w:r>
      <w:r>
        <w:fldChar w:fldCharType="separate"/>
      </w:r>
      <w:r>
        <w:t>29</w:t>
      </w:r>
      <w:r>
        <w:fldChar w:fldCharType="end"/>
      </w:r>
    </w:p>
    <w:p>
      <w:pPr>
        <w:pStyle w:val="TOC8"/>
        <w:rPr>
          <w:sz w:val="24"/>
          <w:szCs w:val="24"/>
        </w:rPr>
      </w:pPr>
      <w:r>
        <w:rPr>
          <w:szCs w:val="24"/>
        </w:rPr>
        <w:t>34A.</w:t>
      </w:r>
      <w:r>
        <w:rPr>
          <w:szCs w:val="24"/>
        </w:rPr>
        <w:tab/>
        <w:t>Player’s card holders may request direct credit of prizes</w:t>
      </w:r>
      <w:r>
        <w:tab/>
      </w:r>
      <w:r>
        <w:fldChar w:fldCharType="begin"/>
      </w:r>
      <w:r>
        <w:instrText xml:space="preserve"> PAGEREF _Toc256151518 \h </w:instrText>
      </w:r>
      <w:r>
        <w:fldChar w:fldCharType="separate"/>
      </w:r>
      <w:r>
        <w:t>30</w:t>
      </w:r>
      <w:r>
        <w:fldChar w:fldCharType="end"/>
      </w:r>
    </w:p>
    <w:p>
      <w:pPr>
        <w:pStyle w:val="TOC8"/>
        <w:rPr>
          <w:sz w:val="24"/>
          <w:szCs w:val="24"/>
        </w:rPr>
      </w:pPr>
      <w:r>
        <w:rPr>
          <w:szCs w:val="24"/>
        </w:rPr>
        <w:t>34B.</w:t>
      </w:r>
      <w:r>
        <w:rPr>
          <w:szCs w:val="24"/>
        </w:rPr>
        <w:tab/>
        <w:t>Registering favourite numbers</w:t>
      </w:r>
      <w:r>
        <w:tab/>
      </w:r>
      <w:r>
        <w:fldChar w:fldCharType="begin"/>
      </w:r>
      <w:r>
        <w:instrText xml:space="preserve"> PAGEREF _Toc256151519 \h </w:instrText>
      </w:r>
      <w:r>
        <w:fldChar w:fldCharType="separate"/>
      </w:r>
      <w:r>
        <w:t>31</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35</w:t>
      </w:r>
      <w:r>
        <w:rPr>
          <w:snapToGrid w:val="0"/>
          <w:szCs w:val="24"/>
        </w:rPr>
        <w:t>.</w:t>
      </w:r>
      <w:r>
        <w:rPr>
          <w:snapToGrid w:val="0"/>
          <w:szCs w:val="24"/>
        </w:rPr>
        <w:tab/>
        <w:t>Instructions</w:t>
      </w:r>
      <w:r>
        <w:tab/>
      </w:r>
      <w:r>
        <w:fldChar w:fldCharType="begin"/>
      </w:r>
      <w:r>
        <w:instrText xml:space="preserve"> PAGEREF _Toc256151521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Rules to be made available</w:t>
      </w:r>
      <w:r>
        <w:tab/>
      </w:r>
      <w:r>
        <w:fldChar w:fldCharType="begin"/>
      </w:r>
      <w:r>
        <w:instrText xml:space="preserve"> PAGEREF _Toc256151522 \h </w:instrText>
      </w:r>
      <w:r>
        <w:fldChar w:fldCharType="separate"/>
      </w:r>
      <w:r>
        <w:t>32</w:t>
      </w:r>
      <w:r>
        <w:fldChar w:fldCharType="end"/>
      </w:r>
    </w:p>
    <w:p>
      <w:pPr>
        <w:pStyle w:val="TOC8"/>
        <w:rPr>
          <w:sz w:val="24"/>
          <w:szCs w:val="24"/>
        </w:rPr>
      </w:pPr>
      <w:r>
        <w:rPr>
          <w:szCs w:val="24"/>
        </w:rPr>
        <w:lastRenderedPageBreak/>
        <w:t>37</w:t>
      </w:r>
      <w:r>
        <w:rPr>
          <w:snapToGrid w:val="0"/>
          <w:szCs w:val="24"/>
        </w:rPr>
        <w:t>.</w:t>
      </w:r>
      <w:r>
        <w:rPr>
          <w:snapToGrid w:val="0"/>
          <w:szCs w:val="24"/>
        </w:rPr>
        <w:tab/>
        <w:t>Decisions of Commission final</w:t>
      </w:r>
      <w:r>
        <w:tab/>
      </w:r>
      <w:r>
        <w:fldChar w:fldCharType="begin"/>
      </w:r>
      <w:r>
        <w:instrText xml:space="preserve"> PAGEREF _Toc256151523 \h </w:instrText>
      </w:r>
      <w:r>
        <w:fldChar w:fldCharType="separate"/>
      </w:r>
      <w:r>
        <w:t>32</w:t>
      </w:r>
      <w:r>
        <w:fldChar w:fldCharType="end"/>
      </w:r>
    </w:p>
    <w:p>
      <w:pPr>
        <w:pStyle w:val="TOC2"/>
        <w:tabs>
          <w:tab w:val="right" w:leader="dot" w:pos="7086"/>
        </w:tabs>
        <w:rPr>
          <w:b w:val="0"/>
          <w:sz w:val="24"/>
          <w:szCs w:val="24"/>
        </w:rPr>
      </w:pPr>
      <w:r>
        <w:rPr>
          <w:szCs w:val="28"/>
        </w:rPr>
        <w:t>Schedule 1 — Calculating the total cost of entry — Soccer Pools</w:t>
      </w:r>
    </w:p>
    <w:p>
      <w:pPr>
        <w:pStyle w:val="TOC2"/>
        <w:tabs>
          <w:tab w:val="right" w:leader="dot" w:pos="7086"/>
        </w:tabs>
        <w:rPr>
          <w:b w:val="0"/>
          <w:sz w:val="24"/>
          <w:szCs w:val="24"/>
        </w:rPr>
      </w:pPr>
      <w:r>
        <w:rPr>
          <w:szCs w:val="28"/>
        </w:rPr>
        <w:t>Schedule 2 — System entries and game equivalents</w:t>
      </w:r>
    </w:p>
    <w:p>
      <w:pPr>
        <w:pStyle w:val="TOC2"/>
        <w:tabs>
          <w:tab w:val="right" w:leader="dot" w:pos="7086"/>
        </w:tabs>
        <w:rPr>
          <w:b w:val="0"/>
          <w:sz w:val="24"/>
          <w:szCs w:val="24"/>
        </w:rPr>
      </w:pPr>
      <w:r>
        <w:rPr>
          <w:szCs w:val="28"/>
        </w:rPr>
        <w:t>Schedule 3 — System entry prize schedule</w:t>
      </w:r>
    </w:p>
    <w:p>
      <w:pPr>
        <w:pStyle w:val="TOC2"/>
        <w:tabs>
          <w:tab w:val="right" w:leader="dot" w:pos="7086"/>
        </w:tabs>
        <w:rPr>
          <w:b w:val="0"/>
          <w:sz w:val="24"/>
          <w:szCs w:val="24"/>
        </w:rPr>
      </w:pPr>
      <w:r>
        <w:rPr>
          <w:szCs w:val="28"/>
        </w:rPr>
        <w:t>Schedule 4 — Summary of parameters within which Soccer Pools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_Toc256151529 \h </w:instrText>
      </w:r>
      <w:r>
        <w:fldChar w:fldCharType="separate"/>
      </w:r>
      <w:r>
        <w:t>39</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State">
        <w:smartTag w:uri="urn:schemas-microsoft-com:office:smarttags" w:element="place">
          <w:r>
            <w:lastRenderedPageBreak/>
            <w:t>Western Australia</w:t>
          </w:r>
        </w:smartTag>
      </w:smartTag>
    </w:p>
    <w:p>
      <w:pPr>
        <w:pStyle w:val="PrincipalActReg"/>
        <w:rPr>
          <w:snapToGrid w:val="0"/>
        </w:rPr>
      </w:pPr>
      <w:r>
        <w:rPr>
          <w:snapToGrid w:val="0"/>
        </w:rPr>
        <w:t>Lotteries Commission Act 1990</w:t>
      </w:r>
    </w:p>
    <w:p>
      <w:pPr>
        <w:pStyle w:val="NameofActReg"/>
        <w:spacing w:before="120"/>
      </w:pPr>
      <w:r>
        <w:t xml:space="preserve">Lotteries Commission (Soccer Pools) Rules 1996 </w:t>
      </w:r>
    </w:p>
    <w:p>
      <w:pPr>
        <w:pStyle w:val="Heading2"/>
        <w:pageBreakBefore w:val="0"/>
      </w:pPr>
      <w:bookmarkStart w:id="1" w:name="_Toc110932552"/>
      <w:bookmarkStart w:id="2" w:name="_Toc110933363"/>
      <w:bookmarkStart w:id="3" w:name="_Toc147230245"/>
      <w:bookmarkStart w:id="4" w:name="_Toc170549525"/>
      <w:bookmarkStart w:id="5" w:name="_Toc170621336"/>
      <w:bookmarkStart w:id="6" w:name="_Toc200446581"/>
      <w:bookmarkStart w:id="7" w:name="_Toc202950572"/>
      <w:bookmarkStart w:id="8" w:name="_Toc203203356"/>
      <w:bookmarkStart w:id="9" w:name="_Toc203280574"/>
      <w:bookmarkStart w:id="10" w:name="_Toc206207966"/>
      <w:bookmarkStart w:id="11" w:name="_Toc206297535"/>
      <w:bookmarkStart w:id="12" w:name="_Toc206317161"/>
      <w:bookmarkStart w:id="13" w:name="_Toc206317225"/>
      <w:bookmarkStart w:id="14" w:name="_Toc230162817"/>
      <w:bookmarkStart w:id="15" w:name="_Toc230162886"/>
      <w:bookmarkStart w:id="16" w:name="_Toc2561514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08783127"/>
      <w:bookmarkStart w:id="18" w:name="_Toc9830268"/>
      <w:bookmarkStart w:id="19" w:name="_Toc110932553"/>
      <w:bookmarkStart w:id="20" w:name="_Toc256151468"/>
      <w:r>
        <w:rPr>
          <w:rStyle w:val="CharSectno"/>
        </w:rPr>
        <w:t>1</w:t>
      </w:r>
      <w:r>
        <w:rPr>
          <w:snapToGrid w:val="0"/>
        </w:rPr>
        <w:t>.</w:t>
      </w:r>
      <w:r>
        <w:rPr>
          <w:snapToGrid w:val="0"/>
        </w:rPr>
        <w:tab/>
        <w:t>Citation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pPr>
        <w:pStyle w:val="Heading5"/>
        <w:rPr>
          <w:snapToGrid w:val="0"/>
        </w:rPr>
      </w:pPr>
      <w:bookmarkStart w:id="21" w:name="_Toc508783128"/>
      <w:bookmarkStart w:id="22" w:name="_Toc9830269"/>
      <w:bookmarkStart w:id="23" w:name="_Toc110932554"/>
      <w:bookmarkStart w:id="24" w:name="_Toc256151469"/>
      <w:r>
        <w:rPr>
          <w:rStyle w:val="CharSectno"/>
        </w:rPr>
        <w:t>2</w:t>
      </w:r>
      <w:r>
        <w:rPr>
          <w:snapToGrid w:val="0"/>
        </w:rPr>
        <w:t>.</w:t>
      </w:r>
      <w:r>
        <w:rPr>
          <w:snapToGrid w:val="0"/>
        </w:rPr>
        <w:tab/>
      </w:r>
      <w:bookmarkEnd w:id="21"/>
      <w:bookmarkEnd w:id="22"/>
      <w:bookmarkEnd w:id="23"/>
      <w:r>
        <w:rPr>
          <w:snapToGrid w:val="0"/>
        </w:rPr>
        <w:t>Terms used in these rules</w:t>
      </w:r>
      <w:bookmarkEnd w:id="24"/>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Soccer Pools, and includes any branch or section of the Commission;</w:t>
      </w:r>
    </w:p>
    <w:p>
      <w:pPr>
        <w:pStyle w:val="Defstart"/>
      </w:pPr>
      <w:r>
        <w:rPr>
          <w:b/>
        </w:rPr>
        <w:tab/>
      </w:r>
      <w:r>
        <w:rPr>
          <w:rStyle w:val="CharDefText"/>
        </w:rPr>
        <w:t>agent’s component</w:t>
      </w:r>
      <w:r>
        <w:t xml:space="preserve"> means that part of the entry cost calculated in accordance with the formula set out in Schedule 1 that is payable to the agent;</w:t>
      </w:r>
    </w:p>
    <w:p>
      <w:pPr>
        <w:pStyle w:val="Defstart"/>
      </w:pPr>
      <w:r>
        <w:rPr>
          <w:b/>
        </w:rPr>
        <w:tab/>
      </w:r>
      <w:r>
        <w:rPr>
          <w:rStyle w:val="CharDefText"/>
        </w:rPr>
        <w:t>Australian Soccer Pools Bloc</w:t>
      </w:r>
      <w:r>
        <w:t xml:space="preserve"> means the members of the Australian Soccer Pools Bloc Agreement;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13(5) or 14(2)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lastRenderedPageBreak/>
        <w:tab/>
        <w:t>(b)</w:t>
      </w:r>
      <w:r>
        <w:tab/>
        <w:t xml:space="preserve">in relation to a systems entry, one of the notional multiple games making up that systems entry; </w:t>
      </w:r>
    </w:p>
    <w:p>
      <w:pPr>
        <w:pStyle w:val="Defstart"/>
      </w:pPr>
      <w:r>
        <w:rPr>
          <w:b/>
        </w:rPr>
        <w:tab/>
      </w:r>
      <w:r>
        <w:rPr>
          <w:rStyle w:val="CharDefText"/>
        </w:rPr>
        <w:t>match list</w:t>
      </w:r>
      <w:r>
        <w:t xml:space="preserve"> means a list of matches published under rule 21; </w:t>
      </w:r>
    </w:p>
    <w:p>
      <w:pPr>
        <w:pStyle w:val="Defstart"/>
      </w:pPr>
      <w:r>
        <w:rPr>
          <w:b/>
        </w:rPr>
        <w:tab/>
      </w:r>
      <w:r>
        <w:rPr>
          <w:rStyle w:val="CharDefText"/>
        </w:rPr>
        <w:t>participant</w:t>
      </w:r>
      <w:r>
        <w:t xml:space="preserve"> means a person who has taken one or more of the steps necessary to participate in Soccer Pools;</w:t>
      </w:r>
    </w:p>
    <w:p>
      <w:pPr>
        <w:pStyle w:val="Defstart"/>
      </w:pPr>
      <w:r>
        <w:rPr>
          <w:b/>
        </w:rPr>
        <w:tab/>
      </w:r>
      <w:r>
        <w:rPr>
          <w:rStyle w:val="CharDefText"/>
        </w:rPr>
        <w:t>payout period</w:t>
      </w:r>
      <w:r>
        <w:t xml:space="preserve"> means the period from the Tuesday (or such other day as is selected by the Commission) after the determination of that Pools Game, to the close of business on the day 12 months after the day that Pools Game was determined;</w:t>
      </w:r>
    </w:p>
    <w:p>
      <w:pPr>
        <w:pStyle w:val="Defstart"/>
      </w:pPr>
      <w:r>
        <w:rPr>
          <w:b/>
        </w:rPr>
        <w:tab/>
      </w:r>
      <w:r>
        <w:rPr>
          <w:rStyle w:val="CharDefText"/>
        </w:rPr>
        <w:t>player’s card</w:t>
      </w:r>
      <w:r>
        <w:t xml:space="preserve"> means a card issued following a request under rule 34;</w:t>
      </w:r>
    </w:p>
    <w:p>
      <w:pPr>
        <w:pStyle w:val="Defstart"/>
      </w:pPr>
      <w:r>
        <w:rPr>
          <w:b/>
        </w:rPr>
        <w:tab/>
      </w:r>
      <w:r>
        <w:rPr>
          <w:rStyle w:val="CharDefText"/>
        </w:rPr>
        <w:t>player’s card number</w:t>
      </w:r>
      <w:r>
        <w:t xml:space="preserve"> includes a PRS number issued under these rules prior to 9 June 2008, if the PRS number is still valid under rule 34;</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Pools Game</w:t>
      </w:r>
      <w:r>
        <w:t xml:space="preserve"> means a particular game of Soccer Pools designated by a number in accordance with rule 20; </w:t>
      </w:r>
    </w:p>
    <w:p>
      <w:pPr>
        <w:pStyle w:val="Defstart"/>
      </w:pPr>
      <w:r>
        <w:rPr>
          <w:b/>
        </w:rPr>
        <w:tab/>
      </w:r>
      <w:r>
        <w:rPr>
          <w:rStyle w:val="CharDefText"/>
        </w:rPr>
        <w:t>prize fund</w:t>
      </w:r>
      <w:r>
        <w:t xml:space="preserve"> means the fund maintained by the Australian Soccer Pools Bloc in accordance with the agreement referred to in rule 23(1) and consisting of the prize pool and the prize reserve fund; </w:t>
      </w:r>
    </w:p>
    <w:p>
      <w:pPr>
        <w:pStyle w:val="Defstart"/>
      </w:pPr>
      <w:r>
        <w:rPr>
          <w:b/>
        </w:rPr>
        <w:tab/>
      </w:r>
      <w:r>
        <w:rPr>
          <w:rStyle w:val="CharDefText"/>
        </w:rPr>
        <w:t>prize pool</w:t>
      </w:r>
      <w:r>
        <w:t xml:space="preserve"> means the prize pool referred to in rule 23(2)(a); </w:t>
      </w:r>
    </w:p>
    <w:p>
      <w:pPr>
        <w:pStyle w:val="Defstart"/>
      </w:pPr>
      <w:r>
        <w:rPr>
          <w:b/>
        </w:rPr>
        <w:tab/>
      </w:r>
      <w:r>
        <w:rPr>
          <w:rStyle w:val="CharDefText"/>
        </w:rPr>
        <w:t>promotional coupon</w:t>
      </w:r>
      <w:r>
        <w:t xml:space="preserve"> means a coupon or an offer initiated by the Commission that allows a receipted ticket to be produced for a participant without full payment being required;</w:t>
      </w:r>
    </w:p>
    <w:p>
      <w:pPr>
        <w:pStyle w:val="Defstart"/>
        <w:keepLines/>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for entry;</w:t>
      </w:r>
    </w:p>
    <w:p>
      <w:pPr>
        <w:pStyle w:val="Defstart"/>
      </w:pPr>
      <w:r>
        <w:rPr>
          <w:b/>
        </w:rPr>
        <w:tab/>
      </w:r>
      <w:r>
        <w:rPr>
          <w:rStyle w:val="CharDefText"/>
        </w:rPr>
        <w:t>selling period</w:t>
      </w:r>
      <w:r>
        <w:t xml:space="preserve"> means the period before a Pools Game, terminating at the time specified by the Commission for the weekend on which that Pools Game is determined;</w:t>
      </w:r>
    </w:p>
    <w:p>
      <w:pPr>
        <w:pStyle w:val="Defstart"/>
      </w:pPr>
      <w:r>
        <w:rPr>
          <w:b/>
        </w:rPr>
        <w:tab/>
      </w:r>
      <w:r>
        <w:rPr>
          <w:rStyle w:val="CharDefText"/>
        </w:rPr>
        <w:t>Soccer Pools</w:t>
      </w:r>
      <w:r>
        <w:t xml:space="preserve"> means a competition conducted in accordance with these rules;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4(3); </w:t>
      </w:r>
    </w:p>
    <w:p>
      <w:pPr>
        <w:pStyle w:val="Defstart"/>
      </w:pPr>
      <w:r>
        <w:rPr>
          <w:b/>
        </w:rPr>
        <w:tab/>
      </w:r>
      <w:r>
        <w:rPr>
          <w:rStyle w:val="CharDefText"/>
        </w:rPr>
        <w:t>total prize pool</w:t>
      </w:r>
      <w:r>
        <w:t xml:space="preserve"> means the prize pool for a Pools Game, plus any jackpot amount from a previous Pools Game and any amount from the prize reserve fund that has been taken from the fund to ensure that a guaranteed minimum prize pool for a Pools Game is met;</w:t>
      </w:r>
    </w:p>
    <w:p>
      <w:pPr>
        <w:pStyle w:val="Defstart"/>
      </w:pPr>
      <w:r>
        <w:rPr>
          <w:b/>
        </w:rPr>
        <w:tab/>
      </w:r>
      <w:r>
        <w:rPr>
          <w:rStyle w:val="CharDefText"/>
        </w:rPr>
        <w:t>validation period</w:t>
      </w:r>
      <w:r>
        <w:t xml:space="preserve"> means the period of time from midnight on the day on which a Pools Game was determined to the close of business — </w:t>
      </w:r>
    </w:p>
    <w:p>
      <w:pPr>
        <w:pStyle w:val="Defpara"/>
      </w:pPr>
      <w:r>
        <w:tab/>
        <w:t>(a)</w:t>
      </w:r>
      <w:r>
        <w:tab/>
        <w:t>on the 14th day after that day; or</w:t>
      </w:r>
    </w:p>
    <w:p>
      <w:pPr>
        <w:pStyle w:val="Defpara"/>
      </w:pPr>
      <w:r>
        <w:tab/>
        <w:t>(b)</w:t>
      </w:r>
      <w:r>
        <w:tab/>
        <w:t>if that 14th day is a public holiday, on the preceding business day;</w:t>
      </w:r>
    </w:p>
    <w:p>
      <w:pPr>
        <w:pStyle w:val="Defstart"/>
      </w:pPr>
      <w:r>
        <w:rPr>
          <w:b/>
        </w:rPr>
        <w:tab/>
      </w:r>
      <w:r>
        <w:rPr>
          <w:rStyle w:val="CharDefText"/>
        </w:rPr>
        <w:t>winning number</w:t>
      </w:r>
      <w:r>
        <w:t xml:space="preserve"> means any one of the 6 numbers referred to in rule 4(2).</w:t>
      </w:r>
    </w:p>
    <w:p>
      <w:pPr>
        <w:pStyle w:val="Footnotesection"/>
      </w:pPr>
      <w:r>
        <w:tab/>
        <w:t>[Rule 2 amended in Gazette 15 Nov 1996 p. 6525; 5 Aug 2005 p. 3599</w:t>
      </w:r>
      <w:r>
        <w:noBreakHyphen/>
        <w:t>600; 6 Jun 2008 p. 2323</w:t>
      </w:r>
      <w:r>
        <w:noBreakHyphen/>
        <w:t xml:space="preserve">4.] </w:t>
      </w:r>
    </w:p>
    <w:p>
      <w:pPr>
        <w:pStyle w:val="Heading2"/>
      </w:pPr>
      <w:bookmarkStart w:id="25" w:name="_Toc110932555"/>
      <w:bookmarkStart w:id="26" w:name="_Toc110933366"/>
      <w:bookmarkStart w:id="27" w:name="_Toc147230248"/>
      <w:bookmarkStart w:id="28" w:name="_Toc170549528"/>
      <w:bookmarkStart w:id="29" w:name="_Toc170621339"/>
      <w:bookmarkStart w:id="30" w:name="_Toc200446584"/>
      <w:bookmarkStart w:id="31" w:name="_Toc202950575"/>
      <w:bookmarkStart w:id="32" w:name="_Toc203203359"/>
      <w:bookmarkStart w:id="33" w:name="_Toc203280577"/>
      <w:bookmarkStart w:id="34" w:name="_Toc206207969"/>
      <w:bookmarkStart w:id="35" w:name="_Toc206297538"/>
      <w:bookmarkStart w:id="36" w:name="_Toc206317164"/>
      <w:bookmarkStart w:id="37" w:name="_Toc206317228"/>
      <w:bookmarkStart w:id="38" w:name="_Toc230162820"/>
      <w:bookmarkStart w:id="39" w:name="_Toc230162889"/>
      <w:bookmarkStart w:id="40" w:name="_Toc256151470"/>
      <w:r>
        <w:rPr>
          <w:rStyle w:val="CharPartNo"/>
        </w:rPr>
        <w:t>Part 2</w:t>
      </w:r>
      <w:r>
        <w:rPr>
          <w:rStyle w:val="CharDivNo"/>
        </w:rPr>
        <w:t> </w:t>
      </w:r>
      <w:r>
        <w:t>—</w:t>
      </w:r>
      <w:r>
        <w:rPr>
          <w:rStyle w:val="CharDivText"/>
        </w:rPr>
        <w:t> </w:t>
      </w:r>
      <w:r>
        <w:rPr>
          <w:rStyle w:val="CharPartText"/>
        </w:rPr>
        <w:t>Determination of results of Soccer Pools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508783129"/>
      <w:bookmarkStart w:id="42" w:name="_Toc9830270"/>
      <w:bookmarkStart w:id="43" w:name="_Toc110932556"/>
      <w:bookmarkStart w:id="44" w:name="_Toc256151471"/>
      <w:r>
        <w:rPr>
          <w:rStyle w:val="CharSectno"/>
        </w:rPr>
        <w:t>3</w:t>
      </w:r>
      <w:r>
        <w:rPr>
          <w:snapToGrid w:val="0"/>
        </w:rPr>
        <w:t>.</w:t>
      </w:r>
      <w:r>
        <w:rPr>
          <w:snapToGrid w:val="0"/>
        </w:rPr>
        <w:tab/>
        <w:t>Terms used in this Part</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bookmarkStart w:id="45" w:name="_Toc508783130"/>
      <w:bookmarkStart w:id="46" w:name="_Toc9830271"/>
      <w:r>
        <w:rPr>
          <w:b/>
        </w:rPr>
        <w:tab/>
      </w:r>
      <w:r>
        <w:rPr>
          <w:rStyle w:val="CharDefText"/>
        </w:rPr>
        <w:t>void match</w:t>
      </w:r>
      <w:r>
        <w:t xml:space="preserve"> means a match on the match list that has been declared to be a void match by the Australian Soccer Pools Bloc.</w:t>
      </w:r>
    </w:p>
    <w:p>
      <w:pPr>
        <w:pStyle w:val="Footnotesection"/>
      </w:pPr>
      <w:r>
        <w:tab/>
        <w:t>[Rule 3 amended in Gazette 5 Aug 2005 p. 3600.]</w:t>
      </w:r>
    </w:p>
    <w:p>
      <w:pPr>
        <w:pStyle w:val="Heading5"/>
        <w:rPr>
          <w:snapToGrid w:val="0"/>
        </w:rPr>
      </w:pPr>
      <w:bookmarkStart w:id="47" w:name="_Toc110932557"/>
      <w:bookmarkStart w:id="48" w:name="_Toc256151472"/>
      <w:r>
        <w:rPr>
          <w:rStyle w:val="CharSectno"/>
        </w:rPr>
        <w:t>4</w:t>
      </w:r>
      <w:r>
        <w:rPr>
          <w:snapToGrid w:val="0"/>
        </w:rPr>
        <w:t>.</w:t>
      </w:r>
      <w:r>
        <w:rPr>
          <w:snapToGrid w:val="0"/>
        </w:rPr>
        <w:tab/>
        <w:t>Determination of the winning numbers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winning numbers and the supplementary number for a Pools Game are to be determined by — </w:t>
      </w:r>
    </w:p>
    <w:p>
      <w:pPr>
        <w:pStyle w:val="Indenta"/>
        <w:rPr>
          <w:snapToGrid w:val="0"/>
        </w:rPr>
      </w:pPr>
      <w:r>
        <w:rPr>
          <w:snapToGrid w:val="0"/>
        </w:rPr>
        <w:tab/>
        <w:t>(a)</w:t>
      </w:r>
      <w:r>
        <w:rPr>
          <w:snapToGrid w:val="0"/>
        </w:rPr>
        <w:tab/>
        <w:t>ranking the matches on the match list for that Pools Game in accordance with rule 5;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 (1)(b)(i) are the 6 winning numbers for that Pools Game.</w:t>
      </w:r>
    </w:p>
    <w:p>
      <w:pPr>
        <w:pStyle w:val="Subsection"/>
        <w:rPr>
          <w:snapToGrid w:val="0"/>
        </w:rPr>
      </w:pPr>
      <w:r>
        <w:rPr>
          <w:snapToGrid w:val="0"/>
        </w:rPr>
        <w:tab/>
        <w:t>(3)</w:t>
      </w:r>
      <w:r>
        <w:rPr>
          <w:snapToGrid w:val="0"/>
        </w:rPr>
        <w:tab/>
        <w:t>The number identified under subrule (1)(b)(ii) is the supplementary number for that Pools Game.</w:t>
      </w:r>
    </w:p>
    <w:p>
      <w:pPr>
        <w:pStyle w:val="Heading5"/>
        <w:rPr>
          <w:snapToGrid w:val="0"/>
        </w:rPr>
      </w:pPr>
      <w:bookmarkStart w:id="49" w:name="_Toc508783131"/>
      <w:bookmarkStart w:id="50" w:name="_Toc9830272"/>
      <w:bookmarkStart w:id="51" w:name="_Toc110932558"/>
      <w:bookmarkStart w:id="52" w:name="_Toc256151473"/>
      <w:r>
        <w:rPr>
          <w:rStyle w:val="CharSectno"/>
        </w:rPr>
        <w:t>5</w:t>
      </w:r>
      <w:r>
        <w:rPr>
          <w:snapToGrid w:val="0"/>
        </w:rPr>
        <w:t>.</w:t>
      </w:r>
      <w:r>
        <w:rPr>
          <w:snapToGrid w:val="0"/>
        </w:rPr>
        <w:tab/>
        <w:t>Ranking matches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matches on the match list for a Pools Game are to be ranked in the following order — </w:t>
      </w:r>
    </w:p>
    <w:p>
      <w:pPr>
        <w:pStyle w:val="Indenta"/>
        <w:rPr>
          <w:snapToGrid w:val="0"/>
        </w:rPr>
      </w:pPr>
      <w:r>
        <w:rPr>
          <w:snapToGrid w:val="0"/>
        </w:rPr>
        <w:tab/>
        <w:t>(a)</w:t>
      </w:r>
      <w:r>
        <w:rPr>
          <w:snapToGrid w:val="0"/>
        </w:rPr>
        <w:tab/>
        <w:t xml:space="preserve">score draws; </w:t>
      </w:r>
    </w:p>
    <w:p>
      <w:pPr>
        <w:pStyle w:val="Indenta"/>
        <w:rPr>
          <w:snapToGrid w:val="0"/>
        </w:rPr>
      </w:pPr>
      <w:r>
        <w:rPr>
          <w:snapToGrid w:val="0"/>
        </w:rPr>
        <w:tab/>
        <w:t>(b)</w:t>
      </w:r>
      <w:r>
        <w:rPr>
          <w:snapToGrid w:val="0"/>
        </w:rPr>
        <w:tab/>
        <w:t xml:space="preserve">scoreless draws; </w:t>
      </w:r>
    </w:p>
    <w:p>
      <w:pPr>
        <w:pStyle w:val="Indenta"/>
        <w:rPr>
          <w:snapToGrid w:val="0"/>
        </w:rPr>
      </w:pPr>
      <w:r>
        <w:rPr>
          <w:snapToGrid w:val="0"/>
        </w:rPr>
        <w:tab/>
        <w:t>(c)</w:t>
      </w:r>
      <w:r>
        <w:rPr>
          <w:snapToGrid w:val="0"/>
        </w:rPr>
        <w:tab/>
        <w:t>Away wins; and</w:t>
      </w:r>
    </w:p>
    <w:p>
      <w:pPr>
        <w:pStyle w:val="Indenta"/>
        <w:rPr>
          <w:snapToGrid w:val="0"/>
        </w:rPr>
      </w:pPr>
      <w:r>
        <w:rPr>
          <w:snapToGrid w:val="0"/>
        </w:rPr>
        <w:tab/>
        <w:t>(d)</w:t>
      </w:r>
      <w:r>
        <w:rPr>
          <w:snapToGrid w:val="0"/>
        </w:rPr>
        <w:tab/>
        <w:t xml:space="preserve">Home wins. </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pPr>
        <w:pStyle w:val="Heading5"/>
        <w:rPr>
          <w:snapToGrid w:val="0"/>
        </w:rPr>
      </w:pPr>
      <w:bookmarkStart w:id="53" w:name="_Toc508783132"/>
      <w:bookmarkStart w:id="54" w:name="_Toc9830273"/>
      <w:bookmarkStart w:id="55" w:name="_Toc110932559"/>
      <w:bookmarkStart w:id="56" w:name="_Toc256151474"/>
      <w:r>
        <w:rPr>
          <w:rStyle w:val="CharSectno"/>
        </w:rPr>
        <w:t>6</w:t>
      </w:r>
      <w:r>
        <w:rPr>
          <w:snapToGrid w:val="0"/>
        </w:rPr>
        <w:t>.</w:t>
      </w:r>
      <w:r>
        <w:rPr>
          <w:snapToGrid w:val="0"/>
        </w:rPr>
        <w:tab/>
        <w:t>Dealing with void matches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Ednotesection"/>
      </w:pPr>
      <w:bookmarkStart w:id="57" w:name="_Toc508783134"/>
      <w:bookmarkStart w:id="58" w:name="_Toc9830275"/>
      <w:r>
        <w:t>[</w:t>
      </w:r>
      <w:r>
        <w:rPr>
          <w:b/>
        </w:rPr>
        <w:t>7.</w:t>
      </w:r>
      <w:r>
        <w:tab/>
        <w:t>Deleted in Gazette 5 Aug 2005 p. 3600.]</w:t>
      </w:r>
    </w:p>
    <w:p>
      <w:pPr>
        <w:pStyle w:val="Heading5"/>
        <w:rPr>
          <w:snapToGrid w:val="0"/>
        </w:rPr>
      </w:pPr>
      <w:bookmarkStart w:id="59" w:name="_Toc110932560"/>
      <w:bookmarkStart w:id="60" w:name="_Toc256151475"/>
      <w:r>
        <w:rPr>
          <w:rStyle w:val="CharSectno"/>
        </w:rPr>
        <w:t>8</w:t>
      </w:r>
      <w:r>
        <w:rPr>
          <w:snapToGrid w:val="0"/>
        </w:rPr>
        <w:t>.</w:t>
      </w:r>
      <w:r>
        <w:rPr>
          <w:snapToGrid w:val="0"/>
        </w:rPr>
        <w:tab/>
        <w:t>When Pools Games are to be cancelled</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pPr>
        <w:pStyle w:val="Subsection"/>
        <w:rPr>
          <w:snapToGrid w:val="0"/>
        </w:rPr>
      </w:pPr>
      <w:r>
        <w:rPr>
          <w:snapToGrid w:val="0"/>
        </w:rPr>
        <w:tab/>
        <w:t>(2)</w:t>
      </w:r>
      <w:r>
        <w:rPr>
          <w:snapToGrid w:val="0"/>
        </w:rPr>
        <w:tab/>
        <w:t>If a Pools Game is cancelled — </w:t>
      </w:r>
    </w:p>
    <w:p>
      <w:pPr>
        <w:pStyle w:val="Indenta"/>
        <w:rPr>
          <w:snapToGrid w:val="0"/>
        </w:rPr>
      </w:pPr>
      <w:r>
        <w:rPr>
          <w:snapToGrid w:val="0"/>
        </w:rPr>
        <w:tab/>
        <w:t>(a)</w:t>
      </w:r>
      <w:r>
        <w:rPr>
          <w:snapToGrid w:val="0"/>
        </w:rPr>
        <w:tab/>
        <w:t>no prizes are to be paid for that Pools Game; and</w:t>
      </w:r>
    </w:p>
    <w:p>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pPr>
        <w:pStyle w:val="Heading5"/>
        <w:spacing w:before="180"/>
      </w:pPr>
      <w:bookmarkStart w:id="61" w:name="_Toc110932561"/>
      <w:bookmarkStart w:id="62" w:name="_Toc256151476"/>
      <w:r>
        <w:rPr>
          <w:rStyle w:val="CharSectno"/>
        </w:rPr>
        <w:t>8A</w:t>
      </w:r>
      <w:r>
        <w:t>.</w:t>
      </w:r>
      <w:r>
        <w:tab/>
        <w:t>Commission may withdraw from non</w:t>
      </w:r>
      <w:r>
        <w:noBreakHyphen/>
        <w:t>conforming Pools Game</w:t>
      </w:r>
      <w:bookmarkEnd w:id="61"/>
      <w:bookmarkEnd w:id="62"/>
    </w:p>
    <w:p>
      <w:pPr>
        <w:pStyle w:val="Subsection"/>
        <w:keepNext/>
        <w:keepLines/>
        <w:spacing w:before="120"/>
      </w:pPr>
      <w:r>
        <w:tab/>
        <w:t>(1)</w:t>
      </w:r>
      <w:r>
        <w:tab/>
        <w:t xml:space="preserve">The Commission may withdraw all entries received by the Commission in respect of a particular Pools Game if — </w:t>
      </w:r>
    </w:p>
    <w:p>
      <w:pPr>
        <w:pStyle w:val="Indenta"/>
      </w:pPr>
      <w:r>
        <w:tab/>
        <w:t>(a)</w:t>
      </w:r>
      <w:r>
        <w:tab/>
        <w:t>fewer than 38 matches remain scheduled to be played immediately before the close of entries for that Pools Game;</w:t>
      </w:r>
    </w:p>
    <w:p>
      <w:pPr>
        <w:pStyle w:val="Indenta"/>
      </w:pPr>
      <w:r>
        <w:tab/>
        <w:t>(b)</w:t>
      </w:r>
      <w:r>
        <w:tab/>
        <w:t>results are declared in fewer than 7 matches; or</w:t>
      </w:r>
    </w:p>
    <w:p>
      <w:pPr>
        <w:pStyle w:val="Indenta"/>
      </w:pPr>
      <w:r>
        <w:tab/>
        <w:t>(c)</w:t>
      </w:r>
      <w:r>
        <w:tab/>
        <w:t>the Australian Soccer Pools Bloc determines that the Pools Game for that week is to be conducted in a manner that is inconsistent with the Act.</w:t>
      </w:r>
    </w:p>
    <w:p>
      <w:pPr>
        <w:pStyle w:val="Subsection"/>
      </w:pPr>
      <w:r>
        <w:tab/>
        <w:t>(2)</w:t>
      </w:r>
      <w:r>
        <w:tab/>
        <w:t xml:space="preserve">If the Commission withdraws from a Pools Game — </w:t>
      </w:r>
    </w:p>
    <w:p>
      <w:pPr>
        <w:pStyle w:val="Indenta"/>
      </w:pPr>
      <w:r>
        <w:tab/>
        <w:t>(a)</w:t>
      </w:r>
      <w:r>
        <w:tab/>
        <w:t>no prizes are to be paid by the Commission for that Pools Game; and</w:t>
      </w:r>
    </w:p>
    <w:p>
      <w:pPr>
        <w:pStyle w:val="Indenta"/>
      </w:pPr>
      <w:r>
        <w:tab/>
        <w:t>(b)</w:t>
      </w:r>
      <w:r>
        <w:tab/>
        <w:t>all entries received by the Commission in respect of that Pools Game are to be entered in the next Pools Game following the inconsistent Pools Game.</w:t>
      </w:r>
    </w:p>
    <w:p>
      <w:pPr>
        <w:pStyle w:val="Footnotesection"/>
      </w:pPr>
      <w:r>
        <w:tab/>
        <w:t>[Rule 8A inserted in Gazette 5 Aug 2005 p. 3600.]</w:t>
      </w:r>
    </w:p>
    <w:p>
      <w:pPr>
        <w:pStyle w:val="Heading2"/>
      </w:pPr>
      <w:bookmarkStart w:id="63" w:name="_Toc110932562"/>
      <w:bookmarkStart w:id="64" w:name="_Toc110933373"/>
      <w:bookmarkStart w:id="65" w:name="_Toc147230255"/>
      <w:bookmarkStart w:id="66" w:name="_Toc170549535"/>
      <w:bookmarkStart w:id="67" w:name="_Toc170621346"/>
      <w:bookmarkStart w:id="68" w:name="_Toc200446591"/>
      <w:bookmarkStart w:id="69" w:name="_Toc202950582"/>
      <w:bookmarkStart w:id="70" w:name="_Toc203203366"/>
      <w:bookmarkStart w:id="71" w:name="_Toc203280584"/>
      <w:bookmarkStart w:id="72" w:name="_Toc206207976"/>
      <w:bookmarkStart w:id="73" w:name="_Toc206297545"/>
      <w:bookmarkStart w:id="74" w:name="_Toc206317171"/>
      <w:bookmarkStart w:id="75" w:name="_Toc206317235"/>
      <w:bookmarkStart w:id="76" w:name="_Toc230162827"/>
      <w:bookmarkStart w:id="77" w:name="_Toc230162896"/>
      <w:bookmarkStart w:id="78" w:name="_Toc256151477"/>
      <w:r>
        <w:rPr>
          <w:rStyle w:val="CharPartNo"/>
        </w:rPr>
        <w:t>Part 3</w:t>
      </w:r>
      <w:r>
        <w:rPr>
          <w:rStyle w:val="CharDivNo"/>
        </w:rPr>
        <w:t> </w:t>
      </w:r>
      <w:r>
        <w:t>—</w:t>
      </w:r>
      <w:r>
        <w:rPr>
          <w:rStyle w:val="CharDivText"/>
        </w:rPr>
        <w:t> </w:t>
      </w:r>
      <w:r>
        <w:rPr>
          <w:rStyle w:val="CharPartText"/>
        </w:rPr>
        <w:t>Requirements for entry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508783135"/>
      <w:bookmarkStart w:id="80" w:name="_Toc9830276"/>
      <w:bookmarkStart w:id="81" w:name="_Toc110932563"/>
      <w:bookmarkStart w:id="82" w:name="_Toc256151478"/>
      <w:r>
        <w:rPr>
          <w:rStyle w:val="CharSectno"/>
        </w:rPr>
        <w:t>9</w:t>
      </w:r>
      <w:r>
        <w:rPr>
          <w:snapToGrid w:val="0"/>
        </w:rPr>
        <w:t>.</w:t>
      </w:r>
      <w:r>
        <w:rPr>
          <w:snapToGrid w:val="0"/>
        </w:rPr>
        <w:tab/>
      </w:r>
      <w:bookmarkEnd w:id="79"/>
      <w:bookmarkEnd w:id="80"/>
      <w:bookmarkEnd w:id="81"/>
      <w:r>
        <w:rPr>
          <w:snapToGrid w:val="0"/>
        </w:rPr>
        <w:t>Playslip</w:t>
      </w:r>
      <w:bookmarkEnd w:id="82"/>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Soccer Pools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participants, </w:t>
      </w:r>
    </w:p>
    <w:p>
      <w:pPr>
        <w:pStyle w:val="Subsection"/>
        <w:rPr>
          <w:snapToGrid w:val="0"/>
        </w:rPr>
      </w:pPr>
      <w:r>
        <w:rPr>
          <w:snapToGrid w:val="0"/>
        </w:rPr>
        <w:tab/>
      </w:r>
      <w:r>
        <w:rPr>
          <w:snapToGrid w:val="0"/>
        </w:rPr>
        <w:tab/>
        <w:t>as the Commission considers necessary.</w:t>
      </w:r>
    </w:p>
    <w:p>
      <w:pPr>
        <w:pStyle w:val="Footnotesection"/>
      </w:pPr>
      <w:r>
        <w:tab/>
        <w:t>[Rule 9 amended in Gazette 6 Jun 2008 p. 2324.]</w:t>
      </w:r>
    </w:p>
    <w:p>
      <w:pPr>
        <w:pStyle w:val="Heading5"/>
        <w:rPr>
          <w:snapToGrid w:val="0"/>
        </w:rPr>
      </w:pPr>
      <w:bookmarkStart w:id="83" w:name="_Toc508783136"/>
      <w:bookmarkStart w:id="84" w:name="_Toc9830277"/>
      <w:bookmarkStart w:id="85" w:name="_Toc110932564"/>
      <w:bookmarkStart w:id="86" w:name="_Toc256151479"/>
      <w:r>
        <w:rPr>
          <w:rStyle w:val="CharSectno"/>
        </w:rPr>
        <w:t>10</w:t>
      </w:r>
      <w:r>
        <w:rPr>
          <w:snapToGrid w:val="0"/>
        </w:rPr>
        <w:t>.</w:t>
      </w:r>
      <w:r>
        <w:rPr>
          <w:snapToGrid w:val="0"/>
        </w:rPr>
        <w:tab/>
        <w:t>Methods of entry</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person may enter Soccer Pools by —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13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w:t>
      </w:r>
      <w:r>
        <w:t>rule 14; or</w:t>
      </w:r>
    </w:p>
    <w:p>
      <w:pPr>
        <w:pStyle w:val="Indenta"/>
      </w:pPr>
      <w:r>
        <w:tab/>
        <w:t>(c)</w:t>
      </w:r>
      <w:r>
        <w:tab/>
        <w:t>using the “ticket repeat” method set out in rule 13A,</w:t>
      </w:r>
    </w:p>
    <w:p>
      <w:pPr>
        <w:pStyle w:val="Subsection"/>
        <w:rPr>
          <w:snapToGrid w:val="0"/>
        </w:rPr>
      </w:pPr>
      <w:r>
        <w:rPr>
          <w:snapToGrid w:val="0"/>
        </w:rPr>
        <w:tab/>
      </w:r>
      <w:r>
        <w:rPr>
          <w:snapToGrid w:val="0"/>
        </w:rPr>
        <w:tab/>
        <w:t xml:space="preserve">and paying the appropriate entry amount </w:t>
      </w:r>
      <w:r>
        <w:t>as calculated using the formula set out in Schedule 1.</w:t>
      </w:r>
    </w:p>
    <w:p>
      <w:pPr>
        <w:pStyle w:val="Subsection"/>
      </w:pPr>
      <w:r>
        <w:tab/>
        <w:t>(1A)</w:t>
      </w:r>
      <w:r>
        <w:tab/>
        <w:t>A person may enter Soccer Pools by redeeming a promotional coupon and, in that case, may be required to pay less than the amount payable under subrule (1).</w:t>
      </w:r>
    </w:p>
    <w:p>
      <w:pPr>
        <w:pStyle w:val="Subsection"/>
      </w:pPr>
      <w:r>
        <w:tab/>
        <w:t>(1B)</w:t>
      </w:r>
      <w:r>
        <w:tab/>
        <w:t>A person may enter Soccer Pools as a part of a syndicate in accordance with Part 3A.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participant.</w:t>
      </w:r>
    </w:p>
    <w:p>
      <w:pPr>
        <w:pStyle w:val="Footnotesection"/>
      </w:pPr>
      <w:r>
        <w:tab/>
        <w:t>[Rule 10 amended in Gazette 6 Jun 2008 p. 2325</w:t>
      </w:r>
      <w:r>
        <w:noBreakHyphen/>
        <w:t>6.]</w:t>
      </w:r>
    </w:p>
    <w:p>
      <w:pPr>
        <w:pStyle w:val="Heading5"/>
        <w:rPr>
          <w:snapToGrid w:val="0"/>
        </w:rPr>
      </w:pPr>
      <w:bookmarkStart w:id="87" w:name="_Toc508783137"/>
      <w:bookmarkStart w:id="88" w:name="_Toc9830278"/>
      <w:bookmarkStart w:id="89" w:name="_Toc110932565"/>
      <w:bookmarkStart w:id="90" w:name="_Toc256151480"/>
      <w:r>
        <w:rPr>
          <w:rStyle w:val="CharSectno"/>
        </w:rPr>
        <w:t>11</w:t>
      </w:r>
      <w:r>
        <w:rPr>
          <w:snapToGrid w:val="0"/>
        </w:rPr>
        <w:t>.</w:t>
      </w:r>
      <w:r>
        <w:rPr>
          <w:snapToGrid w:val="0"/>
        </w:rPr>
        <w:tab/>
        <w:t>No limit to number of entries</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There is no limit on the number of entries a participant may make in a Pools Game. </w:t>
      </w:r>
    </w:p>
    <w:p>
      <w:pPr>
        <w:pStyle w:val="Heading5"/>
        <w:rPr>
          <w:snapToGrid w:val="0"/>
        </w:rPr>
      </w:pPr>
      <w:bookmarkStart w:id="91" w:name="_Toc508783138"/>
      <w:bookmarkStart w:id="92" w:name="_Toc9830279"/>
      <w:bookmarkStart w:id="93" w:name="_Toc110932566"/>
      <w:bookmarkStart w:id="94" w:name="_Toc256151481"/>
      <w:r>
        <w:rPr>
          <w:rStyle w:val="CharSectno"/>
        </w:rPr>
        <w:t>12</w:t>
      </w:r>
      <w:r>
        <w:rPr>
          <w:snapToGrid w:val="0"/>
        </w:rPr>
        <w:t>.</w:t>
      </w:r>
      <w:r>
        <w:rPr>
          <w:snapToGrid w:val="0"/>
        </w:rPr>
        <w:tab/>
        <w:t>Super 66 entry</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pPr>
      <w:r>
        <w:tab/>
        <w:t xml:space="preserve">[Rule 12 inserted in Gazette 15 Nov 1996 p. 6525.] </w:t>
      </w:r>
    </w:p>
    <w:p>
      <w:pPr>
        <w:pStyle w:val="Heading5"/>
        <w:rPr>
          <w:snapToGrid w:val="0"/>
        </w:rPr>
      </w:pPr>
      <w:bookmarkStart w:id="95" w:name="_Toc508783139"/>
      <w:bookmarkStart w:id="96" w:name="_Toc9830280"/>
      <w:bookmarkStart w:id="97" w:name="_Toc110932567"/>
      <w:bookmarkStart w:id="98" w:name="_Toc256151482"/>
      <w:r>
        <w:rPr>
          <w:rStyle w:val="CharSectno"/>
        </w:rPr>
        <w:t>13</w:t>
      </w:r>
      <w:r>
        <w:rPr>
          <w:snapToGrid w:val="0"/>
        </w:rPr>
        <w:t>.</w:t>
      </w:r>
      <w:r>
        <w:rPr>
          <w:snapToGrid w:val="0"/>
        </w:rPr>
        <w:tab/>
        <w:t xml:space="preserve">Completion of </w:t>
      </w:r>
      <w:bookmarkEnd w:id="95"/>
      <w:bookmarkEnd w:id="96"/>
      <w:bookmarkEnd w:id="97"/>
      <w:r>
        <w:rPr>
          <w:snapToGrid w:val="0"/>
        </w:rPr>
        <w:t>playslip</w:t>
      </w:r>
      <w:bookmarkEnd w:id="98"/>
    </w:p>
    <w:p>
      <w:pPr>
        <w:pStyle w:val="Subsection"/>
        <w:rPr>
          <w:snapToGrid w:val="0"/>
        </w:rPr>
      </w:pPr>
      <w:r>
        <w:rPr>
          <w:snapToGrid w:val="0"/>
        </w:rPr>
        <w:tab/>
        <w:t>(1)</w:t>
      </w:r>
      <w:r>
        <w:rPr>
          <w:snapToGrid w:val="0"/>
        </w:rPr>
        <w:tab/>
        <w:t xml:space="preserve">To enter Soccer Pools using </w:t>
      </w:r>
      <w:r>
        <w:t xml:space="preserve">a playslip, </w:t>
      </w:r>
      <w:r>
        <w:rPr>
          <w:snapToGrid w:val="0"/>
        </w:rPr>
        <w:t>a participant must select — </w:t>
      </w:r>
    </w:p>
    <w:p>
      <w:pPr>
        <w:pStyle w:val="Indenta"/>
        <w:rPr>
          <w:snapToGrid w:val="0"/>
        </w:rPr>
      </w:pPr>
      <w:r>
        <w:rPr>
          <w:snapToGrid w:val="0"/>
        </w:rPr>
        <w:tab/>
        <w:t>(a)</w:t>
      </w:r>
      <w:r>
        <w:rPr>
          <w:snapToGrid w:val="0"/>
        </w:rPr>
        <w:tab/>
        <w:t xml:space="preserve">6 numbers out of the numbers 1 to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between 4 and 20 numbers (other than 6 numbers) out of the numbers 1 to 38 in one or more games on the </w:t>
      </w:r>
      <w:r>
        <w:t>playslip.</w:t>
      </w:r>
    </w:p>
    <w:p>
      <w:pPr>
        <w:pStyle w:val="Subsection"/>
      </w:pPr>
      <w:r>
        <w:tab/>
        <w:t>(2)</w:t>
      </w:r>
      <w:r>
        <w:tab/>
        <w:t>A participant who has filled out a game on a playslip in accordance with rule 13(1) may enter up to 17 further systems entries using the same playslip by selecting, in each further game, the same number of numbers as were selected in the first game, but only up to an entry cost that does not, in aggregate, exceed $100 000.</w:t>
      </w:r>
    </w:p>
    <w:p>
      <w:pPr>
        <w:pStyle w:val="Subsection"/>
        <w:rPr>
          <w:snapToGrid w:val="0"/>
        </w:rPr>
      </w:pPr>
      <w:r>
        <w:rPr>
          <w:snapToGrid w:val="0"/>
        </w:rPr>
        <w:tab/>
        <w:t>(3)</w:t>
      </w:r>
      <w:r>
        <w:rPr>
          <w:snapToGrid w:val="0"/>
        </w:rPr>
        <w:tab/>
        <w:t>The participant must also mark in the appropriate boxes on the</w:t>
      </w:r>
      <w:r>
        <w:t xml:space="preserve"> playslip</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how many (if more than one) consecutive weeks </w:t>
      </w:r>
      <w:r>
        <w:t>(2, 5 or 10)</w:t>
      </w:r>
      <w:r>
        <w:rPr>
          <w:snapToGrid w:val="0"/>
        </w:rPr>
        <w:t xml:space="preserve"> the </w:t>
      </w:r>
      <w:r>
        <w:t>playslip</w:t>
      </w:r>
      <w:r>
        <w:rPr>
          <w:snapToGrid w:val="0"/>
        </w:rPr>
        <w:t xml:space="preserve"> is to be entered in Soccer Pools; and</w:t>
      </w:r>
    </w:p>
    <w:p>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pPr>
        <w:pStyle w:val="Subsection"/>
        <w:spacing w:before="180"/>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spacing w:before="180"/>
        <w:rPr>
          <w:snapToGrid w:val="0"/>
        </w:rPr>
      </w:pPr>
      <w:r>
        <w:rPr>
          <w:snapToGrid w:val="0"/>
        </w:rPr>
        <w:tab/>
        <w:t>(5)</w:t>
      </w:r>
      <w:r>
        <w:rPr>
          <w:snapToGrid w:val="0"/>
        </w:rPr>
        <w:tab/>
        <w:t>If a participant selects, in each completed game on the</w:t>
      </w:r>
      <w:r>
        <w:t xml:space="preserve"> playslip</w:t>
      </w:r>
      <w:r>
        <w:rPr>
          <w:snapToGrid w:val="0"/>
        </w:rPr>
        <w:t> — </w:t>
      </w:r>
    </w:p>
    <w:p>
      <w:pPr>
        <w:pStyle w:val="Indenta"/>
        <w:rPr>
          <w:snapToGrid w:val="0"/>
        </w:rPr>
      </w:pPr>
      <w:r>
        <w:rPr>
          <w:snapToGrid w:val="0"/>
        </w:rPr>
        <w:tab/>
        <w:t>(a)</w:t>
      </w:r>
      <w:r>
        <w:rPr>
          <w:snapToGrid w:val="0"/>
        </w:rPr>
        <w:tab/>
        <w:t>6 numbers, the resulting receipted ticket constitutes one entry (made up of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w:t>
      </w:r>
      <w:r>
        <w:rPr>
          <w:snapToGrid w:val="0"/>
        </w:rPr>
        <w:t>.</w:t>
      </w:r>
    </w:p>
    <w:p>
      <w:pPr>
        <w:pStyle w:val="Footnotesection"/>
      </w:pPr>
      <w:r>
        <w:tab/>
        <w:t>[Rule 13 amended in Gazette 15 Nov 1996 p. 6525; 9 Mar 2001 p. 1344; 6 Jun 2008 p. 2326</w:t>
      </w:r>
      <w:r>
        <w:noBreakHyphen/>
        <w:t xml:space="preserve">7.] </w:t>
      </w:r>
    </w:p>
    <w:p>
      <w:pPr>
        <w:pStyle w:val="Heading5"/>
      </w:pPr>
      <w:bookmarkStart w:id="99" w:name="_Toc256151483"/>
      <w:bookmarkStart w:id="100" w:name="_Toc508783140"/>
      <w:bookmarkStart w:id="101" w:name="_Toc9830281"/>
      <w:bookmarkStart w:id="102" w:name="_Toc110932568"/>
      <w:r>
        <w:rPr>
          <w:rStyle w:val="CharSectno"/>
        </w:rPr>
        <w:t>13A</w:t>
      </w:r>
      <w:r>
        <w:t>.</w:t>
      </w:r>
      <w:r>
        <w:tab/>
        <w:t>Ticket repeat</w:t>
      </w:r>
      <w:bookmarkEnd w:id="99"/>
      <w:r>
        <w:t xml:space="preserve"> </w:t>
      </w:r>
    </w:p>
    <w:p>
      <w:pPr>
        <w:pStyle w:val="Subsection"/>
      </w:pPr>
      <w:r>
        <w:tab/>
        <w:t>(1)</w:t>
      </w:r>
      <w:r>
        <w:tab/>
        <w:t>A person may select the numbers and game type required to enter Soccer Pools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participant’s player’s card is presented as well.</w:t>
      </w:r>
    </w:p>
    <w:p>
      <w:pPr>
        <w:pStyle w:val="Subsection"/>
      </w:pPr>
      <w:r>
        <w:tab/>
        <w:t>(3)</w:t>
      </w:r>
      <w:r>
        <w:tab/>
        <w:t>This rule does not apply to a syndicate share receipted ticket or a syndicate master ticket.</w:t>
      </w:r>
    </w:p>
    <w:p>
      <w:pPr>
        <w:pStyle w:val="Footnotesection"/>
      </w:pPr>
      <w:r>
        <w:tab/>
        <w:t>[Rule 13A inserted in Gazette 6 Jun 2008 p. 2328; amended in Gazette 15 May 2009 p. 1634-5.]</w:t>
      </w:r>
    </w:p>
    <w:p>
      <w:pPr>
        <w:pStyle w:val="Heading5"/>
      </w:pPr>
      <w:bookmarkStart w:id="103" w:name="_Toc256151484"/>
      <w:r>
        <w:rPr>
          <w:rStyle w:val="CharSectno"/>
        </w:rPr>
        <w:t>13B</w:t>
      </w:r>
      <w:r>
        <w:t>.</w:t>
      </w:r>
      <w:r>
        <w:tab/>
        <w:t>Favourite numbers</w:t>
      </w:r>
      <w:bookmarkEnd w:id="103"/>
      <w:r>
        <w:t xml:space="preserve"> </w:t>
      </w:r>
    </w:p>
    <w:p>
      <w:pPr>
        <w:pStyle w:val="Subsection"/>
      </w:pPr>
      <w:r>
        <w:tab/>
        <w:t>(1)</w:t>
      </w:r>
      <w:r>
        <w:tab/>
        <w:t xml:space="preserve">A person who has a player’s card may — </w:t>
      </w:r>
    </w:p>
    <w:p>
      <w:pPr>
        <w:pStyle w:val="Indenta"/>
      </w:pPr>
      <w:r>
        <w:tab/>
        <w:t>(a)</w:t>
      </w:r>
      <w:r>
        <w:tab/>
        <w:t>select the numbers and game type required to enter Soccer Pools by presenting his or her player’s card and a playslip filled out with a selection of the “favourite numbers” (and game types) for Soccer Pools that relate to the card; or</w:t>
      </w:r>
    </w:p>
    <w:p>
      <w:pPr>
        <w:pStyle w:val="Indenta"/>
      </w:pPr>
      <w:r>
        <w:tab/>
        <w:t>(b)</w:t>
      </w:r>
      <w:r>
        <w:tab/>
        <w:t>select the numbers and game type required to enter Soccer Pools by presenting his or her player’s card and orally requesting the selection of the “favourite numbers” (and game types) for Soccer Pools that relate to the card.</w:t>
      </w:r>
    </w:p>
    <w:p>
      <w:pPr>
        <w:pStyle w:val="Subsection"/>
      </w:pPr>
      <w:r>
        <w:tab/>
        <w:t>(2)</w:t>
      </w:r>
      <w:r>
        <w:tab/>
        <w:t>Favourite numbers can be selected for one week, or for 2, 5 or 10 consecutive weeks.</w:t>
      </w:r>
    </w:p>
    <w:p>
      <w:pPr>
        <w:pStyle w:val="Footnotesection"/>
      </w:pPr>
      <w:r>
        <w:tab/>
        <w:t>[Rule 13B inserted in Gazette 6 Jun 2008 p. 2328</w:t>
      </w:r>
      <w:r>
        <w:noBreakHyphen/>
        <w:t>9.]</w:t>
      </w:r>
    </w:p>
    <w:p>
      <w:pPr>
        <w:pStyle w:val="Heading5"/>
        <w:rPr>
          <w:snapToGrid w:val="0"/>
        </w:rPr>
      </w:pPr>
      <w:bookmarkStart w:id="104" w:name="_Toc256151485"/>
      <w:r>
        <w:rPr>
          <w:rStyle w:val="CharSectno"/>
        </w:rPr>
        <w:t>14</w:t>
      </w:r>
      <w:r>
        <w:rPr>
          <w:snapToGrid w:val="0"/>
        </w:rPr>
        <w:t>.</w:t>
      </w:r>
      <w:r>
        <w:rPr>
          <w:snapToGrid w:val="0"/>
        </w:rPr>
        <w:tab/>
        <w:t>Oral request for entry</w:t>
      </w:r>
      <w:bookmarkEnd w:id="100"/>
      <w:bookmarkEnd w:id="101"/>
      <w:bookmarkEnd w:id="102"/>
      <w:bookmarkEnd w:id="104"/>
      <w:r>
        <w:rPr>
          <w:snapToGrid w:val="0"/>
        </w:rPr>
        <w:t xml:space="preserve"> </w:t>
      </w:r>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participant must make an oral request to an agent stating — </w:t>
      </w:r>
    </w:p>
    <w:p>
      <w:pPr>
        <w:pStyle w:val="Indenta"/>
        <w:rPr>
          <w:snapToGrid w:val="0"/>
        </w:rPr>
      </w:pPr>
      <w:r>
        <w:rPr>
          <w:snapToGrid w:val="0"/>
        </w:rPr>
        <w:tab/>
        <w:t>(a)</w:t>
      </w:r>
      <w:r>
        <w:rPr>
          <w:snapToGrid w:val="0"/>
        </w:rPr>
        <w:tab/>
        <w:t>that the entry is for Soccer Pools;</w:t>
      </w:r>
    </w:p>
    <w:p>
      <w:pPr>
        <w:pStyle w:val="Indenta"/>
        <w:rPr>
          <w:snapToGrid w:val="0"/>
        </w:rPr>
      </w:pPr>
      <w:r>
        <w:rPr>
          <w:snapToGrid w:val="0"/>
        </w:rPr>
        <w:tab/>
        <w:t>(b)</w:t>
      </w:r>
      <w:r>
        <w:rPr>
          <w:snapToGrid w:val="0"/>
        </w:rPr>
        <w:tab/>
        <w:t>whether the participant wishes to select —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(ie. a systems entry);</w:t>
      </w:r>
    </w:p>
    <w:p>
      <w:pPr>
        <w:pStyle w:val="Indenta"/>
      </w:pPr>
      <w:r>
        <w:tab/>
        <w:t>(c)</w:t>
      </w:r>
      <w:r>
        <w:tab/>
        <w:t xml:space="preserve">if the participant selects 6 selected numbers — </w:t>
      </w:r>
    </w:p>
    <w:p>
      <w:pPr>
        <w:pStyle w:val="Indenti"/>
      </w:pPr>
      <w:r>
        <w:tab/>
        <w:t>(i)</w:t>
      </w:r>
      <w:r>
        <w:tab/>
        <w:t>whether the participant wishes the entry to be entered in 12, 18, 25, 30 or 50 games; or</w:t>
      </w:r>
    </w:p>
    <w:p>
      <w:pPr>
        <w:pStyle w:val="Indenti"/>
      </w:pPr>
      <w:r>
        <w:tab/>
        <w:t>(ii)</w:t>
      </w:r>
      <w:r>
        <w:tab/>
        <w:t>where available, exactly how many games the participant wants to be entered, with a maximum of 50;</w:t>
      </w:r>
    </w:p>
    <w:p>
      <w:pPr>
        <w:pStyle w:val="Indenta"/>
        <w:rPr>
          <w:snapToGrid w:val="0"/>
        </w:rPr>
      </w:pPr>
      <w:r>
        <w:rPr>
          <w:snapToGrid w:val="0"/>
        </w:rPr>
        <w:tab/>
        <w:t>(d)</w:t>
      </w:r>
      <w:r>
        <w:rPr>
          <w:snapToGrid w:val="0"/>
        </w:rPr>
        <w:tab/>
        <w:t xml:space="preserve">how many (if more than one) consecutive weeks </w:t>
      </w:r>
      <w:r>
        <w:t>(2, 5 or 10)</w:t>
      </w:r>
      <w:r>
        <w:rPr>
          <w:snapToGrid w:val="0"/>
        </w:rPr>
        <w:t xml:space="preserve"> the entry is to be entered in Soccer Pools. </w:t>
      </w:r>
    </w:p>
    <w:p>
      <w:pPr>
        <w:pStyle w:val="Subsection"/>
        <w:rPr>
          <w:snapToGrid w:val="0"/>
        </w:rPr>
      </w:pPr>
      <w:r>
        <w:rPr>
          <w:snapToGrid w:val="0"/>
        </w:rPr>
        <w:tab/>
        <w:t>(2)</w:t>
      </w:r>
      <w:r>
        <w:rPr>
          <w:snapToGrid w:val="0"/>
        </w:rPr>
        <w:tab/>
        <w:t>If a participant requests —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4 and 20 numbers (other than 6 numbers) the entry will be entered as one systems entry,</w:t>
      </w:r>
    </w:p>
    <w:p>
      <w:pPr>
        <w:pStyle w:val="Subsection"/>
        <w:rPr>
          <w:snapToGrid w:val="0"/>
        </w:rPr>
      </w:pPr>
      <w:r>
        <w:rPr>
          <w:snapToGrid w:val="0"/>
        </w:rPr>
        <w:tab/>
      </w:r>
      <w:r>
        <w:rPr>
          <w:snapToGrid w:val="0"/>
        </w:rPr>
        <w:tab/>
        <w:t>and the resulting receipted ticket constitutes one entry in Soccer Pools.</w:t>
      </w:r>
    </w:p>
    <w:p>
      <w:pPr>
        <w:pStyle w:val="Footnotesection"/>
      </w:pPr>
      <w:r>
        <w:tab/>
        <w:t xml:space="preserve">[Rule 14 amended in Gazette 15 Nov 1996 p. 6525; 29 Apr 1997 p. 2148; 9 Mar 2001 p. 1344; 6 Jun 2008 p. 2329.] </w:t>
      </w:r>
    </w:p>
    <w:p>
      <w:pPr>
        <w:pStyle w:val="Heading5"/>
        <w:rPr>
          <w:snapToGrid w:val="0"/>
        </w:rPr>
      </w:pPr>
      <w:bookmarkStart w:id="105" w:name="_Toc508783141"/>
      <w:bookmarkStart w:id="106" w:name="_Toc9830282"/>
      <w:bookmarkStart w:id="107" w:name="_Toc110932569"/>
      <w:bookmarkStart w:id="108" w:name="_Toc256151486"/>
      <w:r>
        <w:rPr>
          <w:rStyle w:val="CharSectno"/>
        </w:rPr>
        <w:t>15</w:t>
      </w:r>
      <w:r>
        <w:rPr>
          <w:snapToGrid w:val="0"/>
        </w:rPr>
        <w:t>.</w:t>
      </w:r>
      <w:r>
        <w:rPr>
          <w:snapToGrid w:val="0"/>
        </w:rPr>
        <w:tab/>
        <w:t>Entry by mail</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completed and posted by a participant in accordance with rule 10(1)(a)(ii)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pPr>
        <w:pStyle w:val="Subsection"/>
        <w:keepLines/>
        <w:rPr>
          <w:snapToGrid w:val="0"/>
        </w:rPr>
      </w:pPr>
      <w:r>
        <w:rPr>
          <w:snapToGrid w:val="0"/>
        </w:rPr>
        <w:tab/>
        <w:t>(4)</w:t>
      </w:r>
      <w:r>
        <w:rPr>
          <w:snapToGrid w:val="0"/>
        </w:rPr>
        <w:tab/>
        <w:t xml:space="preserve">If one or more of the games on a postal entry contains too many selected numbers the Commission may ignore the highest selected number or numbers in that game when producing a receipted ticket from that </w:t>
      </w:r>
      <w:r>
        <w:t>playslip.</w:t>
      </w:r>
    </w:p>
    <w:p>
      <w:pPr>
        <w:pStyle w:val="Subsection"/>
        <w:rPr>
          <w:snapToGrid w:val="0"/>
        </w:rPr>
      </w:pPr>
      <w:r>
        <w:rPr>
          <w:snapToGrid w:val="0"/>
        </w:rPr>
        <w:tab/>
        <w:t>(5)</w:t>
      </w:r>
      <w:r>
        <w:rPr>
          <w:snapToGrid w:val="0"/>
        </w:rPr>
        <w:tab/>
        <w:t>If one or more of the games on a postal entry contains too few selected numbers, the Commission may — </w:t>
      </w:r>
    </w:p>
    <w:p>
      <w:pPr>
        <w:pStyle w:val="Indenta"/>
        <w:rPr>
          <w:snapToGrid w:val="0"/>
        </w:rPr>
      </w:pPr>
      <w:r>
        <w:rPr>
          <w:snapToGrid w:val="0"/>
        </w:rPr>
        <w:tab/>
        <w:t>(a)</w:t>
      </w:r>
      <w:r>
        <w:rPr>
          <w:snapToGrid w:val="0"/>
        </w:rPr>
        <w:tab/>
        <w:t>ignore the games with too few numbers and produce a receipted ticket from the remaining games;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participant.</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participant’s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Pools Games the Commission must — </w:t>
      </w:r>
    </w:p>
    <w:p>
      <w:pPr>
        <w:pStyle w:val="Indenta"/>
        <w:rPr>
          <w:snapToGrid w:val="0"/>
        </w:rPr>
      </w:pPr>
      <w:r>
        <w:rPr>
          <w:snapToGrid w:val="0"/>
        </w:rPr>
        <w:tab/>
        <w:t>(a)</w:t>
      </w:r>
      <w:r>
        <w:rPr>
          <w:snapToGrid w:val="0"/>
        </w:rPr>
        <w:tab/>
        <w:t>enter the entry in the Pools Game or Games requested; or</w:t>
      </w:r>
    </w:p>
    <w:p>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15 amended in Gazette 6 Jun 2008 p. 2330.]</w:t>
      </w:r>
    </w:p>
    <w:p>
      <w:pPr>
        <w:pStyle w:val="Heading5"/>
        <w:rPr>
          <w:snapToGrid w:val="0"/>
        </w:rPr>
      </w:pPr>
      <w:bookmarkStart w:id="109" w:name="_Toc508783142"/>
      <w:bookmarkStart w:id="110" w:name="_Toc9830283"/>
      <w:bookmarkStart w:id="111" w:name="_Toc110932570"/>
      <w:bookmarkStart w:id="112" w:name="_Toc256151487"/>
      <w:r>
        <w:rPr>
          <w:rStyle w:val="CharSectno"/>
        </w:rPr>
        <w:t>16</w:t>
      </w:r>
      <w:r>
        <w:rPr>
          <w:snapToGrid w:val="0"/>
        </w:rPr>
        <w:t>.</w:t>
      </w:r>
      <w:r>
        <w:rPr>
          <w:snapToGrid w:val="0"/>
        </w:rPr>
        <w:tab/>
        <w:t>Receipted tickets</w:t>
      </w:r>
      <w:bookmarkEnd w:id="109"/>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participant.</w:t>
      </w:r>
    </w:p>
    <w:p>
      <w:pPr>
        <w:pStyle w:val="Subsection"/>
        <w:spacing w:before="140"/>
      </w:pPr>
      <w:r>
        <w:tab/>
        <w:t>(1A)</w:t>
      </w:r>
      <w:r>
        <w:tab/>
        <w:t>Where a person redeems a promotional coupon in accordance with these rules and the terms on which the promotional coupon is issued, the agent must generate a receipted ticket or tickets accordingly and give it or them to the participant.</w:t>
      </w:r>
    </w:p>
    <w:p>
      <w:pPr>
        <w:pStyle w:val="Subsection"/>
        <w:spacing w:before="140"/>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 xml:space="preserve">Subject to rule 15, where a person posts </w:t>
      </w:r>
      <w:r>
        <w:t xml:space="preserve">a playslip, </w:t>
      </w:r>
      <w:r>
        <w:rPr>
          <w:snapToGrid w:val="0"/>
        </w:rPr>
        <w:t xml:space="preserve">completed in accordance with these rules, to the Commission with the appropriate payment, the Commission must, when it receives </w:t>
      </w:r>
      <w:r>
        <w:t xml:space="preserve">that playslip, </w:t>
      </w:r>
      <w:r>
        <w:rPr>
          <w:snapToGrid w:val="0"/>
        </w:rPr>
        <w:t xml:space="preserve">use </w:t>
      </w:r>
      <w:r>
        <w:t>that playslip</w:t>
      </w:r>
      <w:r>
        <w:rPr>
          <w:snapToGrid w:val="0"/>
        </w:rPr>
        <w:t xml:space="preserve"> to generate a receipted ticket or tickets and post it or them by ordinary mail to the participant at the return address accompanying the entry.</w:t>
      </w:r>
    </w:p>
    <w:p>
      <w:pPr>
        <w:pStyle w:val="Footnotesection"/>
      </w:pPr>
      <w:r>
        <w:tab/>
        <w:t>[Rule 16 amended in Gazette 15 Nov 1996 p. 6525; 6 Jun 2008 p. 2330</w:t>
      </w:r>
      <w:r>
        <w:noBreakHyphen/>
        <w:t xml:space="preserve">1.] </w:t>
      </w:r>
    </w:p>
    <w:p>
      <w:pPr>
        <w:pStyle w:val="Heading5"/>
        <w:rPr>
          <w:snapToGrid w:val="0"/>
        </w:rPr>
      </w:pPr>
      <w:bookmarkStart w:id="113" w:name="_Toc508783143"/>
      <w:bookmarkStart w:id="114" w:name="_Toc9830284"/>
      <w:bookmarkStart w:id="115" w:name="_Toc110932571"/>
      <w:bookmarkStart w:id="116" w:name="_Toc256151488"/>
      <w:r>
        <w:rPr>
          <w:rStyle w:val="CharSectno"/>
        </w:rPr>
        <w:t>17</w:t>
      </w:r>
      <w:r>
        <w:rPr>
          <w:snapToGrid w:val="0"/>
        </w:rPr>
        <w:t>.</w:t>
      </w:r>
      <w:r>
        <w:rPr>
          <w:snapToGrid w:val="0"/>
        </w:rPr>
        <w:tab/>
        <w:t>Surrender of receipted ticket</w:t>
      </w:r>
      <w:bookmarkEnd w:id="113"/>
      <w:bookmarkEnd w:id="114"/>
      <w:bookmarkEnd w:id="115"/>
      <w:bookmarkEnd w:id="116"/>
      <w:r>
        <w:rPr>
          <w:snapToGrid w:val="0"/>
        </w:rPr>
        <w:t xml:space="preserve"> </w:t>
      </w:r>
    </w:p>
    <w:p>
      <w:pPr>
        <w:pStyle w:val="Subsection"/>
        <w:spacing w:before="140"/>
        <w:rPr>
          <w:snapToGrid w:val="0"/>
        </w:rPr>
      </w:pPr>
      <w:r>
        <w:rPr>
          <w:snapToGrid w:val="0"/>
        </w:rPr>
        <w:tab/>
        <w:t>(1)</w:t>
      </w:r>
      <w:r>
        <w:rPr>
          <w:snapToGrid w:val="0"/>
        </w:rPr>
        <w:tab/>
      </w:r>
      <w:r>
        <w:t>Subject to subrule (1A), a</w:t>
      </w:r>
      <w:r>
        <w:rPr>
          <w:snapToGrid w:val="0"/>
        </w:rPr>
        <w:t xml:space="preserve"> participant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Soccer Pools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participant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pPr>
        <w:pStyle w:val="Footnotesection"/>
      </w:pPr>
      <w:r>
        <w:tab/>
        <w:t xml:space="preserve">[Rule 17 amended in Gazette 15 Nov 1996 p. 6525; 9 Mar 2001 p. 1345; 6 Jun 2008 p. 2331.] </w:t>
      </w:r>
    </w:p>
    <w:p>
      <w:pPr>
        <w:pStyle w:val="Heading5"/>
        <w:rPr>
          <w:snapToGrid w:val="0"/>
        </w:rPr>
      </w:pPr>
      <w:bookmarkStart w:id="117" w:name="_Toc508783144"/>
      <w:bookmarkStart w:id="118" w:name="_Toc9830285"/>
      <w:bookmarkStart w:id="119" w:name="_Toc110932572"/>
      <w:bookmarkStart w:id="120" w:name="_Toc256151489"/>
      <w:r>
        <w:rPr>
          <w:rStyle w:val="CharSectno"/>
        </w:rPr>
        <w:t>18</w:t>
      </w:r>
      <w:r>
        <w:rPr>
          <w:snapToGrid w:val="0"/>
        </w:rPr>
        <w:t>.</w:t>
      </w:r>
      <w:r>
        <w:rPr>
          <w:snapToGrid w:val="0"/>
        </w:rPr>
        <w:tab/>
        <w:t>Accuracy of receipted ticket</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is under no duty to ensure that the receipted ticket accurately reflects </w:t>
      </w:r>
      <w:r>
        <w:t>the playslip, coupon, ticket</w:t>
      </w:r>
      <w:r>
        <w:rPr>
          <w:snapToGrid w:val="0"/>
        </w:rPr>
        <w:t xml:space="preserve"> or request.</w:t>
      </w:r>
    </w:p>
    <w:p>
      <w:pPr>
        <w:pStyle w:val="Footnotesection"/>
      </w:pPr>
      <w:r>
        <w:tab/>
        <w:t>[Rule 18 amended in Gazette 6 Jun 2008 p. 2331.]</w:t>
      </w:r>
    </w:p>
    <w:p>
      <w:pPr>
        <w:pStyle w:val="Heading5"/>
        <w:rPr>
          <w:snapToGrid w:val="0"/>
        </w:rPr>
      </w:pPr>
      <w:bookmarkStart w:id="121" w:name="_Toc508783145"/>
      <w:bookmarkStart w:id="122" w:name="_Toc9830286"/>
      <w:bookmarkStart w:id="123" w:name="_Toc110932573"/>
      <w:bookmarkStart w:id="124" w:name="_Toc256151490"/>
      <w:r>
        <w:rPr>
          <w:rStyle w:val="CharSectno"/>
        </w:rPr>
        <w:t>19</w:t>
      </w:r>
      <w:r>
        <w:rPr>
          <w:snapToGrid w:val="0"/>
        </w:rPr>
        <w:t>.</w:t>
      </w:r>
      <w:r>
        <w:rPr>
          <w:snapToGrid w:val="0"/>
        </w:rPr>
        <w:tab/>
        <w:t>Validity of receipted ticket</w:t>
      </w:r>
      <w:bookmarkEnd w:id="121"/>
      <w:bookmarkEnd w:id="122"/>
      <w:bookmarkEnd w:id="123"/>
      <w:bookmarkEnd w:id="124"/>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Pools Game or Games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pPr>
        <w:pStyle w:val="Indenta"/>
        <w:rPr>
          <w:snapToGrid w:val="0"/>
        </w:rPr>
      </w:pPr>
      <w:r>
        <w:rPr>
          <w:snapToGrid w:val="0"/>
        </w:rPr>
        <w:tab/>
        <w:t>(c)</w:t>
      </w:r>
      <w:r>
        <w:rPr>
          <w:snapToGrid w:val="0"/>
        </w:rPr>
        <w:tab/>
        <w:t>is forged or altered, or obtained as a direct result of fraud, by the participant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 xml:space="preserve">[Rule 19 amended in Gazette 15 Nov 1996 p. 6525; 6 Jun 2008 p. 2332.] </w:t>
      </w:r>
    </w:p>
    <w:p>
      <w:pPr>
        <w:pStyle w:val="Heading2"/>
      </w:pPr>
      <w:bookmarkStart w:id="125" w:name="_Toc200446605"/>
      <w:bookmarkStart w:id="126" w:name="_Toc202950596"/>
      <w:bookmarkStart w:id="127" w:name="_Toc203203380"/>
      <w:bookmarkStart w:id="128" w:name="_Toc203280598"/>
      <w:bookmarkStart w:id="129" w:name="_Toc206207990"/>
      <w:bookmarkStart w:id="130" w:name="_Toc206297559"/>
      <w:bookmarkStart w:id="131" w:name="_Toc206317185"/>
      <w:bookmarkStart w:id="132" w:name="_Toc206317249"/>
      <w:bookmarkStart w:id="133" w:name="_Toc230162841"/>
      <w:bookmarkStart w:id="134" w:name="_Toc230162910"/>
      <w:bookmarkStart w:id="135" w:name="_Toc256151491"/>
      <w:bookmarkStart w:id="136" w:name="_Toc110932574"/>
      <w:bookmarkStart w:id="137" w:name="_Toc110933385"/>
      <w:bookmarkStart w:id="138" w:name="_Toc147230267"/>
      <w:bookmarkStart w:id="139" w:name="_Toc170549547"/>
      <w:bookmarkStart w:id="140" w:name="_Toc170621358"/>
      <w:r>
        <w:rPr>
          <w:rStyle w:val="CharPartNo"/>
        </w:rPr>
        <w:t>Part 3A</w:t>
      </w:r>
      <w:r>
        <w:rPr>
          <w:b w:val="0"/>
        </w:rPr>
        <w:t> </w:t>
      </w:r>
      <w:r>
        <w:t>—</w:t>
      </w:r>
      <w:r>
        <w:rPr>
          <w:b w:val="0"/>
        </w:rPr>
        <w:t> </w:t>
      </w:r>
      <w:r>
        <w:rPr>
          <w:rStyle w:val="CharPartText"/>
        </w:rPr>
        <w:t>Syndicate entries</w:t>
      </w:r>
      <w:bookmarkEnd w:id="125"/>
      <w:bookmarkEnd w:id="126"/>
      <w:bookmarkEnd w:id="127"/>
      <w:bookmarkEnd w:id="128"/>
      <w:bookmarkEnd w:id="129"/>
      <w:bookmarkEnd w:id="130"/>
      <w:bookmarkEnd w:id="131"/>
      <w:bookmarkEnd w:id="132"/>
      <w:bookmarkEnd w:id="133"/>
      <w:bookmarkEnd w:id="134"/>
      <w:bookmarkEnd w:id="135"/>
    </w:p>
    <w:p>
      <w:pPr>
        <w:pStyle w:val="Footnoteheading"/>
      </w:pPr>
      <w:r>
        <w:tab/>
        <w:t>[Heading inserted in Gazette 6 Jun 2008 p. 2333.]</w:t>
      </w:r>
    </w:p>
    <w:p>
      <w:pPr>
        <w:pStyle w:val="Heading5"/>
      </w:pPr>
      <w:bookmarkStart w:id="141" w:name="_Toc256151492"/>
      <w:r>
        <w:rPr>
          <w:rStyle w:val="CharSectno"/>
        </w:rPr>
        <w:t>19A</w:t>
      </w:r>
      <w:r>
        <w:t>.</w:t>
      </w:r>
      <w:r>
        <w:tab/>
        <w:t>Application of this Part</w:t>
      </w:r>
      <w:bookmarkEnd w:id="141"/>
    </w:p>
    <w:p>
      <w:pPr>
        <w:pStyle w:val="Subsection"/>
      </w:pPr>
      <w:r>
        <w:tab/>
        <w:t>(1)</w:t>
      </w:r>
      <w:r>
        <w:tab/>
        <w:t>An “informal syndicate entry” in a Pools Game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Pools Game.</w:t>
      </w:r>
    </w:p>
    <w:p>
      <w:pPr>
        <w:pStyle w:val="Subsection"/>
      </w:pPr>
      <w:r>
        <w:tab/>
        <w:t>(3)</w:t>
      </w:r>
      <w:r>
        <w:tab/>
        <w:t>This Part only applies to syndicate entries if the syndicate entries are offered in accordance with rules 19B to 19H by the Commission or an agent, as the case may be.</w:t>
      </w:r>
    </w:p>
    <w:p>
      <w:pPr>
        <w:pStyle w:val="Footnotesection"/>
      </w:pPr>
      <w:r>
        <w:tab/>
        <w:t>[Rule 19A inserted in Gazette 6 Jun 2008 p. 2333.]</w:t>
      </w:r>
    </w:p>
    <w:p>
      <w:pPr>
        <w:pStyle w:val="Heading5"/>
      </w:pPr>
      <w:bookmarkStart w:id="142" w:name="_Toc256151493"/>
      <w:r>
        <w:rPr>
          <w:rStyle w:val="CharSectno"/>
        </w:rPr>
        <w:t>19B</w:t>
      </w:r>
      <w:r>
        <w:t>.</w:t>
      </w:r>
      <w:r>
        <w:tab/>
        <w:t>Establishing a syndicate</w:t>
      </w:r>
      <w:bookmarkEnd w:id="142"/>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19B inserted in Gazette 6 Jun 2008 p. 2333; amended in Gazette 12 Mar 2010 p. 951.]</w:t>
      </w:r>
    </w:p>
    <w:p>
      <w:pPr>
        <w:pStyle w:val="Heading5"/>
      </w:pPr>
      <w:bookmarkStart w:id="143" w:name="_Toc256151494"/>
      <w:r>
        <w:rPr>
          <w:rStyle w:val="CharSectno"/>
        </w:rPr>
        <w:t>19C</w:t>
      </w:r>
      <w:r>
        <w:t>.</w:t>
      </w:r>
      <w:r>
        <w:tab/>
        <w:t>Syndicate share and cost parameters</w:t>
      </w:r>
      <w:bookmarkEnd w:id="143"/>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19C inserted in Gazette 6 Jun 2008 p. 2334; amended in Gazette 12 Mar 2010 p. 951</w:t>
      </w:r>
      <w:r>
        <w:noBreakHyphen/>
        <w:t>2.]</w:t>
      </w:r>
    </w:p>
    <w:p>
      <w:pPr>
        <w:pStyle w:val="Heading5"/>
      </w:pPr>
      <w:bookmarkStart w:id="144" w:name="_Toc256151495"/>
      <w:r>
        <w:rPr>
          <w:rStyle w:val="CharSectno"/>
        </w:rPr>
        <w:t>19D</w:t>
      </w:r>
      <w:r>
        <w:t>.</w:t>
      </w:r>
      <w:r>
        <w:tab/>
        <w:t>Agent’s component of a syndicate share</w:t>
      </w:r>
      <w:bookmarkEnd w:id="144"/>
    </w:p>
    <w:p>
      <w:pPr>
        <w:pStyle w:val="Subsection"/>
      </w:pPr>
      <w:r>
        <w:tab/>
      </w:r>
      <w:r>
        <w:tab/>
        <w:t>The agent’s component per share is the difference between the final price per share and the subscription per share.</w:t>
      </w:r>
    </w:p>
    <w:p>
      <w:pPr>
        <w:pStyle w:val="Footnotesection"/>
      </w:pPr>
      <w:r>
        <w:tab/>
        <w:t>[Rule 19D inserted in Gazette 12 Mar 2010 p. 952.]</w:t>
      </w:r>
    </w:p>
    <w:p>
      <w:pPr>
        <w:pStyle w:val="Heading5"/>
      </w:pPr>
      <w:bookmarkStart w:id="145" w:name="_Toc256151496"/>
      <w:r>
        <w:rPr>
          <w:rStyle w:val="CharSectno"/>
        </w:rPr>
        <w:t>19E</w:t>
      </w:r>
      <w:r>
        <w:t>.</w:t>
      </w:r>
      <w:r>
        <w:tab/>
        <w:t>Syndicate participation parameters</w:t>
      </w:r>
      <w:bookmarkEnd w:id="145"/>
    </w:p>
    <w:p>
      <w:pPr>
        <w:pStyle w:val="Subsection"/>
      </w:pPr>
      <w:r>
        <w:tab/>
        <w:t>(1)</w:t>
      </w:r>
      <w:r>
        <w:tab/>
        <w:t>A syndicate cannot be created for more than one Pools Game.</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Soccer Pools and another type of lotto under the Act.</w:t>
      </w:r>
    </w:p>
    <w:p>
      <w:pPr>
        <w:pStyle w:val="Footnotesection"/>
      </w:pPr>
      <w:r>
        <w:tab/>
        <w:t>[Rule 19E inserted in Gazette 6 Jun 2008 p. 2334.]</w:t>
      </w:r>
    </w:p>
    <w:p>
      <w:pPr>
        <w:pStyle w:val="Heading5"/>
      </w:pPr>
      <w:bookmarkStart w:id="146" w:name="_Toc256151497"/>
      <w:r>
        <w:rPr>
          <w:rStyle w:val="CharSectno"/>
        </w:rPr>
        <w:t>19F</w:t>
      </w:r>
      <w:r>
        <w:t>.</w:t>
      </w:r>
      <w:r>
        <w:tab/>
        <w:t>Types of syndicates</w:t>
      </w:r>
      <w:bookmarkEnd w:id="146"/>
    </w:p>
    <w:p>
      <w:pPr>
        <w:pStyle w:val="Subsection"/>
      </w:pPr>
      <w:r>
        <w:tab/>
        <w:t>(1)</w:t>
      </w:r>
      <w:r>
        <w:tab/>
        <w:t xml:space="preserve">A syndicate entry in a Pools Game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19F inserted in Gazette 6 Jun 2008 p. 2335.]</w:t>
      </w:r>
    </w:p>
    <w:p>
      <w:pPr>
        <w:pStyle w:val="Heading5"/>
      </w:pPr>
      <w:bookmarkStart w:id="147" w:name="_Toc256151498"/>
      <w:r>
        <w:rPr>
          <w:rStyle w:val="CharSectno"/>
        </w:rPr>
        <w:t>19G</w:t>
      </w:r>
      <w:r>
        <w:t>.</w:t>
      </w:r>
      <w:r>
        <w:tab/>
        <w:t>Syndicate share receipted ticket</w:t>
      </w:r>
      <w:bookmarkEnd w:id="147"/>
    </w:p>
    <w:p>
      <w:pPr>
        <w:pStyle w:val="Subsection"/>
      </w:pPr>
      <w:r>
        <w:tab/>
        <w:t>(1)</w:t>
      </w:r>
      <w:r>
        <w:tab/>
        <w:t>A syndicate share receipted ticket in a Pools Game may be registered by the participant so that a player’s card membership number is allocated to that receipted ticket.</w:t>
      </w:r>
    </w:p>
    <w:p>
      <w:pPr>
        <w:pStyle w:val="Subsection"/>
      </w:pPr>
      <w:r>
        <w:tab/>
        <w:t>(2)</w:t>
      </w:r>
      <w:r>
        <w:tab/>
        <w:t>A syndicate share receipted ticket in a Pools Game cannot be cancelled but, where the Commission agrees, the entry fee may be refunded and the ticket may be returned for resale.</w:t>
      </w:r>
    </w:p>
    <w:p>
      <w:pPr>
        <w:pStyle w:val="Footnotesection"/>
      </w:pPr>
      <w:r>
        <w:tab/>
        <w:t>[Rule 19G inserted in Gazette 6 Jun 2008 p. 2335.]</w:t>
      </w:r>
    </w:p>
    <w:p>
      <w:pPr>
        <w:pStyle w:val="Heading5"/>
      </w:pPr>
      <w:bookmarkStart w:id="148" w:name="_Toc256151499"/>
      <w:r>
        <w:rPr>
          <w:rStyle w:val="CharSectno"/>
        </w:rPr>
        <w:t>19H</w:t>
      </w:r>
      <w:r>
        <w:t>.</w:t>
      </w:r>
      <w:r>
        <w:tab/>
        <w:t>Syndicate master ticket</w:t>
      </w:r>
      <w:bookmarkEnd w:id="148"/>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Any truncation adjustments that are required under rules 19C(7), 19D and 26(5)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19H inserted in Gazette 6 Jun 2008 p. 2335</w:t>
      </w:r>
      <w:r>
        <w:noBreakHyphen/>
        <w:t>6; amended in Gazette 12 Mar 2010 p. 952.]</w:t>
      </w:r>
    </w:p>
    <w:p>
      <w:pPr>
        <w:pStyle w:val="Heading2"/>
      </w:pPr>
      <w:bookmarkStart w:id="149" w:name="_Toc200446614"/>
      <w:bookmarkStart w:id="150" w:name="_Toc202950605"/>
      <w:bookmarkStart w:id="151" w:name="_Toc203203389"/>
      <w:bookmarkStart w:id="152" w:name="_Toc203280607"/>
      <w:bookmarkStart w:id="153" w:name="_Toc206207999"/>
      <w:bookmarkStart w:id="154" w:name="_Toc206297568"/>
      <w:bookmarkStart w:id="155" w:name="_Toc206317194"/>
      <w:bookmarkStart w:id="156" w:name="_Toc206317258"/>
      <w:bookmarkStart w:id="157" w:name="_Toc230162850"/>
      <w:bookmarkStart w:id="158" w:name="_Toc230162919"/>
      <w:bookmarkStart w:id="159" w:name="_Toc256151500"/>
      <w:r>
        <w:rPr>
          <w:rStyle w:val="CharPartNo"/>
        </w:rPr>
        <w:t>Part 4</w:t>
      </w:r>
      <w:r>
        <w:rPr>
          <w:rStyle w:val="CharDivNo"/>
        </w:rPr>
        <w:t> </w:t>
      </w:r>
      <w:r>
        <w:t>—</w:t>
      </w:r>
      <w:r>
        <w:rPr>
          <w:rStyle w:val="CharDivText"/>
        </w:rPr>
        <w:t> </w:t>
      </w:r>
      <w:r>
        <w:rPr>
          <w:rStyle w:val="CharPartText"/>
        </w:rPr>
        <w:t>General duties of Commission</w:t>
      </w:r>
      <w:bookmarkEnd w:id="136"/>
      <w:bookmarkEnd w:id="137"/>
      <w:bookmarkEnd w:id="138"/>
      <w:bookmarkEnd w:id="139"/>
      <w:bookmarkEnd w:id="140"/>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508783146"/>
      <w:bookmarkStart w:id="161" w:name="_Toc9830287"/>
      <w:bookmarkStart w:id="162" w:name="_Toc110932575"/>
      <w:bookmarkStart w:id="163" w:name="_Toc256151501"/>
      <w:r>
        <w:rPr>
          <w:rStyle w:val="CharSectno"/>
        </w:rPr>
        <w:t>20</w:t>
      </w:r>
      <w:r>
        <w:rPr>
          <w:snapToGrid w:val="0"/>
        </w:rPr>
        <w:t>.</w:t>
      </w:r>
      <w:r>
        <w:rPr>
          <w:snapToGrid w:val="0"/>
        </w:rPr>
        <w:tab/>
        <w:t>Pools to be numbered</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Each game in Soccer Pools conducted by the Commission is to be identified with a “Pools Game number”.</w:t>
      </w:r>
    </w:p>
    <w:p>
      <w:pPr>
        <w:pStyle w:val="Heading5"/>
        <w:rPr>
          <w:snapToGrid w:val="0"/>
        </w:rPr>
      </w:pPr>
      <w:bookmarkStart w:id="164" w:name="_Toc508783147"/>
      <w:bookmarkStart w:id="165" w:name="_Toc9830288"/>
      <w:bookmarkStart w:id="166" w:name="_Toc110932576"/>
      <w:bookmarkStart w:id="167" w:name="_Toc256151502"/>
      <w:r>
        <w:rPr>
          <w:rStyle w:val="CharSectno"/>
        </w:rPr>
        <w:t>21</w:t>
      </w:r>
      <w:r>
        <w:rPr>
          <w:snapToGrid w:val="0"/>
        </w:rPr>
        <w:t>.</w:t>
      </w:r>
      <w:r>
        <w:rPr>
          <w:snapToGrid w:val="0"/>
        </w:rPr>
        <w:tab/>
        <w:t>Publication of match list</w:t>
      </w:r>
      <w:bookmarkEnd w:id="164"/>
      <w:bookmarkEnd w:id="165"/>
      <w:bookmarkEnd w:id="166"/>
      <w:bookmarkEnd w:id="167"/>
      <w:r>
        <w:rPr>
          <w:snapToGrid w:val="0"/>
        </w:rPr>
        <w:t xml:space="preserve"> </w:t>
      </w:r>
    </w:p>
    <w:p>
      <w:pPr>
        <w:pStyle w:val="Subsection"/>
      </w:pPr>
      <w:r>
        <w:tab/>
        <w:t>(1)</w:t>
      </w:r>
      <w:r>
        <w:tab/>
        <w:t>Before each Pools Game the Commission must publish the list of soccer matches included in the list of matches for that week.</w:t>
      </w:r>
    </w:p>
    <w:p>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pPr>
        <w:pStyle w:val="Footnotesection"/>
      </w:pPr>
      <w:bookmarkStart w:id="168" w:name="_Toc508783148"/>
      <w:bookmarkStart w:id="169" w:name="_Toc9830289"/>
      <w:r>
        <w:tab/>
        <w:t>[Rule 21 amended in Gazette 5 Aug 2005 p. 3600.]</w:t>
      </w:r>
    </w:p>
    <w:p>
      <w:pPr>
        <w:pStyle w:val="Heading5"/>
        <w:rPr>
          <w:snapToGrid w:val="0"/>
        </w:rPr>
      </w:pPr>
      <w:bookmarkStart w:id="170" w:name="_Toc110932577"/>
      <w:bookmarkStart w:id="171" w:name="_Toc256151503"/>
      <w:r>
        <w:rPr>
          <w:rStyle w:val="CharSectno"/>
        </w:rPr>
        <w:t>22</w:t>
      </w:r>
      <w:r>
        <w:rPr>
          <w:snapToGrid w:val="0"/>
        </w:rPr>
        <w:t>.</w:t>
      </w:r>
      <w:r>
        <w:rPr>
          <w:snapToGrid w:val="0"/>
        </w:rPr>
        <w:tab/>
        <w:t>Publication of results</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After each Pools Game the Commission must publish, in a daily newspaper in this State — </w:t>
      </w:r>
    </w:p>
    <w:p>
      <w:pPr>
        <w:pStyle w:val="Indenta"/>
        <w:rPr>
          <w:snapToGrid w:val="0"/>
        </w:rPr>
      </w:pPr>
      <w:r>
        <w:rPr>
          <w:snapToGrid w:val="0"/>
        </w:rPr>
        <w:tab/>
        <w:t>(a)</w:t>
      </w:r>
      <w:r>
        <w:rPr>
          <w:snapToGrid w:val="0"/>
        </w:rPr>
        <w:tab/>
        <w:t>the “Pools Game number” for that Pools Game;</w:t>
      </w:r>
    </w:p>
    <w:p>
      <w:pPr>
        <w:pStyle w:val="Indenta"/>
        <w:rPr>
          <w:snapToGrid w:val="0"/>
        </w:rPr>
      </w:pPr>
      <w:r>
        <w:rPr>
          <w:snapToGrid w:val="0"/>
        </w:rPr>
        <w:tab/>
        <w:t>(b)</w:t>
      </w:r>
      <w:r>
        <w:rPr>
          <w:snapToGrid w:val="0"/>
        </w:rPr>
        <w:tab/>
        <w:t>the 6 winning numbers and the supplementary number;</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the division 1 prizes will be paid; </w:t>
      </w:r>
    </w:p>
    <w:p>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pPr>
        <w:pStyle w:val="Indenta"/>
        <w:rPr>
          <w:snapToGrid w:val="0"/>
        </w:rPr>
      </w:pPr>
      <w:r>
        <w:rPr>
          <w:snapToGrid w:val="0"/>
        </w:rPr>
        <w:tab/>
        <w:t>(g)</w:t>
      </w:r>
      <w:r>
        <w:rPr>
          <w:snapToGrid w:val="0"/>
        </w:rPr>
        <w:tab/>
        <w:t>the amount, if any, to carry over as a jackpot to the division 1 prize pool for the next Pools Game; and</w:t>
      </w:r>
    </w:p>
    <w:p>
      <w:pPr>
        <w:pStyle w:val="Indenta"/>
        <w:rPr>
          <w:snapToGrid w:val="0"/>
        </w:rPr>
      </w:pPr>
      <w:r>
        <w:rPr>
          <w:snapToGrid w:val="0"/>
        </w:rPr>
        <w:tab/>
        <w:t>(h)</w:t>
      </w:r>
      <w:r>
        <w:rPr>
          <w:snapToGrid w:val="0"/>
        </w:rPr>
        <w:tab/>
        <w:t>the total prize pool for that Pools Game.</w:t>
      </w:r>
    </w:p>
    <w:p>
      <w:pPr>
        <w:pStyle w:val="Heading5"/>
        <w:rPr>
          <w:snapToGrid w:val="0"/>
        </w:rPr>
      </w:pPr>
      <w:bookmarkStart w:id="172" w:name="_Toc508783149"/>
      <w:bookmarkStart w:id="173" w:name="_Toc9830290"/>
      <w:bookmarkStart w:id="174" w:name="_Toc110932578"/>
      <w:bookmarkStart w:id="175" w:name="_Toc256151504"/>
      <w:r>
        <w:rPr>
          <w:rStyle w:val="CharSectno"/>
        </w:rPr>
        <w:t>23</w:t>
      </w:r>
      <w:r>
        <w:rPr>
          <w:snapToGrid w:val="0"/>
        </w:rPr>
        <w:t>.</w:t>
      </w:r>
      <w:r>
        <w:rPr>
          <w:snapToGrid w:val="0"/>
        </w:rPr>
        <w:tab/>
        <w:t>Soccer pools prize pool and prize reserve fund</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The Commission must contribute 50% of all </w:t>
      </w:r>
      <w:r>
        <w:t>subscriptions</w:t>
      </w:r>
      <w:r>
        <w:rPr>
          <w:snapToGrid w:val="0"/>
        </w:rPr>
        <w:t xml:space="preserve"> received for each Pools Game to a combined Australian Soccer Pools Bloc prize fund in accordance with the appropriate agreement.</w:t>
      </w:r>
    </w:p>
    <w:p>
      <w:pPr>
        <w:pStyle w:val="Subsection"/>
        <w:rPr>
          <w:snapToGrid w:val="0"/>
        </w:rPr>
      </w:pPr>
      <w:r>
        <w:rPr>
          <w:snapToGrid w:val="0"/>
        </w:rPr>
        <w:tab/>
        <w:t>(2)</w:t>
      </w:r>
      <w:r>
        <w:rPr>
          <w:snapToGrid w:val="0"/>
        </w:rPr>
        <w:tab/>
        <w:t>The total contribution under subrule (1) is to be divided so that —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Australian Soccer Pools Bloc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Australian Soccer Pools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pPr>
        <w:pStyle w:val="Footnotesection"/>
      </w:pPr>
      <w:r>
        <w:tab/>
        <w:t>[Rule 23 amended in Gazette 29 Sep 2006 p. 4275; 26 Jun 2007 p. 3058; 6 Jun 2008 p. 2336.]</w:t>
      </w:r>
    </w:p>
    <w:p>
      <w:pPr>
        <w:pStyle w:val="Heading2"/>
      </w:pPr>
      <w:bookmarkStart w:id="176" w:name="_Toc110932579"/>
      <w:bookmarkStart w:id="177" w:name="_Toc110933390"/>
      <w:bookmarkStart w:id="178" w:name="_Toc147230272"/>
      <w:bookmarkStart w:id="179" w:name="_Toc170549552"/>
      <w:bookmarkStart w:id="180" w:name="_Toc170621363"/>
      <w:bookmarkStart w:id="181" w:name="_Toc200446619"/>
      <w:bookmarkStart w:id="182" w:name="_Toc202950610"/>
      <w:bookmarkStart w:id="183" w:name="_Toc203203394"/>
      <w:bookmarkStart w:id="184" w:name="_Toc203280612"/>
      <w:bookmarkStart w:id="185" w:name="_Toc206208004"/>
      <w:bookmarkStart w:id="186" w:name="_Toc206297573"/>
      <w:bookmarkStart w:id="187" w:name="_Toc206317199"/>
      <w:bookmarkStart w:id="188" w:name="_Toc206317263"/>
      <w:bookmarkStart w:id="189" w:name="_Toc230162855"/>
      <w:bookmarkStart w:id="190" w:name="_Toc230162924"/>
      <w:bookmarkStart w:id="191" w:name="_Toc256151505"/>
      <w:r>
        <w:rPr>
          <w:rStyle w:val="CharPartNo"/>
        </w:rPr>
        <w:t>Part 5</w:t>
      </w:r>
      <w:r>
        <w:rPr>
          <w:rStyle w:val="CharDivNo"/>
        </w:rPr>
        <w:t> </w:t>
      </w:r>
      <w:r>
        <w:t>—</w:t>
      </w:r>
      <w:r>
        <w:rPr>
          <w:rStyle w:val="CharDivText"/>
        </w:rPr>
        <w:t> </w:t>
      </w:r>
      <w:r>
        <w:rPr>
          <w:rStyle w:val="CharPartText"/>
        </w:rPr>
        <w:t>Determination of pools game prizes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5"/>
        <w:rPr>
          <w:snapToGrid w:val="0"/>
        </w:rPr>
      </w:pPr>
      <w:bookmarkStart w:id="192" w:name="_Toc508783150"/>
      <w:bookmarkStart w:id="193" w:name="_Toc9830291"/>
      <w:bookmarkStart w:id="194" w:name="_Toc110932580"/>
      <w:bookmarkStart w:id="195" w:name="_Toc256151506"/>
      <w:r>
        <w:rPr>
          <w:rStyle w:val="CharSectno"/>
        </w:rPr>
        <w:t>24</w:t>
      </w:r>
      <w:r>
        <w:rPr>
          <w:snapToGrid w:val="0"/>
        </w:rPr>
        <w:t>.</w:t>
      </w:r>
      <w:r>
        <w:rPr>
          <w:snapToGrid w:val="0"/>
        </w:rPr>
        <w:tab/>
        <w:t>Criteria for prizes</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In a Pools Game, the holder of a receipted ticket wins — </w:t>
      </w:r>
    </w:p>
    <w:p>
      <w:pPr>
        <w:pStyle w:val="Indenta"/>
        <w:rPr>
          <w:snapToGrid w:val="0"/>
        </w:rPr>
      </w:pPr>
      <w:r>
        <w:rPr>
          <w:snapToGrid w:val="0"/>
        </w:rPr>
        <w:tab/>
        <w:t>(a)</w:t>
      </w:r>
      <w:r>
        <w:rPr>
          <w:snapToGrid w:val="0"/>
        </w:rPr>
        <w:tab/>
        <w:t>division 1, if 6 winning numbers;</w:t>
      </w:r>
    </w:p>
    <w:p>
      <w:pPr>
        <w:pStyle w:val="Indenta"/>
        <w:rPr>
          <w:snapToGrid w:val="0"/>
        </w:rPr>
      </w:pPr>
      <w:r>
        <w:rPr>
          <w:snapToGrid w:val="0"/>
        </w:rPr>
        <w:tab/>
        <w:t>(b)</w:t>
      </w:r>
      <w:r>
        <w:rPr>
          <w:snapToGrid w:val="0"/>
        </w:rPr>
        <w:tab/>
        <w:t xml:space="preserve">division 2, if any 5 of the 6 winning numbers and the supplementary number; </w:t>
      </w:r>
    </w:p>
    <w:p>
      <w:pPr>
        <w:pStyle w:val="Indenta"/>
        <w:rPr>
          <w:snapToGrid w:val="0"/>
        </w:rPr>
      </w:pPr>
      <w:r>
        <w:rPr>
          <w:snapToGrid w:val="0"/>
        </w:rPr>
        <w:tab/>
        <w:t>(c)</w:t>
      </w:r>
      <w:r>
        <w:rPr>
          <w:snapToGrid w:val="0"/>
        </w:rPr>
        <w:tab/>
        <w:t xml:space="preserve">division 3, if any 5 of the 6 winning numbers; </w:t>
      </w:r>
    </w:p>
    <w:p>
      <w:pPr>
        <w:pStyle w:val="Indenta"/>
        <w:rPr>
          <w:snapToGrid w:val="0"/>
        </w:rPr>
      </w:pPr>
      <w:r>
        <w:rPr>
          <w:snapToGrid w:val="0"/>
        </w:rPr>
        <w:tab/>
        <w:t>(d)</w:t>
      </w:r>
      <w:r>
        <w:rPr>
          <w:snapToGrid w:val="0"/>
        </w:rPr>
        <w:tab/>
        <w:t>division 4, if any 4 of the 6 winning numbers; and</w:t>
      </w:r>
    </w:p>
    <w:p>
      <w:pPr>
        <w:pStyle w:val="Indenta"/>
        <w:rPr>
          <w:snapToGrid w:val="0"/>
        </w:rPr>
      </w:pPr>
      <w:r>
        <w:rPr>
          <w:snapToGrid w:val="0"/>
        </w:rPr>
        <w:tab/>
        <w:t>(e)</w:t>
      </w:r>
      <w:r>
        <w:rPr>
          <w:snapToGrid w:val="0"/>
        </w:rPr>
        <w:tab/>
        <w:t xml:space="preserve">division 5, if any 3 of the 6 winning numbers and the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196" w:name="_Toc508783151"/>
      <w:bookmarkStart w:id="197" w:name="_Toc9830292"/>
      <w:bookmarkStart w:id="198" w:name="_Toc110932581"/>
      <w:bookmarkStart w:id="199" w:name="_Toc256151507"/>
      <w:r>
        <w:rPr>
          <w:rStyle w:val="CharSectno"/>
        </w:rPr>
        <w:t>25</w:t>
      </w:r>
      <w:r>
        <w:rPr>
          <w:snapToGrid w:val="0"/>
        </w:rPr>
        <w:t>.</w:t>
      </w:r>
      <w:r>
        <w:rPr>
          <w:snapToGrid w:val="0"/>
        </w:rPr>
        <w:tab/>
        <w:t>Only systems entry can win in more than one division</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Pools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200" w:name="_Toc508783152"/>
      <w:bookmarkStart w:id="201" w:name="_Toc9830293"/>
      <w:bookmarkStart w:id="202" w:name="_Toc110932582"/>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25 amended in Gazette 6 Jun 2008 p. 2336</w:t>
      </w:r>
      <w:r>
        <w:noBreakHyphen/>
        <w:t>7.]</w:t>
      </w:r>
    </w:p>
    <w:p>
      <w:pPr>
        <w:pStyle w:val="Heading5"/>
        <w:rPr>
          <w:snapToGrid w:val="0"/>
        </w:rPr>
      </w:pPr>
      <w:bookmarkStart w:id="203" w:name="_Toc256151508"/>
      <w:r>
        <w:rPr>
          <w:rStyle w:val="CharSectno"/>
        </w:rPr>
        <w:t>26</w:t>
      </w:r>
      <w:r>
        <w:rPr>
          <w:snapToGrid w:val="0"/>
        </w:rPr>
        <w:t>.</w:t>
      </w:r>
      <w:r>
        <w:rPr>
          <w:snapToGrid w:val="0"/>
        </w:rPr>
        <w:tab/>
        <w:t>Distribution of prize pool</w:t>
      </w:r>
      <w:bookmarkEnd w:id="200"/>
      <w:bookmarkEnd w:id="201"/>
      <w:bookmarkEnd w:id="202"/>
      <w:bookmarkEnd w:id="203"/>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26 amended in Gazette 26 Jun 2007 p. 3058; 6 Jun 2008 p. 2337.]</w:t>
      </w:r>
    </w:p>
    <w:p>
      <w:pPr>
        <w:pStyle w:val="Heading5"/>
        <w:rPr>
          <w:snapToGrid w:val="0"/>
        </w:rPr>
      </w:pPr>
      <w:bookmarkStart w:id="204" w:name="_Toc508783153"/>
      <w:bookmarkStart w:id="205" w:name="_Toc9830294"/>
      <w:bookmarkStart w:id="206" w:name="_Toc110932583"/>
      <w:bookmarkStart w:id="207" w:name="_Toc256151509"/>
      <w:r>
        <w:rPr>
          <w:rStyle w:val="CharSectno"/>
        </w:rPr>
        <w:t>27</w:t>
      </w:r>
      <w:r>
        <w:rPr>
          <w:snapToGrid w:val="0"/>
        </w:rPr>
        <w:t>.</w:t>
      </w:r>
      <w:r>
        <w:rPr>
          <w:snapToGrid w:val="0"/>
        </w:rPr>
        <w:tab/>
        <w:t>Division 1 jackpot</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Pools Game, then the division 1 prize pool for that Pools Game (calculated without any prize reserve fund augmentation) is to be added to, and then forms part of, the division 1 prize pool for the next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Footnotesection"/>
      </w:pPr>
      <w:r>
        <w:tab/>
        <w:t>[Rule 27 amended in Gazette 6 Jun 2008 p. 2337.]</w:t>
      </w:r>
    </w:p>
    <w:p>
      <w:pPr>
        <w:pStyle w:val="Heading5"/>
        <w:rPr>
          <w:snapToGrid w:val="0"/>
        </w:rPr>
      </w:pPr>
      <w:bookmarkStart w:id="208" w:name="_Toc508783154"/>
      <w:bookmarkStart w:id="209" w:name="_Toc9830295"/>
      <w:bookmarkStart w:id="210" w:name="_Toc110932584"/>
      <w:bookmarkStart w:id="211" w:name="_Toc256151510"/>
      <w:r>
        <w:rPr>
          <w:rStyle w:val="CharSectno"/>
        </w:rPr>
        <w:t>28</w:t>
      </w:r>
      <w:r>
        <w:rPr>
          <w:snapToGrid w:val="0"/>
        </w:rPr>
        <w:t>.</w:t>
      </w:r>
      <w:r>
        <w:rPr>
          <w:snapToGrid w:val="0"/>
        </w:rPr>
        <w:tab/>
        <w:t>Divisions 2 — 5 prize pools may be varied or re</w:t>
      </w:r>
      <w:r>
        <w:rPr>
          <w:snapToGrid w:val="0"/>
        </w:rPr>
        <w:noBreakHyphen/>
        <w:t>allocated</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212" w:name="_Toc508783155"/>
      <w:bookmarkStart w:id="213" w:name="_Toc9830296"/>
      <w:bookmarkStart w:id="214" w:name="_Toc110932585"/>
      <w:bookmarkStart w:id="215" w:name="_Toc256151511"/>
      <w:r>
        <w:rPr>
          <w:rStyle w:val="CharSectno"/>
        </w:rPr>
        <w:t>29</w:t>
      </w:r>
      <w:r>
        <w:rPr>
          <w:snapToGrid w:val="0"/>
        </w:rPr>
        <w:t>.</w:t>
      </w:r>
      <w:r>
        <w:rPr>
          <w:snapToGrid w:val="0"/>
        </w:rPr>
        <w:tab/>
        <w:t>Bonus Pools Games and guaranteed prize pools</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pPr>
        <w:pStyle w:val="Footnotesection"/>
        <w:ind w:left="890" w:hanging="890"/>
      </w:pPr>
      <w:bookmarkStart w:id="216" w:name="_Toc508783156"/>
      <w:bookmarkStart w:id="217" w:name="_Toc9830297"/>
      <w:bookmarkStart w:id="218" w:name="_Toc110932586"/>
      <w:r>
        <w:tab/>
        <w:t>[Rule 29 amended in Gazette 6 Jun 2008 p. 2337.]</w:t>
      </w:r>
    </w:p>
    <w:p>
      <w:pPr>
        <w:pStyle w:val="Heading5"/>
        <w:rPr>
          <w:snapToGrid w:val="0"/>
        </w:rPr>
      </w:pPr>
      <w:bookmarkStart w:id="219" w:name="_Toc256151512"/>
      <w:r>
        <w:rPr>
          <w:rStyle w:val="CharSectno"/>
        </w:rPr>
        <w:t>30</w:t>
      </w:r>
      <w:r>
        <w:rPr>
          <w:snapToGrid w:val="0"/>
        </w:rPr>
        <w:t>.</w:t>
      </w:r>
      <w:r>
        <w:rPr>
          <w:snapToGrid w:val="0"/>
        </w:rPr>
        <w:tab/>
        <w:t>Division 1 prizes</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pPr>
        <w:pStyle w:val="Subsection"/>
        <w:rPr>
          <w:snapToGrid w:val="0"/>
        </w:rPr>
      </w:pPr>
      <w:r>
        <w:rPr>
          <w:snapToGrid w:val="0"/>
        </w:rPr>
        <w:tab/>
        <w:t>(2)</w:t>
      </w:r>
      <w:r>
        <w:rPr>
          <w:snapToGrid w:val="0"/>
        </w:rPr>
        <w:tab/>
        <w:t>Subject to subrule (3), a division 1 prize in a Pools Game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r>
      <w:r>
        <w:t xml:space="preserve">subject to rule 34A,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Pools Game.</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pPr>
        <w:pStyle w:val="Footnotesection"/>
      </w:pPr>
      <w:bookmarkStart w:id="220" w:name="_Toc508783157"/>
      <w:bookmarkStart w:id="221" w:name="_Toc9830298"/>
      <w:bookmarkStart w:id="222" w:name="_Toc110932587"/>
      <w:r>
        <w:tab/>
        <w:t>[Rule 30 amended in Gazette 6 Jun 2008 p. 2338.]</w:t>
      </w:r>
    </w:p>
    <w:p>
      <w:pPr>
        <w:pStyle w:val="Heading5"/>
        <w:rPr>
          <w:snapToGrid w:val="0"/>
        </w:rPr>
      </w:pPr>
      <w:bookmarkStart w:id="223" w:name="_Toc256151513"/>
      <w:r>
        <w:rPr>
          <w:rStyle w:val="CharSectno"/>
        </w:rPr>
        <w:t>31</w:t>
      </w:r>
      <w:r>
        <w:rPr>
          <w:snapToGrid w:val="0"/>
        </w:rPr>
        <w:t>.</w:t>
      </w:r>
      <w:r>
        <w:rPr>
          <w:snapToGrid w:val="0"/>
        </w:rPr>
        <w:tab/>
        <w:t>Division 2, 3, 4 and 5 prizes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pPr>
        <w:pStyle w:val="Subsection"/>
        <w:rPr>
          <w:snapToGrid w:val="0"/>
        </w:rPr>
      </w:pPr>
      <w:r>
        <w:rPr>
          <w:snapToGrid w:val="0"/>
        </w:rPr>
        <w:tab/>
        <w:t>(2)</w:t>
      </w:r>
      <w:r>
        <w:rPr>
          <w:snapToGrid w:val="0"/>
        </w:rPr>
        <w:tab/>
        <w:t>A division 2,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that prize;</w:t>
      </w:r>
    </w:p>
    <w:p>
      <w:pPr>
        <w:pStyle w:val="Indenti"/>
        <w:rPr>
          <w:snapToGrid w:val="0"/>
        </w:rPr>
      </w:pPr>
      <w:r>
        <w:rPr>
          <w:snapToGrid w:val="0"/>
        </w:rPr>
        <w:tab/>
        <w:t>(ii)</w:t>
      </w:r>
      <w:r>
        <w:rPr>
          <w:snapToGrid w:val="0"/>
        </w:rPr>
        <w:tab/>
      </w:r>
      <w:r>
        <w:t xml:space="preserve">subject to rule 34A,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bookmarkStart w:id="224" w:name="_Toc508783158"/>
      <w:bookmarkStart w:id="225" w:name="_Toc9830299"/>
      <w:bookmarkStart w:id="226" w:name="_Toc110932588"/>
      <w:r>
        <w:tab/>
        <w:t>[Rule 31 amended in Gazette 6 Jun 2008 p. 2338.]</w:t>
      </w:r>
    </w:p>
    <w:p>
      <w:pPr>
        <w:pStyle w:val="Heading5"/>
      </w:pPr>
      <w:bookmarkStart w:id="227" w:name="_Toc256151514"/>
      <w:r>
        <w:rPr>
          <w:rStyle w:val="CharSectno"/>
        </w:rPr>
        <w:t>31A</w:t>
      </w:r>
      <w:r>
        <w:t>.</w:t>
      </w:r>
      <w:r>
        <w:tab/>
        <w:t>Claiming a syndicate share prize</w:t>
      </w:r>
      <w:bookmarkEnd w:id="227"/>
      <w:r>
        <w:t xml:space="preserve"> </w:t>
      </w:r>
    </w:p>
    <w:p>
      <w:pPr>
        <w:pStyle w:val="Subsection"/>
      </w:pPr>
      <w:r>
        <w:tab/>
        <w:t>(1)</w:t>
      </w:r>
      <w:r>
        <w:tab/>
        <w:t>To claim a share of a prize in a Pools Game, the holder of a winning syndicate share receipted ticket must present it to an agent within the payout period for that Pools Game.</w:t>
      </w:r>
    </w:p>
    <w:p>
      <w:pPr>
        <w:pStyle w:val="Subsection"/>
      </w:pPr>
      <w:r>
        <w:tab/>
        <w:t>(2)</w:t>
      </w:r>
      <w:r>
        <w:tab/>
        <w:t>A share of a division 1 prize in a Pools Game cannot be paid until after the validation period for that Pools Game.</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34A,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34A,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31A inserted in Gazette 6 Jun 2008 p. 2338</w:t>
      </w:r>
      <w:r>
        <w:noBreakHyphen/>
        <w:t>9.]</w:t>
      </w:r>
    </w:p>
    <w:p>
      <w:pPr>
        <w:pStyle w:val="Heading5"/>
        <w:spacing w:before="240"/>
        <w:rPr>
          <w:snapToGrid w:val="0"/>
        </w:rPr>
      </w:pPr>
      <w:bookmarkStart w:id="228" w:name="_Toc256151515"/>
      <w:r>
        <w:rPr>
          <w:rStyle w:val="CharSectno"/>
        </w:rPr>
        <w:t>32</w:t>
      </w:r>
      <w:r>
        <w:rPr>
          <w:snapToGrid w:val="0"/>
        </w:rPr>
        <w:t>.</w:t>
      </w:r>
      <w:r>
        <w:rPr>
          <w:snapToGrid w:val="0"/>
        </w:rPr>
        <w:tab/>
        <w:t>Commission may require a statutory declaration</w:t>
      </w:r>
      <w:bookmarkEnd w:id="224"/>
      <w:bookmarkEnd w:id="225"/>
      <w:bookmarkEnd w:id="226"/>
      <w:bookmarkEnd w:id="228"/>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spacing w:before="180"/>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r>
        <w:tab/>
        <w:t>[Rule 32 amended in Gazette 6 Jun 2008 p. 2339.]</w:t>
      </w:r>
    </w:p>
    <w:p>
      <w:pPr>
        <w:pStyle w:val="Heading5"/>
        <w:spacing w:before="240"/>
        <w:rPr>
          <w:snapToGrid w:val="0"/>
        </w:rPr>
      </w:pPr>
      <w:bookmarkStart w:id="229" w:name="_Toc508783159"/>
      <w:bookmarkStart w:id="230" w:name="_Toc9830300"/>
      <w:bookmarkStart w:id="231" w:name="_Toc110932589"/>
      <w:bookmarkStart w:id="232" w:name="_Toc256151516"/>
      <w:r>
        <w:rPr>
          <w:rStyle w:val="CharSectno"/>
        </w:rPr>
        <w:t>33</w:t>
      </w:r>
      <w:r>
        <w:rPr>
          <w:snapToGrid w:val="0"/>
        </w:rPr>
        <w:t>.</w:t>
      </w:r>
      <w:r>
        <w:rPr>
          <w:snapToGrid w:val="0"/>
        </w:rPr>
        <w:tab/>
        <w:t>Publication of names and addresses of prize winners</w:t>
      </w:r>
      <w:bookmarkEnd w:id="229"/>
      <w:bookmarkEnd w:id="230"/>
      <w:bookmarkEnd w:id="231"/>
      <w:bookmarkEnd w:id="232"/>
      <w:r>
        <w:rPr>
          <w:snapToGrid w:val="0"/>
        </w:rPr>
        <w:t xml:space="preserve"> </w:t>
      </w:r>
    </w:p>
    <w:p>
      <w:pPr>
        <w:pStyle w:val="Subsection"/>
        <w:spacing w:before="18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pPr>
        <w:pStyle w:val="Heading5"/>
        <w:spacing w:before="240"/>
        <w:rPr>
          <w:snapToGrid w:val="0"/>
        </w:rPr>
      </w:pPr>
      <w:bookmarkStart w:id="233" w:name="_Toc508783160"/>
      <w:bookmarkStart w:id="234" w:name="_Toc9830301"/>
      <w:bookmarkStart w:id="235" w:name="_Toc110932590"/>
      <w:bookmarkStart w:id="236" w:name="_Toc256151517"/>
      <w:r>
        <w:rPr>
          <w:rStyle w:val="CharSectno"/>
        </w:rPr>
        <w:t>34</w:t>
      </w:r>
      <w:r>
        <w:rPr>
          <w:snapToGrid w:val="0"/>
        </w:rPr>
        <w:t>.</w:t>
      </w:r>
      <w:r>
        <w:rPr>
          <w:snapToGrid w:val="0"/>
        </w:rPr>
        <w:tab/>
        <w:t>Player Registration Service</w:t>
      </w:r>
      <w:bookmarkEnd w:id="233"/>
      <w:bookmarkEnd w:id="234"/>
      <w:bookmarkEnd w:id="235"/>
      <w:bookmarkEnd w:id="236"/>
      <w:r>
        <w:rPr>
          <w:snapToGrid w:val="0"/>
        </w:rPr>
        <w:t xml:space="preserve"> </w:t>
      </w:r>
    </w:p>
    <w:p>
      <w:pPr>
        <w:pStyle w:val="Subsection"/>
        <w:spacing w:before="180"/>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spacing w:before="180"/>
      </w:pPr>
      <w:r>
        <w:tab/>
        <w:t>(2)</w:t>
      </w:r>
      <w:r>
        <w:tab/>
        <w:t>On and from 9 June 2008, a player’s card will be issued to a participant who requests a number from an agent under this rule, pays the amount of $10.00 and provides what the Commission accepts as appropriate confirmation of identification.</w:t>
      </w:r>
    </w:p>
    <w:p>
      <w:pPr>
        <w:pStyle w:val="Subsection"/>
        <w:keepNext/>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34A,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participant of a player’s card does not entitle the participant to claim a prize from the Commission that has already been paid.</w:t>
      </w:r>
    </w:p>
    <w:p>
      <w:pPr>
        <w:pStyle w:val="Footnotesection"/>
      </w:pPr>
      <w:r>
        <w:tab/>
        <w:t xml:space="preserve">[Rule 34 amended in Gazette 31 Oct 1997 p. 6017; 9 Mar 2001 p. 1345; 8 Aug 2003 p. 3579; 6 Jun 2008 p. 2340.] </w:t>
      </w:r>
    </w:p>
    <w:p>
      <w:pPr>
        <w:pStyle w:val="Heading5"/>
      </w:pPr>
      <w:bookmarkStart w:id="237" w:name="_Toc256151518"/>
      <w:bookmarkStart w:id="238" w:name="_Toc110932591"/>
      <w:bookmarkStart w:id="239" w:name="_Toc110933402"/>
      <w:bookmarkStart w:id="240" w:name="_Toc147230284"/>
      <w:bookmarkStart w:id="241" w:name="_Toc170549564"/>
      <w:bookmarkStart w:id="242" w:name="_Toc170621375"/>
      <w:r>
        <w:rPr>
          <w:rStyle w:val="CharSectno"/>
        </w:rPr>
        <w:t>34A</w:t>
      </w:r>
      <w:r>
        <w:t>.</w:t>
      </w:r>
      <w:r>
        <w:tab/>
        <w:t>Player’s card holders may request direct credit of prizes</w:t>
      </w:r>
      <w:bookmarkEnd w:id="237"/>
    </w:p>
    <w:p>
      <w:pPr>
        <w:pStyle w:val="Subsection"/>
      </w:pPr>
      <w:r>
        <w:tab/>
      </w:r>
      <w:r>
        <w:tab/>
        <w:t>The holder of a player’s card may request that payment of a prize be in the manner of a direct credit to a participant’s nominated account at a particular financial institution.</w:t>
      </w:r>
    </w:p>
    <w:p>
      <w:pPr>
        <w:pStyle w:val="Footnotesection"/>
      </w:pPr>
      <w:r>
        <w:tab/>
        <w:t>[Rule 34A inserted in Gazette 6 Jun 2008 p. 2341.]</w:t>
      </w:r>
    </w:p>
    <w:p>
      <w:pPr>
        <w:pStyle w:val="Heading5"/>
      </w:pPr>
      <w:bookmarkStart w:id="243" w:name="_Toc256151519"/>
      <w:r>
        <w:rPr>
          <w:rStyle w:val="CharSectno"/>
        </w:rPr>
        <w:t>34B</w:t>
      </w:r>
      <w:r>
        <w:t>.</w:t>
      </w:r>
      <w:r>
        <w:tab/>
        <w:t>Registering favourite numbers</w:t>
      </w:r>
      <w:bookmarkEnd w:id="243"/>
      <w:r>
        <w:t xml:space="preserve"> </w:t>
      </w:r>
    </w:p>
    <w:p>
      <w:pPr>
        <w:pStyle w:val="Subsection"/>
      </w:pPr>
      <w:r>
        <w:tab/>
        <w:t>(1)</w:t>
      </w:r>
      <w:r>
        <w:tab/>
        <w:t>A participant may register one or more sets of numbers against his or her player’s card number to be the “favourite numbers” for Soccer Pools.</w:t>
      </w:r>
    </w:p>
    <w:p>
      <w:pPr>
        <w:pStyle w:val="Subsection"/>
      </w:pPr>
      <w:r>
        <w:tab/>
        <w:t>(2)</w:t>
      </w:r>
      <w:r>
        <w:tab/>
        <w:t>A participant may specify particular types of game entry and register sets of numbers for those types of game entry against his or her player’s card number to be the “favourite numbers” for Soccer Pools.</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34B inserted in Gazette 6 Jun 2008 p. 2341.]</w:t>
      </w:r>
    </w:p>
    <w:p>
      <w:pPr>
        <w:pStyle w:val="Heading2"/>
      </w:pPr>
      <w:bookmarkStart w:id="244" w:name="_Toc200446634"/>
      <w:bookmarkStart w:id="245" w:name="_Toc202950625"/>
      <w:bookmarkStart w:id="246" w:name="_Toc203203409"/>
      <w:bookmarkStart w:id="247" w:name="_Toc203280627"/>
      <w:bookmarkStart w:id="248" w:name="_Toc206208019"/>
      <w:bookmarkStart w:id="249" w:name="_Toc206297588"/>
      <w:bookmarkStart w:id="250" w:name="_Toc206317214"/>
      <w:bookmarkStart w:id="251" w:name="_Toc206317278"/>
      <w:bookmarkStart w:id="252" w:name="_Toc230162870"/>
      <w:bookmarkStart w:id="253" w:name="_Toc230162939"/>
      <w:bookmarkStart w:id="254" w:name="_Toc256151520"/>
      <w:r>
        <w:rPr>
          <w:rStyle w:val="CharPartNo"/>
        </w:rPr>
        <w:t>Part 6</w:t>
      </w:r>
      <w:r>
        <w:rPr>
          <w:rStyle w:val="CharDivNo"/>
        </w:rPr>
        <w:t> </w:t>
      </w:r>
      <w:r>
        <w:t>—</w:t>
      </w:r>
      <w:r>
        <w:rPr>
          <w:rStyle w:val="CharDivText"/>
        </w:rPr>
        <w:t> </w:t>
      </w:r>
      <w:r>
        <w:rPr>
          <w:rStyle w:val="CharPartText"/>
        </w:rPr>
        <w:t>Miscellaneous</w:t>
      </w:r>
      <w:bookmarkEnd w:id="238"/>
      <w:bookmarkEnd w:id="239"/>
      <w:bookmarkEnd w:id="240"/>
      <w:bookmarkEnd w:id="241"/>
      <w:bookmarkEnd w:id="242"/>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508783161"/>
      <w:bookmarkStart w:id="256" w:name="_Toc9830302"/>
      <w:bookmarkStart w:id="257" w:name="_Toc110932592"/>
      <w:bookmarkStart w:id="258" w:name="_Toc256151521"/>
      <w:r>
        <w:rPr>
          <w:rStyle w:val="CharSectno"/>
        </w:rPr>
        <w:t>35</w:t>
      </w:r>
      <w:r>
        <w:rPr>
          <w:snapToGrid w:val="0"/>
        </w:rPr>
        <w:t>.</w:t>
      </w:r>
      <w:r>
        <w:rPr>
          <w:snapToGrid w:val="0"/>
        </w:rPr>
        <w:tab/>
        <w:t>Instructions</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The participant, the holder of a receipted ticket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259" w:name="_Toc508783162"/>
      <w:bookmarkStart w:id="260" w:name="_Toc9830303"/>
      <w:bookmarkStart w:id="261" w:name="_Toc110932593"/>
      <w:r>
        <w:tab/>
        <w:t>[Rule 35 amended in Gazette 6 Jun 2008 p. 2341.]</w:t>
      </w:r>
    </w:p>
    <w:p>
      <w:pPr>
        <w:pStyle w:val="Heading5"/>
        <w:rPr>
          <w:snapToGrid w:val="0"/>
        </w:rPr>
      </w:pPr>
      <w:bookmarkStart w:id="262" w:name="_Toc256151522"/>
      <w:r>
        <w:rPr>
          <w:rStyle w:val="CharSectno"/>
        </w:rPr>
        <w:t>36</w:t>
      </w:r>
      <w:r>
        <w:rPr>
          <w:snapToGrid w:val="0"/>
        </w:rPr>
        <w:t>.</w:t>
      </w:r>
      <w:r>
        <w:rPr>
          <w:snapToGrid w:val="0"/>
        </w:rPr>
        <w:tab/>
        <w:t>Rules to be made available</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 rules, and any amendment to them, in any other manner it thinks fit.</w:t>
      </w:r>
    </w:p>
    <w:p>
      <w:pPr>
        <w:pStyle w:val="Heading5"/>
        <w:rPr>
          <w:snapToGrid w:val="0"/>
        </w:rPr>
      </w:pPr>
      <w:bookmarkStart w:id="263" w:name="_Toc508783163"/>
      <w:bookmarkStart w:id="264" w:name="_Toc9830304"/>
      <w:bookmarkStart w:id="265" w:name="_Toc110932594"/>
      <w:bookmarkStart w:id="266" w:name="_Toc256151523"/>
      <w:r>
        <w:rPr>
          <w:rStyle w:val="CharSectno"/>
        </w:rPr>
        <w:t>37</w:t>
      </w:r>
      <w:r>
        <w:rPr>
          <w:snapToGrid w:val="0"/>
        </w:rPr>
        <w:t>.</w:t>
      </w:r>
      <w:r>
        <w:rPr>
          <w:snapToGrid w:val="0"/>
        </w:rPr>
        <w:tab/>
        <w:t>Decisions of Commission final</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pPr>
        <w:pStyle w:val="Ednotepart"/>
      </w:pPr>
      <w:r>
        <w:t>[Part 7 omitted under the Reprints Act 1984 s. 7(4)(f) and (g).]</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67" w:name="_Toc200446638"/>
      <w:bookmarkStart w:id="268" w:name="_Toc202950629"/>
      <w:bookmarkStart w:id="269" w:name="_Toc203203413"/>
      <w:bookmarkStart w:id="270" w:name="_Toc203280631"/>
      <w:bookmarkStart w:id="271" w:name="_Toc206208023"/>
      <w:bookmarkStart w:id="272" w:name="_Toc206297592"/>
      <w:bookmarkStart w:id="273" w:name="_Toc206317218"/>
      <w:bookmarkStart w:id="274" w:name="_Toc206317282"/>
      <w:bookmarkStart w:id="275" w:name="_Toc230162874"/>
      <w:bookmarkStart w:id="276" w:name="_Toc230162943"/>
      <w:bookmarkStart w:id="277" w:name="_Toc256151524"/>
      <w:bookmarkStart w:id="278" w:name="_Toc110932596"/>
      <w:bookmarkStart w:id="279" w:name="_Toc110933407"/>
      <w:bookmarkStart w:id="280" w:name="_Toc147230289"/>
      <w:bookmarkStart w:id="281" w:name="_Toc170549569"/>
      <w:bookmarkStart w:id="282" w:name="_Toc170621380"/>
      <w:r>
        <w:rPr>
          <w:rStyle w:val="CharSchNo"/>
        </w:rPr>
        <w:t>Schedule 1</w:t>
      </w:r>
      <w:r>
        <w:t> — </w:t>
      </w:r>
      <w:r>
        <w:rPr>
          <w:rStyle w:val="CharSchText"/>
        </w:rPr>
        <w:t>Calculating the total cost of entry — Soccer Pools</w:t>
      </w:r>
      <w:bookmarkEnd w:id="267"/>
      <w:bookmarkEnd w:id="268"/>
      <w:bookmarkEnd w:id="269"/>
      <w:bookmarkEnd w:id="270"/>
      <w:bookmarkEnd w:id="271"/>
      <w:bookmarkEnd w:id="272"/>
      <w:bookmarkEnd w:id="273"/>
      <w:bookmarkEnd w:id="274"/>
      <w:bookmarkEnd w:id="275"/>
      <w:bookmarkEnd w:id="276"/>
      <w:bookmarkEnd w:id="277"/>
    </w:p>
    <w:p>
      <w:pPr>
        <w:pStyle w:val="yShoulderClause"/>
        <w:spacing w:before="60"/>
        <w:ind w:right="8"/>
        <w:rPr>
          <w:snapToGrid w:val="0"/>
        </w:rPr>
      </w:pPr>
      <w:r>
        <w:rPr>
          <w:snapToGrid w:val="0"/>
        </w:rPr>
        <w:t>[r. 10]</w:t>
      </w:r>
    </w:p>
    <w:p>
      <w:pPr>
        <w:pStyle w:val="yFootnoteheading"/>
      </w:pPr>
      <w:r>
        <w:tab/>
        <w:t>[Heading inserted in Gazette 6 Jun 2008 p. 2342.]</w:t>
      </w:r>
    </w:p>
    <w:p>
      <w:pPr>
        <w:pStyle w:val="yMiscellaneousBody"/>
        <w:spacing w:before="120" w:after="80"/>
      </w:pPr>
      <w:r>
        <w:t>The unit cost of entering a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$0.50) x .09 —&gt; rounded) x W = T</w:t>
      </w:r>
    </w:p>
    <w:p>
      <w:pPr>
        <w:pStyle w:val="yMiscellaneousBody"/>
        <w:spacing w:before="120" w:after="80"/>
      </w:pPr>
      <w:r>
        <w:t xml:space="preserve">where — </w:t>
      </w:r>
    </w:p>
    <w:p>
      <w:pPr>
        <w:pStyle w:val="yMiscellaneousBody"/>
        <w:tabs>
          <w:tab w:val="left" w:pos="567"/>
        </w:tabs>
        <w:spacing w:before="120" w:after="80"/>
      </w:pPr>
      <w:r>
        <w:tab/>
      </w:r>
      <w:r>
        <w:rPr>
          <w:b/>
          <w:bCs/>
        </w:rPr>
        <w:t>G</w:t>
      </w:r>
      <w:r>
        <w:t xml:space="preserve"> = No. of games entered in a draw</w:t>
      </w:r>
    </w:p>
    <w:p>
      <w:pPr>
        <w:pStyle w:val="yMiscellaneousBody"/>
        <w:tabs>
          <w:tab w:val="left" w:pos="567"/>
        </w:tabs>
        <w:spacing w:before="120" w:after="80"/>
      </w:pPr>
      <w:r>
        <w:tab/>
      </w:r>
      <w:r>
        <w:rPr>
          <w:b/>
          <w:bCs/>
        </w:rPr>
        <w:t>W</w:t>
      </w:r>
      <w:r>
        <w:t xml:space="preserve"> = No. of weeks the entry spans</w:t>
      </w:r>
    </w:p>
    <w:p>
      <w:pPr>
        <w:pStyle w:val="yMiscellaneousBody"/>
        <w:tabs>
          <w:tab w:val="left" w:pos="567"/>
        </w:tabs>
        <w:spacing w:before="120" w:after="80"/>
      </w:pPr>
      <w:r>
        <w:tab/>
      </w:r>
      <w:r>
        <w:rPr>
          <w:b/>
          <w:bCs/>
        </w:rPr>
        <w:t>T</w:t>
      </w:r>
      <w:r>
        <w:t xml:space="preserve"> = Total agent’s component cost payable by the participant</w:t>
      </w:r>
    </w:p>
    <w:p>
      <w:pPr>
        <w:pStyle w:val="yMiscellaneousBody"/>
        <w:tabs>
          <w:tab w:val="left" w:pos="567"/>
        </w:tabs>
        <w:spacing w:before="120" w:after="80"/>
      </w:pPr>
    </w:p>
    <w:p>
      <w:pPr>
        <w:pStyle w:val="yMiscellaneousBody"/>
        <w:spacing w:before="120" w:after="80"/>
        <w:rPr>
          <w:b/>
          <w:bCs/>
        </w:rPr>
      </w:pPr>
      <w:r>
        <w:rPr>
          <w:b/>
          <w:bCs/>
        </w:rPr>
        <w:t>Examples:</w:t>
      </w:r>
    </w:p>
    <w:p>
      <w:pPr>
        <w:pStyle w:val="yMiscellaneousBody"/>
        <w:spacing w:before="120" w:after="80"/>
      </w:pPr>
      <w:r>
        <w:t xml:space="preserve">The total cost of entry for a Slikpik 25 entry for a single Pools Game is calculated as follows — </w:t>
      </w:r>
    </w:p>
    <w:p>
      <w:pPr>
        <w:pStyle w:val="yMiscellaneousBody"/>
        <w:tabs>
          <w:tab w:val="left" w:pos="567"/>
          <w:tab w:val="left" w:pos="4820"/>
          <w:tab w:val="decimal" w:pos="5670"/>
        </w:tabs>
        <w:spacing w:before="120" w:after="80"/>
      </w:pPr>
      <w:r>
        <w:tab/>
        <w:t xml:space="preserve">Subscription [25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$13.60</w:t>
      </w:r>
    </w:p>
    <w:p>
      <w:pPr>
        <w:pStyle w:val="yMiscellaneousBody"/>
        <w:spacing w:before="120" w:after="80"/>
      </w:pPr>
    </w:p>
    <w:p>
      <w:pPr>
        <w:pStyle w:val="yMiscellaneousBody"/>
        <w:keepNext/>
        <w:spacing w:before="120" w:after="80"/>
      </w:pPr>
      <w:r>
        <w:t xml:space="preserve">The total cost of entry for a System 8 entry for a single Pools Game is calculated as follows — </w:t>
      </w:r>
    </w:p>
    <w:p>
      <w:pPr>
        <w:pStyle w:val="yMiscellaneousBody"/>
        <w:keepNext/>
        <w:tabs>
          <w:tab w:val="left" w:pos="567"/>
          <w:tab w:val="left" w:pos="4820"/>
          <w:tab w:val="decimal" w:pos="5670"/>
        </w:tabs>
        <w:spacing w:before="120" w:after="80"/>
      </w:pPr>
      <w:r>
        <w:tab/>
        <w:t xml:space="preserve">Subscription [28 games @ $0.50 each] </w:t>
      </w:r>
      <w:r>
        <w:tab/>
        <w:t>=</w:t>
      </w:r>
      <w:r>
        <w:tab/>
        <w:t>$14.00</w:t>
      </w:r>
    </w:p>
    <w:p>
      <w:pPr>
        <w:pStyle w:val="yMiscellaneousBody"/>
        <w:keepNext/>
        <w:tabs>
          <w:tab w:val="left" w:pos="567"/>
          <w:tab w:val="left" w:pos="4820"/>
          <w:tab w:val="decimal" w:pos="5670"/>
        </w:tabs>
        <w:spacing w:before="120" w:after="80"/>
      </w:pPr>
      <w:r>
        <w:tab/>
        <w:t>9% of subscription [.09 x $14.00]</w:t>
      </w:r>
      <w:r>
        <w:tab/>
        <w:t>=</w:t>
      </w:r>
      <w:r>
        <w:tab/>
        <w:t>$1.26</w:t>
      </w:r>
    </w:p>
    <w:p>
      <w:pPr>
        <w:pStyle w:val="yMiscellaneousBody"/>
        <w:tabs>
          <w:tab w:val="left" w:pos="567"/>
          <w:tab w:val="left" w:pos="4820"/>
          <w:tab w:val="decimal" w:pos="5670"/>
        </w:tabs>
        <w:spacing w:before="120" w:after="80"/>
      </w:pPr>
      <w:r>
        <w:tab/>
        <w:t>Rounded using “bankers rounding”</w:t>
      </w:r>
      <w:r>
        <w:tab/>
        <w:t>=</w:t>
      </w:r>
      <w:r>
        <w:tab/>
        <w:t>$1.25</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$15.25</w:t>
      </w:r>
    </w:p>
    <w:p>
      <w:pPr>
        <w:pStyle w:val="yMiscellaneousBody"/>
        <w:spacing w:before="120" w:after="80"/>
      </w:pPr>
    </w:p>
    <w:p>
      <w:pPr>
        <w:pStyle w:val="yMiscellaneousBody"/>
        <w:spacing w:before="120" w:after="80"/>
      </w:pPr>
      <w:r>
        <w:t xml:space="preserve">The total cost of entry for a 6 game board System 9 entry for a single Pools Game is calculated as follows — </w:t>
      </w:r>
    </w:p>
    <w:p>
      <w:pPr>
        <w:pStyle w:val="yMiscellaneousBody"/>
        <w:keepNext/>
        <w:tabs>
          <w:tab w:val="left" w:pos="567"/>
          <w:tab w:val="left" w:pos="4820"/>
          <w:tab w:val="decimal" w:pos="5670"/>
        </w:tabs>
        <w:spacing w:before="120" w:after="80"/>
      </w:pPr>
      <w:r>
        <w:tab/>
        <w:t xml:space="preserve">Subscription [6 x 84 games @ $0.50 each] </w:t>
      </w:r>
      <w:r>
        <w:tab/>
        <w:t>=</w:t>
      </w:r>
      <w:r>
        <w:tab/>
        <w:t>$252.00</w:t>
      </w:r>
    </w:p>
    <w:p>
      <w:pPr>
        <w:pStyle w:val="yMiscellaneousBody"/>
        <w:keepNext/>
        <w:tabs>
          <w:tab w:val="left" w:pos="567"/>
          <w:tab w:val="left" w:pos="4820"/>
          <w:tab w:val="decimal" w:pos="5670"/>
        </w:tabs>
        <w:spacing w:before="120" w:after="80"/>
      </w:pPr>
      <w:r>
        <w:tab/>
        <w:t>9% of subscription [.09 x $252.00]</w:t>
      </w:r>
      <w:r>
        <w:tab/>
        <w:t>=</w:t>
      </w:r>
      <w:r>
        <w:tab/>
        <w:t>$22.68</w:t>
      </w:r>
    </w:p>
    <w:p>
      <w:pPr>
        <w:pStyle w:val="yMiscellaneousBody"/>
        <w:tabs>
          <w:tab w:val="left" w:pos="567"/>
          <w:tab w:val="left" w:pos="4820"/>
          <w:tab w:val="decimal" w:pos="5670"/>
        </w:tabs>
        <w:spacing w:before="120" w:after="80"/>
      </w:pPr>
      <w:r>
        <w:tab/>
        <w:t>Rounded using “bankers rounding”</w:t>
      </w:r>
      <w:r>
        <w:tab/>
        <w:t>=</w:t>
      </w:r>
      <w:r>
        <w:tab/>
        <w:t>$22.70</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$274.70</w:t>
      </w:r>
    </w:p>
    <w:p>
      <w:pPr>
        <w:pStyle w:val="yMiscellaneousBody"/>
        <w:spacing w:before="120" w:after="80"/>
      </w:pPr>
    </w:p>
    <w:p>
      <w:pPr>
        <w:pStyle w:val="yMiscellaneousBody"/>
        <w:spacing w:before="120" w:after="80"/>
      </w:pPr>
      <w:r>
        <w:t xml:space="preserve">The total cost of entry for a Slikpik 25 entry spanning 10 weeks of Soccer Pools is calculated as follows — </w:t>
      </w:r>
    </w:p>
    <w:p>
      <w:pPr>
        <w:pStyle w:val="yMiscellaneousBody"/>
        <w:tabs>
          <w:tab w:val="left" w:pos="567"/>
          <w:tab w:val="left" w:pos="4820"/>
          <w:tab w:val="decimal" w:pos="5670"/>
        </w:tabs>
        <w:spacing w:before="120" w:after="80"/>
        <w:ind w:left="567" w:hanging="567"/>
      </w:pPr>
      <w:r>
        <w:tab/>
        <w:t xml:space="preserve">Subscription for one week </w:t>
      </w:r>
      <w:r>
        <w:br/>
        <w:t xml:space="preserve">[25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pPr>
      <w:r>
        <w:tab/>
        <w:t>Total cost of entry for one week</w:t>
      </w:r>
      <w:r>
        <w:tab/>
        <w:t>=</w:t>
      </w:r>
      <w:r>
        <w:tab/>
        <w:t>$13.60</w:t>
      </w:r>
    </w:p>
    <w:p>
      <w:pPr>
        <w:pStyle w:val="yMiscellaneousBody"/>
        <w:tabs>
          <w:tab w:val="left" w:pos="567"/>
          <w:tab w:val="left" w:pos="4820"/>
          <w:tab w:val="decimal" w:pos="5670"/>
        </w:tabs>
        <w:spacing w:before="120" w:after="80"/>
        <w:rPr>
          <w:b/>
          <w:bCs/>
        </w:rPr>
      </w:pPr>
      <w:r>
        <w:rPr>
          <w:b/>
          <w:bCs/>
        </w:rPr>
        <w:tab/>
        <w:t>Total cost of entry for 10 weeks</w:t>
      </w:r>
      <w:r>
        <w:rPr>
          <w:b/>
          <w:bCs/>
        </w:rPr>
        <w:tab/>
        <w:t>=</w:t>
      </w:r>
      <w:r>
        <w:rPr>
          <w:b/>
          <w:bCs/>
        </w:rPr>
        <w:tab/>
        <w:t>$136.00</w:t>
      </w:r>
    </w:p>
    <w:p>
      <w:pPr>
        <w:pStyle w:val="yMiscellaneousBody"/>
        <w:spacing w:before="120" w:after="80"/>
      </w:pPr>
      <w:r>
        <w:t>* Rounding is calculated using the method known as “bankers rounding” or “round</w:t>
      </w:r>
      <w:r>
        <w:noBreakHyphen/>
        <w:t>to</w:t>
      </w:r>
      <w:r>
        <w:noBreakHyphen/>
        <w:t>even” rounding.</w:t>
      </w:r>
    </w:p>
    <w:p>
      <w:pPr>
        <w:pStyle w:val="yFootnotesection"/>
      </w:pPr>
      <w:r>
        <w:tab/>
        <w:t>[Schedule 1 inserted in Gazette 6 Jun 2008 p. 2342</w:t>
      </w:r>
      <w:r>
        <w:noBreakHyphen/>
        <w:t>3.]</w:t>
      </w:r>
    </w:p>
    <w:p>
      <w:pPr>
        <w:pStyle w:val="yScheduleHeading"/>
      </w:pPr>
      <w:bookmarkStart w:id="283" w:name="_Toc200446639"/>
      <w:bookmarkStart w:id="284" w:name="_Toc202950630"/>
      <w:bookmarkStart w:id="285" w:name="_Toc203203414"/>
      <w:bookmarkStart w:id="286" w:name="_Toc203280632"/>
      <w:bookmarkStart w:id="287" w:name="_Toc206208024"/>
      <w:bookmarkStart w:id="288" w:name="_Toc206297593"/>
      <w:bookmarkStart w:id="289" w:name="_Toc206317219"/>
      <w:bookmarkStart w:id="290" w:name="_Toc206317283"/>
      <w:bookmarkStart w:id="291" w:name="_Toc230162875"/>
      <w:bookmarkStart w:id="292" w:name="_Toc230162944"/>
      <w:bookmarkStart w:id="293" w:name="_Toc256151525"/>
      <w:bookmarkStart w:id="294" w:name="_Toc110932597"/>
      <w:bookmarkStart w:id="295" w:name="_Toc110933408"/>
      <w:bookmarkStart w:id="296" w:name="_Toc147230290"/>
      <w:bookmarkStart w:id="297" w:name="_Toc170549570"/>
      <w:bookmarkStart w:id="298" w:name="_Toc170621381"/>
      <w:bookmarkEnd w:id="278"/>
      <w:bookmarkEnd w:id="279"/>
      <w:bookmarkEnd w:id="280"/>
      <w:bookmarkEnd w:id="281"/>
      <w:bookmarkEnd w:id="282"/>
      <w:r>
        <w:rPr>
          <w:rStyle w:val="CharSchNo"/>
        </w:rPr>
        <w:t>Schedule 2</w:t>
      </w:r>
      <w:r>
        <w:t> — </w:t>
      </w:r>
      <w:r>
        <w:rPr>
          <w:rStyle w:val="CharSchText"/>
        </w:rPr>
        <w:t>System entries and game equivalents</w:t>
      </w:r>
      <w:bookmarkEnd w:id="283"/>
      <w:bookmarkEnd w:id="284"/>
      <w:bookmarkEnd w:id="285"/>
      <w:bookmarkEnd w:id="286"/>
      <w:bookmarkEnd w:id="287"/>
      <w:bookmarkEnd w:id="288"/>
      <w:bookmarkEnd w:id="289"/>
      <w:bookmarkEnd w:id="290"/>
      <w:bookmarkEnd w:id="291"/>
      <w:bookmarkEnd w:id="292"/>
      <w:bookmarkEnd w:id="293"/>
    </w:p>
    <w:p>
      <w:pPr>
        <w:pStyle w:val="yFootnoteheading"/>
      </w:pPr>
      <w:r>
        <w:tab/>
        <w:t>[Heading inserted in Gazette 6 Jun 2008 p. 2344.]</w:t>
      </w:r>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rPr>
        <w:tc>
          <w:tcPr>
            <w:tcW w:w="3260" w:type="dxa"/>
            <w:gridSpan w:val="2"/>
          </w:tcPr>
          <w:p>
            <w:pPr>
              <w:pStyle w:val="yTable"/>
              <w:spacing w:before="40"/>
              <w:ind w:right="170"/>
              <w:jc w:val="center"/>
              <w:rPr>
                <w:b/>
                <w:bCs/>
                <w:sz w:val="20"/>
              </w:rPr>
            </w:pPr>
            <w:r>
              <w:rPr>
                <w:b/>
                <w:bCs/>
                <w:sz w:val="20"/>
              </w:rPr>
              <w:t>Soccer Pools</w:t>
            </w:r>
          </w:p>
          <w:p>
            <w:pPr>
              <w:pStyle w:val="yTable"/>
              <w:spacing w:before="40"/>
              <w:ind w:right="170"/>
              <w:jc w:val="center"/>
              <w:rPr>
                <w:b/>
                <w:bCs/>
                <w:sz w:val="20"/>
              </w:rPr>
            </w:pPr>
          </w:p>
        </w:tc>
      </w:tr>
      <w:tr>
        <w:tc>
          <w:tcPr>
            <w:tcW w:w="1276" w:type="dxa"/>
          </w:tcPr>
          <w:p>
            <w:pPr>
              <w:pStyle w:val="yTable"/>
              <w:spacing w:before="40"/>
              <w:ind w:right="170"/>
              <w:jc w:val="center"/>
              <w:rPr>
                <w:b/>
                <w:bCs/>
                <w:sz w:val="20"/>
              </w:rPr>
            </w:pPr>
            <w:r>
              <w:rPr>
                <w:b/>
                <w:bCs/>
                <w:sz w:val="20"/>
              </w:rPr>
              <w:t>System</w:t>
            </w:r>
          </w:p>
        </w:tc>
        <w:tc>
          <w:tcPr>
            <w:tcW w:w="1984" w:type="dxa"/>
          </w:tcPr>
          <w:p>
            <w:pPr>
              <w:pStyle w:val="yTable"/>
              <w:spacing w:before="40"/>
              <w:ind w:right="170"/>
              <w:jc w:val="center"/>
              <w:rPr>
                <w:b/>
                <w:bCs/>
                <w:sz w:val="20"/>
              </w:rPr>
            </w:pPr>
            <w:r>
              <w:rPr>
                <w:b/>
                <w:bCs/>
                <w:sz w:val="20"/>
              </w:rPr>
              <w:t>No. of games per game board</w:t>
            </w:r>
          </w:p>
        </w:tc>
      </w:tr>
      <w:tr>
        <w:tc>
          <w:tcPr>
            <w:tcW w:w="1276" w:type="dxa"/>
          </w:tcPr>
          <w:p>
            <w:pPr>
              <w:pStyle w:val="yTable"/>
              <w:keepLines/>
              <w:spacing w:before="40"/>
              <w:ind w:right="170"/>
              <w:jc w:val="center"/>
              <w:rPr>
                <w:sz w:val="20"/>
              </w:rPr>
            </w:pPr>
            <w:r>
              <w:rPr>
                <w:sz w:val="20"/>
              </w:rPr>
              <w:t>4</w:t>
            </w:r>
          </w:p>
        </w:tc>
        <w:tc>
          <w:tcPr>
            <w:tcW w:w="1984" w:type="dxa"/>
          </w:tcPr>
          <w:p>
            <w:pPr>
              <w:pStyle w:val="yTable"/>
              <w:keepNext/>
              <w:keepLines/>
              <w:spacing w:before="40"/>
              <w:ind w:right="170"/>
              <w:jc w:val="center"/>
              <w:rPr>
                <w:sz w:val="20"/>
              </w:rPr>
            </w:pPr>
            <w:r>
              <w:rPr>
                <w:sz w:val="20"/>
              </w:rPr>
              <w:t>561</w:t>
            </w:r>
          </w:p>
        </w:tc>
      </w:tr>
      <w:tr>
        <w:tc>
          <w:tcPr>
            <w:tcW w:w="1276" w:type="dxa"/>
          </w:tcPr>
          <w:p>
            <w:pPr>
              <w:pStyle w:val="yTable"/>
              <w:keepLines/>
              <w:spacing w:before="40"/>
              <w:ind w:right="170"/>
              <w:jc w:val="center"/>
              <w:rPr>
                <w:sz w:val="20"/>
              </w:rPr>
            </w:pPr>
            <w:r>
              <w:rPr>
                <w:sz w:val="20"/>
              </w:rPr>
              <w:t>5</w:t>
            </w:r>
          </w:p>
        </w:tc>
        <w:tc>
          <w:tcPr>
            <w:tcW w:w="1984" w:type="dxa"/>
          </w:tcPr>
          <w:p>
            <w:pPr>
              <w:pStyle w:val="yTable"/>
              <w:keepNext/>
              <w:keepLines/>
              <w:spacing w:before="40"/>
              <w:ind w:right="170"/>
              <w:jc w:val="center"/>
              <w:rPr>
                <w:sz w:val="20"/>
              </w:rPr>
            </w:pPr>
            <w:r>
              <w:rPr>
                <w:sz w:val="20"/>
              </w:rPr>
              <w:t>33</w:t>
            </w:r>
          </w:p>
        </w:tc>
      </w:tr>
      <w:tr>
        <w:tc>
          <w:tcPr>
            <w:tcW w:w="1276" w:type="dxa"/>
          </w:tcPr>
          <w:p>
            <w:pPr>
              <w:pStyle w:val="yTable"/>
              <w:spacing w:before="40"/>
              <w:ind w:right="170"/>
              <w:jc w:val="center"/>
              <w:rPr>
                <w:sz w:val="20"/>
              </w:rPr>
            </w:pPr>
            <w:r>
              <w:rPr>
                <w:sz w:val="20"/>
              </w:rPr>
              <w:t>7</w:t>
            </w:r>
          </w:p>
        </w:tc>
        <w:tc>
          <w:tcPr>
            <w:tcW w:w="1984" w:type="dxa"/>
          </w:tcPr>
          <w:p>
            <w:pPr>
              <w:pStyle w:val="yTable"/>
              <w:spacing w:before="40"/>
              <w:ind w:right="170"/>
              <w:jc w:val="center"/>
              <w:rPr>
                <w:sz w:val="20"/>
              </w:rPr>
            </w:pPr>
            <w:r>
              <w:rPr>
                <w:sz w:val="20"/>
              </w:rPr>
              <w:t>7</w:t>
            </w:r>
          </w:p>
        </w:tc>
      </w:tr>
      <w:tr>
        <w:tc>
          <w:tcPr>
            <w:tcW w:w="1276" w:type="dxa"/>
          </w:tcPr>
          <w:p>
            <w:pPr>
              <w:pStyle w:val="yTable"/>
              <w:spacing w:before="40"/>
              <w:ind w:right="170"/>
              <w:jc w:val="center"/>
              <w:rPr>
                <w:sz w:val="20"/>
              </w:rPr>
            </w:pPr>
            <w:r>
              <w:rPr>
                <w:sz w:val="20"/>
              </w:rPr>
              <w:t>8</w:t>
            </w:r>
          </w:p>
        </w:tc>
        <w:tc>
          <w:tcPr>
            <w:tcW w:w="1984" w:type="dxa"/>
          </w:tcPr>
          <w:p>
            <w:pPr>
              <w:pStyle w:val="yTable"/>
              <w:spacing w:before="40"/>
              <w:ind w:right="170"/>
              <w:jc w:val="center"/>
              <w:rPr>
                <w:sz w:val="20"/>
              </w:rPr>
            </w:pPr>
            <w:r>
              <w:rPr>
                <w:sz w:val="20"/>
              </w:rPr>
              <w:t>28</w:t>
            </w:r>
          </w:p>
        </w:tc>
      </w:tr>
      <w:tr>
        <w:tc>
          <w:tcPr>
            <w:tcW w:w="1276" w:type="dxa"/>
          </w:tcPr>
          <w:p>
            <w:pPr>
              <w:pStyle w:val="yTable"/>
              <w:spacing w:before="40"/>
              <w:ind w:right="170"/>
              <w:jc w:val="center"/>
              <w:rPr>
                <w:sz w:val="20"/>
              </w:rPr>
            </w:pPr>
            <w:r>
              <w:rPr>
                <w:sz w:val="20"/>
              </w:rPr>
              <w:t>9</w:t>
            </w:r>
          </w:p>
        </w:tc>
        <w:tc>
          <w:tcPr>
            <w:tcW w:w="1984" w:type="dxa"/>
          </w:tcPr>
          <w:p>
            <w:pPr>
              <w:pStyle w:val="yTable"/>
              <w:spacing w:before="40"/>
              <w:ind w:right="170"/>
              <w:jc w:val="center"/>
              <w:rPr>
                <w:sz w:val="20"/>
              </w:rPr>
            </w:pPr>
            <w:r>
              <w:rPr>
                <w:sz w:val="20"/>
              </w:rPr>
              <w:t>84</w:t>
            </w:r>
          </w:p>
        </w:tc>
      </w:tr>
      <w:tr>
        <w:tc>
          <w:tcPr>
            <w:tcW w:w="1276" w:type="dxa"/>
          </w:tcPr>
          <w:p>
            <w:pPr>
              <w:pStyle w:val="yTable"/>
              <w:spacing w:before="40"/>
              <w:ind w:right="170"/>
              <w:jc w:val="center"/>
              <w:rPr>
                <w:sz w:val="20"/>
              </w:rPr>
            </w:pPr>
            <w:r>
              <w:rPr>
                <w:sz w:val="20"/>
              </w:rPr>
              <w:t>10</w:t>
            </w:r>
          </w:p>
        </w:tc>
        <w:tc>
          <w:tcPr>
            <w:tcW w:w="1984" w:type="dxa"/>
          </w:tcPr>
          <w:p>
            <w:pPr>
              <w:pStyle w:val="yTable"/>
              <w:spacing w:before="40"/>
              <w:ind w:right="170"/>
              <w:jc w:val="center"/>
              <w:rPr>
                <w:sz w:val="20"/>
              </w:rPr>
            </w:pPr>
            <w:r>
              <w:rPr>
                <w:sz w:val="20"/>
              </w:rPr>
              <w:t>210</w:t>
            </w:r>
          </w:p>
        </w:tc>
      </w:tr>
      <w:tr>
        <w:tc>
          <w:tcPr>
            <w:tcW w:w="1276" w:type="dxa"/>
          </w:tcPr>
          <w:p>
            <w:pPr>
              <w:pStyle w:val="yTable"/>
              <w:spacing w:before="40"/>
              <w:ind w:right="170"/>
              <w:jc w:val="center"/>
              <w:rPr>
                <w:sz w:val="20"/>
              </w:rPr>
            </w:pPr>
            <w:r>
              <w:rPr>
                <w:sz w:val="20"/>
              </w:rPr>
              <w:t>11</w:t>
            </w:r>
          </w:p>
        </w:tc>
        <w:tc>
          <w:tcPr>
            <w:tcW w:w="1984" w:type="dxa"/>
          </w:tcPr>
          <w:p>
            <w:pPr>
              <w:pStyle w:val="yTable"/>
              <w:spacing w:before="40"/>
              <w:ind w:right="170"/>
              <w:jc w:val="center"/>
              <w:rPr>
                <w:sz w:val="20"/>
              </w:rPr>
            </w:pPr>
            <w:r>
              <w:rPr>
                <w:sz w:val="20"/>
              </w:rPr>
              <w:t>462</w:t>
            </w:r>
          </w:p>
        </w:tc>
      </w:tr>
      <w:tr>
        <w:tc>
          <w:tcPr>
            <w:tcW w:w="1276" w:type="dxa"/>
          </w:tcPr>
          <w:p>
            <w:pPr>
              <w:pStyle w:val="yTable"/>
              <w:spacing w:before="40"/>
              <w:ind w:right="170"/>
              <w:jc w:val="center"/>
              <w:rPr>
                <w:sz w:val="20"/>
              </w:rPr>
            </w:pPr>
            <w:r>
              <w:rPr>
                <w:sz w:val="20"/>
              </w:rPr>
              <w:t>12</w:t>
            </w:r>
          </w:p>
        </w:tc>
        <w:tc>
          <w:tcPr>
            <w:tcW w:w="1984" w:type="dxa"/>
          </w:tcPr>
          <w:p>
            <w:pPr>
              <w:pStyle w:val="yTable"/>
              <w:spacing w:before="40"/>
              <w:ind w:right="170"/>
              <w:jc w:val="center"/>
              <w:rPr>
                <w:sz w:val="20"/>
              </w:rPr>
            </w:pPr>
            <w:r>
              <w:rPr>
                <w:sz w:val="20"/>
              </w:rPr>
              <w:t>924</w:t>
            </w:r>
          </w:p>
        </w:tc>
      </w:tr>
      <w:tr>
        <w:tc>
          <w:tcPr>
            <w:tcW w:w="1276" w:type="dxa"/>
          </w:tcPr>
          <w:p>
            <w:pPr>
              <w:pStyle w:val="yTable"/>
              <w:spacing w:before="40"/>
              <w:ind w:right="170"/>
              <w:jc w:val="center"/>
              <w:rPr>
                <w:sz w:val="20"/>
              </w:rPr>
            </w:pPr>
            <w:r>
              <w:rPr>
                <w:sz w:val="20"/>
              </w:rPr>
              <w:t>13</w:t>
            </w:r>
          </w:p>
        </w:tc>
        <w:tc>
          <w:tcPr>
            <w:tcW w:w="1984" w:type="dxa"/>
          </w:tcPr>
          <w:p>
            <w:pPr>
              <w:pStyle w:val="yTable"/>
              <w:spacing w:before="40"/>
              <w:ind w:right="170"/>
              <w:jc w:val="center"/>
              <w:rPr>
                <w:sz w:val="20"/>
              </w:rPr>
            </w:pPr>
            <w:r>
              <w:rPr>
                <w:sz w:val="20"/>
              </w:rPr>
              <w:t>1 716</w:t>
            </w:r>
          </w:p>
        </w:tc>
      </w:tr>
      <w:tr>
        <w:tc>
          <w:tcPr>
            <w:tcW w:w="1276" w:type="dxa"/>
          </w:tcPr>
          <w:p>
            <w:pPr>
              <w:pStyle w:val="yTable"/>
              <w:spacing w:before="40"/>
              <w:ind w:right="170"/>
              <w:jc w:val="center"/>
              <w:rPr>
                <w:sz w:val="20"/>
              </w:rPr>
            </w:pPr>
            <w:r>
              <w:rPr>
                <w:sz w:val="20"/>
              </w:rPr>
              <w:t>14</w:t>
            </w:r>
          </w:p>
        </w:tc>
        <w:tc>
          <w:tcPr>
            <w:tcW w:w="1984" w:type="dxa"/>
          </w:tcPr>
          <w:p>
            <w:pPr>
              <w:pStyle w:val="yTable"/>
              <w:spacing w:before="40"/>
              <w:ind w:right="170"/>
              <w:jc w:val="center"/>
              <w:rPr>
                <w:sz w:val="20"/>
              </w:rPr>
            </w:pPr>
            <w:r>
              <w:rPr>
                <w:sz w:val="20"/>
              </w:rPr>
              <w:t>3 003</w:t>
            </w:r>
          </w:p>
        </w:tc>
      </w:tr>
      <w:tr>
        <w:tc>
          <w:tcPr>
            <w:tcW w:w="1276" w:type="dxa"/>
          </w:tcPr>
          <w:p>
            <w:pPr>
              <w:pStyle w:val="yTable"/>
              <w:spacing w:before="40"/>
              <w:ind w:right="170"/>
              <w:jc w:val="center"/>
              <w:rPr>
                <w:sz w:val="20"/>
              </w:rPr>
            </w:pPr>
            <w:r>
              <w:rPr>
                <w:sz w:val="20"/>
              </w:rPr>
              <w:t>15</w:t>
            </w:r>
          </w:p>
        </w:tc>
        <w:tc>
          <w:tcPr>
            <w:tcW w:w="1984" w:type="dxa"/>
          </w:tcPr>
          <w:p>
            <w:pPr>
              <w:pStyle w:val="yTable"/>
              <w:spacing w:before="40"/>
              <w:ind w:right="170"/>
              <w:jc w:val="center"/>
              <w:rPr>
                <w:sz w:val="20"/>
              </w:rPr>
            </w:pPr>
            <w:r>
              <w:rPr>
                <w:sz w:val="20"/>
              </w:rPr>
              <w:t>5 005</w:t>
            </w:r>
          </w:p>
        </w:tc>
      </w:tr>
      <w:tr>
        <w:tc>
          <w:tcPr>
            <w:tcW w:w="1276" w:type="dxa"/>
          </w:tcPr>
          <w:p>
            <w:pPr>
              <w:pStyle w:val="yTable"/>
              <w:spacing w:before="40"/>
              <w:ind w:right="170"/>
              <w:jc w:val="center"/>
              <w:rPr>
                <w:sz w:val="20"/>
              </w:rPr>
            </w:pPr>
            <w:r>
              <w:rPr>
                <w:sz w:val="20"/>
              </w:rPr>
              <w:t>16</w:t>
            </w:r>
          </w:p>
        </w:tc>
        <w:tc>
          <w:tcPr>
            <w:tcW w:w="1984" w:type="dxa"/>
          </w:tcPr>
          <w:p>
            <w:pPr>
              <w:pStyle w:val="yTable"/>
              <w:spacing w:before="40"/>
              <w:ind w:right="170"/>
              <w:jc w:val="center"/>
              <w:rPr>
                <w:sz w:val="20"/>
              </w:rPr>
            </w:pPr>
            <w:r>
              <w:rPr>
                <w:sz w:val="20"/>
              </w:rPr>
              <w:t>8 008</w:t>
            </w:r>
          </w:p>
        </w:tc>
      </w:tr>
      <w:tr>
        <w:tc>
          <w:tcPr>
            <w:tcW w:w="1276" w:type="dxa"/>
          </w:tcPr>
          <w:p>
            <w:pPr>
              <w:pStyle w:val="yTable"/>
              <w:spacing w:before="40"/>
              <w:ind w:right="170"/>
              <w:jc w:val="center"/>
              <w:rPr>
                <w:sz w:val="20"/>
              </w:rPr>
            </w:pPr>
            <w:r>
              <w:rPr>
                <w:sz w:val="20"/>
              </w:rPr>
              <w:t>17</w:t>
            </w:r>
          </w:p>
        </w:tc>
        <w:tc>
          <w:tcPr>
            <w:tcW w:w="1984" w:type="dxa"/>
          </w:tcPr>
          <w:p>
            <w:pPr>
              <w:pStyle w:val="yTable"/>
              <w:spacing w:before="40"/>
              <w:ind w:right="170"/>
              <w:jc w:val="center"/>
              <w:rPr>
                <w:sz w:val="20"/>
              </w:rPr>
            </w:pPr>
            <w:r>
              <w:rPr>
                <w:sz w:val="20"/>
              </w:rPr>
              <w:t>12 376</w:t>
            </w:r>
          </w:p>
        </w:tc>
      </w:tr>
      <w:tr>
        <w:tc>
          <w:tcPr>
            <w:tcW w:w="1276" w:type="dxa"/>
          </w:tcPr>
          <w:p>
            <w:pPr>
              <w:pStyle w:val="yTable"/>
              <w:spacing w:before="40"/>
              <w:ind w:right="170"/>
              <w:jc w:val="center"/>
              <w:rPr>
                <w:sz w:val="20"/>
              </w:rPr>
            </w:pPr>
            <w:r>
              <w:rPr>
                <w:sz w:val="20"/>
              </w:rPr>
              <w:t>18</w:t>
            </w:r>
          </w:p>
        </w:tc>
        <w:tc>
          <w:tcPr>
            <w:tcW w:w="1984" w:type="dxa"/>
          </w:tcPr>
          <w:p>
            <w:pPr>
              <w:pStyle w:val="yTable"/>
              <w:spacing w:before="40"/>
              <w:ind w:right="170"/>
              <w:jc w:val="center"/>
              <w:rPr>
                <w:sz w:val="20"/>
              </w:rPr>
            </w:pPr>
            <w:r>
              <w:rPr>
                <w:sz w:val="20"/>
              </w:rPr>
              <w:t>18 564</w:t>
            </w:r>
          </w:p>
        </w:tc>
      </w:tr>
      <w:tr>
        <w:tc>
          <w:tcPr>
            <w:tcW w:w="1276" w:type="dxa"/>
          </w:tcPr>
          <w:p>
            <w:pPr>
              <w:pStyle w:val="yTable"/>
              <w:keepLines/>
              <w:spacing w:before="40"/>
              <w:ind w:right="170"/>
              <w:jc w:val="center"/>
              <w:rPr>
                <w:sz w:val="20"/>
              </w:rPr>
            </w:pPr>
            <w:r>
              <w:rPr>
                <w:sz w:val="20"/>
              </w:rPr>
              <w:t>19</w:t>
            </w:r>
          </w:p>
        </w:tc>
        <w:tc>
          <w:tcPr>
            <w:tcW w:w="1984" w:type="dxa"/>
          </w:tcPr>
          <w:p>
            <w:pPr>
              <w:pStyle w:val="yTable"/>
              <w:keepNext/>
              <w:keepLines/>
              <w:spacing w:before="40"/>
              <w:ind w:right="170"/>
              <w:jc w:val="center"/>
              <w:rPr>
                <w:sz w:val="20"/>
              </w:rPr>
            </w:pPr>
            <w:r>
              <w:rPr>
                <w:sz w:val="20"/>
              </w:rPr>
              <w:t>27 132</w:t>
            </w:r>
          </w:p>
        </w:tc>
      </w:tr>
      <w:tr>
        <w:tc>
          <w:tcPr>
            <w:tcW w:w="1276" w:type="dxa"/>
          </w:tcPr>
          <w:p>
            <w:pPr>
              <w:pStyle w:val="yTable"/>
              <w:keepLines/>
              <w:spacing w:before="40"/>
              <w:ind w:right="170"/>
              <w:jc w:val="center"/>
              <w:rPr>
                <w:sz w:val="20"/>
              </w:rPr>
            </w:pPr>
            <w:r>
              <w:rPr>
                <w:sz w:val="20"/>
              </w:rPr>
              <w:t>20</w:t>
            </w:r>
          </w:p>
        </w:tc>
        <w:tc>
          <w:tcPr>
            <w:tcW w:w="1984" w:type="dxa"/>
          </w:tcPr>
          <w:p>
            <w:pPr>
              <w:pStyle w:val="yTable"/>
              <w:keepNext/>
              <w:keepLines/>
              <w:tabs>
                <w:tab w:val="left" w:pos="681"/>
              </w:tabs>
              <w:spacing w:before="40"/>
              <w:ind w:right="170"/>
              <w:jc w:val="center"/>
              <w:rPr>
                <w:sz w:val="20"/>
              </w:rPr>
            </w:pPr>
            <w:r>
              <w:rPr>
                <w:sz w:val="20"/>
              </w:rPr>
              <w:t>38 760</w:t>
            </w:r>
          </w:p>
        </w:tc>
      </w:tr>
    </w:tbl>
    <w:p>
      <w:pPr>
        <w:pStyle w:val="yFootnotesection"/>
      </w:pPr>
      <w:r>
        <w:tab/>
        <w:t>[Schedule 2 inserted in Gazette 6 Jun 2008 p. 2344.]</w:t>
      </w:r>
    </w:p>
    <w:p>
      <w:pPr>
        <w:pStyle w:val="yScheduleHeading"/>
      </w:pPr>
      <w:bookmarkStart w:id="299" w:name="_Toc200446640"/>
      <w:bookmarkStart w:id="300" w:name="_Toc202950631"/>
      <w:bookmarkStart w:id="301" w:name="_Toc203203415"/>
      <w:bookmarkStart w:id="302" w:name="_Toc203280633"/>
      <w:bookmarkStart w:id="303" w:name="_Toc206208025"/>
      <w:bookmarkStart w:id="304" w:name="_Toc206297594"/>
      <w:bookmarkStart w:id="305" w:name="_Toc206317220"/>
      <w:bookmarkStart w:id="306" w:name="_Toc206317284"/>
      <w:bookmarkStart w:id="307" w:name="_Toc230162876"/>
      <w:bookmarkStart w:id="308" w:name="_Toc230162945"/>
      <w:bookmarkStart w:id="309" w:name="_Toc256151526"/>
      <w:r>
        <w:rPr>
          <w:rStyle w:val="CharSchNo"/>
        </w:rPr>
        <w:t>Schedule 3</w:t>
      </w:r>
      <w:r>
        <w:t> — </w:t>
      </w:r>
      <w:r>
        <w:rPr>
          <w:rStyle w:val="CharSchText"/>
        </w:rPr>
        <w:t>System entry prize schedule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ShoulderClause"/>
      </w:pPr>
      <w:r>
        <w:t>[Rule 25(2)]</w:t>
      </w:r>
    </w:p>
    <w:p>
      <w:pPr>
        <w:pStyle w:val="MiscellaneousHeading"/>
        <w:rPr>
          <w:b/>
          <w:sz w:val="22"/>
        </w:rPr>
      </w:pPr>
      <w:r>
        <w:rPr>
          <w:b/>
          <w:sz w:val="22"/>
        </w:rPr>
        <w:t>Soccer Pools</w:t>
      </w:r>
    </w:p>
    <w:p>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trPr>
          <w:tblHeader/>
        </w:trPr>
        <w:tc>
          <w:tcPr>
            <w:tcW w:w="993" w:type="dxa"/>
            <w:gridSpan w:val="2"/>
          </w:tcPr>
          <w:p>
            <w:pPr>
              <w:pStyle w:val="yTable"/>
              <w:spacing w:before="0"/>
              <w:rPr>
                <w:noProof/>
                <w:sz w:val="14"/>
              </w:rPr>
            </w:pPr>
            <w:r>
              <w:rPr>
                <w:sz w:val="14"/>
              </w:rPr>
              <w:t>WINNING</w:t>
            </w:r>
          </w:p>
        </w:tc>
        <w:tc>
          <w:tcPr>
            <w:tcW w:w="3118" w:type="dxa"/>
            <w:gridSpan w:val="10"/>
          </w:tcPr>
          <w:p>
            <w:pPr>
              <w:pStyle w:val="yTable"/>
              <w:spacing w:before="0"/>
              <w:rPr>
                <w:sz w:val="14"/>
              </w:rPr>
            </w:pPr>
            <w:r>
              <w:rPr>
                <w:sz w:val="14"/>
              </w:rPr>
              <w:t xml:space="preserve">PRIZE TAKE </w:t>
            </w:r>
          </w:p>
        </w:tc>
        <w:tc>
          <w:tcPr>
            <w:tcW w:w="3089" w:type="dxa"/>
            <w:gridSpan w:val="9"/>
          </w:tcPr>
          <w:p>
            <w:pPr>
              <w:pStyle w:val="yTable"/>
              <w:spacing w:before="0"/>
              <w:rPr>
                <w:sz w:val="14"/>
              </w:rPr>
            </w:pPr>
            <w:r>
              <w:rPr>
                <w:sz w:val="14"/>
              </w:rPr>
              <w:t>SYSTEMS</w:t>
            </w:r>
          </w:p>
        </w:tc>
      </w:tr>
      <w:tr>
        <w:trPr>
          <w:tblHeader/>
        </w:trPr>
        <w:tc>
          <w:tcPr>
            <w:tcW w:w="993" w:type="dxa"/>
            <w:gridSpan w:val="2"/>
          </w:tcPr>
          <w:p>
            <w:pPr>
              <w:pStyle w:val="yTable"/>
              <w:spacing w:before="0"/>
              <w:rPr>
                <w:sz w:val="14"/>
              </w:rPr>
            </w:pPr>
            <w:r>
              <w:rPr>
                <w:sz w:val="14"/>
              </w:rPr>
              <w:t>NUMBERS</w:t>
            </w:r>
          </w:p>
        </w:tc>
        <w:tc>
          <w:tcPr>
            <w:tcW w:w="3118" w:type="dxa"/>
            <w:gridSpan w:val="10"/>
          </w:tcPr>
          <w:p>
            <w:pPr>
              <w:pStyle w:val="yTable"/>
              <w:spacing w:before="0"/>
              <w:rPr>
                <w:sz w:val="14"/>
              </w:rPr>
            </w:pPr>
            <w:r>
              <w:rPr>
                <w:sz w:val="14"/>
              </w:rPr>
              <w:t>DIVISIONS</w:t>
            </w:r>
          </w:p>
        </w:tc>
        <w:tc>
          <w:tcPr>
            <w:tcW w:w="3089" w:type="dxa"/>
            <w:gridSpan w:val="9"/>
          </w:tcPr>
          <w:p>
            <w:pPr>
              <w:pStyle w:val="yTable"/>
              <w:spacing w:before="0"/>
              <w:rPr>
                <w:sz w:val="14"/>
              </w:rPr>
            </w:pPr>
          </w:p>
        </w:tc>
      </w:tr>
      <w:tr>
        <w:tblPrEx>
          <w:tblCellMar>
            <w:left w:w="0" w:type="dxa"/>
            <w:right w:w="0" w:type="dxa"/>
          </w:tblCellMar>
        </w:tblPrEx>
        <w:trPr>
          <w:gridBefore w:val="1"/>
          <w:wBefore w:w="108" w:type="dxa"/>
          <w:tblHeader/>
        </w:trPr>
        <w:tc>
          <w:tcPr>
            <w:tcW w:w="972" w:type="dxa"/>
            <w:gridSpan w:val="2"/>
          </w:tcPr>
          <w:p>
            <w:pPr>
              <w:pStyle w:val="yTable"/>
              <w:rPr>
                <w:sz w:val="14"/>
                <w:lang w:val="en-US"/>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pPr>
              <w:pStyle w:val="yTable"/>
              <w:rPr>
                <w:sz w:val="14"/>
              </w:rPr>
            </w:pPr>
          </w:p>
        </w:tc>
        <w:tc>
          <w:tcPr>
            <w:tcW w:w="360" w:type="dxa"/>
            <w:tcBorders>
              <w:top w:val="single" w:sz="4" w:space="0" w:color="auto"/>
            </w:tcBorders>
          </w:tcPr>
          <w:p>
            <w:pPr>
              <w:pStyle w:val="yTable"/>
              <w:rPr>
                <w:sz w:val="14"/>
              </w:rPr>
            </w:pPr>
            <w:r>
              <w:rPr>
                <w:sz w:val="14"/>
              </w:rPr>
              <w:t>5</w:t>
            </w:r>
          </w:p>
        </w:tc>
        <w:tc>
          <w:tcPr>
            <w:tcW w:w="360" w:type="dxa"/>
            <w:tcBorders>
              <w:top w:val="single" w:sz="4" w:space="0" w:color="auto"/>
            </w:tcBorders>
          </w:tcPr>
          <w:p>
            <w:pPr>
              <w:pStyle w:val="yTable"/>
              <w:rPr>
                <w:sz w:val="14"/>
              </w:rPr>
            </w:pPr>
            <w:r>
              <w:rPr>
                <w:sz w:val="14"/>
              </w:rPr>
              <w:t>4</w:t>
            </w:r>
          </w:p>
        </w:tc>
        <w:tc>
          <w:tcPr>
            <w:tcW w:w="360" w:type="dxa"/>
            <w:tcBorders>
              <w:top w:val="single" w:sz="4" w:space="0" w:color="auto"/>
            </w:tcBorders>
          </w:tcPr>
          <w:p>
            <w:pPr>
              <w:pStyle w:val="yTable"/>
              <w:rPr>
                <w:sz w:val="14"/>
              </w:rPr>
            </w:pPr>
            <w:r>
              <w:rPr>
                <w:sz w:val="14"/>
              </w:rPr>
              <w:t>7</w:t>
            </w:r>
          </w:p>
        </w:tc>
        <w:tc>
          <w:tcPr>
            <w:tcW w:w="360" w:type="dxa"/>
            <w:tcBorders>
              <w:top w:val="single" w:sz="4" w:space="0" w:color="auto"/>
            </w:tcBorders>
          </w:tcPr>
          <w:p>
            <w:pPr>
              <w:pStyle w:val="yTable"/>
              <w:rPr>
                <w:sz w:val="14"/>
              </w:rPr>
            </w:pPr>
            <w:r>
              <w:rPr>
                <w:sz w:val="14"/>
              </w:rPr>
              <w:t>8</w:t>
            </w:r>
          </w:p>
        </w:tc>
        <w:tc>
          <w:tcPr>
            <w:tcW w:w="360" w:type="dxa"/>
            <w:tcBorders>
              <w:top w:val="single" w:sz="4" w:space="0" w:color="auto"/>
            </w:tcBorders>
          </w:tcPr>
          <w:p>
            <w:pPr>
              <w:pStyle w:val="yTable"/>
              <w:rPr>
                <w:sz w:val="14"/>
              </w:rPr>
            </w:pPr>
            <w:r>
              <w:rPr>
                <w:sz w:val="14"/>
              </w:rPr>
              <w:t>9</w:t>
            </w:r>
          </w:p>
        </w:tc>
        <w:tc>
          <w:tcPr>
            <w:tcW w:w="360" w:type="dxa"/>
            <w:tcBorders>
              <w:top w:val="single" w:sz="4" w:space="0" w:color="auto"/>
            </w:tcBorders>
          </w:tcPr>
          <w:p>
            <w:pPr>
              <w:pStyle w:val="yTable"/>
              <w:rPr>
                <w:sz w:val="14"/>
              </w:rPr>
            </w:pPr>
            <w:r>
              <w:rPr>
                <w:sz w:val="14"/>
              </w:rPr>
              <w:t>10</w:t>
            </w:r>
          </w:p>
        </w:tc>
        <w:tc>
          <w:tcPr>
            <w:tcW w:w="360" w:type="dxa"/>
            <w:tcBorders>
              <w:top w:val="single" w:sz="4" w:space="0" w:color="auto"/>
            </w:tcBorders>
          </w:tcPr>
          <w:p>
            <w:pPr>
              <w:pStyle w:val="yTable"/>
              <w:rPr>
                <w:sz w:val="14"/>
              </w:rPr>
            </w:pPr>
            <w:r>
              <w:rPr>
                <w:sz w:val="14"/>
              </w:rPr>
              <w:t>11</w:t>
            </w:r>
          </w:p>
        </w:tc>
        <w:tc>
          <w:tcPr>
            <w:tcW w:w="360" w:type="dxa"/>
            <w:gridSpan w:val="2"/>
            <w:tcBorders>
              <w:top w:val="single" w:sz="4" w:space="0" w:color="auto"/>
            </w:tcBorders>
          </w:tcPr>
          <w:p>
            <w:pPr>
              <w:pStyle w:val="yTable"/>
              <w:rPr>
                <w:sz w:val="14"/>
              </w:rPr>
            </w:pPr>
            <w:r>
              <w:rPr>
                <w:sz w:val="14"/>
              </w:rPr>
              <w:t>12</w:t>
            </w:r>
          </w:p>
        </w:tc>
        <w:tc>
          <w:tcPr>
            <w:tcW w:w="360" w:type="dxa"/>
            <w:tcBorders>
              <w:top w:val="single" w:sz="4" w:space="0" w:color="auto"/>
            </w:tcBorders>
          </w:tcPr>
          <w:p>
            <w:pPr>
              <w:pStyle w:val="yTable"/>
              <w:rPr>
                <w:sz w:val="14"/>
              </w:rPr>
            </w:pPr>
            <w:r>
              <w:rPr>
                <w:sz w:val="14"/>
              </w:rPr>
              <w:t>13</w:t>
            </w:r>
          </w:p>
        </w:tc>
        <w:tc>
          <w:tcPr>
            <w:tcW w:w="360" w:type="dxa"/>
            <w:tcBorders>
              <w:top w:val="single" w:sz="4" w:space="0" w:color="auto"/>
            </w:tcBorders>
          </w:tcPr>
          <w:p>
            <w:pPr>
              <w:pStyle w:val="yTable"/>
              <w:rPr>
                <w:sz w:val="14"/>
              </w:rPr>
            </w:pPr>
            <w:r>
              <w:rPr>
                <w:sz w:val="14"/>
              </w:rPr>
              <w:t>14</w:t>
            </w:r>
          </w:p>
        </w:tc>
        <w:tc>
          <w:tcPr>
            <w:tcW w:w="360" w:type="dxa"/>
            <w:tcBorders>
              <w:top w:val="single" w:sz="4" w:space="0" w:color="auto"/>
            </w:tcBorders>
          </w:tcPr>
          <w:p>
            <w:pPr>
              <w:pStyle w:val="yTable"/>
              <w:rPr>
                <w:sz w:val="14"/>
              </w:rPr>
            </w:pPr>
            <w:r>
              <w:rPr>
                <w:sz w:val="14"/>
              </w:rPr>
              <w:t>15</w:t>
            </w:r>
          </w:p>
        </w:tc>
        <w:tc>
          <w:tcPr>
            <w:tcW w:w="360" w:type="dxa"/>
            <w:tcBorders>
              <w:top w:val="single" w:sz="4" w:space="0" w:color="auto"/>
            </w:tcBorders>
          </w:tcPr>
          <w:p>
            <w:pPr>
              <w:pStyle w:val="yTable"/>
              <w:rPr>
                <w:sz w:val="14"/>
              </w:rPr>
            </w:pPr>
            <w:r>
              <w:rPr>
                <w:sz w:val="14"/>
              </w:rPr>
              <w:t>16</w:t>
            </w:r>
          </w:p>
        </w:tc>
        <w:tc>
          <w:tcPr>
            <w:tcW w:w="360" w:type="dxa"/>
            <w:tcBorders>
              <w:top w:val="single" w:sz="4" w:space="0" w:color="auto"/>
            </w:tcBorders>
          </w:tcPr>
          <w:p>
            <w:pPr>
              <w:pStyle w:val="yTable"/>
              <w:rPr>
                <w:sz w:val="14"/>
              </w:rPr>
            </w:pPr>
            <w:r>
              <w:rPr>
                <w:sz w:val="14"/>
              </w:rPr>
              <w:t>17</w:t>
            </w:r>
          </w:p>
        </w:tc>
        <w:tc>
          <w:tcPr>
            <w:tcW w:w="360" w:type="dxa"/>
            <w:tcBorders>
              <w:top w:val="single" w:sz="4" w:space="0" w:color="auto"/>
            </w:tcBorders>
          </w:tcPr>
          <w:p>
            <w:pPr>
              <w:pStyle w:val="yTable"/>
              <w:rPr>
                <w:sz w:val="14"/>
              </w:rPr>
            </w:pPr>
            <w:r>
              <w:rPr>
                <w:sz w:val="14"/>
              </w:rPr>
              <w:t>18</w:t>
            </w:r>
          </w:p>
        </w:tc>
        <w:tc>
          <w:tcPr>
            <w:tcW w:w="360" w:type="dxa"/>
            <w:tcBorders>
              <w:top w:val="single" w:sz="4" w:space="0" w:color="auto"/>
            </w:tcBorders>
          </w:tcPr>
          <w:p>
            <w:pPr>
              <w:pStyle w:val="yTable"/>
              <w:rPr>
                <w:sz w:val="14"/>
              </w:rPr>
            </w:pPr>
            <w:r>
              <w:rPr>
                <w:sz w:val="14"/>
              </w:rPr>
              <w:t>19</w:t>
            </w:r>
          </w:p>
        </w:tc>
        <w:tc>
          <w:tcPr>
            <w:tcW w:w="360" w:type="dxa"/>
            <w:tcBorders>
              <w:top w:val="single" w:sz="4" w:space="0" w:color="auto"/>
            </w:tcBorders>
          </w:tcPr>
          <w:p>
            <w:pPr>
              <w:pStyle w:val="yTable"/>
              <w:rPr>
                <w:sz w:val="14"/>
              </w:rPr>
            </w:pPr>
            <w:r>
              <w:rPr>
                <w:sz w:val="14"/>
              </w:rPr>
              <w:t>20</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r>
              <w:rPr>
                <w:sz w:val="14"/>
              </w:rPr>
              <w:t>Six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gridSpan w:val="2"/>
          </w:tcPr>
          <w:p>
            <w:pPr>
              <w:pStyle w:val="yTable"/>
              <w:spacing w:before="0"/>
              <w:rPr>
                <w:sz w:val="14"/>
              </w:rPr>
            </w:pPr>
            <w:r>
              <w:rPr>
                <w:sz w:val="14"/>
              </w:rPr>
              <w:t>30</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120</w:t>
            </w:r>
          </w:p>
        </w:tc>
        <w:tc>
          <w:tcPr>
            <w:tcW w:w="360" w:type="dxa"/>
            <w:gridSpan w:val="2"/>
          </w:tcPr>
          <w:p>
            <w:pPr>
              <w:pStyle w:val="yTable"/>
              <w:spacing w:before="0"/>
              <w:rPr>
                <w:sz w:val="14"/>
              </w:rPr>
            </w:pPr>
            <w:r>
              <w:rPr>
                <w:sz w:val="14"/>
              </w:rPr>
              <w:t>200</w:t>
            </w:r>
          </w:p>
        </w:tc>
        <w:tc>
          <w:tcPr>
            <w:tcW w:w="360" w:type="dxa"/>
          </w:tcPr>
          <w:p>
            <w:pPr>
              <w:pStyle w:val="yTable"/>
              <w:spacing w:before="0"/>
              <w:rPr>
                <w:sz w:val="14"/>
              </w:rPr>
            </w:pPr>
            <w:r>
              <w:rPr>
                <w:sz w:val="14"/>
              </w:rPr>
              <w:t>300</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560</w:t>
            </w:r>
          </w:p>
        </w:tc>
        <w:tc>
          <w:tcPr>
            <w:tcW w:w="360" w:type="dxa"/>
          </w:tcPr>
          <w:p>
            <w:pPr>
              <w:pStyle w:val="yTable"/>
              <w:spacing w:before="0"/>
              <w:rPr>
                <w:sz w:val="14"/>
              </w:rPr>
            </w:pPr>
            <w:r>
              <w:rPr>
                <w:sz w:val="14"/>
              </w:rPr>
              <w:t>720</w:t>
            </w:r>
          </w:p>
        </w:tc>
        <w:tc>
          <w:tcPr>
            <w:tcW w:w="360" w:type="dxa"/>
          </w:tcPr>
          <w:p>
            <w:pPr>
              <w:pStyle w:val="yTable"/>
              <w:spacing w:before="0"/>
              <w:rPr>
                <w:sz w:val="14"/>
              </w:rPr>
            </w:pPr>
            <w:r>
              <w:rPr>
                <w:sz w:val="14"/>
              </w:rPr>
              <w:t>900</w:t>
            </w:r>
          </w:p>
        </w:tc>
        <w:tc>
          <w:tcPr>
            <w:tcW w:w="360" w:type="dxa"/>
          </w:tcPr>
          <w:p>
            <w:pPr>
              <w:pStyle w:val="yTable"/>
              <w:spacing w:before="0"/>
              <w:rPr>
                <w:sz w:val="14"/>
              </w:rPr>
            </w:pPr>
            <w:r>
              <w:rPr>
                <w:sz w:val="14"/>
              </w:rPr>
              <w:t>1100</w:t>
            </w:r>
          </w:p>
        </w:tc>
        <w:tc>
          <w:tcPr>
            <w:tcW w:w="360" w:type="dxa"/>
          </w:tcPr>
          <w:p>
            <w:pPr>
              <w:pStyle w:val="yTable"/>
              <w:spacing w:before="0"/>
              <w:rPr>
                <w:sz w:val="14"/>
              </w:rPr>
            </w:pPr>
            <w:r>
              <w:rPr>
                <w:sz w:val="14"/>
              </w:rPr>
              <w:t>1320</w:t>
            </w:r>
          </w:p>
        </w:tc>
        <w:tc>
          <w:tcPr>
            <w:tcW w:w="360" w:type="dxa"/>
          </w:tcPr>
          <w:p>
            <w:pPr>
              <w:pStyle w:val="yTable"/>
              <w:spacing w:before="0"/>
              <w:rPr>
                <w:sz w:val="14"/>
              </w:rPr>
            </w:pPr>
            <w:r>
              <w:rPr>
                <w:sz w:val="14"/>
              </w:rPr>
              <w:t>1560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Six</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30</w:t>
            </w:r>
          </w:p>
        </w:tc>
        <w:tc>
          <w:tcPr>
            <w:tcW w:w="360" w:type="dxa"/>
            <w:gridSpan w:val="2"/>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84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gridSpan w:val="2"/>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5</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7</w:t>
            </w:r>
          </w:p>
        </w:tc>
        <w:tc>
          <w:tcPr>
            <w:tcW w:w="360" w:type="dxa"/>
          </w:tcPr>
          <w:p>
            <w:pPr>
              <w:pStyle w:val="yTable"/>
              <w:spacing w:before="0"/>
              <w:rPr>
                <w:sz w:val="14"/>
              </w:rPr>
            </w:pPr>
            <w:r>
              <w:rPr>
                <w:sz w:val="14"/>
              </w:rPr>
              <w:t>8</w:t>
            </w:r>
          </w:p>
        </w:tc>
        <w:tc>
          <w:tcPr>
            <w:tcW w:w="360" w:type="dxa"/>
          </w:tcPr>
          <w:p>
            <w:pPr>
              <w:pStyle w:val="yTable"/>
              <w:spacing w:before="0"/>
              <w:rPr>
                <w:sz w:val="14"/>
              </w:rPr>
            </w:pPr>
            <w:r>
              <w:rPr>
                <w:sz w:val="14"/>
              </w:rPr>
              <w:t>9</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11</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13</w:t>
            </w:r>
          </w:p>
        </w:tc>
        <w:tc>
          <w:tcPr>
            <w:tcW w:w="360" w:type="dxa"/>
          </w:tcPr>
          <w:p>
            <w:pPr>
              <w:pStyle w:val="yTable"/>
              <w:spacing w:before="0"/>
              <w:rPr>
                <w:sz w:val="14"/>
              </w:rPr>
            </w:pPr>
            <w:r>
              <w:rPr>
                <w:sz w:val="14"/>
              </w:rPr>
              <w:t>14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50</w:t>
            </w:r>
          </w:p>
        </w:tc>
        <w:tc>
          <w:tcPr>
            <w:tcW w:w="360" w:type="dxa"/>
          </w:tcPr>
          <w:p>
            <w:pPr>
              <w:pStyle w:val="yTable"/>
              <w:spacing w:before="0"/>
              <w:rPr>
                <w:sz w:val="14"/>
              </w:rPr>
            </w:pPr>
            <w:r>
              <w:rPr>
                <w:sz w:val="14"/>
              </w:rPr>
              <w:t>75</w:t>
            </w:r>
          </w:p>
        </w:tc>
        <w:tc>
          <w:tcPr>
            <w:tcW w:w="360" w:type="dxa"/>
            <w:gridSpan w:val="2"/>
          </w:tcPr>
          <w:p>
            <w:pPr>
              <w:pStyle w:val="yTable"/>
              <w:spacing w:before="0"/>
              <w:rPr>
                <w:sz w:val="14"/>
              </w:rPr>
            </w:pPr>
            <w:r>
              <w:rPr>
                <w:sz w:val="14"/>
              </w:rPr>
              <w:t>105</w:t>
            </w:r>
          </w:p>
        </w:tc>
        <w:tc>
          <w:tcPr>
            <w:tcW w:w="360" w:type="dxa"/>
          </w:tcPr>
          <w:p>
            <w:pPr>
              <w:pStyle w:val="yTable"/>
              <w:spacing w:before="0"/>
              <w:rPr>
                <w:sz w:val="14"/>
              </w:rPr>
            </w:pPr>
            <w:r>
              <w:rPr>
                <w:sz w:val="14"/>
              </w:rPr>
              <w:t>140</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225</w:t>
            </w:r>
          </w:p>
        </w:tc>
        <w:tc>
          <w:tcPr>
            <w:tcW w:w="360" w:type="dxa"/>
          </w:tcPr>
          <w:p>
            <w:pPr>
              <w:pStyle w:val="yTable"/>
              <w:spacing w:before="0"/>
              <w:rPr>
                <w:sz w:val="14"/>
              </w:rPr>
            </w:pPr>
            <w:r>
              <w:rPr>
                <w:sz w:val="14"/>
              </w:rPr>
              <w:t>275</w:t>
            </w:r>
          </w:p>
        </w:tc>
        <w:tc>
          <w:tcPr>
            <w:tcW w:w="360" w:type="dxa"/>
          </w:tcPr>
          <w:p>
            <w:pPr>
              <w:pStyle w:val="yTable"/>
              <w:spacing w:before="0"/>
              <w:rPr>
                <w:sz w:val="14"/>
              </w:rPr>
            </w:pPr>
            <w:r>
              <w:rPr>
                <w:sz w:val="14"/>
              </w:rPr>
              <w:t>330</w:t>
            </w:r>
          </w:p>
        </w:tc>
        <w:tc>
          <w:tcPr>
            <w:tcW w:w="360" w:type="dxa"/>
          </w:tcPr>
          <w:p>
            <w:pPr>
              <w:pStyle w:val="yTable"/>
              <w:spacing w:before="0"/>
              <w:rPr>
                <w:sz w:val="14"/>
              </w:rPr>
            </w:pPr>
            <w:r>
              <w:rPr>
                <w:sz w:val="14"/>
              </w:rPr>
              <w:t>390</w:t>
            </w:r>
          </w:p>
        </w:tc>
        <w:tc>
          <w:tcPr>
            <w:tcW w:w="360" w:type="dxa"/>
          </w:tcPr>
          <w:p>
            <w:pPr>
              <w:pStyle w:val="yTable"/>
              <w:spacing w:before="0"/>
              <w:rPr>
                <w:sz w:val="14"/>
              </w:rPr>
            </w:pPr>
            <w:r>
              <w:rPr>
                <w:sz w:val="14"/>
              </w:rPr>
              <w:t>455</w:t>
            </w:r>
          </w:p>
        </w:tc>
        <w:tc>
          <w:tcPr>
            <w:tcW w:w="360" w:type="dxa"/>
          </w:tcPr>
          <w:p>
            <w:pPr>
              <w:pStyle w:val="yTable"/>
              <w:spacing w:before="0"/>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100</w:t>
            </w:r>
          </w:p>
        </w:tc>
        <w:tc>
          <w:tcPr>
            <w:tcW w:w="360" w:type="dxa"/>
            <w:gridSpan w:val="2"/>
          </w:tcPr>
          <w:p>
            <w:pPr>
              <w:pStyle w:val="yTable"/>
              <w:spacing w:before="0"/>
              <w:rPr>
                <w:sz w:val="14"/>
              </w:rPr>
            </w:pPr>
            <w:r>
              <w:rPr>
                <w:sz w:val="14"/>
              </w:rPr>
              <w:t>150</w:t>
            </w:r>
          </w:p>
        </w:tc>
        <w:tc>
          <w:tcPr>
            <w:tcW w:w="360" w:type="dxa"/>
          </w:tcPr>
          <w:p>
            <w:pPr>
              <w:pStyle w:val="yTable"/>
              <w:spacing w:before="0"/>
              <w:rPr>
                <w:sz w:val="14"/>
              </w:rPr>
            </w:pPr>
            <w:r>
              <w:rPr>
                <w:sz w:val="14"/>
              </w:rPr>
              <w:t>210</w:t>
            </w:r>
          </w:p>
        </w:tc>
        <w:tc>
          <w:tcPr>
            <w:tcW w:w="360" w:type="dxa"/>
          </w:tcPr>
          <w:p>
            <w:pPr>
              <w:pStyle w:val="yTable"/>
              <w:spacing w:before="0"/>
              <w:rPr>
                <w:sz w:val="14"/>
              </w:rPr>
            </w:pPr>
            <w:r>
              <w:rPr>
                <w:sz w:val="14"/>
              </w:rPr>
              <w:t>280</w:t>
            </w:r>
          </w:p>
        </w:tc>
        <w:tc>
          <w:tcPr>
            <w:tcW w:w="360" w:type="dxa"/>
          </w:tcPr>
          <w:p>
            <w:pPr>
              <w:pStyle w:val="yTable"/>
              <w:spacing w:before="0"/>
              <w:rPr>
                <w:sz w:val="14"/>
              </w:rPr>
            </w:pPr>
            <w:r>
              <w:rPr>
                <w:sz w:val="14"/>
              </w:rPr>
              <w:t>360</w:t>
            </w:r>
          </w:p>
        </w:tc>
        <w:tc>
          <w:tcPr>
            <w:tcW w:w="360" w:type="dxa"/>
          </w:tcPr>
          <w:p>
            <w:pPr>
              <w:pStyle w:val="yTable"/>
              <w:spacing w:before="0"/>
              <w:rPr>
                <w:sz w:val="14"/>
              </w:rPr>
            </w:pPr>
            <w:r>
              <w:rPr>
                <w:sz w:val="14"/>
              </w:rPr>
              <w:t>450</w:t>
            </w:r>
          </w:p>
        </w:tc>
        <w:tc>
          <w:tcPr>
            <w:tcW w:w="360" w:type="dxa"/>
          </w:tcPr>
          <w:p>
            <w:pPr>
              <w:pStyle w:val="yTable"/>
              <w:spacing w:before="0"/>
              <w:rPr>
                <w:sz w:val="14"/>
              </w:rPr>
            </w:pPr>
            <w:r>
              <w:rPr>
                <w:sz w:val="14"/>
              </w:rPr>
              <w:t>550</w:t>
            </w:r>
          </w:p>
        </w:tc>
        <w:tc>
          <w:tcPr>
            <w:tcW w:w="360" w:type="dxa"/>
          </w:tcPr>
          <w:p>
            <w:pPr>
              <w:pStyle w:val="yTable"/>
              <w:spacing w:before="0"/>
              <w:rPr>
                <w:sz w:val="14"/>
              </w:rPr>
            </w:pPr>
            <w:r>
              <w:rPr>
                <w:sz w:val="14"/>
              </w:rPr>
              <w:t>660</w:t>
            </w:r>
          </w:p>
        </w:tc>
        <w:tc>
          <w:tcPr>
            <w:tcW w:w="360" w:type="dxa"/>
          </w:tcPr>
          <w:p>
            <w:pPr>
              <w:pStyle w:val="yTable"/>
              <w:spacing w:before="0"/>
              <w:rPr>
                <w:sz w:val="14"/>
              </w:rPr>
            </w:pPr>
            <w:r>
              <w:rPr>
                <w:sz w:val="14"/>
              </w:rPr>
              <w:t>780</w:t>
            </w:r>
          </w:p>
        </w:tc>
        <w:tc>
          <w:tcPr>
            <w:tcW w:w="360" w:type="dxa"/>
          </w:tcPr>
          <w:p>
            <w:pPr>
              <w:pStyle w:val="yTable"/>
              <w:spacing w:before="0"/>
              <w:rPr>
                <w:sz w:val="14"/>
              </w:rPr>
            </w:pPr>
            <w:r>
              <w:rPr>
                <w:sz w:val="14"/>
              </w:rPr>
              <w:t>910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t>31</w:t>
            </w:r>
          </w:p>
        </w:tc>
        <w:tc>
          <w:tcPr>
            <w:tcW w:w="360" w:type="dxa"/>
          </w:tcPr>
          <w:p>
            <w:pPr>
              <w:pStyle w:val="yTable"/>
              <w:rPr>
                <w:sz w:val="14"/>
              </w:rPr>
            </w:pPr>
            <w:r>
              <w:rPr>
                <w:sz w:val="14"/>
              </w:rPr>
              <w:noBreakHyphen/>
            </w:r>
          </w:p>
        </w:tc>
        <w:tc>
          <w:tcPr>
            <w:tcW w:w="360" w:type="dxa"/>
          </w:tcPr>
          <w:p>
            <w:pPr>
              <w:pStyle w:val="yTable"/>
              <w:rPr>
                <w:sz w:val="14"/>
              </w:rPr>
            </w:pPr>
            <w:r>
              <w:rPr>
                <w:sz w:val="14"/>
              </w:rPr>
              <w:t>2</w:t>
            </w:r>
          </w:p>
        </w:tc>
        <w:tc>
          <w:tcPr>
            <w:tcW w:w="360" w:type="dxa"/>
          </w:tcPr>
          <w:p>
            <w:pPr>
              <w:pStyle w:val="yTable"/>
              <w:rPr>
                <w:sz w:val="14"/>
              </w:rPr>
            </w:pPr>
            <w:r>
              <w:rPr>
                <w:sz w:val="14"/>
              </w:rPr>
              <w:t>3</w:t>
            </w:r>
          </w:p>
        </w:tc>
        <w:tc>
          <w:tcPr>
            <w:tcW w:w="360" w:type="dxa"/>
          </w:tcPr>
          <w:p>
            <w:pPr>
              <w:pStyle w:val="yTable"/>
              <w:rPr>
                <w:sz w:val="14"/>
              </w:rPr>
            </w:pPr>
            <w:r>
              <w:rPr>
                <w:sz w:val="14"/>
              </w:rPr>
              <w:t>4</w:t>
            </w:r>
          </w:p>
        </w:tc>
        <w:tc>
          <w:tcPr>
            <w:tcW w:w="360" w:type="dxa"/>
          </w:tcPr>
          <w:p>
            <w:pPr>
              <w:pStyle w:val="yTable"/>
              <w:rPr>
                <w:sz w:val="14"/>
              </w:rPr>
            </w:pPr>
            <w:r>
              <w:rPr>
                <w:sz w:val="14"/>
              </w:rPr>
              <w:t>5</w:t>
            </w:r>
          </w:p>
        </w:tc>
        <w:tc>
          <w:tcPr>
            <w:tcW w:w="360" w:type="dxa"/>
          </w:tcPr>
          <w:p>
            <w:pPr>
              <w:pStyle w:val="yTable"/>
              <w:rPr>
                <w:sz w:val="14"/>
              </w:rPr>
            </w:pPr>
            <w:r>
              <w:rPr>
                <w:sz w:val="14"/>
              </w:rPr>
              <w:t>6</w:t>
            </w:r>
          </w:p>
        </w:tc>
        <w:tc>
          <w:tcPr>
            <w:tcW w:w="360" w:type="dxa"/>
            <w:gridSpan w:val="2"/>
          </w:tcPr>
          <w:p>
            <w:pPr>
              <w:pStyle w:val="yTable"/>
              <w:rPr>
                <w:sz w:val="14"/>
              </w:rPr>
            </w:pPr>
            <w:r>
              <w:rPr>
                <w:sz w:val="14"/>
              </w:rPr>
              <w:t>7</w:t>
            </w:r>
          </w:p>
        </w:tc>
        <w:tc>
          <w:tcPr>
            <w:tcW w:w="360" w:type="dxa"/>
          </w:tcPr>
          <w:p>
            <w:pPr>
              <w:pStyle w:val="yTable"/>
              <w:rPr>
                <w:sz w:val="14"/>
              </w:rPr>
            </w:pPr>
            <w:r>
              <w:rPr>
                <w:sz w:val="14"/>
              </w:rPr>
              <w:t>8</w:t>
            </w:r>
          </w:p>
        </w:tc>
        <w:tc>
          <w:tcPr>
            <w:tcW w:w="360" w:type="dxa"/>
          </w:tcPr>
          <w:p>
            <w:pPr>
              <w:pStyle w:val="yTable"/>
              <w:rPr>
                <w:sz w:val="14"/>
              </w:rPr>
            </w:pPr>
            <w:r>
              <w:rPr>
                <w:sz w:val="14"/>
              </w:rPr>
              <w:t>9</w:t>
            </w:r>
          </w:p>
        </w:tc>
        <w:tc>
          <w:tcPr>
            <w:tcW w:w="360" w:type="dxa"/>
          </w:tcPr>
          <w:p>
            <w:pPr>
              <w:pStyle w:val="yTable"/>
              <w:rPr>
                <w:sz w:val="14"/>
              </w:rPr>
            </w:pPr>
            <w:r>
              <w:rPr>
                <w:sz w:val="14"/>
              </w:rPr>
              <w:t>10</w:t>
            </w:r>
          </w:p>
        </w:tc>
        <w:tc>
          <w:tcPr>
            <w:tcW w:w="360" w:type="dxa"/>
          </w:tcPr>
          <w:p>
            <w:pPr>
              <w:pStyle w:val="yTable"/>
              <w:rPr>
                <w:sz w:val="14"/>
              </w:rPr>
            </w:pPr>
            <w:r>
              <w:rPr>
                <w:sz w:val="14"/>
              </w:rPr>
              <w:t>11</w:t>
            </w:r>
          </w:p>
        </w:tc>
        <w:tc>
          <w:tcPr>
            <w:tcW w:w="360" w:type="dxa"/>
          </w:tcPr>
          <w:p>
            <w:pPr>
              <w:pStyle w:val="yTable"/>
              <w:rPr>
                <w:sz w:val="14"/>
              </w:rPr>
            </w:pPr>
            <w:r>
              <w:rPr>
                <w:sz w:val="14"/>
              </w:rPr>
              <w:t>12</w:t>
            </w:r>
          </w:p>
        </w:tc>
        <w:tc>
          <w:tcPr>
            <w:tcW w:w="360" w:type="dxa"/>
          </w:tcPr>
          <w:p>
            <w:pPr>
              <w:pStyle w:val="yTable"/>
              <w:rPr>
                <w:sz w:val="14"/>
              </w:rPr>
            </w:pPr>
            <w:r>
              <w:rPr>
                <w:sz w:val="14"/>
              </w:rPr>
              <w:t>13</w:t>
            </w:r>
          </w:p>
        </w:tc>
        <w:tc>
          <w:tcPr>
            <w:tcW w:w="360" w:type="dxa"/>
          </w:tcPr>
          <w:p>
            <w:pPr>
              <w:pStyle w:val="yTable"/>
              <w:rPr>
                <w:sz w:val="14"/>
              </w:rPr>
            </w:pPr>
            <w:r>
              <w:rPr>
                <w:sz w:val="14"/>
              </w:rPr>
              <w:t>14</w:t>
            </w:r>
          </w:p>
        </w:tc>
        <w:tc>
          <w:tcPr>
            <w:tcW w:w="360" w:type="dxa"/>
          </w:tcPr>
          <w:p>
            <w:pPr>
              <w:pStyle w:val="yTable"/>
              <w:rPr>
                <w:sz w:val="14"/>
              </w:rPr>
            </w:pPr>
            <w:r>
              <w:rPr>
                <w:sz w:val="14"/>
              </w:rPr>
              <w:t>15</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5</w:t>
            </w:r>
          </w:p>
        </w:tc>
        <w:tc>
          <w:tcPr>
            <w:tcW w:w="360" w:type="dxa"/>
          </w:tcPr>
          <w:p>
            <w:pPr>
              <w:pStyle w:val="yTable"/>
              <w:rPr>
                <w:sz w:val="14"/>
              </w:rPr>
            </w:pPr>
            <w:r>
              <w:rPr>
                <w:sz w:val="14"/>
              </w:rPr>
              <w:t>15</w:t>
            </w:r>
          </w:p>
        </w:tc>
        <w:tc>
          <w:tcPr>
            <w:tcW w:w="360" w:type="dxa"/>
          </w:tcPr>
          <w:p>
            <w:pPr>
              <w:pStyle w:val="yTable"/>
              <w:rPr>
                <w:sz w:val="14"/>
              </w:rPr>
            </w:pPr>
            <w:r>
              <w:rPr>
                <w:sz w:val="14"/>
              </w:rPr>
              <w:t>30</w:t>
            </w:r>
          </w:p>
        </w:tc>
        <w:tc>
          <w:tcPr>
            <w:tcW w:w="360" w:type="dxa"/>
          </w:tcPr>
          <w:p>
            <w:pPr>
              <w:pStyle w:val="yTable"/>
              <w:rPr>
                <w:sz w:val="14"/>
              </w:rPr>
            </w:pPr>
            <w:r>
              <w:rPr>
                <w:sz w:val="14"/>
              </w:rPr>
              <w:t>50</w:t>
            </w:r>
          </w:p>
        </w:tc>
        <w:tc>
          <w:tcPr>
            <w:tcW w:w="360" w:type="dxa"/>
          </w:tcPr>
          <w:p>
            <w:pPr>
              <w:pStyle w:val="yTable"/>
              <w:rPr>
                <w:sz w:val="14"/>
              </w:rPr>
            </w:pPr>
            <w:r>
              <w:rPr>
                <w:sz w:val="14"/>
              </w:rPr>
              <w:t>75</w:t>
            </w:r>
          </w:p>
        </w:tc>
        <w:tc>
          <w:tcPr>
            <w:tcW w:w="360" w:type="dxa"/>
            <w:gridSpan w:val="2"/>
          </w:tcPr>
          <w:p>
            <w:pPr>
              <w:pStyle w:val="yTable"/>
              <w:rPr>
                <w:sz w:val="14"/>
              </w:rPr>
            </w:pPr>
            <w:r>
              <w:rPr>
                <w:sz w:val="14"/>
              </w:rPr>
              <w:t>105</w:t>
            </w:r>
          </w:p>
        </w:tc>
        <w:tc>
          <w:tcPr>
            <w:tcW w:w="360" w:type="dxa"/>
          </w:tcPr>
          <w:p>
            <w:pPr>
              <w:pStyle w:val="yTable"/>
              <w:rPr>
                <w:sz w:val="14"/>
              </w:rPr>
            </w:pPr>
            <w:r>
              <w:rPr>
                <w:sz w:val="14"/>
              </w:rPr>
              <w:t>140</w:t>
            </w:r>
          </w:p>
        </w:tc>
        <w:tc>
          <w:tcPr>
            <w:tcW w:w="360" w:type="dxa"/>
          </w:tcPr>
          <w:p>
            <w:pPr>
              <w:pStyle w:val="yTable"/>
              <w:rPr>
                <w:sz w:val="14"/>
              </w:rPr>
            </w:pPr>
            <w:r>
              <w:rPr>
                <w:sz w:val="14"/>
              </w:rPr>
              <w:t>180</w:t>
            </w:r>
          </w:p>
        </w:tc>
        <w:tc>
          <w:tcPr>
            <w:tcW w:w="360" w:type="dxa"/>
          </w:tcPr>
          <w:p>
            <w:pPr>
              <w:pStyle w:val="yTable"/>
              <w:rPr>
                <w:sz w:val="14"/>
              </w:rPr>
            </w:pPr>
            <w:r>
              <w:rPr>
                <w:sz w:val="14"/>
              </w:rPr>
              <w:t>225</w:t>
            </w:r>
          </w:p>
        </w:tc>
        <w:tc>
          <w:tcPr>
            <w:tcW w:w="360" w:type="dxa"/>
          </w:tcPr>
          <w:p>
            <w:pPr>
              <w:pStyle w:val="yTable"/>
              <w:rPr>
                <w:sz w:val="14"/>
              </w:rPr>
            </w:pPr>
            <w:r>
              <w:rPr>
                <w:sz w:val="14"/>
              </w:rPr>
              <w:t>275</w:t>
            </w:r>
          </w:p>
        </w:tc>
        <w:tc>
          <w:tcPr>
            <w:tcW w:w="360" w:type="dxa"/>
          </w:tcPr>
          <w:p>
            <w:pPr>
              <w:pStyle w:val="yTable"/>
              <w:rPr>
                <w:sz w:val="14"/>
              </w:rPr>
            </w:pPr>
            <w:r>
              <w:rPr>
                <w:sz w:val="14"/>
              </w:rPr>
              <w:t>330</w:t>
            </w:r>
          </w:p>
        </w:tc>
        <w:tc>
          <w:tcPr>
            <w:tcW w:w="360" w:type="dxa"/>
          </w:tcPr>
          <w:p>
            <w:pPr>
              <w:pStyle w:val="yTable"/>
              <w:rPr>
                <w:sz w:val="14"/>
              </w:rPr>
            </w:pPr>
            <w:r>
              <w:rPr>
                <w:sz w:val="14"/>
              </w:rPr>
              <w:t>390</w:t>
            </w:r>
          </w:p>
        </w:tc>
        <w:tc>
          <w:tcPr>
            <w:tcW w:w="360" w:type="dxa"/>
          </w:tcPr>
          <w:p>
            <w:pPr>
              <w:pStyle w:val="yTable"/>
              <w:rPr>
                <w:sz w:val="14"/>
              </w:rPr>
            </w:pPr>
            <w:r>
              <w:rPr>
                <w:sz w:val="14"/>
              </w:rPr>
              <w:t>455</w:t>
            </w:r>
          </w:p>
        </w:tc>
        <w:tc>
          <w:tcPr>
            <w:tcW w:w="360" w:type="dxa"/>
          </w:tcPr>
          <w:p>
            <w:pPr>
              <w:pStyle w:val="yTable"/>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40</w:t>
            </w:r>
          </w:p>
        </w:tc>
        <w:tc>
          <w:tcPr>
            <w:tcW w:w="360" w:type="dxa"/>
          </w:tcPr>
          <w:p>
            <w:pPr>
              <w:pStyle w:val="yTable"/>
              <w:spacing w:before="0"/>
              <w:rPr>
                <w:sz w:val="14"/>
              </w:rPr>
            </w:pPr>
            <w:r>
              <w:rPr>
                <w:sz w:val="14"/>
              </w:rPr>
              <w:t>60</w:t>
            </w:r>
          </w:p>
        </w:tc>
        <w:tc>
          <w:tcPr>
            <w:tcW w:w="360" w:type="dxa"/>
            <w:gridSpan w:val="2"/>
          </w:tcPr>
          <w:p>
            <w:pPr>
              <w:pStyle w:val="yTable"/>
              <w:spacing w:before="0"/>
              <w:rPr>
                <w:sz w:val="14"/>
              </w:rPr>
            </w:pPr>
            <w:r>
              <w:rPr>
                <w:sz w:val="14"/>
              </w:rPr>
              <w:t>84</w:t>
            </w:r>
          </w:p>
        </w:tc>
        <w:tc>
          <w:tcPr>
            <w:tcW w:w="360" w:type="dxa"/>
          </w:tcPr>
          <w:p>
            <w:pPr>
              <w:pStyle w:val="yTable"/>
              <w:spacing w:before="0"/>
              <w:rPr>
                <w:sz w:val="14"/>
              </w:rPr>
            </w:pPr>
            <w:r>
              <w:rPr>
                <w:sz w:val="14"/>
              </w:rPr>
              <w:t>112</w:t>
            </w:r>
          </w:p>
        </w:tc>
        <w:tc>
          <w:tcPr>
            <w:tcW w:w="360" w:type="dxa"/>
          </w:tcPr>
          <w:p>
            <w:pPr>
              <w:pStyle w:val="yTable"/>
              <w:spacing w:before="0"/>
              <w:rPr>
                <w:sz w:val="14"/>
              </w:rPr>
            </w:pPr>
            <w:r>
              <w:rPr>
                <w:sz w:val="14"/>
              </w:rPr>
              <w:t>144</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220</w:t>
            </w:r>
          </w:p>
        </w:tc>
        <w:tc>
          <w:tcPr>
            <w:tcW w:w="360" w:type="dxa"/>
          </w:tcPr>
          <w:p>
            <w:pPr>
              <w:pStyle w:val="yTable"/>
              <w:spacing w:before="0"/>
              <w:rPr>
                <w:sz w:val="14"/>
              </w:rPr>
            </w:pPr>
            <w:r>
              <w:rPr>
                <w:sz w:val="14"/>
              </w:rPr>
              <w:t>264</w:t>
            </w:r>
          </w:p>
        </w:tc>
        <w:tc>
          <w:tcPr>
            <w:tcW w:w="360" w:type="dxa"/>
          </w:tcPr>
          <w:p>
            <w:pPr>
              <w:pStyle w:val="yTable"/>
              <w:spacing w:before="0"/>
              <w:rPr>
                <w:sz w:val="14"/>
              </w:rPr>
            </w:pPr>
            <w:r>
              <w:rPr>
                <w:sz w:val="14"/>
              </w:rPr>
              <w:t>312</w:t>
            </w:r>
          </w:p>
        </w:tc>
        <w:tc>
          <w:tcPr>
            <w:tcW w:w="360" w:type="dxa"/>
          </w:tcPr>
          <w:p>
            <w:pPr>
              <w:pStyle w:val="yTable"/>
              <w:spacing w:before="0"/>
              <w:rPr>
                <w:sz w:val="14"/>
              </w:rPr>
            </w:pPr>
            <w:r>
              <w:rPr>
                <w:sz w:val="14"/>
              </w:rPr>
              <w:t>364</w:t>
            </w:r>
          </w:p>
        </w:tc>
        <w:tc>
          <w:tcPr>
            <w:tcW w:w="360" w:type="dxa"/>
          </w:tcPr>
          <w:p>
            <w:pPr>
              <w:pStyle w:val="yTable"/>
              <w:spacing w:before="0"/>
              <w:rPr>
                <w:sz w:val="14"/>
              </w:rPr>
            </w:pPr>
            <w:r>
              <w:rPr>
                <w:sz w:val="14"/>
              </w:rPr>
              <w:t>420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62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t>496</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keepNext/>
              <w:rPr>
                <w:sz w:val="14"/>
              </w:rPr>
            </w:pPr>
            <w:r>
              <w:rPr>
                <w:sz w:val="14"/>
              </w:rPr>
              <w:t>Three and One</w:t>
            </w:r>
          </w:p>
          <w:p>
            <w:pPr>
              <w:pStyle w:val="yTable"/>
              <w:keepNext/>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465</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Three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rPr>
                <w:sz w:val="14"/>
              </w:rPr>
            </w:pPr>
            <w:r>
              <w:rPr>
                <w:sz w:val="14"/>
              </w:rPr>
              <w:t>Two and One</w:t>
            </w:r>
          </w:p>
          <w:p>
            <w:pPr>
              <w:pStyle w:val="yTable"/>
              <w:keepNext/>
              <w:keepLines/>
              <w:spacing w:before="0"/>
              <w:rPr>
                <w:sz w:val="14"/>
              </w:rPr>
            </w:pPr>
            <w:r>
              <w:rPr>
                <w:sz w:val="14"/>
              </w:rPr>
              <w:t>Supplementary</w:t>
            </w: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gridSpan w:val="2"/>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r>
      <w:tr>
        <w:tblPrEx>
          <w:tblCellMar>
            <w:left w:w="0" w:type="dxa"/>
            <w:right w:w="0" w:type="dxa"/>
          </w:tblCellMar>
        </w:tblPrEx>
        <w:trPr>
          <w:gridBefore w:val="1"/>
          <w:wBefore w:w="108" w:type="dxa"/>
        </w:trPr>
        <w:tc>
          <w:tcPr>
            <w:tcW w:w="972" w:type="dxa"/>
            <w:gridSpan w:val="2"/>
          </w:tcPr>
          <w:p>
            <w:pPr>
              <w:pStyle w:val="yTable"/>
              <w:keepNext/>
              <w:keepLines/>
              <w:rPr>
                <w:sz w:val="14"/>
              </w:rPr>
            </w:pPr>
          </w:p>
        </w:tc>
        <w:tc>
          <w:tcPr>
            <w:tcW w:w="360" w:type="dxa"/>
          </w:tcPr>
          <w:p>
            <w:pPr>
              <w:pStyle w:val="yTable"/>
              <w:keepNext/>
              <w:keepLines/>
              <w:rPr>
                <w:sz w:val="14"/>
              </w:rPr>
            </w:pPr>
            <w:r>
              <w:rPr>
                <w:sz w:val="14"/>
              </w:rPr>
              <w:t>4</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t>6</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gridSpan w:val="2"/>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spacing w:before="0"/>
              <w:rPr>
                <w:sz w:val="14"/>
              </w:rPr>
            </w:pPr>
          </w:p>
        </w:tc>
        <w:tc>
          <w:tcPr>
            <w:tcW w:w="360" w:type="dxa"/>
          </w:tcPr>
          <w:p>
            <w:pPr>
              <w:pStyle w:val="yTable"/>
              <w:keepNext/>
              <w:keepLines/>
              <w:spacing w:before="0"/>
              <w:rPr>
                <w:sz w:val="14"/>
              </w:rPr>
            </w:pPr>
            <w:r>
              <w:rPr>
                <w:sz w:val="14"/>
              </w:rPr>
              <w:t>5</w:t>
            </w:r>
          </w:p>
        </w:tc>
        <w:tc>
          <w:tcPr>
            <w:tcW w:w="360" w:type="dxa"/>
          </w:tcPr>
          <w:p>
            <w:pPr>
              <w:pStyle w:val="yTable"/>
              <w:keepNext/>
              <w:keepLines/>
              <w:spacing w:before="0"/>
              <w:rPr>
                <w:sz w:val="14"/>
              </w:rPr>
            </w:pPr>
            <w:r>
              <w:rPr>
                <w:sz w:val="14"/>
              </w:rPr>
              <w:t>4</w:t>
            </w:r>
          </w:p>
        </w:tc>
        <w:tc>
          <w:tcPr>
            <w:tcW w:w="360" w:type="dxa"/>
          </w:tcPr>
          <w:p>
            <w:pPr>
              <w:pStyle w:val="yTable"/>
              <w:keepNext/>
              <w:keepLines/>
              <w:spacing w:before="0"/>
              <w:rPr>
                <w:sz w:val="14"/>
              </w:rPr>
            </w:pPr>
            <w:r>
              <w:rPr>
                <w:sz w:val="14"/>
              </w:rPr>
              <w:t>120</w:t>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gridSpan w:val="2"/>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One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5</w:t>
            </w:r>
          </w:p>
        </w:tc>
        <w:tc>
          <w:tcPr>
            <w:tcW w:w="360" w:type="dxa"/>
          </w:tcPr>
          <w:p>
            <w:pPr>
              <w:pStyle w:val="yTable"/>
              <w:rPr>
                <w:sz w:val="14"/>
              </w:rPr>
            </w:pPr>
            <w:r>
              <w:rPr>
                <w:sz w:val="14"/>
              </w:rPr>
              <w:noBreakHyphen/>
            </w:r>
          </w:p>
        </w:tc>
        <w:tc>
          <w:tcPr>
            <w:tcW w:w="360" w:type="dxa"/>
          </w:tcPr>
          <w:p>
            <w:pPr>
              <w:pStyle w:val="yTable"/>
              <w:rPr>
                <w:sz w:val="14"/>
              </w:rPr>
            </w:pPr>
            <w:r>
              <w:rPr>
                <w:sz w:val="14"/>
              </w:rPr>
              <w:t>10</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bl>
    <w:p>
      <w:pPr>
        <w:pStyle w:val="yScheduleHeading"/>
      </w:pPr>
      <w:bookmarkStart w:id="310" w:name="_Toc200446641"/>
      <w:bookmarkStart w:id="311" w:name="_Toc202950632"/>
      <w:bookmarkStart w:id="312" w:name="_Toc203203416"/>
      <w:bookmarkStart w:id="313" w:name="_Toc203280634"/>
      <w:bookmarkStart w:id="314" w:name="_Toc206208026"/>
      <w:bookmarkStart w:id="315" w:name="_Toc206297595"/>
      <w:bookmarkStart w:id="316" w:name="_Toc206317221"/>
      <w:bookmarkStart w:id="317" w:name="_Toc206317285"/>
      <w:bookmarkStart w:id="318" w:name="_Toc230162877"/>
      <w:bookmarkStart w:id="319" w:name="_Toc230162946"/>
      <w:bookmarkStart w:id="320" w:name="_Toc256151527"/>
      <w:r>
        <w:rPr>
          <w:rStyle w:val="CharSchNo"/>
        </w:rPr>
        <w:t>Schedule 4</w:t>
      </w:r>
      <w:r>
        <w:t> — </w:t>
      </w:r>
      <w:r>
        <w:rPr>
          <w:rStyle w:val="CharSchText"/>
        </w:rPr>
        <w:t>Summary of parameters within which Soccer Pools is conducted</w:t>
      </w:r>
      <w:bookmarkEnd w:id="310"/>
      <w:bookmarkEnd w:id="311"/>
      <w:bookmarkEnd w:id="312"/>
      <w:bookmarkEnd w:id="313"/>
      <w:bookmarkEnd w:id="314"/>
      <w:bookmarkEnd w:id="315"/>
      <w:bookmarkEnd w:id="316"/>
      <w:bookmarkEnd w:id="317"/>
      <w:bookmarkEnd w:id="318"/>
      <w:bookmarkEnd w:id="319"/>
      <w:bookmarkEnd w:id="320"/>
    </w:p>
    <w:p>
      <w:pPr>
        <w:pStyle w:val="yFootnoteheading"/>
        <w:spacing w:after="120"/>
      </w:pPr>
      <w:r>
        <w:tab/>
        <w:t>[Heading inserted in Gazette 6 Jun 2008 p. 2345.]</w:t>
      </w:r>
    </w:p>
    <w:tbl>
      <w:tblPr>
        <w:tblW w:w="0" w:type="auto"/>
        <w:tblInd w:w="8" w:type="dxa"/>
        <w:tblLayout w:type="fixed"/>
        <w:tblCellMar>
          <w:left w:w="0" w:type="dxa"/>
          <w:right w:w="0" w:type="dxa"/>
        </w:tblCellMar>
        <w:tblLook w:val="0000" w:firstRow="0" w:lastRow="0" w:firstColumn="0" w:lastColumn="0" w:noHBand="0" w:noVBand="0"/>
      </w:tblPr>
      <w:tblGrid>
        <w:gridCol w:w="4920"/>
        <w:gridCol w:w="42"/>
        <w:gridCol w:w="2126"/>
      </w:tblGrid>
      <w:tr>
        <w:tc>
          <w:tcPr>
            <w:tcW w:w="4962" w:type="dxa"/>
            <w:gridSpan w:val="2"/>
          </w:tcPr>
          <w:p>
            <w:pPr>
              <w:pStyle w:val="yTable"/>
              <w:keepNext/>
              <w:spacing w:before="0"/>
              <w:ind w:left="142" w:right="142"/>
              <w:rPr>
                <w:sz w:val="20"/>
              </w:rPr>
            </w:pPr>
            <w:r>
              <w:rPr>
                <w:sz w:val="20"/>
              </w:rPr>
              <w:t>Unit cost</w:t>
            </w:r>
          </w:p>
        </w:tc>
        <w:tc>
          <w:tcPr>
            <w:tcW w:w="2126" w:type="dxa"/>
          </w:tcPr>
          <w:p>
            <w:pPr>
              <w:pStyle w:val="yTable"/>
              <w:keepNext/>
              <w:spacing w:before="0"/>
              <w:ind w:left="141" w:right="142"/>
              <w:rPr>
                <w:sz w:val="20"/>
              </w:rPr>
            </w:pPr>
            <w:r>
              <w:rPr>
                <w:sz w:val="20"/>
              </w:rPr>
              <w:t>$0.50 + a 9% agent’s component</w:t>
            </w:r>
          </w:p>
        </w:tc>
      </w:tr>
      <w:tr>
        <w:tc>
          <w:tcPr>
            <w:tcW w:w="4962" w:type="dxa"/>
            <w:gridSpan w:val="2"/>
          </w:tcPr>
          <w:p>
            <w:pPr>
              <w:pStyle w:val="yTable"/>
              <w:keepNext/>
              <w:spacing w:before="0"/>
              <w:ind w:left="142" w:right="142"/>
              <w:rPr>
                <w:sz w:val="20"/>
              </w:rPr>
            </w:pPr>
            <w:r>
              <w:rPr>
                <w:sz w:val="20"/>
              </w:rPr>
              <w:t>Prize fund </w:t>
            </w:r>
            <w:r>
              <w:rPr>
                <w:snapToGrid w:val="0"/>
                <w:sz w:val="20"/>
              </w:rPr>
              <w:t>—</w:t>
            </w:r>
            <w:r>
              <w:rPr>
                <w:sz w:val="20"/>
              </w:rPr>
              <w:t xml:space="preserve"> % of base costs</w:t>
            </w:r>
          </w:p>
        </w:tc>
        <w:tc>
          <w:tcPr>
            <w:tcW w:w="2126" w:type="dxa"/>
          </w:tcPr>
          <w:p>
            <w:pPr>
              <w:pStyle w:val="yTable"/>
              <w:keepNext/>
              <w:spacing w:before="0"/>
              <w:ind w:left="141" w:right="142"/>
              <w:rPr>
                <w:sz w:val="20"/>
              </w:rPr>
            </w:pPr>
            <w:r>
              <w:rPr>
                <w:sz w:val="20"/>
              </w:rPr>
              <w:t>50.0%</w:t>
            </w:r>
          </w:p>
        </w:tc>
      </w:tr>
      <w:tr>
        <w:tc>
          <w:tcPr>
            <w:tcW w:w="4962" w:type="dxa"/>
            <w:gridSpan w:val="2"/>
          </w:tcPr>
          <w:p>
            <w:pPr>
              <w:pStyle w:val="yTable"/>
              <w:keepNext/>
              <w:spacing w:before="0"/>
              <w:ind w:left="142" w:right="142"/>
              <w:rPr>
                <w:sz w:val="20"/>
              </w:rPr>
            </w:pPr>
            <w:r>
              <w:rPr>
                <w:sz w:val="20"/>
              </w:rPr>
              <w:t>Prize pool — % of base costs</w:t>
            </w:r>
          </w:p>
        </w:tc>
        <w:tc>
          <w:tcPr>
            <w:tcW w:w="2126" w:type="dxa"/>
          </w:tcPr>
          <w:p>
            <w:pPr>
              <w:pStyle w:val="yTable"/>
              <w:keepNext/>
              <w:spacing w:before="0"/>
              <w:ind w:left="141" w:right="142"/>
              <w:rPr>
                <w:sz w:val="20"/>
              </w:rPr>
            </w:pPr>
            <w:r>
              <w:rPr>
                <w:sz w:val="20"/>
              </w:rPr>
              <w:t>no less than 45.0%</w:t>
            </w:r>
          </w:p>
        </w:tc>
      </w:tr>
      <w:tr>
        <w:tc>
          <w:tcPr>
            <w:tcW w:w="4962" w:type="dxa"/>
            <w:gridSpan w:val="2"/>
          </w:tcPr>
          <w:p>
            <w:pPr>
              <w:pStyle w:val="yTable"/>
              <w:spacing w:before="0"/>
              <w:ind w:left="142" w:right="142"/>
              <w:rPr>
                <w:sz w:val="20"/>
              </w:rPr>
            </w:pPr>
            <w:r>
              <w:rPr>
                <w:sz w:val="20"/>
              </w:rPr>
              <w:t>Prize reserve fund — % of subscriptions</w:t>
            </w:r>
          </w:p>
        </w:tc>
        <w:tc>
          <w:tcPr>
            <w:tcW w:w="2126" w:type="dxa"/>
          </w:tcPr>
          <w:p>
            <w:pPr>
              <w:pStyle w:val="yTable"/>
              <w:spacing w:before="0"/>
              <w:ind w:left="141" w:right="142"/>
              <w:rPr>
                <w:sz w:val="20"/>
              </w:rPr>
            </w:pPr>
            <w:r>
              <w:rPr>
                <w:sz w:val="20"/>
              </w:rPr>
              <w:t>balance of prize fund after prize pool</w:t>
            </w:r>
            <w:r>
              <w:rPr>
                <w:sz w:val="20"/>
              </w:rPr>
              <w:br/>
              <w:t>(up to 5.0%)</w:t>
            </w:r>
          </w:p>
        </w:tc>
      </w:tr>
      <w:tr>
        <w:tc>
          <w:tcPr>
            <w:tcW w:w="4962" w:type="dxa"/>
            <w:gridSpan w:val="2"/>
          </w:tcPr>
          <w:p>
            <w:pPr>
              <w:pStyle w:val="yTable"/>
              <w:ind w:left="142" w:right="142"/>
              <w:rPr>
                <w:sz w:val="20"/>
              </w:rPr>
            </w:pPr>
            <w:r>
              <w:rPr>
                <w:sz w:val="20"/>
              </w:rPr>
              <w:t>Number of Divisions</w:t>
            </w:r>
          </w:p>
        </w:tc>
        <w:tc>
          <w:tcPr>
            <w:tcW w:w="2126" w:type="dxa"/>
          </w:tcPr>
          <w:p>
            <w:pPr>
              <w:pStyle w:val="yTable"/>
              <w:ind w:left="141" w:right="142"/>
              <w:rPr>
                <w:sz w:val="20"/>
              </w:rPr>
            </w:pPr>
            <w:r>
              <w:rPr>
                <w:sz w:val="20"/>
              </w:rPr>
              <w:t>5</w:t>
            </w:r>
          </w:p>
        </w:tc>
      </w:tr>
      <w:tr>
        <w:tc>
          <w:tcPr>
            <w:tcW w:w="4962" w:type="dxa"/>
            <w:gridSpan w:val="2"/>
          </w:tcPr>
          <w:p>
            <w:pPr>
              <w:pStyle w:val="yTable"/>
              <w:ind w:left="142" w:right="142"/>
              <w:rPr>
                <w:sz w:val="20"/>
              </w:rPr>
            </w:pPr>
            <w:r>
              <w:rPr>
                <w:sz w:val="20"/>
              </w:rPr>
              <w:t>Winning numbers</w:t>
            </w:r>
          </w:p>
        </w:tc>
        <w:tc>
          <w:tcPr>
            <w:tcW w:w="2126" w:type="dxa"/>
          </w:tcPr>
          <w:p>
            <w:pPr>
              <w:pStyle w:val="yTable"/>
              <w:ind w:left="141" w:right="142"/>
              <w:rPr>
                <w:sz w:val="20"/>
              </w:rPr>
            </w:pPr>
            <w:r>
              <w:rPr>
                <w:sz w:val="20"/>
              </w:rPr>
              <w:t>6</w:t>
            </w:r>
          </w:p>
        </w:tc>
      </w:tr>
      <w:tr>
        <w:tc>
          <w:tcPr>
            <w:tcW w:w="4962" w:type="dxa"/>
            <w:gridSpan w:val="2"/>
          </w:tcPr>
          <w:p>
            <w:pPr>
              <w:pStyle w:val="yTable"/>
              <w:spacing w:before="0"/>
              <w:ind w:left="142" w:right="142"/>
              <w:rPr>
                <w:sz w:val="20"/>
              </w:rPr>
            </w:pPr>
            <w:r>
              <w:rPr>
                <w:sz w:val="20"/>
              </w:rPr>
              <w:t>Supplementary numbers</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Forecast range</w:t>
            </w:r>
          </w:p>
        </w:tc>
        <w:tc>
          <w:tcPr>
            <w:tcW w:w="2126" w:type="dxa"/>
          </w:tcPr>
          <w:p>
            <w:pPr>
              <w:pStyle w:val="yTable"/>
              <w:ind w:left="141" w:right="142"/>
              <w:rPr>
                <w:sz w:val="20"/>
              </w:rPr>
            </w:pPr>
            <w:r>
              <w:rPr>
                <w:sz w:val="20"/>
              </w:rPr>
              <w:t>1 to 38 inclusive</w:t>
            </w:r>
          </w:p>
        </w:tc>
      </w:tr>
      <w:tr>
        <w:tblPrEx>
          <w:tblCellMar>
            <w:left w:w="141" w:type="dxa"/>
            <w:right w:w="141" w:type="dxa"/>
          </w:tblCellMar>
        </w:tblPrEx>
        <w:tc>
          <w:tcPr>
            <w:tcW w:w="4962" w:type="dxa"/>
            <w:gridSpan w:val="2"/>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126" w:type="dxa"/>
          </w:tcPr>
          <w:p>
            <w:pPr>
              <w:pStyle w:val="yTable"/>
              <w:spacing w:before="0" w:line="220" w:lineRule="exact"/>
              <w:rPr>
                <w:sz w:val="20"/>
              </w:rPr>
            </w:pPr>
          </w:p>
          <w:p>
            <w:pPr>
              <w:pStyle w:val="yTable"/>
              <w:spacing w:before="0" w:line="220" w:lineRule="exact"/>
              <w:rPr>
                <w:sz w:val="20"/>
              </w:rPr>
            </w:pPr>
            <w:r>
              <w:rPr>
                <w:sz w:val="20"/>
              </w:rPr>
              <w:t>1 in 2 760 681</w:t>
            </w:r>
          </w:p>
          <w:p>
            <w:pPr>
              <w:pStyle w:val="yTable"/>
              <w:spacing w:before="0" w:line="220" w:lineRule="exact"/>
              <w:rPr>
                <w:sz w:val="20"/>
              </w:rPr>
            </w:pPr>
            <w:r>
              <w:rPr>
                <w:sz w:val="20"/>
              </w:rPr>
              <w:t>1 in 460 114</w:t>
            </w:r>
          </w:p>
          <w:p>
            <w:pPr>
              <w:pStyle w:val="yTable"/>
              <w:spacing w:before="0" w:line="220" w:lineRule="exact"/>
              <w:rPr>
                <w:sz w:val="20"/>
              </w:rPr>
            </w:pPr>
            <w:r>
              <w:rPr>
                <w:sz w:val="20"/>
              </w:rPr>
              <w:t>1 in 14 842</w:t>
            </w:r>
          </w:p>
          <w:p>
            <w:pPr>
              <w:pStyle w:val="yTable"/>
              <w:spacing w:before="0" w:line="220" w:lineRule="exact"/>
              <w:rPr>
                <w:sz w:val="20"/>
              </w:rPr>
            </w:pPr>
            <w:r>
              <w:rPr>
                <w:sz w:val="20"/>
              </w:rPr>
              <w:t>1 in 371</w:t>
            </w:r>
          </w:p>
          <w:p>
            <w:pPr>
              <w:pStyle w:val="yTable"/>
              <w:spacing w:before="0" w:line="220" w:lineRule="exact"/>
              <w:rPr>
                <w:sz w:val="20"/>
              </w:rPr>
            </w:pPr>
            <w:r>
              <w:rPr>
                <w:sz w:val="20"/>
              </w:rPr>
              <w:t>1 in 297</w:t>
            </w:r>
          </w:p>
        </w:tc>
      </w:tr>
      <w:tr>
        <w:tc>
          <w:tcPr>
            <w:tcW w:w="4962" w:type="dxa"/>
            <w:gridSpan w:val="2"/>
          </w:tcPr>
          <w:p>
            <w:pPr>
              <w:pStyle w:val="yTable"/>
              <w:spacing w:before="0"/>
              <w:ind w:left="142" w:right="142"/>
              <w:rPr>
                <w:sz w:val="20"/>
              </w:rPr>
            </w:pPr>
            <w:r>
              <w:rPr>
                <w:sz w:val="20"/>
              </w:rPr>
              <w:t>System range</w:t>
            </w:r>
          </w:p>
        </w:tc>
        <w:tc>
          <w:tcPr>
            <w:tcW w:w="2126" w:type="dxa"/>
          </w:tcPr>
          <w:p>
            <w:pPr>
              <w:pStyle w:val="yTable"/>
              <w:spacing w:before="0"/>
              <w:ind w:left="141" w:right="142"/>
              <w:rPr>
                <w:sz w:val="20"/>
              </w:rPr>
            </w:pPr>
            <w:r>
              <w:rPr>
                <w:sz w:val="20"/>
              </w:rPr>
              <w:t>4</w:t>
            </w:r>
            <w:r>
              <w:rPr>
                <w:sz w:val="20"/>
              </w:rPr>
              <w:noBreakHyphen/>
              <w:t>5/7</w:t>
            </w:r>
            <w:r>
              <w:rPr>
                <w:sz w:val="20"/>
              </w:rPr>
              <w:noBreakHyphen/>
              <w:t>20 inclusive</w:t>
            </w:r>
          </w:p>
        </w:tc>
      </w:tr>
      <w:tr>
        <w:tc>
          <w:tcPr>
            <w:tcW w:w="4962" w:type="dxa"/>
            <w:gridSpan w:val="2"/>
          </w:tcPr>
          <w:p>
            <w:pPr>
              <w:pStyle w:val="yTable"/>
              <w:ind w:left="142" w:right="142"/>
              <w:rPr>
                <w:sz w:val="20"/>
              </w:rPr>
            </w:pPr>
            <w:r>
              <w:rPr>
                <w:sz w:val="20"/>
              </w:rPr>
              <w:t>Multiweek options</w:t>
            </w:r>
          </w:p>
        </w:tc>
        <w:tc>
          <w:tcPr>
            <w:tcW w:w="2126" w:type="dxa"/>
          </w:tcPr>
          <w:p>
            <w:pPr>
              <w:pStyle w:val="yTable"/>
              <w:ind w:left="141" w:right="142"/>
              <w:rPr>
                <w:sz w:val="20"/>
              </w:rPr>
            </w:pPr>
            <w:r>
              <w:rPr>
                <w:sz w:val="20"/>
              </w:rPr>
              <w:t>2, 5 or 10 weeks</w:t>
            </w:r>
          </w:p>
        </w:tc>
      </w:tr>
      <w:tr>
        <w:tc>
          <w:tcPr>
            <w:tcW w:w="4962" w:type="dxa"/>
            <w:gridSpan w:val="2"/>
          </w:tcPr>
          <w:p>
            <w:pPr>
              <w:pStyle w:val="yTable"/>
              <w:spacing w:before="0"/>
              <w:ind w:left="142" w:right="142"/>
              <w:rPr>
                <w:sz w:val="20"/>
              </w:rPr>
            </w:pPr>
            <w:r>
              <w:rPr>
                <w:sz w:val="20"/>
              </w:rPr>
              <w:t>Advance sales (maximum)</w:t>
            </w:r>
          </w:p>
        </w:tc>
        <w:tc>
          <w:tcPr>
            <w:tcW w:w="2126" w:type="dxa"/>
          </w:tcPr>
          <w:p>
            <w:pPr>
              <w:pStyle w:val="yTable"/>
              <w:spacing w:before="0"/>
              <w:ind w:left="141" w:right="142"/>
              <w:rPr>
                <w:sz w:val="20"/>
              </w:rPr>
            </w:pPr>
            <w:r>
              <w:rPr>
                <w:sz w:val="20"/>
              </w:rPr>
              <w:t>10 weeks</w:t>
            </w:r>
          </w:p>
        </w:tc>
      </w:tr>
      <w:tr>
        <w:tc>
          <w:tcPr>
            <w:tcW w:w="4962" w:type="dxa"/>
            <w:gridSpan w:val="2"/>
          </w:tcPr>
          <w:p>
            <w:pPr>
              <w:pStyle w:val="yTable"/>
              <w:ind w:left="142" w:right="142"/>
              <w:rPr>
                <w:sz w:val="20"/>
              </w:rPr>
            </w:pPr>
            <w:r>
              <w:rPr>
                <w:sz w:val="20"/>
              </w:rPr>
              <w:t>Games per playslip (minimum)</w:t>
            </w:r>
          </w:p>
        </w:tc>
        <w:tc>
          <w:tcPr>
            <w:tcW w:w="2126" w:type="dxa"/>
          </w:tcPr>
          <w:p>
            <w:pPr>
              <w:pStyle w:val="yTable"/>
              <w:ind w:left="141" w:right="142"/>
              <w:rPr>
                <w:sz w:val="20"/>
              </w:rPr>
            </w:pPr>
            <w:r>
              <w:rPr>
                <w:sz w:val="20"/>
              </w:rPr>
              <w:t>2</w:t>
            </w:r>
          </w:p>
        </w:tc>
      </w:tr>
      <w:tr>
        <w:tc>
          <w:tcPr>
            <w:tcW w:w="4962" w:type="dxa"/>
            <w:gridSpan w:val="2"/>
          </w:tcPr>
          <w:p>
            <w:pPr>
              <w:pStyle w:val="yTable"/>
              <w:spacing w:before="0"/>
              <w:ind w:left="142" w:right="142"/>
              <w:rPr>
                <w:sz w:val="20"/>
              </w:rPr>
            </w:pPr>
            <w:r>
              <w:rPr>
                <w:sz w:val="20"/>
              </w:rPr>
              <w:t>Systems entries per playslip (minimum)</w:t>
            </w:r>
          </w:p>
        </w:tc>
        <w:tc>
          <w:tcPr>
            <w:tcW w:w="2126" w:type="dxa"/>
          </w:tcPr>
          <w:p>
            <w:pPr>
              <w:pStyle w:val="yTable"/>
              <w:spacing w:before="0"/>
              <w:ind w:left="141" w:right="142"/>
              <w:rPr>
                <w:sz w:val="20"/>
              </w:rPr>
            </w:pPr>
            <w:r>
              <w:rPr>
                <w:sz w:val="20"/>
              </w:rPr>
              <w:t>1</w:t>
            </w:r>
          </w:p>
        </w:tc>
      </w:tr>
      <w:tr>
        <w:tc>
          <w:tcPr>
            <w:tcW w:w="4962" w:type="dxa"/>
            <w:gridSpan w:val="2"/>
          </w:tcPr>
          <w:p>
            <w:pPr>
              <w:pStyle w:val="yTable"/>
              <w:spacing w:before="0"/>
              <w:ind w:left="142" w:right="142"/>
              <w:rPr>
                <w:sz w:val="20"/>
              </w:rPr>
            </w:pPr>
            <w:r>
              <w:rPr>
                <w:sz w:val="20"/>
              </w:rPr>
              <w:t>Games per playslip (maximum)</w:t>
            </w:r>
          </w:p>
        </w:tc>
        <w:tc>
          <w:tcPr>
            <w:tcW w:w="2126" w:type="dxa"/>
          </w:tcPr>
          <w:p>
            <w:pPr>
              <w:pStyle w:val="yTable"/>
              <w:spacing w:before="0"/>
              <w:ind w:left="141" w:right="142"/>
              <w:rPr>
                <w:sz w:val="20"/>
              </w:rPr>
            </w:pPr>
            <w:r>
              <w:rPr>
                <w:sz w:val="20"/>
              </w:rPr>
              <w:t>18</w:t>
            </w:r>
          </w:p>
        </w:tc>
      </w:tr>
      <w:tr>
        <w:tc>
          <w:tcPr>
            <w:tcW w:w="4962" w:type="dxa"/>
            <w:gridSpan w:val="2"/>
          </w:tcPr>
          <w:p>
            <w:pPr>
              <w:pStyle w:val="yTable"/>
              <w:spacing w:before="0"/>
              <w:ind w:left="142" w:right="142"/>
              <w:rPr>
                <w:strike/>
                <w:sz w:val="20"/>
              </w:rPr>
            </w:pPr>
            <w:r>
              <w:rPr>
                <w:sz w:val="20"/>
              </w:rPr>
              <w:t>Systems entries per playslip (maximum)</w:t>
            </w:r>
          </w:p>
        </w:tc>
        <w:tc>
          <w:tcPr>
            <w:tcW w:w="2126" w:type="dxa"/>
          </w:tcPr>
          <w:p>
            <w:pPr>
              <w:pStyle w:val="yTable"/>
              <w:spacing w:before="0"/>
              <w:ind w:left="141" w:right="142"/>
              <w:rPr>
                <w:sz w:val="20"/>
              </w:rPr>
            </w:pPr>
            <w:r>
              <w:rPr>
                <w:sz w:val="20"/>
              </w:rPr>
              <w:t>18</w:t>
            </w:r>
          </w:p>
          <w:p>
            <w:pPr>
              <w:pStyle w:val="yTable"/>
              <w:spacing w:before="0"/>
              <w:ind w:left="141" w:right="142"/>
              <w:rPr>
                <w:sz w:val="20"/>
              </w:rPr>
            </w:pPr>
            <w:r>
              <w:rPr>
                <w:sz w:val="20"/>
              </w:rPr>
              <w:t>(</w:t>
            </w:r>
            <w:r>
              <w:rPr>
                <w:i/>
                <w:sz w:val="20"/>
              </w:rPr>
              <w:t>subject to the maximum aggregate entry cost</w:t>
            </w:r>
            <w:r>
              <w:rPr>
                <w:sz w:val="20"/>
              </w:rPr>
              <w:t>)</w:t>
            </w:r>
          </w:p>
        </w:tc>
      </w:tr>
      <w:tr>
        <w:tc>
          <w:tcPr>
            <w:tcW w:w="4962" w:type="dxa"/>
            <w:gridSpan w:val="2"/>
          </w:tcPr>
          <w:p>
            <w:pPr>
              <w:pStyle w:val="yTable"/>
              <w:ind w:left="142" w:right="142"/>
              <w:rPr>
                <w:sz w:val="20"/>
              </w:rPr>
            </w:pPr>
            <w:r>
              <w:rPr>
                <w:sz w:val="20"/>
              </w:rPr>
              <w:t>Games per oral request (default)</w:t>
            </w:r>
          </w:p>
        </w:tc>
        <w:tc>
          <w:tcPr>
            <w:tcW w:w="2126" w:type="dxa"/>
          </w:tcPr>
          <w:p>
            <w:pPr>
              <w:pStyle w:val="yTable"/>
              <w:ind w:left="141" w:right="142"/>
              <w:rPr>
                <w:sz w:val="20"/>
              </w:rPr>
            </w:pPr>
            <w:r>
              <w:rPr>
                <w:sz w:val="20"/>
              </w:rPr>
              <w:t>12, 18, 25, 30 or 50</w:t>
            </w:r>
          </w:p>
        </w:tc>
      </w:tr>
      <w:tr>
        <w:tc>
          <w:tcPr>
            <w:tcW w:w="4962" w:type="dxa"/>
            <w:gridSpan w:val="2"/>
          </w:tcPr>
          <w:p>
            <w:pPr>
              <w:pStyle w:val="yTable"/>
              <w:spacing w:before="0"/>
              <w:ind w:left="142" w:right="142"/>
              <w:rPr>
                <w:sz w:val="20"/>
              </w:rPr>
            </w:pPr>
            <w:r>
              <w:rPr>
                <w:sz w:val="20"/>
              </w:rPr>
              <w:t>Games per oral request (</w:t>
            </w:r>
            <w:r>
              <w:rPr>
                <w:i/>
                <w:iCs/>
                <w:sz w:val="20"/>
              </w:rPr>
              <w:t>if available</w:t>
            </w:r>
            <w:r>
              <w:rPr>
                <w:sz w:val="20"/>
              </w:rPr>
              <w:t>)</w:t>
            </w:r>
          </w:p>
        </w:tc>
        <w:tc>
          <w:tcPr>
            <w:tcW w:w="2126" w:type="dxa"/>
          </w:tcPr>
          <w:p>
            <w:pPr>
              <w:pStyle w:val="yTable"/>
              <w:spacing w:before="0"/>
              <w:ind w:left="141" w:right="142"/>
              <w:rPr>
                <w:sz w:val="20"/>
              </w:rPr>
            </w:pPr>
            <w:r>
              <w:rPr>
                <w:sz w:val="20"/>
              </w:rPr>
              <w:t>2 to 50</w:t>
            </w:r>
          </w:p>
        </w:tc>
      </w:tr>
      <w:tr>
        <w:tblPrEx>
          <w:tblCellMar>
            <w:left w:w="141" w:type="dxa"/>
            <w:right w:w="141" w:type="dxa"/>
          </w:tblCellMar>
        </w:tblPrEx>
        <w:tc>
          <w:tcPr>
            <w:tcW w:w="492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168" w:type="dxa"/>
            <w:gridSpan w:val="2"/>
          </w:tcPr>
          <w:p>
            <w:pPr>
              <w:pStyle w:val="yTable"/>
              <w:spacing w:before="0" w:line="220" w:lineRule="exact"/>
              <w:rPr>
                <w:sz w:val="20"/>
              </w:rPr>
            </w:pPr>
            <w:r>
              <w:rPr>
                <w:sz w:val="20"/>
              </w:rPr>
              <w:t xml:space="preserve"> (see Part 3A)</w:t>
            </w:r>
          </w:p>
        </w:tc>
      </w:tr>
      <w:tr>
        <w:tc>
          <w:tcPr>
            <w:tcW w:w="4962" w:type="dxa"/>
            <w:gridSpan w:val="2"/>
          </w:tcPr>
          <w:p>
            <w:pPr>
              <w:pStyle w:val="yTable"/>
              <w:spacing w:before="0"/>
              <w:ind w:left="142" w:right="142"/>
              <w:rPr>
                <w:sz w:val="20"/>
              </w:rPr>
            </w:pPr>
            <w:r>
              <w:rPr>
                <w:sz w:val="20"/>
              </w:rPr>
              <w:t xml:space="preserve">Systems entries per oral request </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Prize payout period</w:t>
            </w:r>
          </w:p>
        </w:tc>
        <w:tc>
          <w:tcPr>
            <w:tcW w:w="2126" w:type="dxa"/>
          </w:tcPr>
          <w:p>
            <w:pPr>
              <w:pStyle w:val="yTable"/>
              <w:ind w:left="141" w:right="142"/>
              <w:rPr>
                <w:sz w:val="20"/>
              </w:rPr>
            </w:pPr>
            <w:r>
              <w:rPr>
                <w:sz w:val="20"/>
              </w:rPr>
              <w:t>12 months</w:t>
            </w:r>
          </w:p>
        </w:tc>
      </w:tr>
      <w:tr>
        <w:tc>
          <w:tcPr>
            <w:tcW w:w="4962" w:type="dxa"/>
            <w:gridSpan w:val="2"/>
          </w:tcPr>
          <w:p>
            <w:pPr>
              <w:pStyle w:val="yTable"/>
              <w:spacing w:before="0"/>
              <w:ind w:left="142" w:right="142"/>
              <w:rPr>
                <w:sz w:val="20"/>
              </w:rPr>
            </w:pPr>
            <w:r>
              <w:rPr>
                <w:sz w:val="20"/>
              </w:rPr>
              <w:t>Maximum aggregate entry cost</w:t>
            </w:r>
          </w:p>
        </w:tc>
        <w:tc>
          <w:tcPr>
            <w:tcW w:w="2126" w:type="dxa"/>
          </w:tcPr>
          <w:p>
            <w:pPr>
              <w:pStyle w:val="yTable"/>
              <w:spacing w:before="0"/>
              <w:ind w:left="141" w:right="142"/>
              <w:rPr>
                <w:sz w:val="20"/>
              </w:rPr>
            </w:pPr>
            <w:r>
              <w:rPr>
                <w:sz w:val="20"/>
              </w:rPr>
              <w:t>$100 000</w:t>
            </w:r>
          </w:p>
        </w:tc>
      </w:tr>
    </w:tbl>
    <w:p>
      <w:pPr>
        <w:pStyle w:val="yFootnotesection"/>
      </w:pPr>
      <w:r>
        <w:tab/>
        <w:t>[Schedule 4 inserted in Gazette 6 Jun 2008 p. 2345</w:t>
      </w:r>
      <w:r>
        <w:noBreakHyphen/>
        <w:t>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21" w:name="_Toc110932599"/>
      <w:bookmarkStart w:id="322" w:name="_Toc110933410"/>
      <w:bookmarkStart w:id="323" w:name="_Toc147230292"/>
      <w:bookmarkStart w:id="324" w:name="_Toc170549572"/>
      <w:bookmarkStart w:id="325" w:name="_Toc170621383"/>
      <w:bookmarkStart w:id="326" w:name="_Toc200446642"/>
      <w:bookmarkStart w:id="327" w:name="_Toc202950633"/>
      <w:bookmarkStart w:id="328" w:name="_Toc203203417"/>
      <w:bookmarkStart w:id="329" w:name="_Toc203280635"/>
      <w:bookmarkStart w:id="330" w:name="_Toc206208027"/>
      <w:bookmarkStart w:id="331" w:name="_Toc206297596"/>
      <w:bookmarkStart w:id="332" w:name="_Toc206317222"/>
      <w:bookmarkStart w:id="333" w:name="_Toc206317286"/>
      <w:bookmarkStart w:id="334" w:name="_Toc230162878"/>
      <w:bookmarkStart w:id="335" w:name="_Toc230162947"/>
      <w:bookmarkStart w:id="336" w:name="_Toc256151528"/>
      <w:r>
        <w:t>Notes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(Soccer Pools) Rules 1996</w:t>
      </w:r>
      <w:r>
        <w:rPr>
          <w:snapToGrid w:val="0"/>
        </w:rPr>
        <w:t xml:space="preserve"> and includes the amendments made by the other written laws referred to in the following table.  The table also contains information about any reprint.</w:t>
      </w:r>
    </w:p>
    <w:p>
      <w:pPr>
        <w:pStyle w:val="nHeading3"/>
      </w:pPr>
      <w:bookmarkStart w:id="337" w:name="_Toc256151529"/>
      <w:r>
        <w:t>Compilation table</w:t>
      </w:r>
      <w:bookmarkEnd w:id="3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(Soccer Pools) Rules 1996</w:t>
            </w:r>
          </w:p>
        </w:tc>
        <w:tc>
          <w:tcPr>
            <w:tcW w:w="1276" w:type="dxa"/>
            <w:tcBorders>
              <w:top w:val="single" w:sz="8" w:space="0" w:color="auto"/>
            </w:tcBorders>
          </w:tcPr>
          <w:p>
            <w:pPr>
              <w:pStyle w:val="nTable"/>
              <w:spacing w:after="40"/>
              <w:rPr>
                <w:sz w:val="19"/>
              </w:rPr>
            </w:pPr>
            <w:r>
              <w:rPr>
                <w:sz w:val="19"/>
              </w:rPr>
              <w:t>13 Sep 1996 p. 4615</w:t>
            </w:r>
            <w:r>
              <w:rPr>
                <w:sz w:val="19"/>
              </w:rPr>
              <w:noBreakHyphen/>
              <w:t>46</w:t>
            </w:r>
          </w:p>
        </w:tc>
        <w:tc>
          <w:tcPr>
            <w:tcW w:w="2693" w:type="dxa"/>
            <w:tcBorders>
              <w:top w:val="single" w:sz="8" w:space="0" w:color="auto"/>
            </w:tcBorders>
          </w:tcPr>
          <w:p>
            <w:pPr>
              <w:pStyle w:val="nTable"/>
              <w:spacing w:after="40"/>
              <w:rPr>
                <w:sz w:val="19"/>
              </w:rPr>
            </w:pPr>
            <w:r>
              <w:rPr>
                <w:sz w:val="19"/>
              </w:rPr>
              <w:t>13 Sep 1996</w:t>
            </w:r>
          </w:p>
        </w:tc>
      </w:tr>
      <w:tr>
        <w:trPr>
          <w:cantSplit/>
        </w:trPr>
        <w:tc>
          <w:tcPr>
            <w:tcW w:w="3119" w:type="dxa"/>
          </w:tcPr>
          <w:p>
            <w:pPr>
              <w:pStyle w:val="nTable"/>
              <w:spacing w:after="40"/>
              <w:ind w:right="113"/>
              <w:rPr>
                <w:sz w:val="19"/>
              </w:rPr>
            </w:pPr>
            <w:r>
              <w:rPr>
                <w:i/>
                <w:sz w:val="19"/>
              </w:rPr>
              <w:t xml:space="preserve">Lotteries Commission (Super 66) Rules 1996 </w:t>
            </w:r>
            <w:r>
              <w:rPr>
                <w:sz w:val="19"/>
              </w:rPr>
              <w:t>r. 29</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(Soccer Pools) Amendment Rules 1997</w:t>
            </w:r>
          </w:p>
        </w:tc>
        <w:tc>
          <w:tcPr>
            <w:tcW w:w="1276" w:type="dxa"/>
          </w:tcPr>
          <w:p>
            <w:pPr>
              <w:pStyle w:val="nTable"/>
              <w:spacing w:after="40"/>
              <w:rPr>
                <w:sz w:val="19"/>
              </w:rPr>
            </w:pPr>
            <w:r>
              <w:rPr>
                <w:sz w:val="19"/>
              </w:rPr>
              <w:t>29 Apr 1997 p. 2148</w:t>
            </w:r>
            <w:r>
              <w:rPr>
                <w:sz w:val="19"/>
              </w:rPr>
              <w:noBreakHyphen/>
              <w:t>9</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(Soccer Pools) Amendment Rules 2001</w:t>
            </w:r>
          </w:p>
        </w:tc>
        <w:tc>
          <w:tcPr>
            <w:tcW w:w="1276" w:type="dxa"/>
          </w:tcPr>
          <w:p>
            <w:pPr>
              <w:pStyle w:val="nTable"/>
              <w:spacing w:after="40"/>
              <w:rPr>
                <w:sz w:val="19"/>
              </w:rPr>
            </w:pPr>
            <w:r>
              <w:rPr>
                <w:sz w:val="19"/>
              </w:rPr>
              <w:t>9 Mar 2001 p. 1344</w:t>
            </w:r>
            <w:r>
              <w:rPr>
                <w:sz w:val="19"/>
              </w:rPr>
              <w:noBreakHyphen/>
              <w:t>7</w:t>
            </w:r>
          </w:p>
        </w:tc>
        <w:tc>
          <w:tcPr>
            <w:tcW w:w="2693" w:type="dxa"/>
          </w:tcPr>
          <w:p>
            <w:pPr>
              <w:pStyle w:val="nTable"/>
              <w:spacing w:after="40"/>
              <w:rPr>
                <w:sz w:val="19"/>
              </w:rPr>
            </w:pPr>
            <w:r>
              <w:rPr>
                <w:sz w:val="19"/>
              </w:rPr>
              <w:t>11 Mar 2001 (see r. 2)</w:t>
            </w:r>
          </w:p>
        </w:tc>
      </w:tr>
      <w:tr>
        <w:trPr>
          <w:cantSplit/>
        </w:trPr>
        <w:tc>
          <w:tcPr>
            <w:tcW w:w="7088" w:type="dxa"/>
            <w:gridSpan w:val="3"/>
          </w:tcPr>
          <w:p>
            <w:pPr>
              <w:pStyle w:val="nTable"/>
              <w:spacing w:after="40"/>
              <w:rPr>
                <w:b/>
                <w:sz w:val="19"/>
              </w:rPr>
            </w:pPr>
            <w:r>
              <w:rPr>
                <w:b/>
                <w:sz w:val="19"/>
              </w:rPr>
              <w:t xml:space="preserve">Reprint of the </w:t>
            </w:r>
            <w:r>
              <w:rPr>
                <w:b/>
                <w:i/>
                <w:sz w:val="19"/>
              </w:rPr>
              <w:t xml:space="preserve">Lotteries Commission (Soccer Pools) Rules 1996 </w:t>
            </w:r>
            <w:r>
              <w:rPr>
                <w:b/>
                <w:sz w:val="19"/>
              </w:rPr>
              <w:t>as at 17 May 2002</w:t>
            </w:r>
            <w:r>
              <w:rPr>
                <w:b/>
                <w:sz w:val="19"/>
              </w:rPr>
              <w:br/>
            </w:r>
            <w:r>
              <w:rPr>
                <w:bCs/>
                <w:sz w:val="19"/>
              </w:rPr>
              <w:t>(</w:t>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(Soccer Pools) Amendment Rules 2003</w:t>
            </w:r>
          </w:p>
        </w:tc>
        <w:tc>
          <w:tcPr>
            <w:tcW w:w="1276" w:type="dxa"/>
          </w:tcPr>
          <w:p>
            <w:pPr>
              <w:pStyle w:val="nTable"/>
              <w:spacing w:after="40"/>
              <w:rPr>
                <w:sz w:val="19"/>
              </w:rPr>
            </w:pPr>
            <w:r>
              <w:rPr>
                <w:sz w:val="19"/>
              </w:rPr>
              <w:t>8 Aug 2003 p. 3578</w:t>
            </w:r>
            <w:r>
              <w:rPr>
                <w:sz w:val="19"/>
              </w:rPr>
              <w:noBreakHyphen/>
              <w:t>9</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(Soccer Pools) Amendment Rules 2005</w:t>
            </w:r>
          </w:p>
        </w:tc>
        <w:tc>
          <w:tcPr>
            <w:tcW w:w="1276" w:type="dxa"/>
          </w:tcPr>
          <w:p>
            <w:pPr>
              <w:pStyle w:val="nTable"/>
              <w:spacing w:after="40"/>
              <w:rPr>
                <w:sz w:val="19"/>
              </w:rPr>
            </w:pPr>
            <w:r>
              <w:rPr>
                <w:sz w:val="19"/>
              </w:rPr>
              <w:t>5 Aug 2005 p. 3599</w:t>
            </w:r>
            <w:r>
              <w:rPr>
                <w:sz w:val="19"/>
              </w:rPr>
              <w:noBreakHyphen/>
              <w:t>601</w:t>
            </w:r>
          </w:p>
        </w:tc>
        <w:tc>
          <w:tcPr>
            <w:tcW w:w="2693" w:type="dxa"/>
          </w:tcPr>
          <w:p>
            <w:pPr>
              <w:pStyle w:val="nTable"/>
              <w:spacing w:after="40"/>
              <w:rPr>
                <w:sz w:val="19"/>
              </w:rPr>
            </w:pPr>
            <w:r>
              <w:rPr>
                <w:sz w:val="19"/>
              </w:rPr>
              <w:t>28 Aug 2005 (see r. 2)</w:t>
            </w:r>
          </w:p>
        </w:tc>
      </w:tr>
      <w:tr>
        <w:trPr>
          <w:cantSplit/>
        </w:trPr>
        <w:tc>
          <w:tcPr>
            <w:tcW w:w="3119" w:type="dxa"/>
          </w:tcPr>
          <w:p>
            <w:pPr>
              <w:pStyle w:val="nTable"/>
              <w:spacing w:after="40"/>
              <w:ind w:right="113"/>
              <w:rPr>
                <w:i/>
                <w:sz w:val="19"/>
              </w:rPr>
            </w:pPr>
            <w:r>
              <w:rPr>
                <w:i/>
                <w:sz w:val="19"/>
              </w:rPr>
              <w:t>Lotteries Commission (Soccer Pools) Amendment Rules 2006</w:t>
            </w:r>
          </w:p>
        </w:tc>
        <w:tc>
          <w:tcPr>
            <w:tcW w:w="1276" w:type="dxa"/>
          </w:tcPr>
          <w:p>
            <w:pPr>
              <w:pStyle w:val="nTable"/>
              <w:spacing w:after="40"/>
              <w:rPr>
                <w:sz w:val="19"/>
              </w:rPr>
            </w:pPr>
            <w:r>
              <w:rPr>
                <w:sz w:val="19"/>
              </w:rPr>
              <w:t>29 Sep 2006 p. 4274</w:t>
            </w:r>
            <w:r>
              <w:rPr>
                <w:sz w:val="19"/>
              </w:rPr>
              <w:noBreakHyphen/>
              <w:t>5</w:t>
            </w:r>
          </w:p>
        </w:tc>
        <w:tc>
          <w:tcPr>
            <w:tcW w:w="2693" w:type="dxa"/>
          </w:tcPr>
          <w:p>
            <w:pPr>
              <w:pStyle w:val="nTable"/>
              <w:spacing w:after="40"/>
              <w:rPr>
                <w:sz w:val="19"/>
              </w:rPr>
            </w:pPr>
            <w:r>
              <w:rPr>
                <w:sz w:val="19"/>
              </w:rPr>
              <w:t xml:space="preserve">29 Sep 2006 </w:t>
            </w:r>
          </w:p>
        </w:tc>
      </w:tr>
      <w:tr>
        <w:trPr>
          <w:cantSplit/>
        </w:trPr>
        <w:tc>
          <w:tcPr>
            <w:tcW w:w="3119" w:type="dxa"/>
          </w:tcPr>
          <w:p>
            <w:pPr>
              <w:pStyle w:val="nTable"/>
              <w:spacing w:after="40"/>
              <w:ind w:right="113"/>
              <w:rPr>
                <w:i/>
                <w:sz w:val="19"/>
              </w:rPr>
            </w:pPr>
            <w:r>
              <w:rPr>
                <w:i/>
                <w:sz w:val="19"/>
              </w:rPr>
              <w:t>Lotteries Commission (Soccer Pools) Amendment Rules 2007</w:t>
            </w:r>
          </w:p>
        </w:tc>
        <w:tc>
          <w:tcPr>
            <w:tcW w:w="1276" w:type="dxa"/>
          </w:tcPr>
          <w:p>
            <w:pPr>
              <w:pStyle w:val="nTable"/>
              <w:spacing w:after="40"/>
              <w:rPr>
                <w:sz w:val="19"/>
              </w:rPr>
            </w:pPr>
            <w:r>
              <w:rPr>
                <w:sz w:val="19"/>
              </w:rPr>
              <w:t>26 Jun 2007 p. 3057</w:t>
            </w:r>
            <w:r>
              <w:rPr>
                <w:sz w:val="19"/>
              </w:rPr>
              <w:noBreakHyphen/>
              <w:t>8</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(Soccer Pools) Amendment Rules 2008</w:t>
            </w:r>
          </w:p>
        </w:tc>
        <w:tc>
          <w:tcPr>
            <w:tcW w:w="1276" w:type="dxa"/>
          </w:tcPr>
          <w:p>
            <w:pPr>
              <w:pStyle w:val="nTable"/>
              <w:spacing w:after="40"/>
              <w:rPr>
                <w:sz w:val="19"/>
              </w:rPr>
            </w:pPr>
            <w:r>
              <w:rPr>
                <w:sz w:val="19"/>
              </w:rPr>
              <w:t>6 Jun 2008 p. 2323</w:t>
            </w:r>
            <w:r>
              <w:rPr>
                <w:sz w:val="19"/>
              </w:rPr>
              <w:noBreakHyphen/>
              <w:t>46</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Lotteries Commission (Soccer Pools) Rules 1996 </w:t>
            </w:r>
            <w:r>
              <w:rPr>
                <w:b/>
                <w:sz w:val="19"/>
              </w:rPr>
              <w:t>as at 22 Aug 2008</w:t>
            </w:r>
            <w:r>
              <w:rPr>
                <w:b/>
                <w:sz w:val="19"/>
              </w:rPr>
              <w:br/>
            </w:r>
            <w:r>
              <w:rPr>
                <w:bCs/>
                <w:sz w:val="19"/>
              </w:rPr>
              <w:t>(</w:t>
            </w:r>
            <w:r>
              <w:rPr>
                <w:sz w:val="19"/>
              </w:rPr>
              <w:t>includes amendments listed above)</w:t>
            </w:r>
          </w:p>
        </w:tc>
      </w:tr>
      <w:tr>
        <w:tc>
          <w:tcPr>
            <w:tcW w:w="3119" w:type="dxa"/>
          </w:tcPr>
          <w:p>
            <w:pPr>
              <w:pStyle w:val="nTable"/>
              <w:keepNext/>
              <w:spacing w:after="40"/>
              <w:rPr>
                <w:iCs/>
                <w:sz w:val="19"/>
              </w:rPr>
            </w:pPr>
            <w:r>
              <w:rPr>
                <w:i/>
                <w:sz w:val="19"/>
              </w:rPr>
              <w:t>Lotteries Commission Amendment Rules 2009</w:t>
            </w:r>
            <w:r>
              <w:rPr>
                <w:iCs/>
                <w:sz w:val="19"/>
              </w:rPr>
              <w:t xml:space="preserve"> Pt. 3</w:t>
            </w:r>
          </w:p>
        </w:tc>
        <w:tc>
          <w:tcPr>
            <w:tcW w:w="1276" w:type="dxa"/>
          </w:tcPr>
          <w:p>
            <w:pPr>
              <w:pStyle w:val="nTable"/>
              <w:keepNext/>
              <w:spacing w:after="40"/>
              <w:rPr>
                <w:sz w:val="19"/>
              </w:rPr>
            </w:pPr>
            <w:r>
              <w:rPr>
                <w:sz w:val="19"/>
              </w:rPr>
              <w:t>15 May 2009 p. 1632-5</w:t>
            </w:r>
          </w:p>
        </w:tc>
        <w:tc>
          <w:tcPr>
            <w:tcW w:w="2693" w:type="dxa"/>
          </w:tcPr>
          <w:p>
            <w:pPr>
              <w:pStyle w:val="nTable"/>
              <w:keepNext/>
              <w:spacing w:after="40"/>
              <w:rPr>
                <w:sz w:val="19"/>
              </w:rPr>
            </w:pPr>
            <w:r>
              <w:rPr>
                <w:sz w:val="19"/>
              </w:rPr>
              <w:t>17 May 2009 (see r. 2(b))</w:t>
            </w:r>
          </w:p>
        </w:tc>
      </w:tr>
      <w:tr>
        <w:tc>
          <w:tcPr>
            <w:tcW w:w="3119" w:type="dxa"/>
            <w:tcBorders>
              <w:bottom w:val="single" w:sz="4" w:space="0" w:color="auto"/>
            </w:tcBorders>
          </w:tcPr>
          <w:p>
            <w:pPr>
              <w:pStyle w:val="nTable"/>
              <w:keepNext/>
              <w:spacing w:after="40"/>
              <w:rPr>
                <w:i/>
                <w:sz w:val="19"/>
              </w:rPr>
            </w:pPr>
            <w:r>
              <w:rPr>
                <w:i/>
                <w:sz w:val="19"/>
              </w:rPr>
              <w:t>Lotteries Commission (Soccer Pools) Amendment Rules 2010</w:t>
            </w:r>
          </w:p>
        </w:tc>
        <w:tc>
          <w:tcPr>
            <w:tcW w:w="1276" w:type="dxa"/>
            <w:tcBorders>
              <w:bottom w:val="single" w:sz="4" w:space="0" w:color="auto"/>
            </w:tcBorders>
          </w:tcPr>
          <w:p>
            <w:pPr>
              <w:pStyle w:val="nTable"/>
              <w:keepNext/>
              <w:spacing w:after="40"/>
              <w:rPr>
                <w:sz w:val="19"/>
              </w:rPr>
            </w:pPr>
            <w:r>
              <w:rPr>
                <w:sz w:val="19"/>
              </w:rPr>
              <w:t>12 Mar 2010 p. 950</w:t>
            </w:r>
            <w:r>
              <w:rPr>
                <w:sz w:val="19"/>
              </w:rPr>
              <w:noBreakHyphen/>
              <w:t>2</w:t>
            </w:r>
          </w:p>
        </w:tc>
        <w:tc>
          <w:tcPr>
            <w:tcW w:w="2693" w:type="dxa"/>
            <w:tcBorders>
              <w:bottom w:val="single" w:sz="4" w:space="0" w:color="auto"/>
            </w:tcBorders>
          </w:tcPr>
          <w:p>
            <w:pPr>
              <w:pStyle w:val="nTable"/>
              <w:keepNext/>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bl>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338" w:name="_Toc203203419"/>
      <w:bookmarkStart w:id="339" w:name="_Toc203280637"/>
      <w:bookmarkStart w:id="340" w:name="_Toc206208029"/>
      <w:bookmarkStart w:id="341" w:name="_Toc206297598"/>
      <w:bookmarkStart w:id="342" w:name="_Toc206317224"/>
      <w:bookmarkStart w:id="343" w:name="_Toc206317288"/>
      <w:bookmarkStart w:id="344" w:name="_Toc230162880"/>
      <w:bookmarkStart w:id="345" w:name="_Toc230162949"/>
      <w:bookmarkStart w:id="346" w:name="_Toc256151530"/>
      <w:r>
        <w:rPr>
          <w:sz w:val="28"/>
        </w:rPr>
        <w:t>Defined Terms</w:t>
      </w:r>
      <w:bookmarkEnd w:id="338"/>
      <w:bookmarkEnd w:id="339"/>
      <w:bookmarkEnd w:id="340"/>
      <w:bookmarkEnd w:id="341"/>
      <w:bookmarkEnd w:id="342"/>
      <w:bookmarkEnd w:id="343"/>
      <w:bookmarkEnd w:id="344"/>
      <w:bookmarkEnd w:id="345"/>
      <w:bookmarkEnd w:id="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7" w:name="DefinedTerms"/>
      <w:bookmarkEnd w:id="347"/>
      <w:r>
        <w:t>agent</w:t>
      </w:r>
      <w:r>
        <w:tab/>
        <w:t>2</w:t>
      </w:r>
    </w:p>
    <w:p>
      <w:pPr>
        <w:pStyle w:val="DefinedTerms"/>
      </w:pPr>
      <w:r>
        <w:t>agent’s component</w:t>
      </w:r>
      <w:r>
        <w:tab/>
        <w:t>2</w:t>
      </w:r>
    </w:p>
    <w:p>
      <w:pPr>
        <w:pStyle w:val="DefinedTerms"/>
      </w:pPr>
      <w:r>
        <w:t>Australian Soccer Pools Bloc</w:t>
      </w:r>
      <w:r>
        <w:tab/>
        <w:t>2</w:t>
      </w:r>
    </w:p>
    <w:p>
      <w:pPr>
        <w:pStyle w:val="DefinedTerms"/>
      </w:pPr>
      <w:r>
        <w:t>authorised payout centre</w:t>
      </w:r>
      <w:r>
        <w:tab/>
        <w:t>2</w:t>
      </w:r>
    </w:p>
    <w:p>
      <w:pPr>
        <w:pStyle w:val="DefinedTerms"/>
      </w:pPr>
      <w:r>
        <w:t>Away win</w:t>
      </w:r>
      <w:r>
        <w:tab/>
        <w:t>3</w:t>
      </w:r>
    </w:p>
    <w:p>
      <w:pPr>
        <w:pStyle w:val="DefinedTerms"/>
      </w:pPr>
      <w:r>
        <w:t>entry</w:t>
      </w:r>
      <w:r>
        <w:tab/>
        <w:t>2</w:t>
      </w:r>
    </w:p>
    <w:p>
      <w:pPr>
        <w:pStyle w:val="DefinedTerms"/>
      </w:pPr>
      <w:r>
        <w:t>game</w:t>
      </w:r>
      <w:r>
        <w:tab/>
        <w:t>2</w:t>
      </w:r>
    </w:p>
    <w:p>
      <w:pPr>
        <w:pStyle w:val="DefinedTerms"/>
      </w:pPr>
      <w:r>
        <w:t>Home win</w:t>
      </w:r>
      <w:r>
        <w:tab/>
        <w:t>3</w:t>
      </w:r>
    </w:p>
    <w:p>
      <w:pPr>
        <w:pStyle w:val="DefinedTerms"/>
      </w:pPr>
      <w:r>
        <w:t>match list</w:t>
      </w:r>
      <w:r>
        <w:tab/>
        <w:t>2</w:t>
      </w:r>
    </w:p>
    <w:p>
      <w:pPr>
        <w:pStyle w:val="DefinedTerms"/>
      </w:pPr>
      <w:r>
        <w:t>participant</w:t>
      </w:r>
      <w:r>
        <w:tab/>
        <w:t>2</w:t>
      </w:r>
    </w:p>
    <w:p>
      <w:pPr>
        <w:pStyle w:val="DefinedTerms"/>
      </w:pPr>
      <w:r>
        <w:t>payout period</w:t>
      </w:r>
      <w:r>
        <w:tab/>
        <w:t>2</w:t>
      </w:r>
    </w:p>
    <w:p>
      <w:pPr>
        <w:pStyle w:val="DefinedTerms"/>
      </w:pPr>
      <w:r>
        <w:t>player’s card</w:t>
      </w:r>
      <w:r>
        <w:tab/>
        <w:t>2</w:t>
      </w:r>
    </w:p>
    <w:p>
      <w:pPr>
        <w:pStyle w:val="DefinedTerms"/>
      </w:pPr>
      <w:r>
        <w:t>player’s card number</w:t>
      </w:r>
      <w:r>
        <w:tab/>
        <w:t>2</w:t>
      </w:r>
    </w:p>
    <w:p>
      <w:pPr>
        <w:pStyle w:val="DefinedTerms"/>
      </w:pPr>
      <w:r>
        <w:t>playslip</w:t>
      </w:r>
      <w:r>
        <w:tab/>
        <w:t>2</w:t>
      </w:r>
    </w:p>
    <w:p>
      <w:pPr>
        <w:pStyle w:val="DefinedTerms"/>
      </w:pPr>
      <w:r>
        <w:t>Pools Game</w:t>
      </w:r>
      <w:r>
        <w:tab/>
        <w:t>2</w:t>
      </w:r>
    </w:p>
    <w:p>
      <w:pPr>
        <w:pStyle w:val="DefinedTerms"/>
      </w:pPr>
      <w:r>
        <w:t>postal entry</w:t>
      </w:r>
      <w:r>
        <w:tab/>
        <w:t>15(1)</w:t>
      </w:r>
    </w:p>
    <w:p>
      <w:pPr>
        <w:pStyle w:val="DefinedTerms"/>
      </w:pPr>
      <w:r>
        <w:t>prize fund</w:t>
      </w:r>
      <w:r>
        <w:tab/>
        <w:t>2</w:t>
      </w:r>
    </w:p>
    <w:p>
      <w:pPr>
        <w:pStyle w:val="DefinedTerms"/>
      </w:pPr>
      <w:r>
        <w:t>prize pool</w:t>
      </w:r>
      <w:r>
        <w:tab/>
        <w:t>2</w:t>
      </w:r>
    </w:p>
    <w:p>
      <w:pPr>
        <w:pStyle w:val="DefinedTerms"/>
      </w:pPr>
      <w:r>
        <w:t>promotional coupon</w:t>
      </w:r>
      <w:r>
        <w:tab/>
        <w:t>2</w:t>
      </w:r>
    </w:p>
    <w:p>
      <w:pPr>
        <w:pStyle w:val="DefinedTerms"/>
      </w:pPr>
      <w:r>
        <w:t>receipted ticket</w:t>
      </w:r>
      <w:r>
        <w:tab/>
        <w:t>2</w:t>
      </w:r>
    </w:p>
    <w:p>
      <w:pPr>
        <w:pStyle w:val="DefinedTerms"/>
      </w:pPr>
      <w:r>
        <w:t>score draw</w:t>
      </w:r>
      <w:r>
        <w:tab/>
        <w:t>3</w:t>
      </w:r>
    </w:p>
    <w:p>
      <w:pPr>
        <w:pStyle w:val="DefinedTerms"/>
      </w:pPr>
      <w:r>
        <w:t>scoreless draw</w:t>
      </w:r>
      <w:r>
        <w:tab/>
        <w:t>3</w:t>
      </w:r>
    </w:p>
    <w:p>
      <w:pPr>
        <w:pStyle w:val="DefinedTerms"/>
      </w:pPr>
      <w:r>
        <w:t>selling period</w:t>
      </w:r>
      <w:r>
        <w:tab/>
        <w:t>2</w:t>
      </w:r>
    </w:p>
    <w:p>
      <w:pPr>
        <w:pStyle w:val="DefinedTerms"/>
      </w:pPr>
      <w:r>
        <w:t>Soccer Pools</w:t>
      </w:r>
      <w:r>
        <w:tab/>
        <w:t>2</w:t>
      </w:r>
    </w:p>
    <w:p>
      <w:pPr>
        <w:pStyle w:val="DefinedTerms"/>
      </w:pPr>
      <w:r>
        <w:t>subscription</w:t>
      </w:r>
      <w:r>
        <w:tab/>
        <w:t>2</w:t>
      </w:r>
    </w:p>
    <w:p>
      <w:pPr>
        <w:pStyle w:val="DefinedTerms"/>
      </w:pPr>
      <w:r>
        <w:t>supplementary number</w:t>
      </w:r>
      <w:r>
        <w:tab/>
        <w:t>2</w:t>
      </w:r>
    </w:p>
    <w:p>
      <w:pPr>
        <w:pStyle w:val="DefinedTerms"/>
      </w:pPr>
      <w:r>
        <w:t>syndicate sales (subscription) adjustment</w:t>
      </w:r>
      <w:r>
        <w:tab/>
        <w:t>19B</w:t>
      </w:r>
    </w:p>
    <w:p>
      <w:pPr>
        <w:pStyle w:val="DefinedTerms"/>
      </w:pPr>
      <w:r>
        <w:t>total prize pool</w:t>
      </w:r>
      <w:r>
        <w:tab/>
        <w:t>2</w:t>
      </w:r>
    </w:p>
    <w:p>
      <w:pPr>
        <w:pStyle w:val="DefinedTerms"/>
      </w:pPr>
      <w:r>
        <w:t>validation period</w:t>
      </w:r>
      <w:r>
        <w:tab/>
        <w:t>2</w:t>
      </w:r>
    </w:p>
    <w:p>
      <w:pPr>
        <w:pStyle w:val="DefinedTerms"/>
      </w:pPr>
      <w:r>
        <w:t>void match</w:t>
      </w:r>
      <w:r>
        <w:tab/>
        <w:t>3</w:t>
      </w:r>
    </w:p>
    <w:p>
      <w:pPr>
        <w:pStyle w:val="DefinedTerms"/>
      </w:pPr>
      <w:r>
        <w:t>winning number</w:t>
      </w:r>
      <w:r>
        <w:tab/>
        <w:t>2</w:t>
      </w:r>
    </w:p>
    <w:p>
      <w:pPr>
        <w:pStyle w:val="DefinedTerms"/>
      </w:pPr>
    </w:p>
    <w:p>
      <w:pPr>
        <w:pStyle w:val="DefinedTerms"/>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(Soccer Pools)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(Soccer Pools)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(Soccer Pools)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6AEA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9801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99229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8217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4469D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12AB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14AC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A89C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ACE234"/>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E4F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94618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27073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07"/>
    <w:docVar w:name="WAFER_20151208095907" w:val="RemoveTrackChanges"/>
    <w:docVar w:name="WAFER_20151208095907_GUID" w:val="26dc507a-92cd-41d7-af79-933993f648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10118</Words>
  <Characters>44115</Characters>
  <Application>Microsoft Office Word</Application>
  <DocSecurity>0</DocSecurity>
  <Lines>2205</Lines>
  <Paragraphs>1643</Paragraphs>
  <ScaleCrop>false</ScaleCrop>
  <HeadingPairs>
    <vt:vector size="2" baseType="variant">
      <vt:variant>
        <vt:lpstr>Title</vt:lpstr>
      </vt:variant>
      <vt:variant>
        <vt:i4>1</vt:i4>
      </vt:variant>
    </vt:vector>
  </HeadingPairs>
  <TitlesOfParts>
    <vt:vector size="1" baseType="lpstr">
      <vt:lpstr>Lotteries Commission (Soccer Pools) Rules 1996</vt:lpstr>
    </vt:vector>
  </TitlesOfParts>
  <Manager/>
  <Company/>
  <LinksUpToDate>false</LinksUpToDate>
  <CharactersWithSpaces>52590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1996 - 02-c0-03</dc:title>
  <dc:subject/>
  <dc:creator/>
  <cp:keywords/>
  <dc:description/>
  <cp:lastModifiedBy>svcMRProcess</cp:lastModifiedBy>
  <cp:revision>4</cp:revision>
  <cp:lastPrinted>2010-03-11T06:25:00Z</cp:lastPrinted>
  <dcterms:created xsi:type="dcterms:W3CDTF">2015-12-10T07:04:00Z</dcterms:created>
  <dcterms:modified xsi:type="dcterms:W3CDTF">2015-12-10T07:05:00Z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20100314</vt:lpwstr>
  </property>
  <property fmtid="{D5CDD505-2E9C-101B-9397-08002B2CF9AE}" pid="4" name="DocumentType">
    <vt:lpwstr>Reg</vt:lpwstr>
  </property>
  <property fmtid="{D5CDD505-2E9C-101B-9397-08002B2CF9AE}" pid="5" name="OwlsUID">
    <vt:i4>4608</vt:i4>
  </property>
  <property fmtid="{D5CDD505-2E9C-101B-9397-08002B2CF9AE}" pid="6" name="AsAtDate">
    <vt:lpwstr>14 Mar 2010</vt:lpwstr>
  </property>
  <property fmtid="{D5CDD505-2E9C-101B-9397-08002B2CF9AE}" pid="7" name="Suffix">
    <vt:lpwstr>02-c0-03</vt:lpwstr>
  </property>
  <property fmtid="{D5CDD505-2E9C-101B-9397-08002B2CF9AE}" pid="8" name="ReprintNo">
    <vt:lpwstr>2</vt:lpwstr>
  </property>
</Properties>
</file>