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Public Order in Streets Act 1984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 July 2005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Public Order in Streets Act 1984</w:t>
      </w:r>
      <w:r>
        <w:fldChar w:fldCharType="end"/>
      </w:r>
    </w:p>
    <w:p>
      <w:pPr>
        <w:pStyle w:val="Arrangement"/>
      </w:pPr>
      <w:r>
        <w:t>CONTENTS</w:t>
      </w:r>
    </w:p>
    <w:p>
      <w:pPr>
        <w:pStyle w:val="TOC4"/>
        <w:tabs>
          <w:tab w:val="left" w:pos="1701"/>
        </w:tabs>
        <w:rPr>
          <w:noProof/>
          <w:sz w:val="24"/>
          <w:szCs w:val="24"/>
        </w:rPr>
      </w:pPr>
      <w:r>
        <w:rPr>
          <w:b/>
        </w:rPr>
        <w:fldChar w:fldCharType="begin"/>
      </w:r>
      <w:r>
        <w:rPr>
          <w:b/>
        </w:rPr>
        <w:instrText xml:space="preserve"> TOC \o "2-3" \t "Heading 4,3,Heading 5,4,yScheduleHeading,5,yScheduleHeading 2,5,yHeading 2,7,yHeading 3,7,yHeading 6,6" \n 2</w:instrText>
      </w:r>
      <w:r>
        <w:rPr>
          <w:b/>
        </w:rPr>
        <w:noBreakHyphen/>
        <w:instrText>3 \t " yHeading 4,3,yHeading 5,4,nHeading 3,4" \n 2</w:instrText>
      </w:r>
      <w:r>
        <w:rPr>
          <w:b/>
        </w:rPr>
        <w:noBreakHyphen/>
        <w:instrText xml:space="preserve">3 \* MERGEFORMAT </w:instrText>
      </w:r>
      <w:r>
        <w:rPr>
          <w:b/>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_Toc111337852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_Toc111337853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_Toc111337854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Public meetings and processions</w:t>
      </w:r>
      <w:r>
        <w:rPr>
          <w:noProof/>
        </w:rPr>
        <w:tab/>
      </w:r>
      <w:r>
        <w:rPr>
          <w:noProof/>
        </w:rPr>
        <w:fldChar w:fldCharType="begin"/>
      </w:r>
      <w:r>
        <w:rPr>
          <w:noProof/>
        </w:rPr>
        <w:instrText xml:space="preserve"> PAGEREF _Toc111337855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Notice of assembly</w:t>
      </w:r>
      <w:r>
        <w:rPr>
          <w:noProof/>
        </w:rPr>
        <w:tab/>
      </w:r>
      <w:r>
        <w:rPr>
          <w:noProof/>
        </w:rPr>
        <w:fldChar w:fldCharType="begin"/>
      </w:r>
      <w:r>
        <w:rPr>
          <w:noProof/>
        </w:rPr>
        <w:instrText xml:space="preserve"> PAGEREF _Toc111337856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Authorised officers</w:t>
      </w:r>
      <w:r>
        <w:rPr>
          <w:noProof/>
        </w:rPr>
        <w:tab/>
      </w:r>
      <w:r>
        <w:rPr>
          <w:noProof/>
        </w:rPr>
        <w:fldChar w:fldCharType="begin"/>
      </w:r>
      <w:r>
        <w:rPr>
          <w:noProof/>
        </w:rPr>
        <w:instrText xml:space="preserve"> PAGEREF _Toc111337857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Permits</w:t>
      </w:r>
      <w:r>
        <w:rPr>
          <w:noProof/>
        </w:rPr>
        <w:tab/>
      </w:r>
      <w:r>
        <w:rPr>
          <w:noProof/>
        </w:rPr>
        <w:fldChar w:fldCharType="begin"/>
      </w:r>
      <w:r>
        <w:rPr>
          <w:noProof/>
        </w:rPr>
        <w:instrText xml:space="preserve"> PAGEREF _Toc111337858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_Toc111337859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Offences, and evidentiary provisions</w:t>
      </w:r>
      <w:r>
        <w:rPr>
          <w:noProof/>
        </w:rPr>
        <w:tab/>
      </w:r>
      <w:r>
        <w:rPr>
          <w:noProof/>
        </w:rPr>
        <w:fldChar w:fldCharType="begin"/>
      </w:r>
      <w:r>
        <w:rPr>
          <w:noProof/>
        </w:rPr>
        <w:instrText xml:space="preserve"> PAGEREF _Toc111337860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9A.</w:t>
      </w:r>
      <w:r>
        <w:rPr>
          <w:noProof/>
          <w:sz w:val="24"/>
          <w:szCs w:val="24"/>
        </w:rPr>
        <w:tab/>
      </w:r>
      <w:r>
        <w:rPr>
          <w:noProof/>
          <w:szCs w:val="24"/>
        </w:rPr>
        <w:t>Maintaining order in streets</w:t>
      </w:r>
      <w:r>
        <w:rPr>
          <w:noProof/>
        </w:rPr>
        <w:tab/>
      </w:r>
      <w:r>
        <w:rPr>
          <w:noProof/>
        </w:rPr>
        <w:fldChar w:fldCharType="begin"/>
      </w:r>
      <w:r>
        <w:rPr>
          <w:noProof/>
        </w:rPr>
        <w:instrText xml:space="preserve"> PAGEREF _Toc111337861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Protection from liability</w:t>
      </w:r>
      <w:r>
        <w:rPr>
          <w:noProof/>
        </w:rPr>
        <w:tab/>
      </w:r>
      <w:r>
        <w:rPr>
          <w:noProof/>
        </w:rPr>
        <w:fldChar w:fldCharType="begin"/>
      </w:r>
      <w:r>
        <w:rPr>
          <w:noProof/>
        </w:rPr>
        <w:instrText xml:space="preserve"> PAGEREF _Toc111337862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_Toc111337863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_Toc111337865 \h </w:instrText>
      </w:r>
      <w:r>
        <w:rPr>
          <w:noProof/>
        </w:rPr>
      </w:r>
      <w:r>
        <w:rPr>
          <w:noProof/>
        </w:rPr>
        <w:fldChar w:fldCharType="separate"/>
      </w:r>
      <w:r>
        <w:rPr>
          <w:noProof/>
        </w:rPr>
        <w:t>11</w:t>
      </w:r>
      <w:r>
        <w:rPr>
          <w:noProof/>
        </w:rPr>
        <w:fldChar w:fldCharType="end"/>
      </w:r>
    </w:p>
    <w:p>
      <w:pPr>
        <w:pStyle w:val="TOC4"/>
      </w:pPr>
      <w:r>
        <w:rPr>
          <w:noProof/>
          <w:snapToGrid w:val="0"/>
        </w:rPr>
        <w:tab/>
        <w:t>Provisions that have not come into operation</w:t>
      </w:r>
      <w:r>
        <w:rPr>
          <w:noProof/>
        </w:rPr>
        <w:tab/>
      </w:r>
      <w:r>
        <w:rPr>
          <w:noProof/>
        </w:rPr>
        <w:fldChar w:fldCharType="begin"/>
      </w:r>
      <w:r>
        <w:rPr>
          <w:noProof/>
        </w:rPr>
        <w:instrText xml:space="preserve"> PAGEREF _Toc111337866 \h </w:instrText>
      </w:r>
      <w:r>
        <w:rPr>
          <w:noProof/>
        </w:rPr>
      </w:r>
      <w:r>
        <w:rPr>
          <w:noProof/>
        </w:rPr>
        <w:fldChar w:fldCharType="separate"/>
      </w:r>
      <w:r>
        <w:rPr>
          <w:noProof/>
        </w:rPr>
        <w:t>11</w:t>
      </w:r>
      <w:r>
        <w:rPr>
          <w:noProof/>
        </w:rPr>
        <w:fldChar w:fldCharType="end"/>
      </w:r>
      <w:r>
        <w:rPr>
          <w:b/>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22</w:t>
            </w:r>
            <w:r>
              <w:rPr>
                <w:b/>
                <w:snapToGrid w:val="0"/>
                <w:sz w:val="22"/>
              </w:rPr>
              <w:t xml:space="preserve"> July 2005</w:t>
            </w:r>
          </w:p>
        </w:tc>
      </w:tr>
    </w:tbl>
    <w:p>
      <w:pPr>
        <w:pStyle w:val="WA"/>
        <w:spacing w:before="120"/>
      </w:pPr>
      <w:r>
        <w:t>Western Australia</w:t>
      </w:r>
    </w:p>
    <w:p>
      <w:pPr>
        <w:pStyle w:val="NameofActReg"/>
        <w:spacing w:before="760"/>
      </w:pPr>
      <w:r>
        <w:t xml:space="preserve">Public Order in Streets Act 1984 </w:t>
      </w:r>
    </w:p>
    <w:p>
      <w:pPr>
        <w:pStyle w:val="LongTitle"/>
        <w:rPr>
          <w:snapToGrid w:val="0"/>
        </w:rPr>
      </w:pPr>
      <w:bookmarkStart w:id="1" w:name="_Toc411736714"/>
      <w:r>
        <w:rPr>
          <w:snapToGrid w:val="0"/>
        </w:rPr>
        <w:t>An Act to regulate the holding of public meetings and processions in streets, to provide for the maintenance of order in streets, and for related purposes.</w:t>
      </w:r>
    </w:p>
    <w:p>
      <w:pPr>
        <w:pStyle w:val="Footnotelongtitle"/>
        <w:rPr>
          <w:snapToGrid/>
        </w:rPr>
      </w:pPr>
      <w:r>
        <w:tab/>
        <w:t>[Long title inserted by No. 70 of 2004 s. 75.]</w:t>
      </w:r>
    </w:p>
    <w:p>
      <w:pPr>
        <w:pStyle w:val="Heading5"/>
        <w:spacing w:before="320"/>
        <w:ind w:left="890" w:hanging="890"/>
        <w:rPr>
          <w:snapToGrid w:val="0"/>
        </w:rPr>
      </w:pPr>
      <w:bookmarkStart w:id="2" w:name="_Toc111337852"/>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vertAlign w:val="superscript"/>
        </w:rPr>
        <w:t> 1</w:t>
      </w:r>
      <w:r>
        <w:rPr>
          <w:snapToGrid w:val="0"/>
        </w:rPr>
        <w:t>.</w:t>
      </w:r>
    </w:p>
    <w:p>
      <w:pPr>
        <w:pStyle w:val="Footnotesection"/>
      </w:pPr>
      <w:r>
        <w:tab/>
        <w:t>[Section 1 amended by No. 70 of 2004 s. 76.]</w:t>
      </w:r>
    </w:p>
    <w:p>
      <w:pPr>
        <w:pStyle w:val="Heading5"/>
        <w:rPr>
          <w:snapToGrid w:val="0"/>
        </w:rPr>
      </w:pPr>
      <w:bookmarkStart w:id="3" w:name="_Toc411736715"/>
      <w:bookmarkStart w:id="4" w:name="_Toc111337853"/>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5" w:name="_Toc411736716"/>
      <w:bookmarkStart w:id="6" w:name="_Toc111337854"/>
      <w:r>
        <w:rPr>
          <w:rStyle w:val="CharSectno"/>
        </w:rPr>
        <w:t>3</w:t>
      </w:r>
      <w:r>
        <w:rPr>
          <w:snapToGrid w:val="0"/>
        </w:rPr>
        <w:t>.</w:t>
      </w:r>
      <w:r>
        <w:rPr>
          <w:snapToGrid w:val="0"/>
        </w:rPr>
        <w:tab/>
        <w:t>Interpretation</w:t>
      </w:r>
      <w:bookmarkEnd w:id="5"/>
      <w:bookmarkEnd w:id="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w:t>
      </w:r>
      <w:r>
        <w:rPr>
          <w:rStyle w:val="CharDefText"/>
        </w:rPr>
        <w:t>authorised officer</w:t>
      </w:r>
      <w:r>
        <w:rPr>
          <w:b/>
        </w:rPr>
        <w:t>”</w:t>
      </w:r>
      <w:r>
        <w:t xml:space="preserve"> means a police officer authorised pursuant to a determination published under section 6;</w:t>
      </w:r>
    </w:p>
    <w:p>
      <w:pPr>
        <w:pStyle w:val="Defstart"/>
      </w:pPr>
      <w:r>
        <w:rPr>
          <w:b/>
        </w:rPr>
        <w:tab/>
        <w:t>“</w:t>
      </w:r>
      <w:r>
        <w:rPr>
          <w:rStyle w:val="CharDefText"/>
        </w:rPr>
        <w:t>Commissioner</w:t>
      </w:r>
      <w:r>
        <w:rPr>
          <w:b/>
        </w:rPr>
        <w:t>”</w:t>
      </w:r>
      <w:r>
        <w:t xml:space="preserve"> means the Commissioner of Police appointed pursuant to the </w:t>
      </w:r>
      <w:r>
        <w:rPr>
          <w:i/>
        </w:rPr>
        <w:t>Police Act 1892</w:t>
      </w:r>
      <w:r>
        <w:t>;</w:t>
      </w:r>
    </w:p>
    <w:p>
      <w:pPr>
        <w:pStyle w:val="Defstart"/>
      </w:pPr>
      <w:r>
        <w:rPr>
          <w:b/>
        </w:rPr>
        <w:tab/>
        <w:t>“</w:t>
      </w:r>
      <w:r>
        <w:rPr>
          <w:rStyle w:val="CharDefText"/>
        </w:rPr>
        <w:t>notice</w:t>
      </w:r>
      <w:r>
        <w:rPr>
          <w:b/>
        </w:rPr>
        <w:t>”</w:t>
      </w:r>
      <w:r>
        <w:t xml:space="preserve"> means a notice duly given in accordance with the requirements of section 5;</w:t>
      </w:r>
    </w:p>
    <w:p>
      <w:pPr>
        <w:pStyle w:val="Defstart"/>
      </w:pPr>
      <w:r>
        <w:rPr>
          <w:b/>
        </w:rPr>
        <w:tab/>
        <w:t>“</w:t>
      </w:r>
      <w:r>
        <w:rPr>
          <w:rStyle w:val="CharDefText"/>
        </w:rPr>
        <w:t>permit</w:t>
      </w:r>
      <w:r>
        <w:rPr>
          <w:b/>
        </w:rPr>
        <w:t>”</w:t>
      </w:r>
      <w:r>
        <w:t xml:space="preserve"> means a permit granted pursuant to a notice;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street</w:t>
      </w:r>
      <w:r>
        <w:rPr>
          <w:b/>
        </w:rPr>
        <w:t>”</w:t>
      </w:r>
      <w:r>
        <w:t xml:space="preserve"> means any road or highway open to, or which although not open to is nevertheless used by, the public, notwithstanding that it is on private property, and includes every thoroughfare, carriageway, footpath, reservation, median strip or traffic island associated with it and any steps, doorways or entrances abutting it;</w:t>
      </w:r>
    </w:p>
    <w:p>
      <w:pPr>
        <w:pStyle w:val="Defstart"/>
      </w:pPr>
      <w:r>
        <w:rPr>
          <w:b/>
        </w:rPr>
        <w:tab/>
        <w:t>“</w:t>
      </w:r>
      <w:r>
        <w:rPr>
          <w:rStyle w:val="CharDefText"/>
        </w:rPr>
        <w:t>subsection</w:t>
      </w:r>
      <w:r>
        <w:rPr>
          <w:b/>
        </w:rPr>
        <w:t>”</w:t>
      </w:r>
      <w:r>
        <w:t xml:space="preserve"> means a subsection of the section in which the term appears;</w:t>
      </w:r>
    </w:p>
    <w:p>
      <w:pPr>
        <w:pStyle w:val="Defstart"/>
      </w:pPr>
      <w:r>
        <w:rPr>
          <w:b/>
        </w:rPr>
        <w:tab/>
        <w:t>“</w:t>
      </w:r>
      <w:r>
        <w:rPr>
          <w:rStyle w:val="CharDefText"/>
        </w:rPr>
        <w:t>thoroughfare</w:t>
      </w:r>
      <w:r>
        <w:rPr>
          <w:b/>
        </w:rPr>
        <w:t>”</w:t>
      </w:r>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 by No. 55 of 2004 s. 987.]</w:t>
      </w:r>
    </w:p>
    <w:p>
      <w:pPr>
        <w:pStyle w:val="Heading5"/>
        <w:rPr>
          <w:snapToGrid w:val="0"/>
        </w:rPr>
      </w:pPr>
      <w:bookmarkStart w:id="7" w:name="_Toc411736717"/>
      <w:bookmarkStart w:id="8" w:name="_Toc111337855"/>
      <w:r>
        <w:rPr>
          <w:rStyle w:val="CharSectno"/>
        </w:rPr>
        <w:t>4</w:t>
      </w:r>
      <w:r>
        <w:rPr>
          <w:snapToGrid w:val="0"/>
        </w:rPr>
        <w:t>.</w:t>
      </w:r>
      <w:r>
        <w:rPr>
          <w:snapToGrid w:val="0"/>
        </w:rPr>
        <w:tab/>
        <w:t>Public meetings and processions</w:t>
      </w:r>
      <w:bookmarkEnd w:id="7"/>
      <w:bookmarkEnd w:id="8"/>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 by No. 55 of 2004 s. 988 and 991; No. 70 of 2004 s. 77.]</w:t>
      </w:r>
    </w:p>
    <w:p>
      <w:pPr>
        <w:pStyle w:val="Heading5"/>
        <w:rPr>
          <w:snapToGrid w:val="0"/>
        </w:rPr>
      </w:pPr>
      <w:bookmarkStart w:id="9" w:name="_Toc411736718"/>
      <w:bookmarkStart w:id="10" w:name="_Toc111337856"/>
      <w:r>
        <w:rPr>
          <w:rStyle w:val="CharSectno"/>
        </w:rPr>
        <w:t>5</w:t>
      </w:r>
      <w:r>
        <w:rPr>
          <w:snapToGrid w:val="0"/>
        </w:rPr>
        <w:t>.</w:t>
      </w:r>
      <w:r>
        <w:rPr>
          <w:snapToGrid w:val="0"/>
        </w:rPr>
        <w:tab/>
        <w:t>Notice of assembly</w:t>
      </w:r>
      <w:bookmarkEnd w:id="9"/>
      <w:bookmarkEnd w:id="10"/>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spacing w:before="200"/>
        <w:rPr>
          <w:snapToGrid w:val="0"/>
        </w:rPr>
      </w:pPr>
      <w:r>
        <w:rPr>
          <w:snapToGrid w:val="0"/>
        </w:rPr>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11" w:name="_Toc411736719"/>
      <w:bookmarkStart w:id="12" w:name="_Toc111337857"/>
      <w:r>
        <w:rPr>
          <w:rStyle w:val="CharSectno"/>
        </w:rPr>
        <w:t>6</w:t>
      </w:r>
      <w:r>
        <w:rPr>
          <w:snapToGrid w:val="0"/>
        </w:rPr>
        <w:t>.</w:t>
      </w:r>
      <w:r>
        <w:rPr>
          <w:snapToGrid w:val="0"/>
        </w:rPr>
        <w:tab/>
        <w:t>Authorised officers</w:t>
      </w:r>
      <w:bookmarkEnd w:id="11"/>
      <w:bookmarkEnd w:id="12"/>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13" w:name="_Toc411736720"/>
      <w:bookmarkStart w:id="14" w:name="_Toc111337858"/>
      <w:r>
        <w:rPr>
          <w:rStyle w:val="CharSectno"/>
        </w:rPr>
        <w:t>7</w:t>
      </w:r>
      <w:r>
        <w:rPr>
          <w:snapToGrid w:val="0"/>
        </w:rPr>
        <w:t>.</w:t>
      </w:r>
      <w:r>
        <w:rPr>
          <w:snapToGrid w:val="0"/>
        </w:rPr>
        <w:tab/>
        <w:t>Permits</w:t>
      </w:r>
      <w:bookmarkEnd w:id="13"/>
      <w:bookmarkEnd w:id="14"/>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15" w:name="_Toc111337859"/>
      <w:r>
        <w:rPr>
          <w:rStyle w:val="CharSectno"/>
        </w:rPr>
        <w:t>8</w:t>
      </w:r>
      <w:r>
        <w:rPr>
          <w:snapToGrid w:val="0"/>
        </w:rPr>
        <w:t>.</w:t>
      </w:r>
      <w:r>
        <w:rPr>
          <w:snapToGrid w:val="0"/>
        </w:rPr>
        <w:tab/>
        <w:t>Reviews</w:t>
      </w:r>
      <w:bookmarkEnd w:id="15"/>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tab/>
        <w:t>(b)</w:t>
      </w:r>
      <w:r>
        <w:rPr>
          <w:snapToGrid w:val="0"/>
        </w:rPr>
        <w:tab/>
        <w:t>otherwise, there is good cause why it should be reviewed.</w:t>
      </w:r>
    </w:p>
    <w:p>
      <w:pPr>
        <w:pStyle w:val="Footnotesection"/>
      </w:pPr>
      <w:r>
        <w:tab/>
        <w:t>[Section 8 amended by No. 55 of 2004 s. 989.]</w:t>
      </w:r>
    </w:p>
    <w:p>
      <w:pPr>
        <w:pStyle w:val="Heading5"/>
        <w:rPr>
          <w:snapToGrid w:val="0"/>
        </w:rPr>
      </w:pPr>
      <w:bookmarkStart w:id="16" w:name="_Toc411736722"/>
      <w:bookmarkStart w:id="17" w:name="_Toc111337860"/>
      <w:r>
        <w:rPr>
          <w:rStyle w:val="CharSectno"/>
        </w:rPr>
        <w:t>9</w:t>
      </w:r>
      <w:r>
        <w:rPr>
          <w:snapToGrid w:val="0"/>
        </w:rPr>
        <w:t>.</w:t>
      </w:r>
      <w:r>
        <w:rPr>
          <w:snapToGrid w:val="0"/>
        </w:rPr>
        <w:tab/>
        <w:t>Offences, and evidentiary provisions</w:t>
      </w:r>
      <w:bookmarkEnd w:id="16"/>
      <w:bookmarkEnd w:id="17"/>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 by No. 55 of 2004 s. 990 and 991; No. 84 of 2004 s. 80 and 82.]</w:t>
      </w:r>
    </w:p>
    <w:p>
      <w:pPr>
        <w:pStyle w:val="Heading5"/>
      </w:pPr>
      <w:bookmarkStart w:id="18" w:name="_Toc111337861"/>
      <w:bookmarkStart w:id="19" w:name="_Toc411736723"/>
      <w:r>
        <w:rPr>
          <w:rStyle w:val="CharSectno"/>
        </w:rPr>
        <w:t>9A</w:t>
      </w:r>
      <w:r>
        <w:t>.</w:t>
      </w:r>
      <w:r>
        <w:tab/>
        <w:t>Maintaining order in streets</w:t>
      </w:r>
      <w:bookmarkEnd w:id="18"/>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Road Traffic Act 1974</w:t>
      </w:r>
      <w:r>
        <w:t>.</w:t>
      </w:r>
    </w:p>
    <w:p>
      <w:pPr>
        <w:pStyle w:val="Subsection"/>
      </w:pPr>
      <w:r>
        <w:tab/>
        <w:t>(3)</w:t>
      </w:r>
      <w:r>
        <w:tab/>
        <w:t>A member of the Police Force acting under such an instruction may give reasonable directions to any person for the purpose of giving effect to the instruction.</w:t>
      </w:r>
    </w:p>
    <w:p>
      <w:pPr>
        <w:pStyle w:val="Subsection"/>
      </w:pPr>
      <w:r>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 by No. 70 of 2004 s. 78.]</w:t>
      </w:r>
    </w:p>
    <w:p>
      <w:pPr>
        <w:pStyle w:val="Heading5"/>
        <w:rPr>
          <w:snapToGrid w:val="0"/>
        </w:rPr>
      </w:pPr>
      <w:bookmarkStart w:id="20" w:name="_Toc111337862"/>
      <w:r>
        <w:rPr>
          <w:rStyle w:val="CharSectno"/>
        </w:rPr>
        <w:t>10</w:t>
      </w:r>
      <w:r>
        <w:rPr>
          <w:snapToGrid w:val="0"/>
        </w:rPr>
        <w:t>.</w:t>
      </w:r>
      <w:r>
        <w:rPr>
          <w:snapToGrid w:val="0"/>
        </w:rPr>
        <w:tab/>
        <w:t>Protection from liability</w:t>
      </w:r>
      <w:bookmarkEnd w:id="19"/>
      <w:bookmarkEnd w:id="2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21" w:name="_Toc411736724"/>
      <w:bookmarkStart w:id="22" w:name="_Toc111337863"/>
      <w:r>
        <w:rPr>
          <w:rStyle w:val="CharSectno"/>
        </w:rPr>
        <w:t>11</w:t>
      </w:r>
      <w:r>
        <w:rPr>
          <w:snapToGrid w:val="0"/>
        </w:rPr>
        <w:t>.</w:t>
      </w:r>
      <w:r>
        <w:rPr>
          <w:snapToGrid w:val="0"/>
        </w:rPr>
        <w:tab/>
        <w:t>Regulations</w:t>
      </w:r>
      <w:bookmarkEnd w:id="21"/>
      <w:bookmarkEnd w:id="22"/>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t>Repealed by No. 70 of 2004 s. 79.]</w:t>
      </w:r>
    </w:p>
    <w:p>
      <w:pPr>
        <w:pStyle w:val="yEdnoteschedule"/>
      </w:pPr>
      <w:r>
        <w:t>[Schedule omitted under the Reprints Act 1984 s. 7(4)(e).]</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23" w:name="_Toc89502811"/>
      <w:bookmarkStart w:id="24" w:name="_Toc89512676"/>
      <w:bookmarkStart w:id="25" w:name="_Toc90865225"/>
      <w:bookmarkStart w:id="26" w:name="_Toc91321966"/>
      <w:bookmarkStart w:id="27" w:name="_Toc92699702"/>
      <w:bookmarkStart w:id="28" w:name="_Toc96997821"/>
      <w:bookmarkStart w:id="29" w:name="_Toc108500643"/>
      <w:bookmarkStart w:id="30" w:name="_Toc108500658"/>
      <w:bookmarkStart w:id="31" w:name="_Toc108510290"/>
      <w:bookmarkStart w:id="32" w:name="_Toc108856838"/>
      <w:bookmarkStart w:id="33" w:name="_Toc108940920"/>
      <w:bookmarkStart w:id="34" w:name="_Toc111337864"/>
      <w:r>
        <w:t>Notes</w:t>
      </w:r>
      <w:bookmarkEnd w:id="23"/>
      <w:bookmarkEnd w:id="24"/>
      <w:bookmarkEnd w:id="25"/>
      <w:bookmarkEnd w:id="26"/>
      <w:bookmarkEnd w:id="27"/>
      <w:bookmarkEnd w:id="28"/>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reprint is a compilation as at 22 July 2005 of the </w:t>
      </w:r>
      <w:r>
        <w:rPr>
          <w:i/>
          <w:noProof/>
          <w:snapToGrid w:val="0"/>
        </w:rPr>
        <w:t>Public Order in Streets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5" w:name="_Toc111337865"/>
      <w:r>
        <w:t>Compilation table</w:t>
      </w:r>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z w:val="19"/>
              </w:rPr>
              <w:t>Public Meetings and Processions Act 1984</w:t>
            </w:r>
            <w:r>
              <w:rPr>
                <w:iCs/>
                <w:sz w:val="19"/>
                <w:vertAlign w:val="superscript"/>
              </w:rPr>
              <w:t> 2</w:t>
            </w:r>
          </w:p>
        </w:tc>
        <w:tc>
          <w:tcPr>
            <w:tcW w:w="1134" w:type="dxa"/>
          </w:tcPr>
          <w:p>
            <w:pPr>
              <w:pStyle w:val="nTable"/>
              <w:spacing w:after="40"/>
              <w:rPr>
                <w:sz w:val="19"/>
              </w:rPr>
            </w:pPr>
            <w:r>
              <w:rPr>
                <w:sz w:val="19"/>
              </w:rPr>
              <w:t>23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cantSplit/>
        </w:trPr>
        <w:tc>
          <w:tcPr>
            <w:tcW w:w="7088" w:type="dxa"/>
            <w:gridSpan w:val="4"/>
          </w:tcPr>
          <w:p>
            <w:pPr>
              <w:pStyle w:val="nTable"/>
              <w:spacing w:after="40"/>
              <w:rPr>
                <w:b/>
                <w:sz w:val="19"/>
              </w:rPr>
            </w:pPr>
            <w:r>
              <w:rPr>
                <w:b/>
                <w:sz w:val="19"/>
              </w:rPr>
              <w:t xml:space="preserve">Reprint of the </w:t>
            </w:r>
            <w:r>
              <w:rPr>
                <w:b/>
                <w:i/>
                <w:sz w:val="19"/>
              </w:rPr>
              <w:t>Public Meetings and Processions Act 1984</w:t>
            </w:r>
            <w:r>
              <w:rPr>
                <w:b/>
                <w:sz w:val="19"/>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109 Subdiv. 1</w:t>
            </w:r>
            <w:r>
              <w:rPr>
                <w:rFonts w:ascii="Times" w:hAnsi="Times"/>
                <w:sz w:val="19"/>
                <w:vertAlign w:val="superscript"/>
              </w:rPr>
              <w:t> 3</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Pt. 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2"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iCs/>
                <w:snapToGrid w:val="0"/>
                <w:sz w:val="19"/>
                <w:lang w:val="en-US"/>
              </w:rPr>
              <w:t>Gazette</w:t>
            </w:r>
            <w:r>
              <w:rPr>
                <w:rFonts w:ascii="Times" w:hAnsi="Times"/>
                <w:snapToGrid w:val="0"/>
                <w:sz w:val="19"/>
                <w:lang w:val="en-US"/>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rFonts w:ascii="Times" w:hAnsi="Times"/>
                <w:sz w:val="19"/>
              </w:rPr>
            </w:pPr>
            <w:r>
              <w:rPr>
                <w:snapToGrid w:val="0"/>
                <w:sz w:val="19"/>
                <w:lang w:val="en-US"/>
              </w:rPr>
              <w:t>84 of 2004</w:t>
            </w:r>
          </w:p>
        </w:tc>
        <w:tc>
          <w:tcPr>
            <w:tcW w:w="1134" w:type="dxa"/>
            <w:tcBorders>
              <w:top w:val="nil"/>
              <w:bottom w:val="nil"/>
            </w:tcBorders>
          </w:tcPr>
          <w:p>
            <w:pPr>
              <w:pStyle w:val="nTable"/>
              <w:spacing w:after="40"/>
              <w:rPr>
                <w:rFonts w:ascii="Times" w:hAnsi="Times"/>
                <w:sz w:val="19"/>
              </w:rPr>
            </w:pPr>
            <w:r>
              <w:rPr>
                <w:sz w:val="19"/>
              </w:rPr>
              <w:t>16 Dec 2004</w:t>
            </w:r>
          </w:p>
        </w:tc>
        <w:tc>
          <w:tcPr>
            <w:tcW w:w="2552"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Public Order in Streets Act 1984</w:t>
            </w:r>
            <w:r>
              <w:rPr>
                <w:b/>
                <w:bCs/>
                <w:snapToGrid w:val="0"/>
                <w:sz w:val="19"/>
                <w:lang w:val="en-US"/>
              </w:rPr>
              <w:t xml:space="preserve"> as at 22 Jul 2005</w:t>
            </w:r>
            <w:r>
              <w:rPr>
                <w:snapToGrid w:val="0"/>
                <w:sz w:val="19"/>
                <w:lang w:val="en-US"/>
              </w:rPr>
              <w:t xml:space="preserve"> (includes amendments listed above)</w:t>
            </w:r>
          </w:p>
        </w:tc>
      </w:tr>
    </w:tbl>
    <w:p>
      <w:pPr>
        <w:pStyle w:val="nSubsection"/>
        <w:spacing w:before="360"/>
        <w:ind w:left="482" w:hanging="482"/>
      </w:pPr>
      <w:r>
        <w:rPr>
          <w:vertAlign w:val="superscript"/>
        </w:rPr>
        <w:t>1a</w:t>
      </w:r>
      <w:r>
        <w:tab/>
        <w:t>On the date as at which thi</w:t>
      </w:r>
      <w:bookmarkStart w:id="36" w:name="_Hlt507390729"/>
      <w:bookmarkEnd w:id="36"/>
      <w:r>
        <w:t>s reprint was prepared, provisions referred to in the following table had not come into operation and were therefore not included in compiling the reprint.  For the text of the provisions see the endnote referred to in the table.</w:t>
      </w:r>
    </w:p>
    <w:p>
      <w:pPr>
        <w:pStyle w:val="nHeading3"/>
        <w:rPr>
          <w:snapToGrid w:val="0"/>
        </w:rPr>
      </w:pPr>
      <w:bookmarkStart w:id="37" w:name="_Toc111337866"/>
      <w:r>
        <w:rPr>
          <w:snapToGrid w:val="0"/>
        </w:rPr>
        <w:t>Provisions that have not come into operation</w:t>
      </w:r>
      <w:bookmarkEnd w:id="3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4</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pPr>
              <w:pStyle w:val="nTable"/>
              <w:spacing w:after="40"/>
              <w:rPr>
                <w:sz w:val="19"/>
              </w:rPr>
            </w:pPr>
            <w:r>
              <w:rPr>
                <w:sz w:val="19"/>
              </w:rPr>
              <w:t>23 Nov 2004</w:t>
            </w:r>
          </w:p>
        </w:tc>
        <w:tc>
          <w:tcPr>
            <w:tcW w:w="2551"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rPr>
      </w:pPr>
      <w:bookmarkStart w:id="38" w:name="_Toc491766784"/>
      <w:bookmarkStart w:id="39" w:name="_Toc497185907"/>
      <w:bookmarkStart w:id="40" w:name="_Toc88630764"/>
      <w:r>
        <w:rPr>
          <w:snapToGrid w:val="0"/>
          <w:vertAlign w:val="superscript"/>
        </w:rPr>
        <w:t>2</w:t>
      </w:r>
      <w:r>
        <w:rPr>
          <w:snapToGrid w:val="0"/>
        </w:rPr>
        <w:tab/>
        <w:t xml:space="preserve">Now known as the </w:t>
      </w:r>
      <w:r>
        <w:rPr>
          <w:i/>
          <w:iCs/>
          <w:snapToGrid w:val="0"/>
        </w:rPr>
        <w:t>Public Order in Streets Act 1984</w:t>
      </w:r>
      <w:r>
        <w:rPr>
          <w:snapToGrid w:val="0"/>
        </w:rPr>
        <w:t>; short title changed (see note under s. 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41" w:name="_Toc448803174"/>
      <w:bookmarkStart w:id="42" w:name="_Toc491766624"/>
      <w:bookmarkStart w:id="43" w:name="_Toc88630544"/>
      <w:r>
        <w:rPr>
          <w:rStyle w:val="CharSectno"/>
        </w:rPr>
        <w:t>142</w:t>
      </w:r>
      <w:r>
        <w:t>.</w:t>
      </w:r>
      <w:r>
        <w:tab/>
        <w:t xml:space="preserve">Other amendments to various Acts </w:t>
      </w:r>
      <w:bookmarkEnd w:id="41"/>
      <w:bookmarkEnd w:id="42"/>
      <w:bookmarkEnd w:id="43"/>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42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42.</w:t>
      </w:r>
      <w:r>
        <w:tab/>
      </w:r>
      <w:r>
        <w:rPr>
          <w:i/>
        </w:rPr>
        <w:t>Public Meetings and Processions Act 1984</w:t>
      </w:r>
      <w:bookmarkEnd w:id="38"/>
      <w:bookmarkEnd w:id="39"/>
      <w:bookmarkEnd w:id="40"/>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3</w:t>
            </w:r>
          </w:p>
        </w:tc>
        <w:tc>
          <w:tcPr>
            <w:tcW w:w="4820" w:type="dxa"/>
          </w:tcPr>
          <w:p>
            <w:pPr>
              <w:pStyle w:val="nzTable"/>
            </w:pPr>
            <w:r>
              <w:t>Delete the definition of “magistrate”.</w:t>
            </w:r>
          </w:p>
          <w:p>
            <w:pPr>
              <w:pStyle w:val="nzTable"/>
            </w:pPr>
            <w:r>
              <w:t xml:space="preserve">In the definition of “order” delete “a magistrate” and insert instead — </w:t>
            </w:r>
          </w:p>
          <w:p>
            <w:pPr>
              <w:pStyle w:val="nzTable"/>
            </w:pPr>
            <w:r>
              <w:t>“    the Magistrates Court    ”.</w:t>
            </w:r>
          </w:p>
        </w:tc>
      </w:tr>
      <w:tr>
        <w:trPr>
          <w:cantSplit/>
        </w:trPr>
        <w:tc>
          <w:tcPr>
            <w:tcW w:w="1134" w:type="dxa"/>
          </w:tcPr>
          <w:p>
            <w:pPr>
              <w:pStyle w:val="nzTable"/>
            </w:pPr>
            <w:r>
              <w:t>s. 4(2)</w:t>
            </w:r>
          </w:p>
        </w:tc>
        <w:tc>
          <w:tcPr>
            <w:tcW w:w="4820" w:type="dxa"/>
          </w:tcPr>
          <w:p>
            <w:pPr>
              <w:pStyle w:val="nzTable"/>
            </w:pPr>
            <w:r>
              <w:t xml:space="preserve">Delete “a magistrate” and insert instead — </w:t>
            </w:r>
          </w:p>
          <w:p>
            <w:pPr>
              <w:pStyle w:val="nzTable"/>
            </w:pPr>
            <w:r>
              <w:t>“    the Magistrates Court    ”.</w:t>
            </w:r>
          </w:p>
        </w:tc>
      </w:tr>
      <w:tr>
        <w:trPr>
          <w:cantSplit/>
        </w:trPr>
        <w:tc>
          <w:tcPr>
            <w:tcW w:w="1134" w:type="dxa"/>
          </w:tcPr>
          <w:p>
            <w:pPr>
              <w:pStyle w:val="nzTable"/>
            </w:pPr>
            <w:r>
              <w:t>s. 8(1)</w:t>
            </w:r>
          </w:p>
        </w:tc>
        <w:tc>
          <w:tcPr>
            <w:tcW w:w="4820" w:type="dxa"/>
          </w:tcPr>
          <w:p>
            <w:pPr>
              <w:pStyle w:val="nzTable"/>
            </w:pPr>
            <w:r>
              <w:t xml:space="preserve">Delete “the magistrate” and insert instead — </w:t>
            </w:r>
          </w:p>
          <w:p>
            <w:pPr>
              <w:pStyle w:val="nzTable"/>
            </w:pPr>
            <w:r>
              <w:t>“    the Magistrates Court    ”.</w:t>
            </w:r>
          </w:p>
          <w:p>
            <w:pPr>
              <w:pStyle w:val="nzTable"/>
            </w:pPr>
            <w:r>
              <w:t xml:space="preserve">Delete “a magistrate” and insert instead — </w:t>
            </w:r>
          </w:p>
          <w:p>
            <w:pPr>
              <w:pStyle w:val="nzTable"/>
            </w:pPr>
            <w:r>
              <w:t>“    the Magistrates Court    ”.</w:t>
            </w:r>
          </w:p>
        </w:tc>
      </w:tr>
      <w:tr>
        <w:trPr>
          <w:cantSplit/>
        </w:trPr>
        <w:tc>
          <w:tcPr>
            <w:tcW w:w="1134" w:type="dxa"/>
          </w:tcPr>
          <w:p>
            <w:pPr>
              <w:pStyle w:val="nzTable"/>
            </w:pPr>
            <w:r>
              <w:t>s. 8(2)</w:t>
            </w:r>
          </w:p>
        </w:tc>
        <w:tc>
          <w:tcPr>
            <w:tcW w:w="4820" w:type="dxa"/>
          </w:tcPr>
          <w:p>
            <w:pPr>
              <w:pStyle w:val="nzTable"/>
            </w:pPr>
            <w:r>
              <w:t xml:space="preserve">Delete “magistrate” and insert instead — </w:t>
            </w:r>
          </w:p>
          <w:p>
            <w:pPr>
              <w:pStyle w:val="nzTable"/>
            </w:pPr>
            <w:r>
              <w:t>“    Magistrates Court    ”.</w:t>
            </w:r>
          </w:p>
        </w:tc>
      </w:tr>
      <w:tr>
        <w:trPr>
          <w:cantSplit/>
        </w:trPr>
        <w:tc>
          <w:tcPr>
            <w:tcW w:w="1134" w:type="dxa"/>
          </w:tcPr>
          <w:p>
            <w:pPr>
              <w:pStyle w:val="nzTable"/>
            </w:pPr>
            <w:r>
              <w:t>s. 8(3)</w:t>
            </w:r>
          </w:p>
        </w:tc>
        <w:tc>
          <w:tcPr>
            <w:tcW w:w="4820" w:type="dxa"/>
          </w:tcPr>
          <w:p>
            <w:pPr>
              <w:pStyle w:val="nzTable"/>
            </w:pPr>
            <w:r>
              <w:t xml:space="preserve">Delete “magistrate” and insert instead — </w:t>
            </w:r>
          </w:p>
          <w:p>
            <w:pPr>
              <w:pStyle w:val="nzTable"/>
            </w:pPr>
            <w:r>
              <w:t>“    Magistrates Court    ”.</w:t>
            </w:r>
          </w:p>
          <w:p>
            <w:pPr>
              <w:pStyle w:val="nzTable"/>
            </w:pPr>
            <w:r>
              <w:t xml:space="preserve">Delete “he” and insert instead — </w:t>
            </w:r>
          </w:p>
          <w:p>
            <w:pPr>
              <w:pStyle w:val="nzTable"/>
            </w:pPr>
            <w:r>
              <w:t>“    it    ”.</w:t>
            </w:r>
          </w:p>
        </w:tc>
      </w:tr>
      <w:tr>
        <w:trPr>
          <w:cantSplit/>
        </w:trPr>
        <w:tc>
          <w:tcPr>
            <w:tcW w:w="1134" w:type="dxa"/>
          </w:tcPr>
          <w:p>
            <w:pPr>
              <w:pStyle w:val="nzTable"/>
            </w:pPr>
            <w:r>
              <w:t>s. 8(4)</w:t>
            </w:r>
          </w:p>
        </w:tc>
        <w:tc>
          <w:tcPr>
            <w:tcW w:w="4820" w:type="dxa"/>
          </w:tcPr>
          <w:p>
            <w:pPr>
              <w:pStyle w:val="nzTable"/>
            </w:pPr>
            <w:r>
              <w:t xml:space="preserve">Delete “a magistrate” and insert instead — </w:t>
            </w:r>
          </w:p>
          <w:p>
            <w:pPr>
              <w:pStyle w:val="nzTable"/>
            </w:pPr>
            <w:r>
              <w:t>“    the Magistrates Court    ”.</w:t>
            </w:r>
          </w:p>
          <w:p>
            <w:pPr>
              <w:pStyle w:val="nzTable"/>
            </w:pPr>
            <w:r>
              <w:t xml:space="preserve">Delete “that magistrate” and insert instead — </w:t>
            </w:r>
          </w:p>
          <w:p>
            <w:pPr>
              <w:pStyle w:val="nzTable"/>
            </w:pPr>
            <w:r>
              <w:t>“    the court    ”.</w:t>
            </w:r>
          </w:p>
        </w:tc>
      </w:tr>
      <w:tr>
        <w:trPr>
          <w:cantSplit/>
        </w:trPr>
        <w:tc>
          <w:tcPr>
            <w:tcW w:w="1134" w:type="dxa"/>
          </w:tcPr>
          <w:p>
            <w:pPr>
              <w:pStyle w:val="nzTable"/>
            </w:pPr>
            <w:r>
              <w:t>s. 8(5)</w:t>
            </w:r>
          </w:p>
        </w:tc>
        <w:tc>
          <w:tcPr>
            <w:tcW w:w="4820" w:type="dxa"/>
          </w:tcPr>
          <w:p>
            <w:pPr>
              <w:pStyle w:val="nzTable"/>
            </w:pPr>
            <w:r>
              <w:t xml:space="preserve">After “this section” insert — </w:t>
            </w:r>
          </w:p>
          <w:p>
            <w:pPr>
              <w:pStyle w:val="nzTable"/>
            </w:pPr>
            <w:r>
              <w:t>“</w:t>
            </w:r>
          </w:p>
          <w:p>
            <w:pPr>
              <w:pStyle w:val="nzTable"/>
              <w:tabs>
                <w:tab w:val="left" w:pos="601"/>
              </w:tabs>
              <w:ind w:left="601" w:hanging="601"/>
            </w:pPr>
            <w:r>
              <w:tab/>
              <w:t>shall be heard by the Magistrates Court constituted by a magistrate and</w:t>
            </w:r>
          </w:p>
          <w:p>
            <w:pPr>
              <w:pStyle w:val="nzTable"/>
              <w:jc w:val="right"/>
            </w:pPr>
            <w:r>
              <w:t>”.</w:t>
            </w:r>
          </w:p>
        </w:tc>
      </w:tr>
      <w:tr>
        <w:trPr>
          <w:cantSplit/>
        </w:trPr>
        <w:tc>
          <w:tcPr>
            <w:tcW w:w="1134" w:type="dxa"/>
          </w:tcPr>
          <w:p>
            <w:pPr>
              <w:pStyle w:val="nzTable"/>
            </w:pPr>
            <w:r>
              <w:t>s. 8(6)</w:t>
            </w:r>
          </w:p>
        </w:tc>
        <w:tc>
          <w:tcPr>
            <w:tcW w:w="4820" w:type="dxa"/>
          </w:tcPr>
          <w:p>
            <w:pPr>
              <w:pStyle w:val="nzTable"/>
            </w:pPr>
            <w:r>
              <w:t xml:space="preserve">Delete “A magistrate” and insert instead — </w:t>
            </w:r>
          </w:p>
          <w:p>
            <w:pPr>
              <w:pStyle w:val="nzTable"/>
            </w:pPr>
            <w:r>
              <w:t>“    The Magistrates Court    ”.</w:t>
            </w:r>
          </w:p>
          <w:p>
            <w:pPr>
              <w:pStyle w:val="nzTable"/>
            </w:pPr>
            <w:r>
              <w:t xml:space="preserve">Delete “he” and insert instead — </w:t>
            </w:r>
          </w:p>
          <w:p>
            <w:pPr>
              <w:pStyle w:val="nzTable"/>
            </w:pPr>
            <w:r>
              <w:t>“    it    ”.</w:t>
            </w:r>
          </w:p>
          <w:p>
            <w:pPr>
              <w:pStyle w:val="nzTable"/>
            </w:pPr>
            <w:r>
              <w:t xml:space="preserve">Delete “a magistrate” and insert instead — </w:t>
            </w:r>
          </w:p>
          <w:p>
            <w:pPr>
              <w:pStyle w:val="nzTable"/>
            </w:pPr>
            <w:r>
              <w:t>“    the court    ”.</w:t>
            </w:r>
          </w:p>
          <w:p>
            <w:pPr>
              <w:pStyle w:val="nzTable"/>
            </w:pPr>
            <w:r>
              <w:t xml:space="preserve">Delete “the magistrate” in the 2 places where it occurs and in each place insert instead — </w:t>
            </w:r>
          </w:p>
          <w:p>
            <w:pPr>
              <w:pStyle w:val="nzTable"/>
            </w:pPr>
            <w:r>
              <w:t>“    the court    ”.</w:t>
            </w:r>
          </w:p>
        </w:tc>
      </w:tr>
      <w:tr>
        <w:trPr>
          <w:cantSplit/>
        </w:trPr>
        <w:tc>
          <w:tcPr>
            <w:tcW w:w="1134" w:type="dxa"/>
          </w:tcPr>
          <w:p>
            <w:pPr>
              <w:pStyle w:val="nzTable"/>
            </w:pPr>
            <w:r>
              <w:t>s. 8(7)</w:t>
            </w:r>
          </w:p>
        </w:tc>
        <w:tc>
          <w:tcPr>
            <w:tcW w:w="4820" w:type="dxa"/>
          </w:tcPr>
          <w:p>
            <w:pPr>
              <w:pStyle w:val="nzTable"/>
            </w:pPr>
            <w:r>
              <w:t xml:space="preserve">Delete “magistrate” and insert instead — </w:t>
            </w:r>
          </w:p>
          <w:p>
            <w:pPr>
              <w:pStyle w:val="nzTable"/>
            </w:pPr>
            <w:r>
              <w:t>“    Magistrates Court    ”.</w:t>
            </w:r>
          </w:p>
        </w:tc>
      </w:tr>
    </w:tbl>
    <w:p>
      <w:pPr>
        <w:pStyle w:val="MiscClose"/>
        <w:rPr>
          <w:snapToGrid w:val="0"/>
        </w:rPr>
      </w:pPr>
      <w:r>
        <w:rPr>
          <w:snapToGrid w:val="0"/>
        </w:rPr>
        <w:t>”.</w:t>
      </w:r>
    </w:p>
    <w:p>
      <w:pPr>
        <w:pStyle w:val="nSubsection"/>
        <w:rPr>
          <w:snapToGrid w:val="0"/>
        </w:rPr>
      </w:pPr>
      <w:r>
        <w:rPr>
          <w:snapToGrid w:val="0"/>
        </w:rPr>
        <w:tab/>
        <w:t xml:space="preserve">The amendments it seeks to make cannot be done due to amendments and repeals to those sections by the </w:t>
      </w:r>
      <w:r>
        <w:rPr>
          <w:i/>
          <w:iCs/>
          <w:snapToGrid w:val="0"/>
        </w:rPr>
        <w:t>State Administrative Tribunal (Conferral of Jurisdiction) Amendment and Repeal Act 2004</w:t>
      </w:r>
      <w:r>
        <w:rPr>
          <w:snapToGrid w:val="0"/>
        </w:rPr>
        <w:t xml:space="preserve"> s. 987, 988 and 989.</w:t>
      </w:r>
    </w:p>
    <w:p/>
    <w:p>
      <w:pPr>
        <w:sectPr>
          <w:headerReference w:type="even" r:id="rId28"/>
          <w:headerReference w:type="defaul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Public Order in Streets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Order in Streets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Order in Streets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Order in Streets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Order in Streets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Order in Streets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Order in Streets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Order in Streets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37"/>
    <w:docVar w:name="WAFER_20151209085037" w:val="RemoveTrackChanges"/>
    <w:docVar w:name="WAFER_20151209085037_GUID" w:val="cf8671de-8927-4dcd-961e-ce4f6dc259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3367</Words>
  <Characters>15761</Characters>
  <Application>Microsoft Office Word</Application>
  <DocSecurity>0</DocSecurity>
  <Lines>492</Lines>
  <Paragraphs>298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18830</CharactersWithSpaces>
  <SharedDoc>false</SharedDoc>
  <HLinks>
    <vt:vector size="12" baseType="variant">
      <vt:variant>
        <vt:i4>3014716</vt:i4>
      </vt:variant>
      <vt:variant>
        <vt:i4>2231</vt:i4>
      </vt:variant>
      <vt:variant>
        <vt:i4>1025</vt:i4>
      </vt:variant>
      <vt:variant>
        <vt:i4>1</vt:i4>
      </vt:variant>
      <vt:variant>
        <vt:lpwstr>C:\Program Files\PCO DLL\Support\Crest.wpg</vt:lpwstr>
      </vt:variant>
      <vt:variant>
        <vt:lpwstr/>
      </vt:variant>
      <vt:variant>
        <vt:i4>3014716</vt:i4>
      </vt:variant>
      <vt:variant>
        <vt:i4>-1</vt:i4>
      </vt:variant>
      <vt:variant>
        <vt:i4>1026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1984 - 02-a0-03</dc:title>
  <dc:subject/>
  <dc:creator/>
  <cp:keywords/>
  <dc:description/>
  <cp:lastModifiedBy>svcMRProcess</cp:lastModifiedBy>
  <cp:revision>4</cp:revision>
  <cp:lastPrinted>2005-07-12T06:58:00Z</cp:lastPrinted>
  <dcterms:created xsi:type="dcterms:W3CDTF">2015-12-12T23:59:00Z</dcterms:created>
  <dcterms:modified xsi:type="dcterms:W3CDTF">2015-12-12T23:59:00Z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CommencementDate">
    <vt:lpwstr>20050722</vt:lpwstr>
  </property>
  <property fmtid="{D5CDD505-2E9C-101B-9397-08002B2CF9AE}" pid="4" name="DocumentType">
    <vt:lpwstr>Act</vt:lpwstr>
  </property>
  <property fmtid="{D5CDD505-2E9C-101B-9397-08002B2CF9AE}" pid="5" name="OwlsUID">
    <vt:i4>644</vt:i4>
  </property>
  <property fmtid="{D5CDD505-2E9C-101B-9397-08002B2CF9AE}" pid="6" name="ReprintNo">
    <vt:lpwstr>2</vt:lpwstr>
  </property>
  <property fmtid="{D5CDD505-2E9C-101B-9397-08002B2CF9AE}" pid="7" name="AsAtDate">
    <vt:lpwstr>22 Jul 2005</vt:lpwstr>
  </property>
  <property fmtid="{D5CDD505-2E9C-101B-9397-08002B2CF9AE}" pid="8" name="Suffix">
    <vt:lpwstr>02-a0-03</vt:lpwstr>
  </property>
</Properties>
</file>