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PrincipalActReg"/>
        <w:spacing w:before="2600" w:after="0"/>
      </w:pPr>
      <w:r>
        <w:t>Water Agencies (Powers) Act 1984</w:t>
      </w:r>
    </w:p>
    <w:p>
      <w:pPr>
        <w:pStyle w:val="NameofActRegPage1"/>
        <w:spacing w:before="1800" w:after="4200"/>
      </w:pPr>
      <w:r>
        <w:fldChar w:fldCharType="begin"/>
      </w:r>
      <w:r>
        <w:instrText xml:space="preserve"> STYLEREF "Name Of Act/Reg"</w:instrText>
      </w:r>
      <w:r>
        <w:fldChar w:fldCharType="separate"/>
      </w:r>
      <w:r>
        <w:rPr>
          <w:noProof/>
        </w:rPr>
        <w:t>Water Agencies (Water Use) By-laws 2010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Agencies (Water Use) By-laws 2010</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_Toc257643293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_Toc257643294 \h </w:instrText>
      </w:r>
      <w:r>
        <w:fldChar w:fldCharType="separate"/>
      </w:r>
      <w:r>
        <w:t>1</w:t>
      </w:r>
      <w:r>
        <w:fldChar w:fldCharType="end"/>
      </w:r>
    </w:p>
    <w:p>
      <w:pPr>
        <w:pStyle w:val="TOC8"/>
        <w:rPr>
          <w:sz w:val="24"/>
          <w:szCs w:val="24"/>
        </w:rPr>
      </w:pPr>
      <w:r>
        <w:rPr>
          <w:szCs w:val="24"/>
        </w:rPr>
        <w:t>3.</w:t>
      </w:r>
      <w:r>
        <w:rPr>
          <w:szCs w:val="24"/>
        </w:rPr>
        <w:tab/>
        <w:t>Terms used</w:t>
      </w:r>
      <w:r>
        <w:tab/>
      </w:r>
      <w:r>
        <w:fldChar w:fldCharType="begin"/>
      </w:r>
      <w:r>
        <w:instrText xml:space="preserve"> PAGEREF _Toc257643295 \h </w:instrText>
      </w:r>
      <w:r>
        <w:fldChar w:fldCharType="separate"/>
      </w:r>
      <w:r>
        <w:t>1</w:t>
      </w:r>
      <w:r>
        <w:fldChar w:fldCharType="end"/>
      </w:r>
    </w:p>
    <w:p>
      <w:pPr>
        <w:pStyle w:val="TOC2"/>
        <w:tabs>
          <w:tab w:val="right" w:leader="dot" w:pos="7086"/>
        </w:tabs>
        <w:rPr>
          <w:b w:val="0"/>
          <w:sz w:val="24"/>
          <w:szCs w:val="24"/>
        </w:rPr>
      </w:pPr>
      <w:r>
        <w:rPr>
          <w:szCs w:val="30"/>
        </w:rPr>
        <w:t>Part 2 — Water restrictions</w:t>
      </w:r>
    </w:p>
    <w:p>
      <w:pPr>
        <w:pStyle w:val="TOC4"/>
        <w:tabs>
          <w:tab w:val="right" w:leader="dot" w:pos="7086"/>
        </w:tabs>
        <w:rPr>
          <w:b w:val="0"/>
          <w:sz w:val="24"/>
          <w:szCs w:val="24"/>
        </w:rPr>
      </w:pPr>
      <w:r>
        <w:rPr>
          <w:szCs w:val="26"/>
        </w:rPr>
        <w:t>Division 1 — Restrictions</w:t>
      </w:r>
    </w:p>
    <w:p>
      <w:pPr>
        <w:pStyle w:val="TOC8"/>
        <w:rPr>
          <w:sz w:val="24"/>
          <w:szCs w:val="24"/>
        </w:rPr>
      </w:pPr>
      <w:r>
        <w:rPr>
          <w:szCs w:val="24"/>
        </w:rPr>
        <w:t>4.</w:t>
      </w:r>
      <w:r>
        <w:rPr>
          <w:szCs w:val="24"/>
        </w:rPr>
        <w:tab/>
        <w:t>Use of water restricted</w:t>
      </w:r>
      <w:r>
        <w:tab/>
      </w:r>
      <w:r>
        <w:fldChar w:fldCharType="begin"/>
      </w:r>
      <w:r>
        <w:instrText xml:space="preserve"> PAGEREF _Toc257643298 \h </w:instrText>
      </w:r>
      <w:r>
        <w:fldChar w:fldCharType="separate"/>
      </w:r>
      <w:r>
        <w:t>4</w:t>
      </w:r>
      <w:r>
        <w:fldChar w:fldCharType="end"/>
      </w:r>
    </w:p>
    <w:p>
      <w:pPr>
        <w:pStyle w:val="TOC8"/>
        <w:rPr>
          <w:sz w:val="24"/>
          <w:szCs w:val="24"/>
        </w:rPr>
      </w:pPr>
      <w:r>
        <w:rPr>
          <w:szCs w:val="24"/>
        </w:rPr>
        <w:t>5.</w:t>
      </w:r>
      <w:r>
        <w:rPr>
          <w:szCs w:val="24"/>
        </w:rPr>
        <w:tab/>
        <w:t>Stage of restrictions applicable to Area 1</w:t>
      </w:r>
      <w:r>
        <w:tab/>
      </w:r>
      <w:r>
        <w:fldChar w:fldCharType="begin"/>
      </w:r>
      <w:r>
        <w:instrText xml:space="preserve"> PAGEREF _Toc257643299 \h </w:instrText>
      </w:r>
      <w:r>
        <w:fldChar w:fldCharType="separate"/>
      </w:r>
      <w:r>
        <w:t>4</w:t>
      </w:r>
      <w:r>
        <w:fldChar w:fldCharType="end"/>
      </w:r>
    </w:p>
    <w:p>
      <w:pPr>
        <w:pStyle w:val="TOC8"/>
        <w:rPr>
          <w:sz w:val="24"/>
          <w:szCs w:val="24"/>
        </w:rPr>
      </w:pPr>
      <w:r>
        <w:rPr>
          <w:szCs w:val="24"/>
        </w:rPr>
        <w:t>6.</w:t>
      </w:r>
      <w:r>
        <w:rPr>
          <w:szCs w:val="24"/>
        </w:rPr>
        <w:tab/>
        <w:t>Stage of restrictions applicable to Area 2</w:t>
      </w:r>
      <w:r>
        <w:tab/>
      </w:r>
      <w:r>
        <w:fldChar w:fldCharType="begin"/>
      </w:r>
      <w:r>
        <w:instrText xml:space="preserve"> PAGEREF _Toc257643300 \h </w:instrText>
      </w:r>
      <w:r>
        <w:fldChar w:fldCharType="separate"/>
      </w:r>
      <w:r>
        <w:t>4</w:t>
      </w:r>
      <w:r>
        <w:fldChar w:fldCharType="end"/>
      </w:r>
    </w:p>
    <w:p>
      <w:pPr>
        <w:pStyle w:val="TOC8"/>
        <w:rPr>
          <w:sz w:val="24"/>
          <w:szCs w:val="24"/>
        </w:rPr>
      </w:pPr>
      <w:r>
        <w:rPr>
          <w:szCs w:val="24"/>
        </w:rPr>
        <w:t>7.</w:t>
      </w:r>
      <w:r>
        <w:rPr>
          <w:szCs w:val="24"/>
        </w:rPr>
        <w:tab/>
        <w:t>Stage of restrictions applicable to Area 3</w:t>
      </w:r>
      <w:r>
        <w:tab/>
      </w:r>
      <w:r>
        <w:fldChar w:fldCharType="begin"/>
      </w:r>
      <w:r>
        <w:instrText xml:space="preserve"> PAGEREF _Toc257643301 \h </w:instrText>
      </w:r>
      <w:r>
        <w:fldChar w:fldCharType="separate"/>
      </w:r>
      <w:r>
        <w:t>4</w:t>
      </w:r>
      <w:r>
        <w:fldChar w:fldCharType="end"/>
      </w:r>
    </w:p>
    <w:p>
      <w:pPr>
        <w:pStyle w:val="TOC8"/>
        <w:rPr>
          <w:sz w:val="24"/>
          <w:szCs w:val="24"/>
        </w:rPr>
      </w:pPr>
      <w:r>
        <w:rPr>
          <w:szCs w:val="24"/>
        </w:rPr>
        <w:t>8.</w:t>
      </w:r>
      <w:r>
        <w:rPr>
          <w:szCs w:val="24"/>
        </w:rPr>
        <w:tab/>
        <w:t>Stage of restrictions applicable to Area 4</w:t>
      </w:r>
      <w:r>
        <w:tab/>
      </w:r>
      <w:r>
        <w:fldChar w:fldCharType="begin"/>
      </w:r>
      <w:r>
        <w:instrText xml:space="preserve"> PAGEREF _Toc257643302 \h </w:instrText>
      </w:r>
      <w:r>
        <w:fldChar w:fldCharType="separate"/>
      </w:r>
      <w:r>
        <w:t>5</w:t>
      </w:r>
      <w:r>
        <w:fldChar w:fldCharType="end"/>
      </w:r>
    </w:p>
    <w:p>
      <w:pPr>
        <w:pStyle w:val="TOC8"/>
        <w:rPr>
          <w:sz w:val="24"/>
          <w:szCs w:val="24"/>
        </w:rPr>
      </w:pPr>
      <w:r>
        <w:rPr>
          <w:szCs w:val="24"/>
        </w:rPr>
        <w:t>9.</w:t>
      </w:r>
      <w:r>
        <w:rPr>
          <w:szCs w:val="24"/>
        </w:rPr>
        <w:tab/>
        <w:t>Notices may impose different stage of restrictions</w:t>
      </w:r>
      <w:r>
        <w:tab/>
      </w:r>
      <w:r>
        <w:fldChar w:fldCharType="begin"/>
      </w:r>
      <w:r>
        <w:instrText xml:space="preserve"> PAGEREF _Toc257643303 \h </w:instrText>
      </w:r>
      <w:r>
        <w:fldChar w:fldCharType="separate"/>
      </w:r>
      <w:r>
        <w:t>5</w:t>
      </w:r>
      <w:r>
        <w:fldChar w:fldCharType="end"/>
      </w:r>
    </w:p>
    <w:p>
      <w:pPr>
        <w:pStyle w:val="TOC4"/>
        <w:tabs>
          <w:tab w:val="right" w:leader="dot" w:pos="7086"/>
        </w:tabs>
        <w:rPr>
          <w:b w:val="0"/>
          <w:sz w:val="24"/>
          <w:szCs w:val="24"/>
        </w:rPr>
      </w:pPr>
      <w:r>
        <w:rPr>
          <w:szCs w:val="26"/>
        </w:rPr>
        <w:t>Division 2 — Exemptions</w:t>
      </w:r>
    </w:p>
    <w:p>
      <w:pPr>
        <w:pStyle w:val="TOC8"/>
        <w:rPr>
          <w:sz w:val="24"/>
          <w:szCs w:val="24"/>
        </w:rPr>
      </w:pPr>
      <w:r>
        <w:rPr>
          <w:szCs w:val="24"/>
        </w:rPr>
        <w:t>10.</w:t>
      </w:r>
      <w:r>
        <w:rPr>
          <w:szCs w:val="24"/>
        </w:rPr>
        <w:tab/>
        <w:t xml:space="preserve">Licensees under </w:t>
      </w:r>
      <w:r>
        <w:rPr>
          <w:i/>
          <w:szCs w:val="24"/>
        </w:rPr>
        <w:t>Rights in Water and Irrigation Act </w:t>
      </w:r>
      <w:r>
        <w:rPr>
          <w:i/>
          <w:iCs/>
          <w:szCs w:val="24"/>
        </w:rPr>
        <w:t>1914</w:t>
      </w:r>
      <w:r>
        <w:rPr>
          <w:szCs w:val="24"/>
        </w:rPr>
        <w:t xml:space="preserve"> section 5C</w:t>
      </w:r>
      <w:r>
        <w:tab/>
      </w:r>
      <w:r>
        <w:fldChar w:fldCharType="begin"/>
      </w:r>
      <w:r>
        <w:instrText xml:space="preserve"> PAGEREF _Toc257643305 \h </w:instrText>
      </w:r>
      <w:r>
        <w:fldChar w:fldCharType="separate"/>
      </w:r>
      <w:r>
        <w:t>6</w:t>
      </w:r>
      <w:r>
        <w:fldChar w:fldCharType="end"/>
      </w:r>
    </w:p>
    <w:p>
      <w:pPr>
        <w:pStyle w:val="TOC8"/>
        <w:rPr>
          <w:sz w:val="24"/>
          <w:szCs w:val="24"/>
        </w:rPr>
      </w:pPr>
      <w:r>
        <w:rPr>
          <w:szCs w:val="24"/>
        </w:rPr>
        <w:t>11.</w:t>
      </w:r>
      <w:r>
        <w:rPr>
          <w:szCs w:val="24"/>
        </w:rPr>
        <w:tab/>
        <w:t>Shared domestic bores</w:t>
      </w:r>
      <w:r>
        <w:tab/>
      </w:r>
      <w:r>
        <w:fldChar w:fldCharType="begin"/>
      </w:r>
      <w:r>
        <w:instrText xml:space="preserve"> PAGEREF _Toc257643306 \h </w:instrText>
      </w:r>
      <w:r>
        <w:fldChar w:fldCharType="separate"/>
      </w:r>
      <w:r>
        <w:t>6</w:t>
      </w:r>
      <w:r>
        <w:fldChar w:fldCharType="end"/>
      </w:r>
    </w:p>
    <w:p>
      <w:pPr>
        <w:pStyle w:val="TOC8"/>
        <w:rPr>
          <w:sz w:val="24"/>
          <w:szCs w:val="24"/>
        </w:rPr>
      </w:pPr>
      <w:r>
        <w:rPr>
          <w:szCs w:val="24"/>
        </w:rPr>
        <w:t>12.</w:t>
      </w:r>
      <w:r>
        <w:rPr>
          <w:szCs w:val="24"/>
        </w:rPr>
        <w:tab/>
        <w:t>Installation, repair or testing reticulation systems</w:t>
      </w:r>
      <w:r>
        <w:tab/>
      </w:r>
      <w:r>
        <w:fldChar w:fldCharType="begin"/>
      </w:r>
      <w:r>
        <w:instrText xml:space="preserve"> PAGEREF _Toc257643307 \h </w:instrText>
      </w:r>
      <w:r>
        <w:fldChar w:fldCharType="separate"/>
      </w:r>
      <w:r>
        <w:t>6</w:t>
      </w:r>
      <w:r>
        <w:fldChar w:fldCharType="end"/>
      </w:r>
    </w:p>
    <w:p>
      <w:pPr>
        <w:pStyle w:val="TOC8"/>
        <w:rPr>
          <w:sz w:val="24"/>
          <w:szCs w:val="24"/>
        </w:rPr>
      </w:pPr>
      <w:r>
        <w:rPr>
          <w:szCs w:val="24"/>
        </w:rPr>
        <w:t>13.</w:t>
      </w:r>
      <w:r>
        <w:rPr>
          <w:szCs w:val="24"/>
        </w:rPr>
        <w:tab/>
        <w:t>Vertimowing or applying fertilisers or wetting agents</w:t>
      </w:r>
      <w:r>
        <w:tab/>
      </w:r>
      <w:r>
        <w:fldChar w:fldCharType="begin"/>
      </w:r>
      <w:r>
        <w:instrText xml:space="preserve"> PAGEREF _Toc257643308 \h </w:instrText>
      </w:r>
      <w:r>
        <w:fldChar w:fldCharType="separate"/>
      </w:r>
      <w:r>
        <w:t>7</w:t>
      </w:r>
      <w:r>
        <w:fldChar w:fldCharType="end"/>
      </w:r>
    </w:p>
    <w:p>
      <w:pPr>
        <w:pStyle w:val="TOC8"/>
        <w:rPr>
          <w:sz w:val="24"/>
          <w:szCs w:val="24"/>
        </w:rPr>
      </w:pPr>
      <w:r>
        <w:rPr>
          <w:szCs w:val="24"/>
        </w:rPr>
        <w:t>14.</w:t>
      </w:r>
      <w:r>
        <w:rPr>
          <w:szCs w:val="24"/>
        </w:rPr>
        <w:tab/>
        <w:t>Market gardens or plant nurseries</w:t>
      </w:r>
      <w:r>
        <w:tab/>
      </w:r>
      <w:r>
        <w:fldChar w:fldCharType="begin"/>
      </w:r>
      <w:r>
        <w:instrText xml:space="preserve"> PAGEREF _Toc257643309 \h </w:instrText>
      </w:r>
      <w:r>
        <w:fldChar w:fldCharType="separate"/>
      </w:r>
      <w:r>
        <w:t>7</w:t>
      </w:r>
      <w:r>
        <w:fldChar w:fldCharType="end"/>
      </w:r>
    </w:p>
    <w:p>
      <w:pPr>
        <w:pStyle w:val="TOC8"/>
        <w:rPr>
          <w:sz w:val="24"/>
          <w:szCs w:val="24"/>
        </w:rPr>
      </w:pPr>
      <w:r>
        <w:rPr>
          <w:szCs w:val="24"/>
        </w:rPr>
        <w:t>15.</w:t>
      </w:r>
      <w:r>
        <w:rPr>
          <w:szCs w:val="24"/>
        </w:rPr>
        <w:tab/>
        <w:t>Caravan park or camping ground sites</w:t>
      </w:r>
      <w:r>
        <w:tab/>
      </w:r>
      <w:r>
        <w:fldChar w:fldCharType="begin"/>
      </w:r>
      <w:r>
        <w:instrText xml:space="preserve"> PAGEREF _Toc257643310 \h </w:instrText>
      </w:r>
      <w:r>
        <w:fldChar w:fldCharType="separate"/>
      </w:r>
      <w:r>
        <w:t>7</w:t>
      </w:r>
      <w:r>
        <w:fldChar w:fldCharType="end"/>
      </w:r>
    </w:p>
    <w:p>
      <w:pPr>
        <w:pStyle w:val="TOC8"/>
        <w:rPr>
          <w:sz w:val="24"/>
          <w:szCs w:val="24"/>
        </w:rPr>
      </w:pPr>
      <w:r>
        <w:rPr>
          <w:szCs w:val="24"/>
        </w:rPr>
        <w:t>16.</w:t>
      </w:r>
      <w:r>
        <w:rPr>
          <w:szCs w:val="24"/>
        </w:rPr>
        <w:tab/>
        <w:t>Maintenance of birds in aviaries</w:t>
      </w:r>
      <w:r>
        <w:tab/>
      </w:r>
      <w:r>
        <w:fldChar w:fldCharType="begin"/>
      </w:r>
      <w:r>
        <w:instrText xml:space="preserve"> PAGEREF _Toc257643311 \h </w:instrText>
      </w:r>
      <w:r>
        <w:fldChar w:fldCharType="separate"/>
      </w:r>
      <w:r>
        <w:t>7</w:t>
      </w:r>
      <w:r>
        <w:fldChar w:fldCharType="end"/>
      </w:r>
    </w:p>
    <w:p>
      <w:pPr>
        <w:pStyle w:val="TOC8"/>
        <w:rPr>
          <w:sz w:val="24"/>
          <w:szCs w:val="24"/>
        </w:rPr>
      </w:pPr>
      <w:r>
        <w:rPr>
          <w:szCs w:val="24"/>
        </w:rPr>
        <w:t>17.</w:t>
      </w:r>
      <w:r>
        <w:rPr>
          <w:szCs w:val="24"/>
        </w:rPr>
        <w:tab/>
        <w:t>Fire fighting</w:t>
      </w:r>
      <w:r>
        <w:tab/>
      </w:r>
      <w:r>
        <w:fldChar w:fldCharType="begin"/>
      </w:r>
      <w:r>
        <w:instrText xml:space="preserve"> PAGEREF _Toc257643312 \h </w:instrText>
      </w:r>
      <w:r>
        <w:fldChar w:fldCharType="separate"/>
      </w:r>
      <w:r>
        <w:t>7</w:t>
      </w:r>
      <w:r>
        <w:fldChar w:fldCharType="end"/>
      </w:r>
    </w:p>
    <w:p>
      <w:pPr>
        <w:pStyle w:val="TOC2"/>
        <w:tabs>
          <w:tab w:val="right" w:leader="dot" w:pos="7086"/>
        </w:tabs>
        <w:rPr>
          <w:b w:val="0"/>
          <w:sz w:val="24"/>
          <w:szCs w:val="24"/>
        </w:rPr>
      </w:pPr>
      <w:r>
        <w:rPr>
          <w:szCs w:val="30"/>
        </w:rPr>
        <w:t>Part 3 — Scheme water efficiency management plans</w:t>
      </w:r>
    </w:p>
    <w:p>
      <w:pPr>
        <w:pStyle w:val="TOC4"/>
        <w:tabs>
          <w:tab w:val="right" w:leader="dot" w:pos="7086"/>
        </w:tabs>
        <w:rPr>
          <w:b w:val="0"/>
          <w:sz w:val="24"/>
          <w:szCs w:val="24"/>
        </w:rPr>
      </w:pPr>
      <w:r>
        <w:rPr>
          <w:szCs w:val="26"/>
        </w:rPr>
        <w:t>Division 1 — General</w:t>
      </w:r>
    </w:p>
    <w:p>
      <w:pPr>
        <w:pStyle w:val="TOC8"/>
        <w:rPr>
          <w:sz w:val="24"/>
          <w:szCs w:val="24"/>
        </w:rPr>
      </w:pPr>
      <w:r>
        <w:rPr>
          <w:szCs w:val="24"/>
        </w:rPr>
        <w:t>18.</w:t>
      </w:r>
      <w:r>
        <w:rPr>
          <w:szCs w:val="24"/>
        </w:rPr>
        <w:tab/>
        <w:t>Terms used</w:t>
      </w:r>
      <w:r>
        <w:tab/>
      </w:r>
      <w:r>
        <w:fldChar w:fldCharType="begin"/>
      </w:r>
      <w:r>
        <w:instrText xml:space="preserve"> PAGEREF _Toc257643315 \h </w:instrText>
      </w:r>
      <w:r>
        <w:fldChar w:fldCharType="separate"/>
      </w:r>
      <w:r>
        <w:t>9</w:t>
      </w:r>
      <w:r>
        <w:fldChar w:fldCharType="end"/>
      </w:r>
    </w:p>
    <w:p>
      <w:pPr>
        <w:pStyle w:val="TOC8"/>
        <w:rPr>
          <w:sz w:val="24"/>
          <w:szCs w:val="24"/>
        </w:rPr>
      </w:pPr>
      <w:r>
        <w:rPr>
          <w:szCs w:val="24"/>
        </w:rPr>
        <w:t>19.</w:t>
      </w:r>
      <w:r>
        <w:rPr>
          <w:szCs w:val="24"/>
        </w:rPr>
        <w:tab/>
        <w:t>Extensions of time</w:t>
      </w:r>
      <w:r>
        <w:tab/>
      </w:r>
      <w:r>
        <w:fldChar w:fldCharType="begin"/>
      </w:r>
      <w:r>
        <w:instrText xml:space="preserve"> PAGEREF _Toc257643316 \h </w:instrText>
      </w:r>
      <w:r>
        <w:fldChar w:fldCharType="separate"/>
      </w:r>
      <w:r>
        <w:t>9</w:t>
      </w:r>
      <w:r>
        <w:fldChar w:fldCharType="end"/>
      </w:r>
    </w:p>
    <w:p>
      <w:pPr>
        <w:pStyle w:val="TOC4"/>
        <w:tabs>
          <w:tab w:val="right" w:leader="dot" w:pos="7086"/>
        </w:tabs>
        <w:rPr>
          <w:b w:val="0"/>
          <w:sz w:val="24"/>
          <w:szCs w:val="24"/>
        </w:rPr>
      </w:pPr>
      <w:r>
        <w:rPr>
          <w:szCs w:val="26"/>
        </w:rPr>
        <w:t>Division 2 — Preparation, submission and approval of scheme water efficiency management plans</w:t>
      </w:r>
    </w:p>
    <w:p>
      <w:pPr>
        <w:pStyle w:val="TOC8"/>
        <w:rPr>
          <w:sz w:val="24"/>
          <w:szCs w:val="24"/>
        </w:rPr>
      </w:pPr>
      <w:r>
        <w:rPr>
          <w:szCs w:val="24"/>
        </w:rPr>
        <w:t>20.</w:t>
      </w:r>
      <w:r>
        <w:rPr>
          <w:szCs w:val="24"/>
        </w:rPr>
        <w:tab/>
        <w:t>Initial preparation and submission of scheme water efficiency management plan</w:t>
      </w:r>
      <w:r>
        <w:tab/>
      </w:r>
      <w:r>
        <w:fldChar w:fldCharType="begin"/>
      </w:r>
      <w:r>
        <w:instrText xml:space="preserve"> PAGEREF _Toc257643318 \h </w:instrText>
      </w:r>
      <w:r>
        <w:fldChar w:fldCharType="separate"/>
      </w:r>
      <w:r>
        <w:t>10</w:t>
      </w:r>
      <w:r>
        <w:fldChar w:fldCharType="end"/>
      </w:r>
    </w:p>
    <w:p>
      <w:pPr>
        <w:pStyle w:val="TOC8"/>
        <w:rPr>
          <w:sz w:val="24"/>
          <w:szCs w:val="24"/>
        </w:rPr>
      </w:pPr>
      <w:r>
        <w:rPr>
          <w:szCs w:val="24"/>
        </w:rPr>
        <w:t>21.</w:t>
      </w:r>
      <w:r>
        <w:rPr>
          <w:szCs w:val="24"/>
        </w:rPr>
        <w:tab/>
        <w:t>Approvals, requests for further information and requests for amendments</w:t>
      </w:r>
      <w:r>
        <w:tab/>
      </w:r>
      <w:r>
        <w:fldChar w:fldCharType="begin"/>
      </w:r>
      <w:r>
        <w:instrText xml:space="preserve"> PAGEREF _Toc257643319 \h </w:instrText>
      </w:r>
      <w:r>
        <w:fldChar w:fldCharType="separate"/>
      </w:r>
      <w:r>
        <w:t>11</w:t>
      </w:r>
      <w:r>
        <w:fldChar w:fldCharType="end"/>
      </w:r>
    </w:p>
    <w:p>
      <w:pPr>
        <w:pStyle w:val="TOC8"/>
        <w:rPr>
          <w:sz w:val="24"/>
          <w:szCs w:val="24"/>
        </w:rPr>
      </w:pPr>
      <w:r>
        <w:rPr>
          <w:szCs w:val="24"/>
        </w:rPr>
        <w:t>22.</w:t>
      </w:r>
      <w:r>
        <w:rPr>
          <w:szCs w:val="24"/>
        </w:rPr>
        <w:tab/>
        <w:t>Persons may submit revised plans for approval at any time</w:t>
      </w:r>
      <w:r>
        <w:tab/>
      </w:r>
      <w:r>
        <w:fldChar w:fldCharType="begin"/>
      </w:r>
      <w:r>
        <w:instrText xml:space="preserve"> PAGEREF _Toc257643320 \h </w:instrText>
      </w:r>
      <w:r>
        <w:fldChar w:fldCharType="separate"/>
      </w:r>
      <w:r>
        <w:t>12</w:t>
      </w:r>
      <w:r>
        <w:fldChar w:fldCharType="end"/>
      </w:r>
    </w:p>
    <w:p>
      <w:pPr>
        <w:pStyle w:val="TOC4"/>
        <w:tabs>
          <w:tab w:val="right" w:leader="dot" w:pos="7086"/>
        </w:tabs>
        <w:rPr>
          <w:b w:val="0"/>
          <w:sz w:val="24"/>
          <w:szCs w:val="24"/>
        </w:rPr>
      </w:pPr>
      <w:r>
        <w:rPr>
          <w:szCs w:val="26"/>
        </w:rPr>
        <w:t>Division 3 — After approval of scheme water efficiency management plans</w:t>
      </w:r>
    </w:p>
    <w:p>
      <w:pPr>
        <w:pStyle w:val="TOC8"/>
        <w:rPr>
          <w:sz w:val="24"/>
          <w:szCs w:val="24"/>
        </w:rPr>
      </w:pPr>
      <w:r>
        <w:rPr>
          <w:szCs w:val="24"/>
        </w:rPr>
        <w:t>23.</w:t>
      </w:r>
      <w:r>
        <w:rPr>
          <w:szCs w:val="24"/>
        </w:rPr>
        <w:tab/>
        <w:t>Application</w:t>
      </w:r>
      <w:r>
        <w:tab/>
      </w:r>
      <w:r>
        <w:fldChar w:fldCharType="begin"/>
      </w:r>
      <w:r>
        <w:instrText xml:space="preserve"> PAGEREF _Toc257643322 \h </w:instrText>
      </w:r>
      <w:r>
        <w:fldChar w:fldCharType="separate"/>
      </w:r>
      <w:r>
        <w:t>12</w:t>
      </w:r>
      <w:r>
        <w:fldChar w:fldCharType="end"/>
      </w:r>
    </w:p>
    <w:p>
      <w:pPr>
        <w:pStyle w:val="TOC8"/>
        <w:rPr>
          <w:sz w:val="24"/>
          <w:szCs w:val="24"/>
        </w:rPr>
      </w:pPr>
      <w:r>
        <w:rPr>
          <w:szCs w:val="24"/>
        </w:rPr>
        <w:t>24.</w:t>
      </w:r>
      <w:r>
        <w:rPr>
          <w:szCs w:val="24"/>
        </w:rPr>
        <w:tab/>
        <w:t>Period of approval of scheme water efficiency management plan</w:t>
      </w:r>
      <w:r>
        <w:tab/>
      </w:r>
      <w:r>
        <w:fldChar w:fldCharType="begin"/>
      </w:r>
      <w:r>
        <w:instrText xml:space="preserve"> PAGEREF _Toc257643323 \h </w:instrText>
      </w:r>
      <w:r>
        <w:fldChar w:fldCharType="separate"/>
      </w:r>
      <w:r>
        <w:t>12</w:t>
      </w:r>
      <w:r>
        <w:fldChar w:fldCharType="end"/>
      </w:r>
    </w:p>
    <w:p>
      <w:pPr>
        <w:pStyle w:val="TOC8"/>
        <w:rPr>
          <w:sz w:val="24"/>
          <w:szCs w:val="24"/>
        </w:rPr>
      </w:pPr>
      <w:r>
        <w:rPr>
          <w:szCs w:val="24"/>
        </w:rPr>
        <w:t>25.</w:t>
      </w:r>
      <w:r>
        <w:rPr>
          <w:szCs w:val="24"/>
        </w:rPr>
        <w:tab/>
        <w:t>Compliance with scheme water efficiency management plans</w:t>
      </w:r>
      <w:r>
        <w:tab/>
      </w:r>
      <w:r>
        <w:fldChar w:fldCharType="begin"/>
      </w:r>
      <w:r>
        <w:instrText xml:space="preserve"> PAGEREF _Toc257643324 \h </w:instrText>
      </w:r>
      <w:r>
        <w:fldChar w:fldCharType="separate"/>
      </w:r>
      <w:r>
        <w:t>13</w:t>
      </w:r>
      <w:r>
        <w:fldChar w:fldCharType="end"/>
      </w:r>
    </w:p>
    <w:p>
      <w:pPr>
        <w:pStyle w:val="TOC8"/>
        <w:rPr>
          <w:sz w:val="24"/>
          <w:szCs w:val="24"/>
        </w:rPr>
      </w:pPr>
      <w:r>
        <w:rPr>
          <w:szCs w:val="24"/>
        </w:rPr>
        <w:t>26.</w:t>
      </w:r>
      <w:r>
        <w:rPr>
          <w:szCs w:val="24"/>
        </w:rPr>
        <w:tab/>
        <w:t>Persons to submit revised scheme water efficiency management plans before end of approval period</w:t>
      </w:r>
      <w:r>
        <w:tab/>
      </w:r>
      <w:r>
        <w:fldChar w:fldCharType="begin"/>
      </w:r>
      <w:r>
        <w:instrText xml:space="preserve"> PAGEREF _Toc257643325 \h </w:instrText>
      </w:r>
      <w:r>
        <w:fldChar w:fldCharType="separate"/>
      </w:r>
      <w:r>
        <w:t>13</w:t>
      </w:r>
      <w:r>
        <w:fldChar w:fldCharType="end"/>
      </w:r>
    </w:p>
    <w:p>
      <w:pPr>
        <w:pStyle w:val="TOC8"/>
        <w:rPr>
          <w:sz w:val="24"/>
          <w:szCs w:val="24"/>
        </w:rPr>
      </w:pPr>
      <w:r>
        <w:rPr>
          <w:szCs w:val="24"/>
        </w:rPr>
        <w:t>27.</w:t>
      </w:r>
      <w:r>
        <w:rPr>
          <w:szCs w:val="24"/>
        </w:rPr>
        <w:tab/>
        <w:t>Scheme water supplier may require revised scheme water efficiency management plans</w:t>
      </w:r>
      <w:r>
        <w:tab/>
      </w:r>
      <w:r>
        <w:fldChar w:fldCharType="begin"/>
      </w:r>
      <w:r>
        <w:instrText xml:space="preserve"> PAGEREF _Toc257643326 \h </w:instrText>
      </w:r>
      <w:r>
        <w:fldChar w:fldCharType="separate"/>
      </w:r>
      <w:r>
        <w:t>14</w:t>
      </w:r>
      <w:r>
        <w:fldChar w:fldCharType="end"/>
      </w:r>
    </w:p>
    <w:p>
      <w:pPr>
        <w:pStyle w:val="TOC8"/>
        <w:rPr>
          <w:sz w:val="24"/>
          <w:szCs w:val="24"/>
        </w:rPr>
      </w:pPr>
      <w:r>
        <w:rPr>
          <w:szCs w:val="24"/>
        </w:rPr>
        <w:t>28.</w:t>
      </w:r>
      <w:r>
        <w:rPr>
          <w:szCs w:val="24"/>
        </w:rPr>
        <w:tab/>
        <w:t>Scheme water supplier may revoke approval of scheme water efficiency management plan</w:t>
      </w:r>
      <w:r>
        <w:tab/>
      </w:r>
      <w:r>
        <w:fldChar w:fldCharType="begin"/>
      </w:r>
      <w:r>
        <w:instrText xml:space="preserve"> PAGEREF _Toc257643327 \h </w:instrText>
      </w:r>
      <w:r>
        <w:fldChar w:fldCharType="separate"/>
      </w:r>
      <w:r>
        <w:t>14</w:t>
      </w:r>
      <w:r>
        <w:fldChar w:fldCharType="end"/>
      </w:r>
    </w:p>
    <w:p>
      <w:pPr>
        <w:pStyle w:val="TOC8"/>
        <w:rPr>
          <w:sz w:val="24"/>
          <w:szCs w:val="24"/>
        </w:rPr>
      </w:pPr>
      <w:r>
        <w:rPr>
          <w:szCs w:val="24"/>
        </w:rPr>
        <w:t>29.</w:t>
      </w:r>
      <w:r>
        <w:rPr>
          <w:szCs w:val="24"/>
        </w:rPr>
        <w:tab/>
        <w:t>Annual reports on scheme water efficiency management plans</w:t>
      </w:r>
      <w:r>
        <w:tab/>
      </w:r>
      <w:r>
        <w:fldChar w:fldCharType="begin"/>
      </w:r>
      <w:r>
        <w:instrText xml:space="preserve"> PAGEREF _Toc257643328 \h </w:instrText>
      </w:r>
      <w:r>
        <w:fldChar w:fldCharType="separate"/>
      </w:r>
      <w:r>
        <w:t>15</w:t>
      </w:r>
      <w:r>
        <w:fldChar w:fldCharType="end"/>
      </w:r>
    </w:p>
    <w:p>
      <w:pPr>
        <w:pStyle w:val="TOC2"/>
        <w:tabs>
          <w:tab w:val="right" w:leader="dot" w:pos="7086"/>
        </w:tabs>
        <w:rPr>
          <w:b w:val="0"/>
          <w:sz w:val="24"/>
          <w:szCs w:val="24"/>
        </w:rPr>
      </w:pPr>
      <w:r>
        <w:rPr>
          <w:szCs w:val="30"/>
        </w:rPr>
        <w:t>Part 4 — Repeal, saving and transitional</w:t>
      </w:r>
    </w:p>
    <w:p>
      <w:pPr>
        <w:pStyle w:val="TOC8"/>
        <w:rPr>
          <w:sz w:val="24"/>
          <w:szCs w:val="24"/>
        </w:rPr>
      </w:pPr>
      <w:r>
        <w:rPr>
          <w:szCs w:val="24"/>
        </w:rPr>
        <w:t>30.</w:t>
      </w:r>
      <w:r>
        <w:rPr>
          <w:szCs w:val="24"/>
        </w:rPr>
        <w:tab/>
        <w:t>Repeal</w:t>
      </w:r>
      <w:r>
        <w:tab/>
      </w:r>
      <w:r>
        <w:fldChar w:fldCharType="begin"/>
      </w:r>
      <w:r>
        <w:instrText xml:space="preserve"> PAGEREF _Toc257643330 \h </w:instrText>
      </w:r>
      <w:r>
        <w:fldChar w:fldCharType="separate"/>
      </w:r>
      <w:r>
        <w:t>17</w:t>
      </w:r>
      <w:r>
        <w:fldChar w:fldCharType="end"/>
      </w:r>
    </w:p>
    <w:p>
      <w:pPr>
        <w:pStyle w:val="TOC8"/>
        <w:rPr>
          <w:sz w:val="24"/>
          <w:szCs w:val="24"/>
        </w:rPr>
      </w:pPr>
      <w:r>
        <w:rPr>
          <w:szCs w:val="24"/>
        </w:rPr>
        <w:t>31.</w:t>
      </w:r>
      <w:r>
        <w:rPr>
          <w:szCs w:val="24"/>
        </w:rPr>
        <w:tab/>
        <w:t xml:space="preserve">Saving and transitional provisions for the </w:t>
      </w:r>
      <w:r>
        <w:rPr>
          <w:i/>
          <w:szCs w:val="24"/>
        </w:rPr>
        <w:t>Water Agencies (Water Use) By</w:t>
      </w:r>
      <w:r>
        <w:rPr>
          <w:i/>
          <w:szCs w:val="24"/>
        </w:rPr>
        <w:noBreakHyphen/>
        <w:t>laws 2007</w:t>
      </w:r>
      <w:r>
        <w:tab/>
      </w:r>
      <w:r>
        <w:fldChar w:fldCharType="begin"/>
      </w:r>
      <w:r>
        <w:instrText xml:space="preserve"> PAGEREF _Toc257643331 \h </w:instrText>
      </w:r>
      <w:r>
        <w:fldChar w:fldCharType="separate"/>
      </w:r>
      <w:r>
        <w:t>17</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Maps showing Areas 1, 2, 3 and 4</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Stages of restrictions</w:t>
      </w:r>
    </w:p>
    <w:p>
      <w:pPr>
        <w:pStyle w:val="TOC8"/>
        <w:rPr>
          <w:sz w:val="24"/>
          <w:szCs w:val="24"/>
        </w:rPr>
      </w:pPr>
      <w:r>
        <w:rPr>
          <w:szCs w:val="22"/>
        </w:rPr>
        <w:t>1.</w:t>
      </w:r>
      <w:r>
        <w:rPr>
          <w:szCs w:val="22"/>
        </w:rPr>
        <w:tab/>
        <w:t>Stage 1</w:t>
      </w:r>
      <w:r>
        <w:tab/>
      </w:r>
      <w:r>
        <w:fldChar w:fldCharType="begin"/>
      </w:r>
      <w:r>
        <w:instrText xml:space="preserve"> PAGEREF _Toc257643334 \h </w:instrText>
      </w:r>
      <w:r>
        <w:fldChar w:fldCharType="separate"/>
      </w:r>
      <w:r>
        <w:t>20</w:t>
      </w:r>
      <w:r>
        <w:fldChar w:fldCharType="end"/>
      </w:r>
    </w:p>
    <w:p>
      <w:pPr>
        <w:pStyle w:val="TOC8"/>
        <w:rPr>
          <w:sz w:val="24"/>
          <w:szCs w:val="24"/>
        </w:rPr>
      </w:pPr>
      <w:r>
        <w:rPr>
          <w:szCs w:val="22"/>
        </w:rPr>
        <w:t>2.</w:t>
      </w:r>
      <w:r>
        <w:rPr>
          <w:szCs w:val="22"/>
        </w:rPr>
        <w:tab/>
        <w:t>Stage 2</w:t>
      </w:r>
      <w:r>
        <w:tab/>
      </w:r>
      <w:r>
        <w:fldChar w:fldCharType="begin"/>
      </w:r>
      <w:r>
        <w:instrText xml:space="preserve"> PAGEREF _Toc257643335 \h </w:instrText>
      </w:r>
      <w:r>
        <w:fldChar w:fldCharType="separate"/>
      </w:r>
      <w:r>
        <w:t>20</w:t>
      </w:r>
      <w:r>
        <w:fldChar w:fldCharType="end"/>
      </w:r>
    </w:p>
    <w:p>
      <w:pPr>
        <w:pStyle w:val="TOC8"/>
        <w:rPr>
          <w:sz w:val="24"/>
          <w:szCs w:val="24"/>
        </w:rPr>
      </w:pPr>
      <w:r>
        <w:rPr>
          <w:szCs w:val="22"/>
        </w:rPr>
        <w:t>3.</w:t>
      </w:r>
      <w:r>
        <w:rPr>
          <w:szCs w:val="22"/>
        </w:rPr>
        <w:tab/>
        <w:t>Stage 3</w:t>
      </w:r>
      <w:r>
        <w:tab/>
      </w:r>
      <w:r>
        <w:fldChar w:fldCharType="begin"/>
      </w:r>
      <w:r>
        <w:instrText xml:space="preserve"> PAGEREF _Toc257643336 \h </w:instrText>
      </w:r>
      <w:r>
        <w:fldChar w:fldCharType="separate"/>
      </w:r>
      <w:r>
        <w:t>21</w:t>
      </w:r>
      <w:r>
        <w:fldChar w:fldCharType="end"/>
      </w:r>
    </w:p>
    <w:p>
      <w:pPr>
        <w:pStyle w:val="TOC8"/>
        <w:rPr>
          <w:sz w:val="24"/>
          <w:szCs w:val="24"/>
        </w:rPr>
      </w:pPr>
      <w:r>
        <w:rPr>
          <w:szCs w:val="22"/>
        </w:rPr>
        <w:t>4.</w:t>
      </w:r>
      <w:r>
        <w:rPr>
          <w:szCs w:val="22"/>
        </w:rPr>
        <w:tab/>
        <w:t>Stage 4</w:t>
      </w:r>
      <w:r>
        <w:tab/>
      </w:r>
      <w:r>
        <w:fldChar w:fldCharType="begin"/>
      </w:r>
      <w:r>
        <w:instrText xml:space="preserve"> PAGEREF _Toc257643337 \h </w:instrText>
      </w:r>
      <w:r>
        <w:fldChar w:fldCharType="separate"/>
      </w:r>
      <w:r>
        <w:t>22</w:t>
      </w:r>
      <w:r>
        <w:fldChar w:fldCharType="end"/>
      </w:r>
    </w:p>
    <w:p>
      <w:pPr>
        <w:pStyle w:val="TOC8"/>
        <w:rPr>
          <w:sz w:val="24"/>
          <w:szCs w:val="24"/>
        </w:rPr>
      </w:pPr>
      <w:r>
        <w:rPr>
          <w:szCs w:val="22"/>
        </w:rPr>
        <w:t>5.</w:t>
      </w:r>
      <w:r>
        <w:rPr>
          <w:szCs w:val="22"/>
        </w:rPr>
        <w:tab/>
        <w:t>Stage 5</w:t>
      </w:r>
      <w:r>
        <w:tab/>
      </w:r>
      <w:r>
        <w:fldChar w:fldCharType="begin"/>
      </w:r>
      <w:r>
        <w:instrText xml:space="preserve"> PAGEREF _Toc257643338 \h </w:instrText>
      </w:r>
      <w:r>
        <w:fldChar w:fldCharType="separate"/>
      </w:r>
      <w:r>
        <w:t>23</w:t>
      </w:r>
      <w:r>
        <w:fldChar w:fldCharType="end"/>
      </w:r>
    </w:p>
    <w:p>
      <w:pPr>
        <w:pStyle w:val="TOC8"/>
        <w:rPr>
          <w:sz w:val="24"/>
          <w:szCs w:val="24"/>
        </w:rPr>
      </w:pPr>
      <w:r>
        <w:rPr>
          <w:szCs w:val="22"/>
        </w:rPr>
        <w:t>6.</w:t>
      </w:r>
      <w:r>
        <w:rPr>
          <w:szCs w:val="22"/>
        </w:rPr>
        <w:tab/>
        <w:t>Stage 6</w:t>
      </w:r>
      <w:r>
        <w:tab/>
      </w:r>
      <w:r>
        <w:fldChar w:fldCharType="begin"/>
      </w:r>
      <w:r>
        <w:instrText xml:space="preserve"> PAGEREF _Toc257643339 \h </w:instrText>
      </w:r>
      <w:r>
        <w:fldChar w:fldCharType="separate"/>
      </w:r>
      <w:r>
        <w:t>24</w:t>
      </w:r>
      <w:r>
        <w:fldChar w:fldCharType="end"/>
      </w:r>
    </w:p>
    <w:p>
      <w:pPr>
        <w:pStyle w:val="TOC8"/>
        <w:rPr>
          <w:sz w:val="24"/>
          <w:szCs w:val="24"/>
        </w:rPr>
      </w:pPr>
      <w:r>
        <w:rPr>
          <w:szCs w:val="22"/>
        </w:rPr>
        <w:t>7.</w:t>
      </w:r>
      <w:r>
        <w:rPr>
          <w:szCs w:val="22"/>
        </w:rPr>
        <w:tab/>
        <w:t>Stage 7</w:t>
      </w:r>
      <w:r>
        <w:tab/>
      </w:r>
      <w:r>
        <w:fldChar w:fldCharType="begin"/>
      </w:r>
      <w:r>
        <w:instrText xml:space="preserve"> PAGEREF _Toc257643340 \h </w:instrText>
      </w:r>
      <w:r>
        <w:fldChar w:fldCharType="separate"/>
      </w:r>
      <w:r>
        <w:t>25</w:t>
      </w:r>
      <w:r>
        <w:fldChar w:fldCharType="end"/>
      </w:r>
    </w:p>
    <w:p>
      <w:pPr>
        <w:pStyle w:val="TOC2"/>
        <w:tabs>
          <w:tab w:val="right" w:leader="dot" w:pos="7086"/>
        </w:tabs>
        <w:rPr>
          <w:b w:val="0"/>
          <w:sz w:val="24"/>
          <w:szCs w:val="24"/>
        </w:rPr>
      </w:pPr>
      <w:r>
        <w:rPr>
          <w:szCs w:val="28"/>
        </w:rPr>
        <w:t>Schedule 3 — Specified days for watering by reticulation</w:t>
      </w:r>
    </w:p>
    <w:p>
      <w:pPr>
        <w:pStyle w:val="TOC4"/>
        <w:tabs>
          <w:tab w:val="right" w:leader="dot" w:pos="7086"/>
        </w:tabs>
        <w:rPr>
          <w:b w:val="0"/>
          <w:sz w:val="24"/>
          <w:szCs w:val="24"/>
        </w:rPr>
      </w:pPr>
      <w:r>
        <w:rPr>
          <w:szCs w:val="24"/>
        </w:rPr>
        <w:t>Division 1 — Specified days for Schedule 2 clauses 3(1)(a), 4(2)(a), 5(2)(a) and 6(2)(a)</w:t>
      </w:r>
    </w:p>
    <w:p>
      <w:pPr>
        <w:pStyle w:val="TOC4"/>
        <w:tabs>
          <w:tab w:val="right" w:leader="dot" w:pos="7086"/>
        </w:tabs>
        <w:rPr>
          <w:b w:val="0"/>
          <w:sz w:val="24"/>
          <w:szCs w:val="24"/>
        </w:rPr>
      </w:pPr>
      <w:r>
        <w:rPr>
          <w:szCs w:val="24"/>
        </w:rPr>
        <w:t>Division 2 — Specified days for Schedule 2 clause 4(1)(a)</w:t>
      </w:r>
    </w:p>
    <w:p>
      <w:pPr>
        <w:pStyle w:val="TOC4"/>
        <w:tabs>
          <w:tab w:val="right" w:leader="dot" w:pos="7086"/>
        </w:tabs>
        <w:rPr>
          <w:b w:val="0"/>
          <w:sz w:val="24"/>
          <w:szCs w:val="24"/>
        </w:rPr>
      </w:pPr>
      <w:r>
        <w:rPr>
          <w:szCs w:val="24"/>
        </w:rPr>
        <w:t>Division 3 — Specified days for Schedule 2 clause 5(1)(a)</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_Toc257643346 \h </w:instrText>
      </w:r>
      <w:r>
        <w:fldChar w:fldCharType="separate"/>
      </w:r>
      <w:r>
        <w:t>29</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Water Agencies (Powers) Act 1984</w:t>
      </w:r>
    </w:p>
    <w:p>
      <w:pPr>
        <w:pStyle w:val="NameofActReg"/>
      </w:pPr>
      <w:r>
        <w:t>Water Agencies (Water Use) By-laws 2010</w:t>
      </w:r>
    </w:p>
    <w:p>
      <w:pPr>
        <w:pStyle w:val="Heading2"/>
        <w:pageBreakBefore w:val="0"/>
        <w:spacing w:before="320"/>
      </w:pPr>
      <w:bookmarkStart w:id="2" w:name="_Toc175156471"/>
      <w:bookmarkStart w:id="3" w:name="_Toc175475248"/>
      <w:bookmarkStart w:id="4" w:name="_Toc175478425"/>
      <w:bookmarkStart w:id="5" w:name="_Toc175730332"/>
      <w:bookmarkStart w:id="6" w:name="_Toc176255625"/>
      <w:bookmarkStart w:id="7" w:name="_Toc176328325"/>
      <w:bookmarkStart w:id="8" w:name="_Toc176343425"/>
      <w:bookmarkStart w:id="9" w:name="_Toc176349329"/>
      <w:bookmarkStart w:id="10" w:name="_Toc176365922"/>
      <w:bookmarkStart w:id="11" w:name="_Toc176366584"/>
      <w:bookmarkStart w:id="12" w:name="_Toc176403125"/>
      <w:bookmarkStart w:id="13" w:name="_Toc176409137"/>
      <w:bookmarkStart w:id="14" w:name="_Toc176410493"/>
      <w:bookmarkStart w:id="15" w:name="_Toc176411235"/>
      <w:bookmarkStart w:id="16" w:name="_Toc176411541"/>
      <w:bookmarkStart w:id="17" w:name="_Toc176411781"/>
      <w:bookmarkStart w:id="18" w:name="_Toc176579490"/>
      <w:bookmarkStart w:id="19" w:name="_Toc176587777"/>
      <w:bookmarkStart w:id="20" w:name="_Toc176588384"/>
      <w:bookmarkStart w:id="21" w:name="_Toc176759290"/>
      <w:bookmarkStart w:id="22" w:name="_Toc176759744"/>
      <w:bookmarkStart w:id="23" w:name="_Toc176760533"/>
      <w:bookmarkStart w:id="24" w:name="_Toc176762018"/>
      <w:bookmarkStart w:id="25" w:name="_Toc176763393"/>
      <w:bookmarkStart w:id="26" w:name="_Toc176764394"/>
      <w:bookmarkStart w:id="27" w:name="_Toc176861263"/>
      <w:bookmarkStart w:id="28" w:name="_Toc176861329"/>
      <w:bookmarkStart w:id="29" w:name="_Toc177624788"/>
      <w:bookmarkStart w:id="30" w:name="_Toc177624836"/>
      <w:bookmarkStart w:id="31" w:name="_Toc177625434"/>
      <w:bookmarkStart w:id="32" w:name="_Toc177625807"/>
      <w:bookmarkStart w:id="33" w:name="_Toc177626183"/>
      <w:bookmarkStart w:id="34" w:name="_Toc177626748"/>
      <w:bookmarkStart w:id="35" w:name="_Toc177627582"/>
      <w:bookmarkStart w:id="36" w:name="_Toc177783983"/>
      <w:bookmarkStart w:id="37" w:name="_Toc177786577"/>
      <w:bookmarkStart w:id="38" w:name="_Toc177788436"/>
      <w:bookmarkStart w:id="39" w:name="_Toc177788474"/>
      <w:bookmarkStart w:id="40" w:name="_Toc177792364"/>
      <w:bookmarkStart w:id="41" w:name="_Toc177793467"/>
      <w:bookmarkStart w:id="42" w:name="_Toc177793738"/>
      <w:bookmarkStart w:id="43" w:name="_Toc177794816"/>
      <w:bookmarkStart w:id="44" w:name="_Toc177797278"/>
      <w:bookmarkStart w:id="45" w:name="_Toc177799381"/>
      <w:bookmarkStart w:id="46" w:name="_Toc177799645"/>
      <w:bookmarkStart w:id="47" w:name="_Toc177800058"/>
      <w:bookmarkStart w:id="48" w:name="_Toc177800131"/>
      <w:bookmarkStart w:id="49" w:name="_Toc177809187"/>
      <w:bookmarkStart w:id="50" w:name="_Toc177809277"/>
      <w:bookmarkStart w:id="51" w:name="_Toc177811563"/>
      <w:bookmarkStart w:id="52" w:name="_Toc177812234"/>
      <w:bookmarkStart w:id="53" w:name="_Toc177812272"/>
      <w:bookmarkStart w:id="54" w:name="_Toc177869914"/>
      <w:bookmarkStart w:id="55" w:name="_Toc178659541"/>
      <w:bookmarkStart w:id="56" w:name="_Toc178661905"/>
      <w:bookmarkStart w:id="57" w:name="_Toc178741866"/>
      <w:bookmarkStart w:id="58" w:name="_Toc178756166"/>
      <w:bookmarkStart w:id="59" w:name="_Toc179340861"/>
      <w:bookmarkStart w:id="60" w:name="_Toc248218209"/>
      <w:bookmarkStart w:id="61" w:name="_Toc253407937"/>
      <w:bookmarkStart w:id="62" w:name="_Toc253409346"/>
      <w:bookmarkStart w:id="63" w:name="_Toc253409413"/>
      <w:bookmarkStart w:id="64" w:name="_Toc253409804"/>
      <w:bookmarkStart w:id="65" w:name="_Toc253409890"/>
      <w:bookmarkStart w:id="66" w:name="_Toc253411480"/>
      <w:bookmarkStart w:id="67" w:name="_Toc253412775"/>
      <w:bookmarkStart w:id="68" w:name="_Toc253412829"/>
      <w:bookmarkStart w:id="69" w:name="_Toc253472295"/>
      <w:bookmarkStart w:id="70" w:name="_Toc253482318"/>
      <w:bookmarkStart w:id="71" w:name="_Toc253729587"/>
      <w:bookmarkStart w:id="72" w:name="_Toc253729640"/>
      <w:bookmarkStart w:id="73" w:name="_Toc253730809"/>
      <w:bookmarkStart w:id="74" w:name="_Toc253730862"/>
      <w:bookmarkStart w:id="75" w:name="_Toc253730915"/>
      <w:bookmarkStart w:id="76" w:name="_Toc254182161"/>
      <w:bookmarkStart w:id="77" w:name="_Toc254182466"/>
      <w:bookmarkStart w:id="78" w:name="_Toc254183039"/>
      <w:bookmarkStart w:id="79" w:name="_Toc254183142"/>
      <w:bookmarkStart w:id="80" w:name="_Toc254190516"/>
      <w:bookmarkStart w:id="81" w:name="_Toc254263009"/>
      <w:bookmarkStart w:id="82" w:name="_Toc254263586"/>
      <w:bookmarkStart w:id="83" w:name="_Toc254333734"/>
      <w:bookmarkStart w:id="84" w:name="_Toc256422665"/>
      <w:bookmarkStart w:id="85" w:name="_Toc256423584"/>
      <w:bookmarkStart w:id="86" w:name="_Toc256424126"/>
      <w:bookmarkStart w:id="87" w:name="_Toc256424726"/>
      <w:bookmarkStart w:id="88" w:name="_Toc257639286"/>
      <w:bookmarkStart w:id="89" w:name="_Toc257643292"/>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pPr>
        <w:pStyle w:val="Heading5"/>
      </w:pPr>
      <w:bookmarkStart w:id="90" w:name="_Toc423332722"/>
      <w:bookmarkStart w:id="91" w:name="_Toc425219441"/>
      <w:bookmarkStart w:id="92" w:name="_Toc426249308"/>
      <w:bookmarkStart w:id="93" w:name="_Toc449924704"/>
      <w:bookmarkStart w:id="94" w:name="_Toc449947722"/>
      <w:bookmarkStart w:id="95" w:name="_Toc454185713"/>
      <w:bookmarkStart w:id="96" w:name="_Toc515958686"/>
      <w:bookmarkStart w:id="97" w:name="_Toc254333735"/>
      <w:bookmarkStart w:id="98" w:name="_Toc256422666"/>
      <w:bookmarkStart w:id="99" w:name="_Toc257643293"/>
      <w:r>
        <w:rPr>
          <w:rStyle w:val="CharSectno"/>
        </w:rPr>
        <w:t>1</w:t>
      </w:r>
      <w:r>
        <w:t>.</w:t>
      </w:r>
      <w:r>
        <w:tab/>
        <w:t>Citation</w:t>
      </w:r>
      <w:bookmarkEnd w:id="90"/>
      <w:bookmarkEnd w:id="91"/>
      <w:bookmarkEnd w:id="92"/>
      <w:bookmarkEnd w:id="93"/>
      <w:bookmarkEnd w:id="94"/>
      <w:bookmarkEnd w:id="95"/>
      <w:bookmarkEnd w:id="96"/>
      <w:bookmarkEnd w:id="97"/>
      <w:bookmarkEnd w:id="98"/>
      <w:bookmarkEnd w:id="99"/>
    </w:p>
    <w:p>
      <w:pPr>
        <w:pStyle w:val="Subsection"/>
        <w:ind w:right="990"/>
        <w:rPr>
          <w:i/>
        </w:rPr>
      </w:pPr>
      <w:r>
        <w:tab/>
      </w:r>
      <w:r>
        <w:tab/>
      </w:r>
      <w:bookmarkStart w:id="100" w:name="Start_Cursor"/>
      <w:bookmarkEnd w:id="100"/>
      <w:r>
        <w:rPr>
          <w:spacing w:val="-2"/>
        </w:rPr>
        <w:t>These</w:t>
      </w:r>
      <w:r>
        <w:t xml:space="preserve"> </w:t>
      </w:r>
      <w:r>
        <w:rPr>
          <w:spacing w:val="-2"/>
        </w:rPr>
        <w:t>by-laws</w:t>
      </w:r>
      <w:r>
        <w:t xml:space="preserve"> are the </w:t>
      </w:r>
      <w:r>
        <w:rPr>
          <w:i/>
        </w:rPr>
        <w:t>Water Agencies (Water Use) By-laws 2010</w:t>
      </w:r>
      <w:r>
        <w:t>.</w:t>
      </w:r>
    </w:p>
    <w:p>
      <w:pPr>
        <w:pStyle w:val="Heading5"/>
        <w:rPr>
          <w:spacing w:val="-2"/>
        </w:rPr>
      </w:pPr>
      <w:bookmarkStart w:id="101" w:name="_Toc423332723"/>
      <w:bookmarkStart w:id="102" w:name="_Toc425219442"/>
      <w:bookmarkStart w:id="103" w:name="_Toc426249309"/>
      <w:bookmarkStart w:id="104" w:name="_Toc449924705"/>
      <w:bookmarkStart w:id="105" w:name="_Toc449947723"/>
      <w:bookmarkStart w:id="106" w:name="_Toc454185714"/>
      <w:bookmarkStart w:id="107" w:name="_Toc515958687"/>
      <w:bookmarkStart w:id="108" w:name="_Toc254333736"/>
      <w:bookmarkStart w:id="109" w:name="_Toc256422667"/>
      <w:bookmarkStart w:id="110" w:name="_Toc257643294"/>
      <w:r>
        <w:rPr>
          <w:rStyle w:val="CharSectno"/>
        </w:rPr>
        <w:t>2</w:t>
      </w:r>
      <w:r>
        <w:rPr>
          <w:spacing w:val="-2"/>
        </w:rPr>
        <w:t>.</w:t>
      </w:r>
      <w:r>
        <w:rPr>
          <w:spacing w:val="-2"/>
        </w:rPr>
        <w:tab/>
        <w:t>Commencement</w:t>
      </w:r>
      <w:bookmarkEnd w:id="101"/>
      <w:bookmarkEnd w:id="102"/>
      <w:bookmarkEnd w:id="103"/>
      <w:bookmarkEnd w:id="104"/>
      <w:bookmarkEnd w:id="105"/>
      <w:bookmarkEnd w:id="106"/>
      <w:bookmarkEnd w:id="107"/>
      <w:bookmarkEnd w:id="108"/>
      <w:bookmarkEnd w:id="109"/>
      <w:bookmarkEnd w:id="110"/>
    </w:p>
    <w:p>
      <w:pPr>
        <w:pStyle w:val="Subsection"/>
        <w:rPr>
          <w:spacing w:val="-2"/>
        </w:rPr>
      </w:pPr>
      <w:r>
        <w:rPr>
          <w:spacing w:val="-2"/>
        </w:rPr>
        <w:tab/>
      </w:r>
      <w:r>
        <w:rPr>
          <w:spacing w:val="-2"/>
        </w:rPr>
        <w:tab/>
        <w:t>These by-laws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r>
        <w:t>;</w:t>
      </w:r>
    </w:p>
    <w:p>
      <w:pPr>
        <w:pStyle w:val="Indenta"/>
      </w:pPr>
      <w:r>
        <w:tab/>
        <w:t>(b)</w:t>
      </w:r>
      <w:r>
        <w:tab/>
        <w:t>the rest of the by</w:t>
      </w:r>
      <w:r>
        <w:noBreakHyphen/>
        <w:t>laws — on 1 April 2010.</w:t>
      </w:r>
    </w:p>
    <w:p>
      <w:pPr>
        <w:pStyle w:val="Heading5"/>
      </w:pPr>
      <w:bookmarkStart w:id="111" w:name="_Toc257638568"/>
      <w:bookmarkStart w:id="112" w:name="_Toc257643295"/>
      <w:r>
        <w:rPr>
          <w:rStyle w:val="CharSectno"/>
        </w:rPr>
        <w:t>3</w:t>
      </w:r>
      <w:r>
        <w:t>.</w:t>
      </w:r>
      <w:r>
        <w:tab/>
        <w:t>Terms used</w:t>
      </w:r>
      <w:bookmarkEnd w:id="111"/>
      <w:bookmarkEnd w:id="112"/>
    </w:p>
    <w:p>
      <w:pPr>
        <w:pStyle w:val="Subsection"/>
        <w:keepNext/>
        <w:keepLines/>
      </w:pPr>
      <w:r>
        <w:tab/>
      </w:r>
      <w:r>
        <w:tab/>
        <w:t>In these by</w:t>
      </w:r>
      <w:r>
        <w:noBreakHyphen/>
        <w:t>laws, unless the contrary intention appears —</w:t>
      </w:r>
    </w:p>
    <w:p>
      <w:pPr>
        <w:pStyle w:val="Defstart"/>
      </w:pPr>
      <w:r>
        <w:tab/>
      </w:r>
      <w:r>
        <w:rPr>
          <w:rStyle w:val="CharDefText"/>
        </w:rPr>
        <w:t>Area</w:t>
      </w:r>
      <w:r>
        <w:t xml:space="preserve"> means Area 1, Area 2, Area 3 or Area 4;</w:t>
      </w:r>
    </w:p>
    <w:p>
      <w:pPr>
        <w:pStyle w:val="Defstart"/>
      </w:pPr>
      <w:r>
        <w:tab/>
      </w:r>
      <w:r>
        <w:rPr>
          <w:rStyle w:val="CharDefText"/>
        </w:rPr>
        <w:t>Area 1</w:t>
      </w:r>
      <w:r>
        <w:t xml:space="preserve"> means that part of the State that is north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as illustrated for information purposes on the maps shown in Schedule 1;</w:t>
      </w:r>
    </w:p>
    <w:p>
      <w:pPr>
        <w:pStyle w:val="Defstart"/>
      </w:pPr>
      <w:r>
        <w:tab/>
      </w:r>
      <w:r>
        <w:rPr>
          <w:rStyle w:val="CharDefText"/>
        </w:rPr>
        <w:t>Area 2</w:t>
      </w:r>
      <w:r>
        <w:t xml:space="preserve"> means that part of the State that is south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except Area 3 or Area 4, as illustrated for information purposes on the maps shown in Schedule 1;</w:t>
      </w:r>
    </w:p>
    <w:p>
      <w:pPr>
        <w:pStyle w:val="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Defstart"/>
      </w:pPr>
      <w:r>
        <w:tab/>
      </w:r>
      <w:r>
        <w:rPr>
          <w:rStyle w:val="CharDefText"/>
        </w:rPr>
        <w:t>domestic bore water</w:t>
      </w:r>
      <w:r>
        <w:t xml:space="preserve"> means water taken from a domestic bore;</w:t>
      </w:r>
    </w:p>
    <w:p>
      <w:pPr>
        <w:pStyle w:val="Defstart"/>
      </w:pPr>
      <w:r>
        <w:tab/>
      </w:r>
      <w:r>
        <w:rPr>
          <w:rStyle w:val="CharDefText"/>
        </w:rPr>
        <w:t>evening period</w:t>
      </w:r>
      <w:r>
        <w:t xml:space="preserve"> means the period after 6.00 p.m.;</w:t>
      </w:r>
    </w:p>
    <w:p>
      <w:pPr>
        <w:pStyle w:val="Defstart"/>
      </w:pPr>
      <w:r>
        <w:tab/>
      </w:r>
      <w:r>
        <w:rPr>
          <w:rStyle w:val="CharDefText"/>
        </w:rPr>
        <w:t>garden</w:t>
      </w:r>
      <w:r>
        <w:t xml:space="preserve"> does not include any indoor plants or plants growing inside a glasshouse;</w:t>
      </w:r>
    </w:p>
    <w:p>
      <w:pPr>
        <w:pStyle w:val="Defstart"/>
      </w:pPr>
      <w:r>
        <w:tab/>
      </w:r>
      <w:r>
        <w:rPr>
          <w:rStyle w:val="CharDefText"/>
        </w:rPr>
        <w:t>high pressure water cleaner</w:t>
      </w:r>
      <w:r>
        <w:t xml:space="preserve"> means a cleaning device that uses pressurised water flowing at a rate of not more than 6 L per minute;</w:t>
      </w:r>
    </w:p>
    <w:p>
      <w:pPr>
        <w:pStyle w:val="Defstart"/>
      </w:pPr>
      <w:r>
        <w:tab/>
      </w:r>
      <w:r>
        <w:rPr>
          <w:rStyle w:val="CharDefText"/>
        </w:rPr>
        <w:t>lawn</w:t>
      </w:r>
      <w:r>
        <w:t xml:space="preserve"> does not include a grass</w:t>
      </w:r>
      <w:r>
        <w:noBreakHyphen/>
        <w:t>covered sporting ground;</w:t>
      </w:r>
    </w:p>
    <w:p>
      <w:pPr>
        <w:pStyle w:val="Defstart"/>
      </w:pPr>
      <w:r>
        <w:tab/>
      </w:r>
      <w:r>
        <w:rPr>
          <w:rStyle w:val="CharDefText"/>
        </w:rPr>
        <w:t>morning period</w:t>
      </w:r>
      <w:r>
        <w:t xml:space="preserve"> means the period before 9.00 a.m.;</w:t>
      </w:r>
    </w:p>
    <w:p>
      <w:pPr>
        <w:pStyle w:val="Defstart"/>
      </w:pPr>
      <w:r>
        <w:tab/>
      </w:r>
      <w:r>
        <w:rPr>
          <w:rStyle w:val="CharDefText"/>
        </w:rPr>
        <w:t>relevant property</w:t>
      </w:r>
      <w:r>
        <w:t>, in relation to the watering a of a lawn, garden or grass</w:t>
      </w:r>
      <w:r>
        <w:noBreakHyphen/>
        <w:t>covered sporting ground, means the property on which the lawn, garden or grass</w:t>
      </w:r>
      <w:r>
        <w:noBreakHyphen/>
        <w:t>covered sporting ground is located;</w:t>
      </w:r>
    </w:p>
    <w:p>
      <w:pPr>
        <w:pStyle w:val="Defstart"/>
      </w:pPr>
      <w:r>
        <w:tab/>
      </w:r>
      <w:r>
        <w:rPr>
          <w:rStyle w:val="CharDefText"/>
        </w:rPr>
        <w:t xml:space="preserve">scheme water </w:t>
      </w:r>
      <w:r>
        <w:t>means water supplied by scheme water supplier;</w:t>
      </w:r>
    </w:p>
    <w:p>
      <w:pPr>
        <w:pStyle w:val="Defstart"/>
      </w:pPr>
      <w:r>
        <w:tab/>
      </w:r>
      <w:r>
        <w:rPr>
          <w:rStyle w:val="CharDefText"/>
        </w:rPr>
        <w:t>scheme water supplier</w:t>
      </w:r>
      <w:r>
        <w:t xml:space="preserve"> means —</w:t>
      </w:r>
    </w:p>
    <w:p>
      <w:pPr>
        <w:pStyle w:val="Defpara"/>
      </w:pPr>
      <w:r>
        <w:tab/>
        <w:t>(a)</w:t>
      </w:r>
      <w:r>
        <w:tab/>
        <w:t>the Corporation; or</w:t>
      </w:r>
    </w:p>
    <w:p>
      <w:pPr>
        <w:pStyle w:val="Defpara"/>
      </w:pPr>
      <w:r>
        <w:tab/>
        <w:t>(b)</w:t>
      </w:r>
      <w:r>
        <w:tab/>
        <w:t xml:space="preserve">a water board as defined in the </w:t>
      </w:r>
      <w:r>
        <w:rPr>
          <w:i/>
          <w:iCs/>
        </w:rPr>
        <w:t>Water Boards Act 1904</w:t>
      </w:r>
      <w:r>
        <w:t xml:space="preserve"> section 3(1);</w:t>
      </w:r>
    </w:p>
    <w:p>
      <w:pPr>
        <w:pStyle w:val="Defstart"/>
      </w:pPr>
      <w:r>
        <w:tab/>
      </w:r>
      <w:r>
        <w:rPr>
          <w:rStyle w:val="CharDefText"/>
        </w:rPr>
        <w:t>stage of restrictions</w:t>
      </w:r>
      <w:r>
        <w:t xml:space="preserve"> means a stage of restrictions set out in Schedule 2;</w:t>
      </w:r>
    </w:p>
    <w:p>
      <w:pPr>
        <w:pStyle w:val="Defstart"/>
      </w:pPr>
      <w:r>
        <w:tab/>
      </w:r>
      <w:r>
        <w:rPr>
          <w:rStyle w:val="CharDefText"/>
        </w:rPr>
        <w:t>synthetic sporting ground</w:t>
      </w:r>
      <w:r>
        <w:t xml:space="preserve"> means a sporting ground that has a synthetic surface designed to be used after watering;</w:t>
      </w:r>
    </w:p>
    <w:p>
      <w:pPr>
        <w:pStyle w:val="Defstart"/>
      </w:pPr>
      <w:r>
        <w:tab/>
      </w:r>
      <w:r>
        <w:rPr>
          <w:rStyle w:val="CharDefText"/>
        </w:rPr>
        <w:t>water</w:t>
      </w:r>
      <w:r>
        <w:t xml:space="preserve"> means —</w:t>
      </w:r>
    </w:p>
    <w:p>
      <w:pPr>
        <w:pStyle w:val="Defpara"/>
      </w:pPr>
      <w:r>
        <w:tab/>
        <w:t>(a)</w:t>
      </w:r>
      <w:r>
        <w:tab/>
        <w:t>scheme water; or</w:t>
      </w:r>
    </w:p>
    <w:p>
      <w:pPr>
        <w:pStyle w:val="Defpara"/>
      </w:pPr>
      <w:r>
        <w:tab/>
        <w:t>(b)</w:t>
      </w:r>
      <w:r>
        <w:tab/>
        <w:t>domestic bore water;</w:t>
      </w:r>
    </w:p>
    <w:p>
      <w:pPr>
        <w:pStyle w:val="Defstart"/>
      </w:pPr>
      <w:r>
        <w:tab/>
      </w:r>
      <w:r>
        <w:rPr>
          <w:rStyle w:val="CharDefText"/>
        </w:rPr>
        <w:t>week</w:t>
      </w:r>
      <w:r>
        <w:t xml:space="preserve"> means a period of seven successive days beginning with Sunday.</w:t>
      </w:r>
    </w:p>
    <w:p>
      <w:pPr>
        <w:pStyle w:val="Heading2"/>
      </w:pPr>
      <w:bookmarkStart w:id="113" w:name="_Toc257638569"/>
      <w:bookmarkStart w:id="114" w:name="_Toc257639290"/>
      <w:bookmarkStart w:id="115" w:name="_Toc257643296"/>
      <w:r>
        <w:rPr>
          <w:rStyle w:val="CharPartNo"/>
        </w:rPr>
        <w:t>Part 2</w:t>
      </w:r>
      <w:r>
        <w:t> — </w:t>
      </w:r>
      <w:r>
        <w:rPr>
          <w:rStyle w:val="CharPartText"/>
        </w:rPr>
        <w:t>Water restrictions</w:t>
      </w:r>
      <w:bookmarkEnd w:id="113"/>
      <w:bookmarkEnd w:id="114"/>
      <w:bookmarkEnd w:id="115"/>
    </w:p>
    <w:p>
      <w:pPr>
        <w:pStyle w:val="Heading3"/>
      </w:pPr>
      <w:bookmarkStart w:id="116" w:name="_Toc257638570"/>
      <w:bookmarkStart w:id="117" w:name="_Toc257639291"/>
      <w:bookmarkStart w:id="118" w:name="_Toc257643297"/>
      <w:r>
        <w:rPr>
          <w:rStyle w:val="CharDivNo"/>
        </w:rPr>
        <w:t>Division 1</w:t>
      </w:r>
      <w:r>
        <w:t> — </w:t>
      </w:r>
      <w:r>
        <w:rPr>
          <w:rStyle w:val="CharDivText"/>
        </w:rPr>
        <w:t>Restrictions</w:t>
      </w:r>
      <w:bookmarkEnd w:id="116"/>
      <w:bookmarkEnd w:id="117"/>
      <w:bookmarkEnd w:id="118"/>
    </w:p>
    <w:p>
      <w:pPr>
        <w:pStyle w:val="Heading5"/>
      </w:pPr>
      <w:bookmarkStart w:id="119" w:name="_Toc257638571"/>
      <w:bookmarkStart w:id="120" w:name="_Toc257643298"/>
      <w:r>
        <w:rPr>
          <w:rStyle w:val="CharSectno"/>
        </w:rPr>
        <w:t>4</w:t>
      </w:r>
      <w:r>
        <w:t>.</w:t>
      </w:r>
      <w:r>
        <w:tab/>
        <w:t>Use of water restricted</w:t>
      </w:r>
      <w:bookmarkEnd w:id="119"/>
      <w:bookmarkEnd w:id="120"/>
    </w:p>
    <w:p>
      <w:pPr>
        <w:pStyle w:val="Subsection"/>
      </w:pPr>
      <w:r>
        <w:tab/>
        <w:t>(1)</w:t>
      </w:r>
      <w:r>
        <w:tab/>
        <w:t>In this by</w:t>
      </w:r>
      <w:r>
        <w:noBreakHyphen/>
        <w:t xml:space="preserve">law — </w:t>
      </w:r>
    </w:p>
    <w:p>
      <w:pPr>
        <w:pStyle w:val="Defstart"/>
      </w:pPr>
      <w:r>
        <w:tab/>
      </w:r>
      <w:r>
        <w:rPr>
          <w:rStyle w:val="CharDefText"/>
        </w:rPr>
        <w:t>written approval</w:t>
      </w:r>
      <w:r>
        <w:t xml:space="preserve"> means written approval from — </w:t>
      </w:r>
    </w:p>
    <w:p>
      <w:pPr>
        <w:pStyle w:val="Defpara"/>
      </w:pPr>
      <w:r>
        <w:tab/>
        <w:t>(a)</w:t>
      </w:r>
      <w:r>
        <w:tab/>
        <w:t>in relation to scheme water — the scheme water supplier; and</w:t>
      </w:r>
    </w:p>
    <w:p>
      <w:pPr>
        <w:pStyle w:val="Defpara"/>
      </w:pPr>
      <w:r>
        <w:tab/>
        <w:t>(b)</w:t>
      </w:r>
      <w:r>
        <w:tab/>
        <w:t>in relation to domestic bore water — the chief executive officer of the department of the Public Service principally assisting in the administration of the Act.</w:t>
      </w:r>
    </w:p>
    <w:p>
      <w:pPr>
        <w:pStyle w:val="Subsection"/>
      </w:pPr>
      <w:r>
        <w:tab/>
        <w:t>(2)</w:t>
      </w:r>
      <w:r>
        <w:tab/>
        <w:t>A person must not, without the written approval, use water in contravention of the stage of restrictions applicable under these by</w:t>
      </w:r>
      <w:r>
        <w:noBreakHyphen/>
        <w:t>laws.</w:t>
      </w:r>
    </w:p>
    <w:p>
      <w:pPr>
        <w:pStyle w:val="Penstart"/>
      </w:pPr>
      <w:r>
        <w:tab/>
        <w:t>Penalty: a fine of $500.</w:t>
      </w:r>
    </w:p>
    <w:p>
      <w:pPr>
        <w:pStyle w:val="Heading5"/>
      </w:pPr>
      <w:bookmarkStart w:id="121" w:name="_Toc257638572"/>
      <w:bookmarkStart w:id="122" w:name="_Toc257643299"/>
      <w:r>
        <w:rPr>
          <w:rStyle w:val="CharSectno"/>
        </w:rPr>
        <w:t>5</w:t>
      </w:r>
      <w:r>
        <w:t>.</w:t>
      </w:r>
      <w:r>
        <w:tab/>
        <w:t>Stage of restrictions applicable to Area 1</w:t>
      </w:r>
      <w:bookmarkEnd w:id="121"/>
      <w:bookmarkEnd w:id="122"/>
    </w:p>
    <w:p>
      <w:pPr>
        <w:pStyle w:val="Subsection"/>
      </w:pPr>
      <w:r>
        <w:tab/>
        <w:t>(1)</w:t>
      </w:r>
      <w:r>
        <w:tab/>
        <w:t>Subject to by</w:t>
      </w:r>
      <w:r>
        <w:noBreakHyphen/>
        <w:t>law 9, the stage of restrictions that applies in relation to the use of scheme water in Area 1 is stage 2.</w:t>
      </w:r>
    </w:p>
    <w:p>
      <w:pPr>
        <w:pStyle w:val="Subsection"/>
      </w:pPr>
      <w:r>
        <w:tab/>
        <w:t>(2)</w:t>
      </w:r>
      <w:r>
        <w:tab/>
        <w:t>Subject to by</w:t>
      </w:r>
      <w:r>
        <w:noBreakHyphen/>
        <w:t>law 9, the stage of restrictions that applies in relation to the use of domestic bore water in Area 1 is stage 1.</w:t>
      </w:r>
    </w:p>
    <w:p>
      <w:pPr>
        <w:pStyle w:val="Heading5"/>
      </w:pPr>
      <w:bookmarkStart w:id="123" w:name="_Toc257638573"/>
      <w:bookmarkStart w:id="124" w:name="_Toc257643300"/>
      <w:r>
        <w:rPr>
          <w:rStyle w:val="CharSectno"/>
        </w:rPr>
        <w:t>6</w:t>
      </w:r>
      <w:r>
        <w:t>.</w:t>
      </w:r>
      <w:r>
        <w:tab/>
        <w:t>Stage of restrictions applicable to Area 2</w:t>
      </w:r>
      <w:bookmarkEnd w:id="123"/>
      <w:bookmarkEnd w:id="124"/>
    </w:p>
    <w:p>
      <w:pPr>
        <w:pStyle w:val="Subsection"/>
      </w:pPr>
      <w:r>
        <w:tab/>
        <w:t>(1)</w:t>
      </w:r>
      <w:r>
        <w:tab/>
        <w:t>Subject to by</w:t>
      </w:r>
      <w:r>
        <w:noBreakHyphen/>
        <w:t>law 9, the stage of restrictions that applies in relation to the use of scheme water in Area 2 is stage 4.</w:t>
      </w:r>
    </w:p>
    <w:p>
      <w:pPr>
        <w:pStyle w:val="Subsection"/>
      </w:pPr>
      <w:r>
        <w:tab/>
        <w:t>(2)</w:t>
      </w:r>
      <w:r>
        <w:tab/>
        <w:t>Subject to by</w:t>
      </w:r>
      <w:r>
        <w:noBreakHyphen/>
        <w:t>law 9, the stage of restrictions that applies in relation to the use of domestic bore water in Area 2 is stage 1.</w:t>
      </w:r>
    </w:p>
    <w:p>
      <w:pPr>
        <w:pStyle w:val="Heading5"/>
      </w:pPr>
      <w:bookmarkStart w:id="125" w:name="_Toc257638574"/>
      <w:bookmarkStart w:id="126" w:name="_Toc257643301"/>
      <w:r>
        <w:rPr>
          <w:rStyle w:val="CharSectno"/>
        </w:rPr>
        <w:t>7</w:t>
      </w:r>
      <w:r>
        <w:t>.</w:t>
      </w:r>
      <w:r>
        <w:tab/>
        <w:t>Stage of restrictions applicable to Area 3</w:t>
      </w:r>
      <w:bookmarkEnd w:id="125"/>
      <w:bookmarkEnd w:id="126"/>
    </w:p>
    <w:p>
      <w:pPr>
        <w:pStyle w:val="Subsection"/>
      </w:pPr>
      <w:r>
        <w:tab/>
        <w:t>(1)</w:t>
      </w:r>
      <w:r>
        <w:tab/>
        <w:t>Subject to by</w:t>
      </w:r>
      <w:r>
        <w:noBreakHyphen/>
        <w:t xml:space="preserve">law 9, the stage of restrictions that applies in relation to the use of scheme water in Area 3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t>Subject to by</w:t>
      </w:r>
      <w:r>
        <w:noBreakHyphen/>
        <w:t xml:space="preserve">law 9, the stage of restrictions that applies in relation to the use of domestic bore water in Area 3 is — </w:t>
      </w:r>
    </w:p>
    <w:p>
      <w:pPr>
        <w:pStyle w:val="Indenta"/>
      </w:pPr>
      <w:r>
        <w:tab/>
        <w:t>(a)</w:t>
      </w:r>
      <w:r>
        <w:tab/>
        <w:t>from 1 June to 31 August in a particular year — stage 6; and</w:t>
      </w:r>
    </w:p>
    <w:p>
      <w:pPr>
        <w:pStyle w:val="Indenta"/>
      </w:pPr>
      <w:r>
        <w:tab/>
        <w:t>(b)</w:t>
      </w:r>
      <w:r>
        <w:tab/>
        <w:t>at any other time of the year — stage 3.</w:t>
      </w:r>
    </w:p>
    <w:p>
      <w:pPr>
        <w:pStyle w:val="Heading5"/>
      </w:pPr>
      <w:bookmarkStart w:id="127" w:name="_Toc257638575"/>
      <w:bookmarkStart w:id="128" w:name="_Toc257643302"/>
      <w:r>
        <w:rPr>
          <w:rStyle w:val="CharSectno"/>
        </w:rPr>
        <w:t>8</w:t>
      </w:r>
      <w:r>
        <w:t>.</w:t>
      </w:r>
      <w:r>
        <w:tab/>
        <w:t>Stage of restrictions applicable to Area 4</w:t>
      </w:r>
      <w:bookmarkEnd w:id="127"/>
      <w:bookmarkEnd w:id="128"/>
    </w:p>
    <w:p>
      <w:pPr>
        <w:pStyle w:val="Subsection"/>
      </w:pPr>
      <w:r>
        <w:tab/>
        <w:t>(1)</w:t>
      </w:r>
      <w:r>
        <w:tab/>
        <w:t>Subject to by</w:t>
      </w:r>
      <w:r>
        <w:noBreakHyphen/>
        <w:t xml:space="preserve">law 9, the stage of restrictions that applies in relation to the use of scheme water in Area 4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t>Subject to by</w:t>
      </w:r>
      <w:r>
        <w:noBreakHyphen/>
        <w:t xml:space="preserve">law 9, the stage of restrictions that applies in relation to the use of domestic bore water in Area 4 is — </w:t>
      </w:r>
    </w:p>
    <w:p>
      <w:pPr>
        <w:pStyle w:val="Indenta"/>
      </w:pPr>
      <w:r>
        <w:tab/>
        <w:t>(a)</w:t>
      </w:r>
      <w:r>
        <w:tab/>
        <w:t>from 1 June to 31 August in a particular year — stage 6; and</w:t>
      </w:r>
    </w:p>
    <w:p>
      <w:pPr>
        <w:pStyle w:val="Indenta"/>
      </w:pPr>
      <w:r>
        <w:tab/>
        <w:t>(b)</w:t>
      </w:r>
      <w:r>
        <w:tab/>
        <w:t>at any other time of the year — stage 1.</w:t>
      </w:r>
    </w:p>
    <w:p>
      <w:pPr>
        <w:pStyle w:val="Heading5"/>
      </w:pPr>
      <w:bookmarkStart w:id="129" w:name="_Toc257638576"/>
      <w:bookmarkStart w:id="130" w:name="_Toc257643303"/>
      <w:r>
        <w:rPr>
          <w:rStyle w:val="CharSectno"/>
        </w:rPr>
        <w:t>9</w:t>
      </w:r>
      <w:r>
        <w:t>.</w:t>
      </w:r>
      <w:r>
        <w:tab/>
        <w:t>Notices may impose different stage of restrictions</w:t>
      </w:r>
      <w:bookmarkEnd w:id="129"/>
      <w:bookmarkEnd w:id="130"/>
    </w:p>
    <w:p>
      <w:pPr>
        <w:pStyle w:val="Subsection"/>
      </w:pPr>
      <w:r>
        <w:tab/>
        <w:t>(1)</w:t>
      </w:r>
      <w:r>
        <w:tab/>
        <w:t xml:space="preserve">The Minister may, by notice published in the </w:t>
      </w:r>
      <w:r>
        <w:rPr>
          <w:i/>
        </w:rPr>
        <w:t>Gazette</w:t>
      </w:r>
      <w:r>
        <w:t>, apply a different stage of restrictions to an Area, or part of an Area, specified in the notice.</w:t>
      </w:r>
    </w:p>
    <w:p>
      <w:pPr>
        <w:pStyle w:val="Subsection"/>
      </w:pPr>
      <w:r>
        <w:tab/>
        <w:t>(2)</w:t>
      </w:r>
      <w:r>
        <w:tab/>
        <w:t>A notice under sub</w:t>
      </w:r>
      <w:r>
        <w:noBreakHyphen/>
        <w:t xml:space="preserve">bylaw (1) must specify the day from which the stage of restrictions applies to the Area, being a day at least 48 hours after the publication of the notice in the </w:t>
      </w:r>
      <w:r>
        <w:rPr>
          <w:i/>
        </w:rPr>
        <w:t>Gazette</w:t>
      </w:r>
      <w:r>
        <w:t>.</w:t>
      </w:r>
    </w:p>
    <w:p>
      <w:pPr>
        <w:pStyle w:val="Subsection"/>
      </w:pPr>
      <w:r>
        <w:tab/>
        <w:t>(3)</w:t>
      </w:r>
      <w:r>
        <w:tab/>
        <w:t xml:space="preserve">The Minister may, by subsequent notice published in the </w:t>
      </w:r>
      <w:r>
        <w:rPr>
          <w:i/>
          <w:iCs/>
        </w:rPr>
        <w:t>Gazette</w:t>
      </w:r>
      <w:r>
        <w:t>, revoke a notice under sub</w:t>
      </w:r>
      <w:r>
        <w:noBreakHyphen/>
        <w:t>bylaw (1).</w:t>
      </w:r>
    </w:p>
    <w:p>
      <w:pPr>
        <w:pStyle w:val="Heading3"/>
      </w:pPr>
      <w:bookmarkStart w:id="131" w:name="_Toc257638577"/>
      <w:bookmarkStart w:id="132" w:name="_Toc257639298"/>
      <w:bookmarkStart w:id="133" w:name="_Toc257643304"/>
      <w:r>
        <w:rPr>
          <w:rStyle w:val="CharDivNo"/>
        </w:rPr>
        <w:t>Division 2</w:t>
      </w:r>
      <w:r>
        <w:t> — </w:t>
      </w:r>
      <w:r>
        <w:rPr>
          <w:rStyle w:val="CharDivText"/>
        </w:rPr>
        <w:t>Exemptions</w:t>
      </w:r>
      <w:bookmarkEnd w:id="131"/>
      <w:bookmarkEnd w:id="132"/>
      <w:bookmarkEnd w:id="133"/>
    </w:p>
    <w:p>
      <w:pPr>
        <w:pStyle w:val="Heading5"/>
      </w:pPr>
      <w:bookmarkStart w:id="134" w:name="_Toc257638578"/>
      <w:bookmarkStart w:id="135" w:name="_Toc257643305"/>
      <w:r>
        <w:rPr>
          <w:rStyle w:val="CharSectno"/>
        </w:rPr>
        <w:t>10</w:t>
      </w:r>
      <w:r>
        <w:t>.</w:t>
      </w:r>
      <w:r>
        <w:tab/>
        <w:t xml:space="preserve">Licensees under </w:t>
      </w:r>
      <w:r>
        <w:rPr>
          <w:i/>
        </w:rPr>
        <w:t>Rights in Water and Irrigation Act </w:t>
      </w:r>
      <w:r>
        <w:rPr>
          <w:i/>
          <w:iCs/>
        </w:rPr>
        <w:t>1914</w:t>
      </w:r>
      <w:r>
        <w:t xml:space="preserve"> section 5C</w:t>
      </w:r>
      <w:bookmarkEnd w:id="134"/>
      <w:bookmarkEnd w:id="135"/>
    </w:p>
    <w:p>
      <w:pPr>
        <w:pStyle w:val="Subsection"/>
        <w:keepNext/>
        <w:keepLines/>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Heading5"/>
      </w:pPr>
      <w:bookmarkStart w:id="136" w:name="_Toc257638579"/>
      <w:bookmarkStart w:id="137" w:name="_Toc257643306"/>
      <w:r>
        <w:rPr>
          <w:rStyle w:val="CharSectno"/>
        </w:rPr>
        <w:t>11</w:t>
      </w:r>
      <w:r>
        <w:t>.</w:t>
      </w:r>
      <w:r>
        <w:tab/>
        <w:t>Shared domestic bores</w:t>
      </w:r>
      <w:bookmarkEnd w:id="136"/>
      <w:bookmarkEnd w:id="137"/>
    </w:p>
    <w:p>
      <w:pPr>
        <w:pStyle w:val="Subsection"/>
      </w:pPr>
      <w:r>
        <w:tab/>
        <w:t>(1)</w:t>
      </w:r>
      <w:r>
        <w:tab/>
        <w:t>This by</w:t>
      </w:r>
      <w:r>
        <w:noBreakHyphen/>
        <w:t>law applies to a person using domestic bore water to water a lawn or garden by reticulation in circumstances where —</w:t>
      </w:r>
    </w:p>
    <w:p>
      <w:pPr>
        <w:pStyle w:val="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Indenta"/>
      </w:pPr>
      <w:r>
        <w:tab/>
        <w:t>(b)</w:t>
      </w:r>
      <w:r>
        <w:tab/>
        <w:t xml:space="preserve">the domestic bore is located on property with a different street or lot number (the </w:t>
      </w:r>
      <w:r>
        <w:rPr>
          <w:rStyle w:val="CharDefText"/>
        </w:rPr>
        <w:t>other property</w:t>
      </w:r>
      <w:r>
        <w:t>).</w:t>
      </w:r>
    </w:p>
    <w:p>
      <w:pPr>
        <w:pStyle w:val="Subsection"/>
      </w:pPr>
      <w:r>
        <w:tab/>
        <w:t>(2)</w:t>
      </w:r>
      <w:r>
        <w:tab/>
        <w:t>The person does not contravene the stage of restrictions only because, in any particular week —</w:t>
      </w:r>
    </w:p>
    <w:p>
      <w:pPr>
        <w:pStyle w:val="Indenta"/>
      </w:pPr>
      <w:r>
        <w:tab/>
        <w:t>(a)</w:t>
      </w:r>
      <w:r>
        <w:tab/>
        <w:t>the person uses the water on days determined by reference to the street number or, where there is no street number, the lot number of the other property; and</w:t>
      </w:r>
    </w:p>
    <w:p>
      <w:pPr>
        <w:pStyle w:val="Indenta"/>
      </w:pPr>
      <w:r>
        <w:tab/>
        <w:t>(b)</w:t>
      </w:r>
      <w:r>
        <w:tab/>
        <w:t>the person does not use the water on any other day.</w:t>
      </w:r>
    </w:p>
    <w:p>
      <w:pPr>
        <w:pStyle w:val="Heading5"/>
      </w:pPr>
      <w:bookmarkStart w:id="138" w:name="_Toc257638580"/>
      <w:bookmarkStart w:id="139" w:name="_Toc257643307"/>
      <w:r>
        <w:rPr>
          <w:rStyle w:val="CharSectno"/>
        </w:rPr>
        <w:t>12</w:t>
      </w:r>
      <w:r>
        <w:t>.</w:t>
      </w:r>
      <w:r>
        <w:tab/>
        <w:t>Installation, repair or testing reticulation systems</w:t>
      </w:r>
      <w:bookmarkEnd w:id="138"/>
      <w:bookmarkEnd w:id="139"/>
    </w:p>
    <w:p>
      <w:pPr>
        <w:pStyle w:val="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Subsection"/>
        <w:keepNext/>
        <w:keepLines/>
      </w:pPr>
      <w:r>
        <w:tab/>
        <w:t>(2)</w:t>
      </w:r>
      <w:r>
        <w:tab/>
        <w:t>A person does not commit an offence under by</w:t>
      </w:r>
      <w:r>
        <w:noBreakHyphen/>
        <w:t>law 4 if, in the course of the person’s occupation in the turf, garden or landscaping industries, the person operates a reticulation system using either scheme water or domestic bore water to the minimum extent necessary while the reticulation system is being installed, maintained, tested or repaired.</w:t>
      </w:r>
    </w:p>
    <w:p>
      <w:pPr>
        <w:pStyle w:val="Heading5"/>
      </w:pPr>
      <w:bookmarkStart w:id="140" w:name="_Toc257638581"/>
      <w:bookmarkStart w:id="141" w:name="_Toc257643308"/>
      <w:r>
        <w:rPr>
          <w:rStyle w:val="CharSectno"/>
        </w:rPr>
        <w:t>13</w:t>
      </w:r>
      <w:r>
        <w:t>.</w:t>
      </w:r>
      <w:r>
        <w:tab/>
        <w:t>Vertimowing or applying fertilisers or wetting agents</w:t>
      </w:r>
      <w:bookmarkEnd w:id="140"/>
      <w:bookmarkEnd w:id="141"/>
    </w:p>
    <w:p>
      <w:pPr>
        <w:pStyle w:val="Subsection"/>
      </w:pPr>
      <w:r>
        <w:tab/>
        <w:t>(1)</w:t>
      </w:r>
      <w:r>
        <w:tab/>
        <w:t>This by</w:t>
      </w:r>
      <w:r>
        <w:noBreakHyphen/>
        <w:t>law applies to the use of water in an Area unless the stage of restrictions designated stage 7 applies to that Area.</w:t>
      </w:r>
    </w:p>
    <w:p>
      <w:pPr>
        <w:pStyle w:val="Subsection"/>
        <w:keepNext/>
        <w:keepLines/>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Indenta"/>
      </w:pPr>
      <w:r>
        <w:tab/>
        <w:t>(a)</w:t>
      </w:r>
      <w:r>
        <w:tab/>
        <w:t>vertimowing; or</w:t>
      </w:r>
    </w:p>
    <w:p>
      <w:pPr>
        <w:pStyle w:val="Indenta"/>
      </w:pPr>
      <w:r>
        <w:tab/>
        <w:t>(b)</w:t>
      </w:r>
      <w:r>
        <w:tab/>
        <w:t>the application of a fertiliser or wetting agent.</w:t>
      </w:r>
    </w:p>
    <w:p>
      <w:pPr>
        <w:pStyle w:val="Heading5"/>
        <w:keepNext w:val="0"/>
        <w:keepLines w:val="0"/>
      </w:pPr>
      <w:bookmarkStart w:id="142" w:name="_Toc257638582"/>
      <w:bookmarkStart w:id="143" w:name="_Toc257643309"/>
      <w:r>
        <w:rPr>
          <w:rStyle w:val="CharSectno"/>
        </w:rPr>
        <w:t>14</w:t>
      </w:r>
      <w:r>
        <w:t>.</w:t>
      </w:r>
      <w:r>
        <w:tab/>
        <w:t>Market gardens or plant nurseries</w:t>
      </w:r>
      <w:bookmarkEnd w:id="142"/>
      <w:bookmarkEnd w:id="143"/>
    </w:p>
    <w:p>
      <w:pPr>
        <w:pStyle w:val="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Heading5"/>
        <w:keepNext w:val="0"/>
      </w:pPr>
      <w:bookmarkStart w:id="144" w:name="_Toc257638583"/>
      <w:bookmarkStart w:id="145" w:name="_Toc257643310"/>
      <w:r>
        <w:rPr>
          <w:rStyle w:val="CharSectno"/>
        </w:rPr>
        <w:t>15</w:t>
      </w:r>
      <w:r>
        <w:t>.</w:t>
      </w:r>
      <w:r>
        <w:tab/>
        <w:t>Caravan park or camping ground sites</w:t>
      </w:r>
      <w:bookmarkEnd w:id="144"/>
      <w:bookmarkEnd w:id="145"/>
    </w:p>
    <w:p>
      <w:pPr>
        <w:pStyle w:val="Subsection"/>
        <w:keepLines/>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Heading5"/>
        <w:keepNext w:val="0"/>
        <w:keepLines w:val="0"/>
      </w:pPr>
      <w:bookmarkStart w:id="146" w:name="_Toc257638584"/>
      <w:bookmarkStart w:id="147" w:name="_Toc257643311"/>
      <w:r>
        <w:rPr>
          <w:rStyle w:val="CharSectno"/>
        </w:rPr>
        <w:t>16</w:t>
      </w:r>
      <w:r>
        <w:t>.</w:t>
      </w:r>
      <w:r>
        <w:tab/>
        <w:t>Maintenance of birds in aviaries</w:t>
      </w:r>
      <w:bookmarkEnd w:id="146"/>
      <w:bookmarkEnd w:id="147"/>
    </w:p>
    <w:p>
      <w:pPr>
        <w:pStyle w:val="Subsection"/>
      </w:pPr>
      <w:r>
        <w:tab/>
      </w:r>
      <w:r>
        <w:tab/>
        <w:t>A person does not commit an offence under by</w:t>
      </w:r>
      <w:r>
        <w:noBreakHyphen/>
        <w:t>law 4 if the person waters a aviary to the minimum extent necessary to maintain the birds in that aviary.</w:t>
      </w:r>
    </w:p>
    <w:p>
      <w:pPr>
        <w:pStyle w:val="Heading5"/>
        <w:keepNext w:val="0"/>
        <w:keepLines w:val="0"/>
      </w:pPr>
      <w:bookmarkStart w:id="148" w:name="_Toc257638585"/>
      <w:bookmarkStart w:id="149" w:name="_Toc257643312"/>
      <w:r>
        <w:rPr>
          <w:rStyle w:val="CharSectno"/>
        </w:rPr>
        <w:t>17</w:t>
      </w:r>
      <w:r>
        <w:t>.</w:t>
      </w:r>
      <w:r>
        <w:tab/>
        <w:t>Fire fighting</w:t>
      </w:r>
      <w:bookmarkEnd w:id="148"/>
      <w:bookmarkEnd w:id="149"/>
    </w:p>
    <w:p>
      <w:pPr>
        <w:pStyle w:val="Subsection"/>
      </w:pPr>
      <w:r>
        <w:tab/>
      </w:r>
      <w:r>
        <w:tab/>
        <w:t>A person does not commit an offence under by</w:t>
      </w:r>
      <w:r>
        <w:noBreakHyphen/>
        <w:t>law 4 if the person uses water to the minimum extent necessary for fire fighting or training for fire fighting.</w:t>
      </w:r>
    </w:p>
    <w:p>
      <w:pPr>
        <w:pStyle w:val="Heading2"/>
      </w:pPr>
      <w:bookmarkStart w:id="150" w:name="_Toc257638586"/>
      <w:bookmarkStart w:id="151" w:name="_Toc257639307"/>
      <w:bookmarkStart w:id="152" w:name="_Toc257643313"/>
      <w:r>
        <w:rPr>
          <w:rStyle w:val="CharPartNo"/>
        </w:rPr>
        <w:t>Part 3</w:t>
      </w:r>
      <w:r>
        <w:t> — </w:t>
      </w:r>
      <w:r>
        <w:rPr>
          <w:rStyle w:val="CharPartText"/>
        </w:rPr>
        <w:t>Scheme water efficiency management plans</w:t>
      </w:r>
      <w:bookmarkEnd w:id="150"/>
      <w:bookmarkEnd w:id="151"/>
      <w:bookmarkEnd w:id="152"/>
    </w:p>
    <w:p>
      <w:pPr>
        <w:pStyle w:val="Heading3"/>
      </w:pPr>
      <w:bookmarkStart w:id="153" w:name="_Toc257638587"/>
      <w:bookmarkStart w:id="154" w:name="_Toc257639308"/>
      <w:bookmarkStart w:id="155" w:name="_Toc257643314"/>
      <w:r>
        <w:rPr>
          <w:rStyle w:val="CharDivNo"/>
        </w:rPr>
        <w:t>Division 1</w:t>
      </w:r>
      <w:r>
        <w:t> — </w:t>
      </w:r>
      <w:r>
        <w:rPr>
          <w:rStyle w:val="CharDivText"/>
        </w:rPr>
        <w:t>General</w:t>
      </w:r>
      <w:bookmarkEnd w:id="153"/>
      <w:bookmarkEnd w:id="154"/>
      <w:bookmarkEnd w:id="155"/>
    </w:p>
    <w:p>
      <w:pPr>
        <w:pStyle w:val="Heading5"/>
      </w:pPr>
      <w:bookmarkStart w:id="156" w:name="_Toc257638588"/>
      <w:bookmarkStart w:id="157" w:name="_Toc257643315"/>
      <w:r>
        <w:rPr>
          <w:rStyle w:val="CharSectno"/>
        </w:rPr>
        <w:t>18</w:t>
      </w:r>
      <w:r>
        <w:t>.</w:t>
      </w:r>
      <w:r>
        <w:tab/>
        <w:t>Terms used</w:t>
      </w:r>
      <w:bookmarkEnd w:id="156"/>
      <w:bookmarkEnd w:id="157"/>
    </w:p>
    <w:p>
      <w:pPr>
        <w:pStyle w:val="Subsection"/>
      </w:pPr>
      <w:r>
        <w:tab/>
      </w:r>
      <w:r>
        <w:tab/>
        <w:t xml:space="preserve">In this Part — </w:t>
      </w:r>
    </w:p>
    <w:p>
      <w:pPr>
        <w:pStyle w:val="Defstart"/>
      </w:pPr>
      <w:r>
        <w:tab/>
      </w:r>
      <w:r>
        <w:rPr>
          <w:rStyle w:val="CharDefText"/>
        </w:rPr>
        <w:t>approved</w:t>
      </w:r>
      <w:r>
        <w:t xml:space="preserve"> means approved by the scheme water supplier;</w:t>
      </w:r>
    </w:p>
    <w:p>
      <w:pPr>
        <w:pStyle w:val="Defstart"/>
      </w:pPr>
      <w:r>
        <w:tab/>
      </w:r>
      <w:r>
        <w:rPr>
          <w:rStyle w:val="CharDefText"/>
        </w:rPr>
        <w:t>consumption year</w:t>
      </w:r>
      <w:r>
        <w:t xml:space="preserve"> has the meaning given in the </w:t>
      </w:r>
      <w:r>
        <w:rPr>
          <w:i/>
        </w:rPr>
        <w:t>Water Agencies (Charges) By</w:t>
      </w:r>
      <w:r>
        <w:rPr>
          <w:i/>
        </w:rPr>
        <w:noBreakHyphen/>
        <w:t>laws 1987</w:t>
      </w:r>
      <w:r>
        <w:t xml:space="preserve"> by</w:t>
      </w:r>
      <w:r>
        <w:noBreakHyphen/>
        <w:t>law 2(1);</w:t>
      </w:r>
    </w:p>
    <w:p>
      <w:pPr>
        <w:pStyle w:val="Defstart"/>
      </w:pPr>
      <w:r>
        <w:tab/>
      </w:r>
      <w:r>
        <w:rPr>
          <w:rStyle w:val="CharDefText"/>
        </w:rPr>
        <w:t>non</w:t>
      </w:r>
      <w:r>
        <w:rPr>
          <w:rStyle w:val="CharDefText"/>
        </w:rPr>
        <w:noBreakHyphen/>
        <w:t>residential lot</w:t>
      </w:r>
      <w:r>
        <w:t xml:space="preserve"> means a lot as defined in section 41GA(5) of the Act, except a habitable lot as defined in that section;</w:t>
      </w:r>
    </w:p>
    <w:p>
      <w:pPr>
        <w:pStyle w:val="Defstart"/>
      </w:pPr>
      <w:r>
        <w:tab/>
      </w:r>
      <w:r>
        <w:rPr>
          <w:rStyle w:val="CharDefText"/>
        </w:rPr>
        <w:t>scheme water efficiency management plan</w:t>
      </w:r>
      <w:r>
        <w:t>, in relation to a non</w:t>
      </w:r>
      <w:r>
        <w:noBreakHyphen/>
        <w:t>residential lot, means a plan for ensuring that water supplied to the lot is used as efficiently as practicable, prepared in the approved form and containing —</w:t>
      </w:r>
    </w:p>
    <w:p>
      <w:pPr>
        <w:pStyle w:val="Indenta"/>
      </w:pPr>
      <w:r>
        <w:tab/>
        <w:t>(a)</w:t>
      </w:r>
      <w:r>
        <w:tab/>
        <w:t>the full name and address of each owner and occupier of the lot; and</w:t>
      </w:r>
    </w:p>
    <w:p>
      <w:pPr>
        <w:pStyle w:val="Indenta"/>
      </w:pPr>
      <w:r>
        <w:tab/>
        <w:t>(b)</w:t>
      </w:r>
      <w:r>
        <w:tab/>
        <w:t>a description of the nature of any business or other work being conducted on the lot; and</w:t>
      </w:r>
    </w:p>
    <w:p>
      <w:pPr>
        <w:pStyle w:val="Indenta"/>
      </w:pPr>
      <w:r>
        <w:tab/>
        <w:t>(c)</w:t>
      </w:r>
      <w:r>
        <w:tab/>
        <w:t>details of the measures comprising the plan, including proposed timeframes for implementing each of those measures; and</w:t>
      </w:r>
    </w:p>
    <w:p>
      <w:pPr>
        <w:pStyle w:val="Indenta"/>
      </w:pPr>
      <w:r>
        <w:tab/>
        <w:t>(d)</w:t>
      </w:r>
      <w:r>
        <w:tab/>
        <w:t>the estimated savings in water use under the plan; and</w:t>
      </w:r>
    </w:p>
    <w:p>
      <w:pPr>
        <w:pStyle w:val="Indenta"/>
      </w:pPr>
      <w:r>
        <w:tab/>
        <w:t>(e)</w:t>
      </w:r>
      <w:r>
        <w:tab/>
        <w:t>the substance of the most recent report under by</w:t>
      </w:r>
      <w:r>
        <w:noBreakHyphen/>
        <w:t>law 29 (if any) prepared in relation to the lot; and</w:t>
      </w:r>
    </w:p>
    <w:p>
      <w:pPr>
        <w:pStyle w:val="Indenta"/>
      </w:pPr>
      <w:r>
        <w:tab/>
        <w:t>(f)</w:t>
      </w:r>
      <w:r>
        <w:tab/>
        <w:t>such other information as the scheme water supplier reasonably requires, as specified in any notice under by</w:t>
      </w:r>
      <w:r>
        <w:noBreakHyphen/>
        <w:t>law 20(2), 21(2) or 27(1);</w:t>
      </w:r>
    </w:p>
    <w:p>
      <w:pPr>
        <w:pStyle w:val="Defstart"/>
      </w:pPr>
      <w:r>
        <w:tab/>
      </w:r>
      <w:r>
        <w:rPr>
          <w:rStyle w:val="CharDefText"/>
        </w:rPr>
        <w:t>water</w:t>
      </w:r>
      <w:r>
        <w:t xml:space="preserve"> means scheme water.</w:t>
      </w:r>
    </w:p>
    <w:p>
      <w:pPr>
        <w:pStyle w:val="Heading5"/>
      </w:pPr>
      <w:bookmarkStart w:id="158" w:name="_Toc257638589"/>
      <w:bookmarkStart w:id="159" w:name="_Toc257643316"/>
      <w:r>
        <w:rPr>
          <w:rStyle w:val="CharSectno"/>
        </w:rPr>
        <w:t>19</w:t>
      </w:r>
      <w:r>
        <w:t>.</w:t>
      </w:r>
      <w:r>
        <w:tab/>
        <w:t>Extensions of time</w:t>
      </w:r>
      <w:bookmarkEnd w:id="158"/>
      <w:bookmarkEnd w:id="159"/>
    </w:p>
    <w:p>
      <w:pPr>
        <w:pStyle w:val="Subsection"/>
      </w:pPr>
      <w:r>
        <w:tab/>
        <w:t>(1)</w:t>
      </w:r>
      <w:r>
        <w:tab/>
        <w:t xml:space="preserve">Where under this Part — </w:t>
      </w:r>
    </w:p>
    <w:p>
      <w:pPr>
        <w:pStyle w:val="Indenta"/>
      </w:pPr>
      <w:r>
        <w:tab/>
        <w:t>(a)</w:t>
      </w:r>
      <w:r>
        <w:tab/>
        <w:t>it is an offence for a person to fail to do something within a specified period; and</w:t>
      </w:r>
    </w:p>
    <w:p>
      <w:pPr>
        <w:pStyle w:val="Indenta"/>
      </w:pPr>
      <w:r>
        <w:tab/>
        <w:t>(b)</w:t>
      </w:r>
      <w:r>
        <w:tab/>
        <w:t>in a particular case it is not practicable for the person to do the thing within that period,</w:t>
      </w:r>
    </w:p>
    <w:p>
      <w:pPr>
        <w:pStyle w:val="Subsection"/>
      </w:pPr>
      <w:r>
        <w:tab/>
      </w:r>
      <w:r>
        <w:tab/>
        <w:t>the person may, before the end of the period, make a written application to the scheme water supplier to extend that period.</w:t>
      </w:r>
    </w:p>
    <w:p>
      <w:pPr>
        <w:pStyle w:val="Subsection"/>
      </w:pPr>
      <w:r>
        <w:tab/>
        <w:t>(2)</w:t>
      </w:r>
      <w:r>
        <w:tab/>
        <w:t>The scheme water supplier may, on an application under sub</w:t>
      </w:r>
      <w:r>
        <w:noBreakHyphen/>
        <w:t>bylaw (1) extend the period.</w:t>
      </w:r>
    </w:p>
    <w:p>
      <w:pPr>
        <w:pStyle w:val="Subsection"/>
      </w:pPr>
      <w:r>
        <w:tab/>
        <w:t>(3)</w:t>
      </w:r>
      <w:r>
        <w:tab/>
        <w:t>The person does not commit the offence if the person does the thing within the extended period.</w:t>
      </w:r>
    </w:p>
    <w:p>
      <w:pPr>
        <w:pStyle w:val="Heading3"/>
      </w:pPr>
      <w:bookmarkStart w:id="160" w:name="_Toc257638590"/>
      <w:bookmarkStart w:id="161" w:name="_Toc257639311"/>
      <w:bookmarkStart w:id="162" w:name="_Toc257643317"/>
      <w:r>
        <w:rPr>
          <w:rStyle w:val="CharDivNo"/>
        </w:rPr>
        <w:t>Division 2</w:t>
      </w:r>
      <w:r>
        <w:t> — </w:t>
      </w:r>
      <w:r>
        <w:rPr>
          <w:rStyle w:val="CharDivText"/>
        </w:rPr>
        <w:t>Preparation, submission and approval of scheme water efficiency management plans</w:t>
      </w:r>
      <w:bookmarkEnd w:id="160"/>
      <w:bookmarkEnd w:id="161"/>
      <w:bookmarkEnd w:id="162"/>
    </w:p>
    <w:p>
      <w:pPr>
        <w:pStyle w:val="Heading5"/>
      </w:pPr>
      <w:bookmarkStart w:id="163" w:name="_Toc257638591"/>
      <w:bookmarkStart w:id="164" w:name="_Toc257643318"/>
      <w:r>
        <w:rPr>
          <w:rStyle w:val="CharSectno"/>
        </w:rPr>
        <w:t>20</w:t>
      </w:r>
      <w:r>
        <w:t>.</w:t>
      </w:r>
      <w:r>
        <w:tab/>
        <w:t>Initial preparation and submission of scheme water efficiency management plan</w:t>
      </w:r>
      <w:bookmarkEnd w:id="163"/>
      <w:bookmarkEnd w:id="164"/>
    </w:p>
    <w:p>
      <w:pPr>
        <w:pStyle w:val="Subsection"/>
      </w:pPr>
      <w:r>
        <w:tab/>
        <w:t>(1)</w:t>
      </w:r>
      <w:r>
        <w:tab/>
        <w:t>This by</w:t>
      </w:r>
      <w:r>
        <w:noBreakHyphen/>
        <w:t>law applies to an owner or occupier of a non</w:t>
      </w:r>
      <w:r>
        <w:noBreakHyphen/>
        <w:t xml:space="preserve">residential lot in a particular consumption year unless — </w:t>
      </w:r>
    </w:p>
    <w:p>
      <w:pPr>
        <w:pStyle w:val="Indenta"/>
      </w:pPr>
      <w:r>
        <w:tab/>
        <w:t>(a)</w:t>
      </w:r>
      <w:r>
        <w:tab/>
        <w:t>the lot was supplied with less than 20 ML of water in the consumption year immediately before that year; or</w:t>
      </w:r>
    </w:p>
    <w:p>
      <w:pPr>
        <w:pStyle w:val="Indenta"/>
      </w:pPr>
      <w:r>
        <w:tab/>
        <w:t>(b)</w:t>
      </w:r>
      <w:r>
        <w:tab/>
        <w:t xml:space="preserve">the owner or occupier has submitted to the scheme water supplier a scheme water efficiency management plan, the approval of which — </w:t>
      </w:r>
    </w:p>
    <w:p>
      <w:pPr>
        <w:pStyle w:val="Indenti"/>
      </w:pPr>
      <w:r>
        <w:tab/>
        <w:t>(i)</w:t>
      </w:r>
      <w:r>
        <w:tab/>
        <w:t>is being considered under by</w:t>
      </w:r>
      <w:r>
        <w:noBreakHyphen/>
        <w:t>law 21; or</w:t>
      </w:r>
    </w:p>
    <w:p>
      <w:pPr>
        <w:pStyle w:val="Indenti"/>
      </w:pPr>
      <w:r>
        <w:tab/>
        <w:t>(ii)</w:t>
      </w:r>
      <w:r>
        <w:tab/>
        <w:t>has been given and remains in force under by</w:t>
      </w:r>
      <w:r>
        <w:noBreakHyphen/>
        <w:t>law 24.</w:t>
      </w:r>
    </w:p>
    <w:p>
      <w:pPr>
        <w:pStyle w:val="Subsection"/>
      </w:pPr>
      <w:r>
        <w:tab/>
        <w:t>(2)</w:t>
      </w:r>
      <w:r>
        <w:tab/>
        <w:t>The scheme water supplier may, by notice in writing, require the owner or occupier to prepare and submit for approval to the scheme water supplier a scheme water efficiency management plan.</w:t>
      </w:r>
    </w:p>
    <w:p>
      <w:pPr>
        <w:pStyle w:val="Subsection"/>
      </w:pPr>
      <w:r>
        <w:tab/>
        <w:t>(3)</w:t>
      </w:r>
      <w:r>
        <w:tab/>
        <w:t>A person who is served with a notice under sub</w:t>
      </w:r>
      <w:r>
        <w:noBreakHyphen/>
        <w:t>bylaw (2) must prepare the scheme water efficiency management plan and submit it for approval to the scheme water supplier within 90 days after the notice is served on the person.</w:t>
      </w:r>
    </w:p>
    <w:p>
      <w:pPr>
        <w:pStyle w:val="Penstart"/>
      </w:pPr>
      <w:r>
        <w:tab/>
        <w:t>Penalty: a fine of $2 000.</w:t>
      </w:r>
    </w:p>
    <w:p>
      <w:pPr>
        <w:pStyle w:val="Heading5"/>
      </w:pPr>
      <w:bookmarkStart w:id="165" w:name="_Toc257638592"/>
      <w:bookmarkStart w:id="166" w:name="_Toc257643319"/>
      <w:r>
        <w:rPr>
          <w:rStyle w:val="CharSectno"/>
        </w:rPr>
        <w:t>21</w:t>
      </w:r>
      <w:r>
        <w:t>.</w:t>
      </w:r>
      <w:r>
        <w:tab/>
        <w:t>Approvals, requests for further information and requests for amendments</w:t>
      </w:r>
      <w:bookmarkEnd w:id="165"/>
      <w:bookmarkEnd w:id="166"/>
    </w:p>
    <w:p>
      <w:pPr>
        <w:pStyle w:val="Subsection"/>
      </w:pPr>
      <w:r>
        <w:tab/>
        <w:t>(1)</w:t>
      </w:r>
      <w:r>
        <w:tab/>
        <w:t>This by</w:t>
      </w:r>
      <w:r>
        <w:noBreakHyphen/>
        <w:t>law applies when the scheme water supplier receives from a person —</w:t>
      </w:r>
    </w:p>
    <w:p>
      <w:pPr>
        <w:pStyle w:val="Indenta"/>
      </w:pPr>
      <w:r>
        <w:tab/>
        <w:t>(a)</w:t>
      </w:r>
      <w:r>
        <w:tab/>
        <w:t>a scheme water efficiency management plan prepared and submitted under sub</w:t>
      </w:r>
      <w:r>
        <w:noBreakHyphen/>
        <w:t>bylaw (4) or by</w:t>
      </w:r>
      <w:r>
        <w:noBreakHyphen/>
        <w:t>law 20(3), 22, 26 or 27(3); or</w:t>
      </w:r>
    </w:p>
    <w:p>
      <w:pPr>
        <w:pStyle w:val="Indenta"/>
      </w:pPr>
      <w:r>
        <w:tab/>
        <w:t>(b)</w:t>
      </w:r>
      <w:r>
        <w:tab/>
        <w:t>further information provided under sub</w:t>
      </w:r>
      <w:r>
        <w:noBreakHyphen/>
        <w:t>bylaw (3).</w:t>
      </w:r>
    </w:p>
    <w:p>
      <w:pPr>
        <w:pStyle w:val="Subsection"/>
      </w:pPr>
      <w:r>
        <w:tab/>
        <w:t>(2)</w:t>
      </w:r>
      <w:r>
        <w:tab/>
        <w:t xml:space="preserve">The scheme water supplier must, by notice in writing served on the person within 60 days after the plan is received by the scheme water supplier — </w:t>
      </w:r>
    </w:p>
    <w:p>
      <w:pPr>
        <w:pStyle w:val="Indenta"/>
      </w:pPr>
      <w:r>
        <w:tab/>
        <w:t>(a)</w:t>
      </w:r>
      <w:r>
        <w:tab/>
        <w:t>approve the plan in the form most recently submitted; or</w:t>
      </w:r>
    </w:p>
    <w:p>
      <w:pPr>
        <w:pStyle w:val="Indenta"/>
      </w:pPr>
      <w:r>
        <w:tab/>
        <w:t>(b)</w:t>
      </w:r>
      <w:r>
        <w:tab/>
        <w:t>request further information from the person relating to the plan, including the person’s comments on any specific amendments to the plan the scheme water supplier considers might be necessary; or</w:t>
      </w:r>
    </w:p>
    <w:p>
      <w:pPr>
        <w:pStyle w:val="Indenta"/>
      </w:pPr>
      <w:r>
        <w:tab/>
        <w:t>(c)</w:t>
      </w:r>
      <w:r>
        <w:tab/>
        <w:t>request an amended scheme water efficiency management plan in accordance with any instructions specified in the notice; or</w:t>
      </w:r>
    </w:p>
    <w:p>
      <w:pPr>
        <w:pStyle w:val="Indenta"/>
      </w:pPr>
      <w:r>
        <w:tab/>
        <w:t>(d)</w:t>
      </w:r>
      <w:r>
        <w:tab/>
        <w:t>if, while the scheme water supplier is considering the plan, a subsequent revised scheme water efficiency management plan is submitted to the scheme water supplier under by</w:t>
      </w:r>
      <w:r>
        <w:noBreakHyphen/>
        <w:t>law 22, do anything referred to in paragraph (a), (b) or (c) in relation to the revised plan.</w:t>
      </w:r>
    </w:p>
    <w:p>
      <w:pPr>
        <w:pStyle w:val="Subsection"/>
      </w:pPr>
      <w:r>
        <w:tab/>
        <w:t>(3)</w:t>
      </w:r>
      <w:r>
        <w:tab/>
        <w:t>A person who is served with a notice under sub</w:t>
      </w:r>
      <w:r>
        <w:noBreakHyphen/>
        <w:t>bylaw (2)(b) must provide the further information within 30 days after the notice is served on the person.</w:t>
      </w:r>
    </w:p>
    <w:p>
      <w:pPr>
        <w:pStyle w:val="Penstart"/>
      </w:pPr>
      <w:r>
        <w:tab/>
        <w:t>Penalty: a fine of $2 000.</w:t>
      </w:r>
    </w:p>
    <w:p>
      <w:pPr>
        <w:pStyle w:val="Subsection"/>
      </w:pPr>
      <w:r>
        <w:tab/>
        <w:t>(4)</w:t>
      </w:r>
      <w:r>
        <w:tab/>
        <w:t>A person who is served with a notice under sub</w:t>
      </w:r>
      <w:r>
        <w:noBreakHyphen/>
        <w:t>bylaw (2)(c) must prepare the amended scheme water efficiency management plan and submit it for approval to the scheme water supplier within 60 days after the notice is served on the person.</w:t>
      </w:r>
    </w:p>
    <w:p>
      <w:pPr>
        <w:pStyle w:val="Penstart"/>
      </w:pPr>
      <w:r>
        <w:tab/>
        <w:t>Penalty: a fine of $2 000.</w:t>
      </w:r>
    </w:p>
    <w:p>
      <w:pPr>
        <w:pStyle w:val="Heading5"/>
      </w:pPr>
      <w:bookmarkStart w:id="167" w:name="_Toc257638593"/>
      <w:bookmarkStart w:id="168" w:name="_Toc257643320"/>
      <w:r>
        <w:rPr>
          <w:rStyle w:val="CharSectno"/>
        </w:rPr>
        <w:t>22</w:t>
      </w:r>
      <w:r>
        <w:t>.</w:t>
      </w:r>
      <w:r>
        <w:tab/>
        <w:t>Persons may submit revised plans for approval at any time</w:t>
      </w:r>
      <w:bookmarkEnd w:id="167"/>
      <w:bookmarkEnd w:id="168"/>
    </w:p>
    <w:p>
      <w:pPr>
        <w:pStyle w:val="Subsection"/>
      </w:pPr>
      <w:r>
        <w:tab/>
      </w:r>
      <w:r>
        <w:tab/>
        <w:t>A person who has submitted a scheme water efficiency management plan for approval to the scheme water supplier under this Part may, at any time after that submission (whether or not the plan has been approved), prepare a revised scheme water efficiency management plan and submit it for approval to the scheme water supplier.</w:t>
      </w:r>
    </w:p>
    <w:p>
      <w:pPr>
        <w:pStyle w:val="Heading3"/>
      </w:pPr>
      <w:bookmarkStart w:id="169" w:name="_Toc257638594"/>
      <w:bookmarkStart w:id="170" w:name="_Toc257639315"/>
      <w:bookmarkStart w:id="171" w:name="_Toc257643321"/>
      <w:r>
        <w:rPr>
          <w:rStyle w:val="CharDivNo"/>
        </w:rPr>
        <w:t>Division 3</w:t>
      </w:r>
      <w:r>
        <w:t> — </w:t>
      </w:r>
      <w:r>
        <w:rPr>
          <w:rStyle w:val="CharDivText"/>
        </w:rPr>
        <w:t>After approval of scheme water efficiency management plans</w:t>
      </w:r>
      <w:bookmarkEnd w:id="169"/>
      <w:bookmarkEnd w:id="170"/>
      <w:bookmarkEnd w:id="171"/>
    </w:p>
    <w:p>
      <w:pPr>
        <w:pStyle w:val="Heading5"/>
      </w:pPr>
      <w:bookmarkStart w:id="172" w:name="_Toc257638595"/>
      <w:bookmarkStart w:id="173" w:name="_Toc257643322"/>
      <w:r>
        <w:rPr>
          <w:rStyle w:val="CharSectno"/>
        </w:rPr>
        <w:t>23</w:t>
      </w:r>
      <w:r>
        <w:t>.</w:t>
      </w:r>
      <w:r>
        <w:tab/>
        <w:t>Application</w:t>
      </w:r>
      <w:bookmarkEnd w:id="172"/>
      <w:bookmarkEnd w:id="173"/>
    </w:p>
    <w:p>
      <w:pPr>
        <w:pStyle w:val="Subsection"/>
      </w:pPr>
      <w:r>
        <w:tab/>
      </w:r>
      <w:r>
        <w:tab/>
        <w:t>This Division applies where a person has submitted a scheme water efficiency management plan under by</w:t>
      </w:r>
      <w:r>
        <w:noBreakHyphen/>
        <w:t>law 20(3), 21(4), 22, 26 or 27(3) and the plan has been approved.</w:t>
      </w:r>
    </w:p>
    <w:p>
      <w:pPr>
        <w:pStyle w:val="Heading5"/>
      </w:pPr>
      <w:bookmarkStart w:id="174" w:name="_Toc257638596"/>
      <w:bookmarkStart w:id="175" w:name="_Toc257643323"/>
      <w:r>
        <w:rPr>
          <w:rStyle w:val="CharSectno"/>
        </w:rPr>
        <w:t>24</w:t>
      </w:r>
      <w:r>
        <w:t>.</w:t>
      </w:r>
      <w:r>
        <w:tab/>
        <w:t>Period of approval of scheme water efficiency management plan</w:t>
      </w:r>
      <w:bookmarkEnd w:id="174"/>
      <w:bookmarkEnd w:id="175"/>
    </w:p>
    <w:p>
      <w:pPr>
        <w:pStyle w:val="Subsection"/>
      </w:pPr>
      <w:r>
        <w:tab/>
      </w:r>
      <w:r>
        <w:tab/>
        <w:t>The approval remains in force on and from the day the approval was given until —</w:t>
      </w:r>
    </w:p>
    <w:p>
      <w:pPr>
        <w:pStyle w:val="Indenta"/>
      </w:pPr>
      <w:r>
        <w:tab/>
        <w:t>(a)</w:t>
      </w:r>
      <w:r>
        <w:tab/>
        <w:t>the person ceases to be an owner or occupier of the lot; or</w:t>
      </w:r>
    </w:p>
    <w:p>
      <w:pPr>
        <w:pStyle w:val="Indenta"/>
      </w:pPr>
      <w:r>
        <w:tab/>
        <w:t>(b)</w:t>
      </w:r>
      <w:r>
        <w:tab/>
        <w:t>the approval is revoked under by</w:t>
      </w:r>
      <w:r>
        <w:noBreakHyphen/>
        <w:t>law 28; or</w:t>
      </w:r>
    </w:p>
    <w:p>
      <w:pPr>
        <w:pStyle w:val="Indenta"/>
      </w:pPr>
      <w:r>
        <w:tab/>
        <w:t>(c)</w:t>
      </w:r>
      <w:r>
        <w:tab/>
        <w:t>a revised scheme water efficiency management plan is submitted by the person under by</w:t>
      </w:r>
      <w:r>
        <w:noBreakHyphen/>
        <w:t>law 22, 26 or 27(3) and is approved; or</w:t>
      </w:r>
    </w:p>
    <w:p>
      <w:pPr>
        <w:pStyle w:val="Indenta"/>
      </w:pPr>
      <w:r>
        <w:tab/>
        <w:t>(d)</w:t>
      </w:r>
      <w:r>
        <w:tab/>
        <w:t>a period of 5 years expires,</w:t>
      </w:r>
    </w:p>
    <w:p>
      <w:pPr>
        <w:pStyle w:val="Subsection"/>
      </w:pPr>
      <w:r>
        <w:tab/>
      </w:r>
      <w:r>
        <w:tab/>
        <w:t>whichever occurs first.</w:t>
      </w:r>
    </w:p>
    <w:p>
      <w:pPr>
        <w:pStyle w:val="Heading5"/>
      </w:pPr>
      <w:bookmarkStart w:id="176" w:name="_Toc257638597"/>
      <w:bookmarkStart w:id="177" w:name="_Toc257643324"/>
      <w:r>
        <w:rPr>
          <w:rStyle w:val="CharSectno"/>
        </w:rPr>
        <w:t>25</w:t>
      </w:r>
      <w:r>
        <w:t>.</w:t>
      </w:r>
      <w:r>
        <w:tab/>
        <w:t>Compliance with scheme water efficiency management plans</w:t>
      </w:r>
      <w:bookmarkEnd w:id="176"/>
      <w:bookmarkEnd w:id="177"/>
    </w:p>
    <w:p>
      <w:pPr>
        <w:pStyle w:val="Subsection"/>
      </w:pPr>
      <w:r>
        <w:tab/>
        <w:t>(1)</w:t>
      </w:r>
      <w:r>
        <w:tab/>
        <w:t>The person must comply with the scheme water efficiency management plan during the period that the approval remains in force under by</w:t>
      </w:r>
      <w:r>
        <w:noBreakHyphen/>
        <w:t>law 24.</w:t>
      </w:r>
    </w:p>
    <w:p>
      <w:pPr>
        <w:pStyle w:val="Penstart"/>
      </w:pPr>
      <w:r>
        <w:tab/>
        <w:t>Penalty: a fine of $2 000.</w:t>
      </w:r>
    </w:p>
    <w:p>
      <w:pPr>
        <w:pStyle w:val="Subsection"/>
      </w:pPr>
      <w:r>
        <w:tab/>
        <w:t>(2)</w:t>
      </w:r>
      <w:r>
        <w:tab/>
        <w:t>If the scheme water supplier reasonably suspects that the person has not complied, or is not complying, with the plan during the period that the approval remains in force under by</w:t>
      </w:r>
      <w:r>
        <w:noBreakHyphen/>
        <w:t>law 24, the scheme water supplier may, by notice in writing, require the person to provide a written report on the person’s implementation of the plan.</w:t>
      </w:r>
    </w:p>
    <w:p>
      <w:pPr>
        <w:pStyle w:val="Subsection"/>
      </w:pPr>
      <w:r>
        <w:tab/>
        <w:t>(3)</w:t>
      </w:r>
      <w:r>
        <w:tab/>
        <w:t>A person who is served with a notice under sub</w:t>
      </w:r>
      <w:r>
        <w:noBreakHyphen/>
        <w:t>bylaw (2) must prepare the report in an approved form and submit it to the scheme water supplier within 30 days after the notice is served on the person.</w:t>
      </w:r>
    </w:p>
    <w:p>
      <w:pPr>
        <w:pStyle w:val="Penstart"/>
      </w:pPr>
      <w:r>
        <w:tab/>
        <w:t>Penalty: a fine of $2 000.</w:t>
      </w:r>
    </w:p>
    <w:p>
      <w:pPr>
        <w:pStyle w:val="Heading5"/>
      </w:pPr>
      <w:bookmarkStart w:id="178" w:name="_Toc257638598"/>
      <w:bookmarkStart w:id="179" w:name="_Toc257643325"/>
      <w:r>
        <w:rPr>
          <w:rStyle w:val="CharSectno"/>
        </w:rPr>
        <w:t>26</w:t>
      </w:r>
      <w:r>
        <w:t>.</w:t>
      </w:r>
      <w:r>
        <w:tab/>
        <w:t>Persons to submit revised scheme water efficiency management plans before end of approval period</w:t>
      </w:r>
      <w:bookmarkEnd w:id="178"/>
      <w:bookmarkEnd w:id="179"/>
    </w:p>
    <w:p>
      <w:pPr>
        <w:pStyle w:val="Subsection"/>
      </w:pPr>
      <w:r>
        <w:tab/>
        <w:t>(1)</w:t>
      </w:r>
      <w:r>
        <w:tab/>
        <w:t>Except as provided in sub</w:t>
      </w:r>
      <w:r>
        <w:noBreakHyphen/>
        <w:t>bylaw (2), the person must, at least 90 days before the end of the period that the approval remains in force under by</w:t>
      </w:r>
      <w:r>
        <w:noBreakHyphen/>
        <w:t>law 24, prepare and submit for approval to the scheme water supplier a revised scheme water efficiency management plan.</w:t>
      </w:r>
    </w:p>
    <w:p>
      <w:pPr>
        <w:pStyle w:val="Penstart"/>
      </w:pPr>
      <w:r>
        <w:tab/>
        <w:t>Penalty: a fine of $2 000.</w:t>
      </w:r>
    </w:p>
    <w:p>
      <w:pPr>
        <w:pStyle w:val="Subsection"/>
      </w:pPr>
      <w:r>
        <w:tab/>
        <w:t>(2)</w:t>
      </w:r>
      <w:r>
        <w:tab/>
        <w:t>Sub</w:t>
      </w:r>
      <w:r>
        <w:noBreakHyphen/>
        <w:t xml:space="preserve">bylaw (1) does not apply to the person if — </w:t>
      </w:r>
    </w:p>
    <w:p>
      <w:pPr>
        <w:pStyle w:val="Indenta"/>
      </w:pPr>
      <w:r>
        <w:tab/>
        <w:t>(a)</w:t>
      </w:r>
      <w:r>
        <w:tab/>
        <w:t>the lot was supplied with less than 20 ML of water in the consumption year immediately before the consumption year in which the approval is due to expire; and</w:t>
      </w:r>
    </w:p>
    <w:p>
      <w:pPr>
        <w:pStyle w:val="Indenta"/>
      </w:pPr>
      <w:r>
        <w:tab/>
        <w:t>(b)</w:t>
      </w:r>
      <w:r>
        <w:tab/>
        <w:t xml:space="preserve">the person has submitted to the scheme water supplier a written notice in an approved form — </w:t>
      </w:r>
    </w:p>
    <w:p>
      <w:pPr>
        <w:pStyle w:val="Indenti"/>
      </w:pPr>
      <w:r>
        <w:tab/>
        <w:t>(i)</w:t>
      </w:r>
      <w:r>
        <w:tab/>
        <w:t>confirming the circumstances in paragraph (a); and</w:t>
      </w:r>
    </w:p>
    <w:p>
      <w:pPr>
        <w:pStyle w:val="Indenti"/>
      </w:pPr>
      <w:r>
        <w:tab/>
        <w:t>(ii)</w:t>
      </w:r>
      <w:r>
        <w:tab/>
        <w:t>stating that the person does not intend to use 20 ML or more of water in the consumption year in which the approval is due to expire.</w:t>
      </w:r>
    </w:p>
    <w:p>
      <w:pPr>
        <w:pStyle w:val="Heading5"/>
      </w:pPr>
      <w:bookmarkStart w:id="180" w:name="_Toc257638599"/>
      <w:bookmarkStart w:id="181" w:name="_Toc257643326"/>
      <w:r>
        <w:rPr>
          <w:rStyle w:val="CharSectno"/>
        </w:rPr>
        <w:t>27</w:t>
      </w:r>
      <w:r>
        <w:t>.</w:t>
      </w:r>
      <w:r>
        <w:tab/>
        <w:t>Scheme water supplier may require revised scheme water efficiency management plans</w:t>
      </w:r>
      <w:bookmarkEnd w:id="180"/>
      <w:bookmarkEnd w:id="181"/>
    </w:p>
    <w:p>
      <w:pPr>
        <w:pStyle w:val="Subsection"/>
      </w:pPr>
      <w:r>
        <w:tab/>
        <w:t>(1)</w:t>
      </w:r>
      <w:r>
        <w:tab/>
        <w:t>In addition to by</w:t>
      </w:r>
      <w:r>
        <w:noBreakHyphen/>
        <w:t>law 26, the scheme water supplier may, by notice in writing at any time during the period that the approval remains in force under by</w:t>
      </w:r>
      <w:r>
        <w:noBreakHyphen/>
        <w:t xml:space="preserve">law 24, require the person to prepare and submit for approval to the scheme water supplier a revised scheme water efficiency management plan if — </w:t>
      </w:r>
    </w:p>
    <w:p>
      <w:pPr>
        <w:pStyle w:val="Indenta"/>
      </w:pPr>
      <w:r>
        <w:tab/>
        <w:t>(a)</w:t>
      </w:r>
      <w:r>
        <w:tab/>
        <w:t xml:space="preserve">there has been a significant change in — </w:t>
      </w:r>
    </w:p>
    <w:p>
      <w:pPr>
        <w:pStyle w:val="Indenti"/>
      </w:pPr>
      <w:r>
        <w:tab/>
        <w:t>(i)</w:t>
      </w:r>
      <w:r>
        <w:tab/>
        <w:t>the use of water supplied to the lot; or</w:t>
      </w:r>
    </w:p>
    <w:p>
      <w:pPr>
        <w:pStyle w:val="Indenti"/>
      </w:pPr>
      <w:r>
        <w:tab/>
        <w:t>(ii)</w:t>
      </w:r>
      <w:r>
        <w:tab/>
        <w:t>the quantity of water available for supply to the lot,</w:t>
      </w:r>
    </w:p>
    <w:p>
      <w:pPr>
        <w:pStyle w:val="Indenta"/>
      </w:pPr>
      <w:r>
        <w:tab/>
      </w:r>
      <w:r>
        <w:tab/>
        <w:t>since the approval was given; or</w:t>
      </w:r>
    </w:p>
    <w:p>
      <w:pPr>
        <w:pStyle w:val="Indenta"/>
      </w:pPr>
      <w:r>
        <w:tab/>
        <w:t>(b)</w:t>
      </w:r>
      <w:r>
        <w:tab/>
        <w:t>otherwise where the scheme water supplier thinks it is necessary on the basis of a report under by</w:t>
      </w:r>
      <w:r>
        <w:noBreakHyphen/>
        <w:t>law 29.</w:t>
      </w:r>
    </w:p>
    <w:p>
      <w:pPr>
        <w:pStyle w:val="Subsection"/>
      </w:pPr>
      <w:r>
        <w:tab/>
        <w:t>(2)</w:t>
      </w:r>
      <w:r>
        <w:tab/>
        <w:t>The notice may specify measures to be included in the revised plan, including timeframes for implementing each of those measures.</w:t>
      </w:r>
    </w:p>
    <w:p>
      <w:pPr>
        <w:pStyle w:val="Subsection"/>
      </w:pPr>
      <w:r>
        <w:tab/>
        <w:t>(3)</w:t>
      </w:r>
      <w:r>
        <w:tab/>
        <w:t>A person who is served with a notice under sub</w:t>
      </w:r>
      <w:r>
        <w:noBreakHyphen/>
        <w:t>bylaw (1) must prepare the revised plan and submit it for approval to the scheme water supplier within 60 days after the notice is served on the person.</w:t>
      </w:r>
    </w:p>
    <w:p>
      <w:pPr>
        <w:pStyle w:val="Penstart"/>
      </w:pPr>
      <w:r>
        <w:tab/>
        <w:t>Penalty: a fine of $2 000.</w:t>
      </w:r>
    </w:p>
    <w:p>
      <w:pPr>
        <w:pStyle w:val="Heading5"/>
      </w:pPr>
      <w:bookmarkStart w:id="182" w:name="_Toc257638600"/>
      <w:bookmarkStart w:id="183" w:name="_Toc257643327"/>
      <w:r>
        <w:rPr>
          <w:rStyle w:val="CharSectno"/>
        </w:rPr>
        <w:t>28</w:t>
      </w:r>
      <w:r>
        <w:t>.</w:t>
      </w:r>
      <w:r>
        <w:tab/>
        <w:t>Scheme water supplier may revoke approval of scheme water efficiency management plan</w:t>
      </w:r>
      <w:bookmarkEnd w:id="182"/>
      <w:bookmarkEnd w:id="183"/>
    </w:p>
    <w:p>
      <w:pPr>
        <w:pStyle w:val="Subsection"/>
      </w:pPr>
      <w:r>
        <w:tab/>
        <w:t>(1)</w:t>
      </w:r>
      <w:r>
        <w:tab/>
        <w:t>The person may, in an approved form, make an application for the scheme water supplier to revoke the scheme water supplier’s approval of the scheme water efficiency management plan.</w:t>
      </w:r>
    </w:p>
    <w:p>
      <w:pPr>
        <w:pStyle w:val="Subsection"/>
      </w:pPr>
      <w:r>
        <w:tab/>
        <w:t>(2)</w:t>
      </w:r>
      <w:r>
        <w:tab/>
        <w:t>On an application under sub</w:t>
      </w:r>
      <w:r>
        <w:noBreakHyphen/>
        <w:t xml:space="preserve">bylaw (1) the scheme water supplier may revoke its approval if the scheme water supplier is satisfied that — </w:t>
      </w:r>
    </w:p>
    <w:p>
      <w:pPr>
        <w:pStyle w:val="Indenta"/>
      </w:pPr>
      <w:r>
        <w:tab/>
        <w:t>(a)</w:t>
      </w:r>
      <w:r>
        <w:tab/>
        <w:t>the lot was supplied with less than 20 ML of water in the consumption year immediately before the consumption year in which the application was made; and</w:t>
      </w:r>
    </w:p>
    <w:p>
      <w:pPr>
        <w:pStyle w:val="Indenta"/>
      </w:pPr>
      <w:r>
        <w:tab/>
        <w:t>(b)</w:t>
      </w:r>
      <w:r>
        <w:tab/>
        <w:t>the person does not intend to use 20 ML or more of water in the consumption year in which the application was made.</w:t>
      </w:r>
    </w:p>
    <w:p>
      <w:pPr>
        <w:pStyle w:val="Heading5"/>
      </w:pPr>
      <w:bookmarkStart w:id="184" w:name="_Toc257638601"/>
      <w:bookmarkStart w:id="185" w:name="_Toc257643328"/>
      <w:r>
        <w:rPr>
          <w:rStyle w:val="CharSectno"/>
        </w:rPr>
        <w:t>29</w:t>
      </w:r>
      <w:r>
        <w:t>.</w:t>
      </w:r>
      <w:r>
        <w:tab/>
        <w:t>Annual reports on scheme water efficiency management plans</w:t>
      </w:r>
      <w:bookmarkEnd w:id="184"/>
      <w:bookmarkEnd w:id="185"/>
    </w:p>
    <w:p>
      <w:pPr>
        <w:pStyle w:val="Subsection"/>
      </w:pPr>
      <w:r>
        <w:tab/>
        <w:t>(1)</w:t>
      </w:r>
      <w:r>
        <w:tab/>
        <w:t>During the period that the approval remains in force under by</w:t>
      </w:r>
      <w:r>
        <w:noBreakHyphen/>
        <w:t>law 24 the person must, within 30 days after each anniversary of the approval, prepare and submit to the scheme water supplier a report on the efficacy of the scheme water efficiency management plan.</w:t>
      </w:r>
    </w:p>
    <w:p>
      <w:pPr>
        <w:pStyle w:val="Penstart"/>
      </w:pPr>
      <w:r>
        <w:tab/>
        <w:t>Penalty: a fine of $2 000.</w:t>
      </w:r>
    </w:p>
    <w:p>
      <w:pPr>
        <w:pStyle w:val="Subsection"/>
      </w:pPr>
      <w:r>
        <w:tab/>
        <w:t>(2)</w:t>
      </w:r>
      <w:r>
        <w:tab/>
        <w:t xml:space="preserve">The report must be in an approved form and must — </w:t>
      </w:r>
    </w:p>
    <w:p>
      <w:pPr>
        <w:pStyle w:val="Indenta"/>
      </w:pPr>
      <w:r>
        <w:tab/>
        <w:t>(a)</w:t>
      </w:r>
      <w:r>
        <w:tab/>
        <w:t>compare the use of water supplied to the property during the period to which the report relates against the estimated savings in water use under the plan for that period; and</w:t>
      </w:r>
    </w:p>
    <w:p>
      <w:pPr>
        <w:pStyle w:val="Indenta"/>
      </w:pPr>
      <w:r>
        <w:tab/>
        <w:t>(b)</w:t>
      </w:r>
      <w:r>
        <w:tab/>
        <w:t xml:space="preserve">contain such other information relating to the efficacy of the plan as the scheme water supplier reasonably requires, as specified in — </w:t>
      </w:r>
    </w:p>
    <w:p>
      <w:pPr>
        <w:pStyle w:val="Indenti"/>
      </w:pPr>
      <w:r>
        <w:tab/>
        <w:t>(i)</w:t>
      </w:r>
      <w:r>
        <w:tab/>
        <w:t>any notice under by</w:t>
      </w:r>
      <w:r>
        <w:noBreakHyphen/>
        <w:t>law 20(2), 21(2) or 27(1); or</w:t>
      </w:r>
    </w:p>
    <w:p>
      <w:pPr>
        <w:pStyle w:val="Indenti"/>
      </w:pPr>
      <w:r>
        <w:tab/>
        <w:t>(ii)</w:t>
      </w:r>
      <w:r>
        <w:tab/>
        <w:t>any other written notice served on the person for the purposes of this paragraph.</w:t>
      </w:r>
    </w:p>
    <w:p>
      <w:pPr>
        <w:pStyle w:val="Subsection"/>
      </w:pPr>
      <w:r>
        <w:tab/>
        <w:t>(3)</w:t>
      </w:r>
      <w:r>
        <w:tab/>
        <w:t>The scheme water supplier may, by notice in writing served on the person within 90 days after the report is received by the scheme water supplier, request such further information from the person relating to the efficacy of the plan as the scheme water supplier reasonably requires.</w:t>
      </w:r>
    </w:p>
    <w:p>
      <w:pPr>
        <w:pStyle w:val="Subsection"/>
      </w:pPr>
      <w:r>
        <w:tab/>
        <w:t>(4)</w:t>
      </w:r>
      <w:r>
        <w:tab/>
        <w:t>A person who is served with a notice under sub</w:t>
      </w:r>
      <w:r>
        <w:noBreakHyphen/>
        <w:t>bylaw (3) must provide the information in an approved form and submit it to the scheme water supplier within 30 days after the notice is served on the person.</w:t>
      </w:r>
    </w:p>
    <w:p>
      <w:pPr>
        <w:pStyle w:val="Penstart"/>
      </w:pPr>
      <w:r>
        <w:tab/>
        <w:t>Penalty: a fine of $2 000.</w:t>
      </w:r>
    </w:p>
    <w:p>
      <w:pPr>
        <w:pStyle w:val="Heading2"/>
      </w:pPr>
      <w:bookmarkStart w:id="186" w:name="_Toc257638602"/>
      <w:bookmarkStart w:id="187" w:name="_Toc257639323"/>
      <w:bookmarkStart w:id="188" w:name="_Toc257643329"/>
      <w:r>
        <w:rPr>
          <w:rStyle w:val="CharPartNo"/>
        </w:rPr>
        <w:t>Part 4</w:t>
      </w:r>
      <w:r>
        <w:rPr>
          <w:rStyle w:val="CharDivNo"/>
        </w:rPr>
        <w:t> </w:t>
      </w:r>
      <w:r>
        <w:t>—</w:t>
      </w:r>
      <w:r>
        <w:rPr>
          <w:rStyle w:val="CharDivText"/>
        </w:rPr>
        <w:t> </w:t>
      </w:r>
      <w:r>
        <w:rPr>
          <w:rStyle w:val="CharPartText"/>
        </w:rPr>
        <w:t>Repeal, saving and transitional</w:t>
      </w:r>
      <w:bookmarkEnd w:id="186"/>
      <w:bookmarkEnd w:id="187"/>
      <w:bookmarkEnd w:id="188"/>
    </w:p>
    <w:p>
      <w:pPr>
        <w:pStyle w:val="Heading5"/>
      </w:pPr>
      <w:bookmarkStart w:id="189" w:name="_Toc257638603"/>
      <w:bookmarkStart w:id="190" w:name="_Toc257643330"/>
      <w:r>
        <w:rPr>
          <w:rStyle w:val="CharSectno"/>
        </w:rPr>
        <w:t>30</w:t>
      </w:r>
      <w:r>
        <w:t>.</w:t>
      </w:r>
      <w:r>
        <w:tab/>
        <w:t>Repeal</w:t>
      </w:r>
      <w:bookmarkEnd w:id="189"/>
      <w:bookmarkEnd w:id="190"/>
    </w:p>
    <w:p>
      <w:pPr>
        <w:pStyle w:val="Subsection"/>
      </w:pPr>
      <w:r>
        <w:tab/>
      </w:r>
      <w:r>
        <w:tab/>
        <w:t xml:space="preserve">The </w:t>
      </w:r>
      <w:r>
        <w:rPr>
          <w:i/>
        </w:rPr>
        <w:t>Water Agencies (Water Use) By</w:t>
      </w:r>
      <w:r>
        <w:rPr>
          <w:i/>
        </w:rPr>
        <w:noBreakHyphen/>
        <w:t>laws 2007</w:t>
      </w:r>
      <w:r>
        <w:t xml:space="preserve"> are repealed.</w:t>
      </w:r>
    </w:p>
    <w:p>
      <w:pPr>
        <w:pStyle w:val="Heading5"/>
      </w:pPr>
      <w:bookmarkStart w:id="191" w:name="_Toc257638604"/>
      <w:bookmarkStart w:id="192" w:name="_Toc257643331"/>
      <w:r>
        <w:rPr>
          <w:rStyle w:val="CharSectno"/>
        </w:rPr>
        <w:t>31</w:t>
      </w:r>
      <w:r>
        <w:t>.</w:t>
      </w:r>
      <w:r>
        <w:tab/>
      </w:r>
      <w:r>
        <w:rPr>
          <w:rStyle w:val="CharSDivText"/>
        </w:rPr>
        <w:t xml:space="preserve">Saving and transitional provisions for the </w:t>
      </w:r>
      <w:r>
        <w:rPr>
          <w:rStyle w:val="CharSDivText"/>
          <w:i/>
        </w:rPr>
        <w:t>Water Agencies (Water Use) By</w:t>
      </w:r>
      <w:r>
        <w:rPr>
          <w:rStyle w:val="CharSDivText"/>
          <w:i/>
        </w:rPr>
        <w:noBreakHyphen/>
        <w:t>laws 2007</w:t>
      </w:r>
      <w:bookmarkEnd w:id="191"/>
      <w:bookmarkEnd w:id="192"/>
    </w:p>
    <w:p>
      <w:pPr>
        <w:pStyle w:val="Subsection"/>
      </w:pPr>
      <w:r>
        <w:tab/>
        <w:t>(1)</w:t>
      </w:r>
      <w:r>
        <w:tab/>
        <w:t>In this by</w:t>
      </w:r>
      <w:r>
        <w:noBreakHyphen/>
        <w:t>law —</w:t>
      </w:r>
    </w:p>
    <w:p>
      <w:pPr>
        <w:pStyle w:val="Defstart"/>
      </w:pPr>
      <w:r>
        <w:tab/>
      </w:r>
      <w:r>
        <w:rPr>
          <w:rStyle w:val="CharDefText"/>
        </w:rPr>
        <w:t>commencement day</w:t>
      </w:r>
      <w:r>
        <w:t xml:space="preserve"> means the day on which these by</w:t>
      </w:r>
      <w:r>
        <w:noBreakHyphen/>
        <w:t>laws, other than by</w:t>
      </w:r>
      <w:r>
        <w:noBreakHyphen/>
        <w:t>laws 1 and 2, come into operation;</w:t>
      </w:r>
    </w:p>
    <w:p>
      <w:pPr>
        <w:pStyle w:val="Defstart"/>
      </w:pPr>
      <w:r>
        <w:tab/>
      </w:r>
      <w:r>
        <w:rPr>
          <w:rStyle w:val="CharDefText"/>
        </w:rPr>
        <w:t>former plan</w:t>
      </w:r>
      <w:r>
        <w:t xml:space="preserve"> means a water efficiency management plan submitted and approved under the </w:t>
      </w:r>
      <w:r>
        <w:rPr>
          <w:i/>
          <w:iCs/>
        </w:rPr>
        <w:t>Water Agencies (Water Use) By</w:t>
      </w:r>
      <w:r>
        <w:rPr>
          <w:i/>
          <w:iCs/>
        </w:rPr>
        <w:noBreakHyphen/>
        <w:t xml:space="preserve">laws 2007 </w:t>
      </w:r>
      <w:r>
        <w:t>Part 3;</w:t>
      </w:r>
    </w:p>
    <w:p>
      <w:pPr>
        <w:pStyle w:val="Defstart"/>
      </w:pPr>
      <w:r>
        <w:tab/>
      </w:r>
      <w:r>
        <w:rPr>
          <w:rStyle w:val="CharDefText"/>
        </w:rPr>
        <w:t>restriction notice</w:t>
      </w:r>
      <w:r>
        <w:t xml:space="preserve"> means a notice under by</w:t>
      </w:r>
      <w:r>
        <w:noBreakHyphen/>
        <w:t>law 9;</w:t>
      </w:r>
    </w:p>
    <w:p>
      <w:pPr>
        <w:pStyle w:val="Defstart"/>
      </w:pPr>
      <w:r>
        <w:tab/>
      </w:r>
      <w:r>
        <w:rPr>
          <w:rStyle w:val="CharDefText"/>
        </w:rPr>
        <w:t>specified day</w:t>
      </w:r>
      <w:r>
        <w:t>, in a restriction notice, means the day from which a stage of restrictions applies under the notice.</w:t>
      </w:r>
    </w:p>
    <w:p>
      <w:pPr>
        <w:pStyle w:val="Subsection"/>
      </w:pPr>
      <w:r>
        <w:tab/>
        <w:t>(2)</w:t>
      </w:r>
      <w:r>
        <w:tab/>
        <w:t>Despite by</w:t>
      </w:r>
      <w:r>
        <w:noBreakHyphen/>
        <w:t xml:space="preserve">law 9(2), the specified day in the first restriction notice made in relation to an Area may be a day that is the later of — </w:t>
      </w:r>
    </w:p>
    <w:p>
      <w:pPr>
        <w:pStyle w:val="Indenta"/>
      </w:pPr>
      <w:r>
        <w:tab/>
        <w:t>(a)</w:t>
      </w:r>
      <w:r>
        <w:tab/>
        <w:t>1 April 2010; or</w:t>
      </w:r>
    </w:p>
    <w:p>
      <w:pPr>
        <w:pStyle w:val="Indenta"/>
      </w:pPr>
      <w:r>
        <w:tab/>
        <w:t>(b)</w:t>
      </w:r>
      <w:r>
        <w:tab/>
        <w:t xml:space="preserve">the day of the publication of the notice in the </w:t>
      </w:r>
      <w:r>
        <w:rPr>
          <w:i/>
          <w:iCs/>
        </w:rPr>
        <w:t>Gazette</w:t>
      </w:r>
      <w:r>
        <w:t>.</w:t>
      </w:r>
    </w:p>
    <w:p>
      <w:pPr>
        <w:pStyle w:val="Subsection"/>
      </w:pPr>
      <w:r>
        <w:tab/>
        <w:t>(3)</w:t>
      </w:r>
      <w:r>
        <w:tab/>
        <w:t>A former plan is, on and after the commencement day, to be taken to be a scheme water efficiency management plan submitted and approved under Part 3.</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93" w:name="_Toc257638605"/>
      <w:bookmarkStart w:id="194" w:name="_Toc257639326"/>
      <w:bookmarkStart w:id="195" w:name="_Toc257643332"/>
      <w:bookmarkStart w:id="196" w:name="_Toc113695922"/>
      <w:bookmarkStart w:id="197" w:name="_Toc256424129"/>
      <w:bookmarkStart w:id="198" w:name="_Toc256424729"/>
      <w:r>
        <w:rPr>
          <w:rStyle w:val="CharSchNo"/>
        </w:rPr>
        <w:t>Schedule 1</w:t>
      </w:r>
      <w:r>
        <w:rPr>
          <w:rStyle w:val="CharSDivNo"/>
        </w:rPr>
        <w:t> </w:t>
      </w:r>
      <w:r>
        <w:t>—</w:t>
      </w:r>
      <w:r>
        <w:rPr>
          <w:rStyle w:val="CharSDivText"/>
        </w:rPr>
        <w:t> </w:t>
      </w:r>
      <w:r>
        <w:rPr>
          <w:rStyle w:val="CharSchText"/>
        </w:rPr>
        <w:t>Maps showing Areas 1, 2, 3 and 4</w:t>
      </w:r>
      <w:bookmarkEnd w:id="193"/>
      <w:bookmarkEnd w:id="194"/>
      <w:bookmarkEnd w:id="195"/>
    </w:p>
    <w:p>
      <w:pPr>
        <w:pStyle w:val="yShoulderClause"/>
      </w:pPr>
      <w:r>
        <w:t>[bl. 3]</w:t>
      </w:r>
    </w:p>
    <w:p>
      <w:pPr>
        <w:pStyle w:val="Graphics"/>
        <w:jc w:val="center"/>
      </w:pPr>
      <w:r>
        <w:rPr>
          <w:lang w:eastAsia="en-AU"/>
        </w:rPr>
        <w:drawing>
          <wp:inline distT="0" distB="0" distL="0" distR="0">
            <wp:extent cx="3962400" cy="5724525"/>
            <wp:effectExtent l="0" t="0" r="0" b="9525"/>
            <wp:docPr id="1" name="Picture 1" descr="WCSt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Stage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62400" cy="5724525"/>
                    </a:xfrm>
                    <a:prstGeom prst="rect">
                      <a:avLst/>
                    </a:prstGeom>
                    <a:noFill/>
                    <a:ln>
                      <a:noFill/>
                    </a:ln>
                  </pic:spPr>
                </pic:pic>
              </a:graphicData>
            </a:graphic>
          </wp:inline>
        </w:drawing>
      </w:r>
    </w:p>
    <w:p>
      <w:pPr>
        <w:pStyle w:val="Graphics"/>
        <w:jc w:val="center"/>
      </w:pPr>
      <w:r>
        <w:rPr>
          <w:lang w:eastAsia="en-AU"/>
        </w:rPr>
        <w:drawing>
          <wp:inline distT="0" distB="0" distL="0" distR="0">
            <wp:extent cx="3943350" cy="5676900"/>
            <wp:effectExtent l="0" t="0" r="0" b="0"/>
            <wp:docPr id="2" name="Picture 2" descr="WCStage6_SW3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CStage6_SW3_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43350" cy="5676900"/>
                    </a:xfrm>
                    <a:prstGeom prst="rect">
                      <a:avLst/>
                    </a:prstGeom>
                    <a:noFill/>
                    <a:ln>
                      <a:noFill/>
                    </a:ln>
                  </pic:spPr>
                </pic:pic>
              </a:graphicData>
            </a:graphic>
          </wp:inline>
        </w:drawing>
      </w:r>
    </w:p>
    <w:p>
      <w:pPr>
        <w:pStyle w:val="yScheduleHeading"/>
        <w:sectPr>
          <w:headerReference w:type="even" r:id="rId27"/>
          <w:headerReference w:type="default" r:id="rId28"/>
          <w:endnotePr>
            <w:numFmt w:val="decimal"/>
          </w:endnotePr>
          <w:pgSz w:w="11907" w:h="16840" w:code="9"/>
          <w:pgMar w:top="2381" w:right="2410" w:bottom="3544" w:left="2410" w:header="720" w:footer="3380" w:gutter="0"/>
          <w:cols w:space="720"/>
          <w:docGrid w:linePitch="326"/>
        </w:sectPr>
      </w:pPr>
      <w:bookmarkStart w:id="199" w:name="_Toc253407979"/>
      <w:bookmarkStart w:id="200" w:name="_Toc253409388"/>
      <w:bookmarkStart w:id="201" w:name="_Toc253409455"/>
      <w:bookmarkStart w:id="202" w:name="_Toc253409846"/>
      <w:bookmarkStart w:id="203" w:name="_Toc253409932"/>
      <w:bookmarkStart w:id="204" w:name="_Toc253411522"/>
      <w:bookmarkStart w:id="205" w:name="_Toc253412817"/>
      <w:bookmarkStart w:id="206" w:name="_Toc253412871"/>
      <w:bookmarkStart w:id="207" w:name="_Toc253472337"/>
      <w:bookmarkStart w:id="208" w:name="_Toc253482360"/>
      <w:bookmarkStart w:id="209" w:name="_Toc253729628"/>
      <w:bookmarkStart w:id="210" w:name="_Toc253729681"/>
      <w:bookmarkStart w:id="211" w:name="_Toc253730850"/>
      <w:bookmarkStart w:id="212" w:name="_Toc253730903"/>
      <w:bookmarkStart w:id="213" w:name="_Toc253730956"/>
    </w:p>
    <w:p>
      <w:pPr>
        <w:pStyle w:val="yScheduleHeading"/>
      </w:pPr>
      <w:bookmarkStart w:id="214" w:name="_Toc257638606"/>
      <w:bookmarkStart w:id="215" w:name="_Toc257639327"/>
      <w:bookmarkStart w:id="216" w:name="_Toc257643333"/>
      <w:r>
        <w:rPr>
          <w:rStyle w:val="CharSchNo"/>
        </w:rPr>
        <w:t>Schedule 2</w:t>
      </w:r>
      <w:r>
        <w:rPr>
          <w:rStyle w:val="CharSDivNo"/>
        </w:rPr>
        <w:t> </w:t>
      </w:r>
      <w:r>
        <w:t>—</w:t>
      </w:r>
      <w:r>
        <w:rPr>
          <w:rStyle w:val="CharSDivText"/>
        </w:rPr>
        <w:t> </w:t>
      </w:r>
      <w:r>
        <w:rPr>
          <w:rStyle w:val="CharSchText"/>
        </w:rPr>
        <w:t>Stages of restrictions</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pPr>
        <w:pStyle w:val="yShoulderClause"/>
      </w:pPr>
      <w:r>
        <w:t>[bl. 3]</w:t>
      </w:r>
    </w:p>
    <w:p>
      <w:pPr>
        <w:pStyle w:val="yHeading5"/>
      </w:pPr>
      <w:bookmarkStart w:id="217" w:name="_Toc257638607"/>
      <w:bookmarkStart w:id="218" w:name="_Toc257643334"/>
      <w:r>
        <w:rPr>
          <w:rStyle w:val="CharSClsNo"/>
        </w:rPr>
        <w:t>1</w:t>
      </w:r>
      <w:r>
        <w:t>.</w:t>
      </w:r>
      <w:r>
        <w:tab/>
        <w:t>Stage 1</w:t>
      </w:r>
      <w:bookmarkEnd w:id="217"/>
      <w:bookmarkEnd w:id="218"/>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a particular day;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synthetic sporting ground except for 10 minutes or less before a sport is played or practised on the sporting ground.</w:t>
      </w:r>
    </w:p>
    <w:p>
      <w:pPr>
        <w:pStyle w:val="yHeading5"/>
      </w:pPr>
      <w:bookmarkStart w:id="219" w:name="_Toc257638608"/>
      <w:bookmarkStart w:id="220" w:name="_Toc257643335"/>
      <w:r>
        <w:rPr>
          <w:rStyle w:val="CharSClsNo"/>
        </w:rPr>
        <w:t>2</w:t>
      </w:r>
      <w:r>
        <w:t>.</w:t>
      </w:r>
      <w:r>
        <w:tab/>
        <w:t>Stage 2</w:t>
      </w:r>
      <w:bookmarkEnd w:id="219"/>
      <w:bookmarkEnd w:id="220"/>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w:t>
      </w:r>
    </w:p>
    <w:p>
      <w:pPr>
        <w:pStyle w:val="yIndenti0"/>
      </w:pPr>
      <w:r>
        <w:tab/>
        <w:t>(i)</w:t>
      </w:r>
      <w:r>
        <w:tab/>
        <w:t>on any even numbered day of the month if the relevant property has an even street number or, where there is no street number, an even lot number; or</w:t>
      </w:r>
    </w:p>
    <w:p>
      <w:pPr>
        <w:pStyle w:val="yIndenti0"/>
      </w:pPr>
      <w:r>
        <w:tab/>
        <w:t>(ii)</w:t>
      </w:r>
      <w:r>
        <w:tab/>
        <w:t>on any odd numbered day of the month if the relevant property has an odd street number or, where there is no street number, an odd lot number;</w:t>
      </w:r>
    </w:p>
    <w:p>
      <w:pPr>
        <w:pStyle w:val="yIndenta"/>
      </w:pPr>
      <w:r>
        <w:tab/>
      </w:r>
      <w:r>
        <w:tab/>
        <w:t>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 xml:space="preserve">a high pressure water cleaner; or </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221" w:name="_Toc257638609"/>
      <w:bookmarkStart w:id="222" w:name="_Toc257643336"/>
      <w:r>
        <w:rPr>
          <w:rStyle w:val="CharSClsNo"/>
        </w:rPr>
        <w:t>3</w:t>
      </w:r>
      <w:r>
        <w:t>.</w:t>
      </w:r>
      <w:r>
        <w:tab/>
        <w:t>Stage 3</w:t>
      </w:r>
      <w:bookmarkEnd w:id="221"/>
      <w:bookmarkEnd w:id="222"/>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223" w:name="_Toc257638610"/>
      <w:bookmarkStart w:id="224" w:name="_Toc257643337"/>
      <w:r>
        <w:rPr>
          <w:rStyle w:val="CharSClsNo"/>
        </w:rPr>
        <w:t>4</w:t>
      </w:r>
      <w:r>
        <w:t>.</w:t>
      </w:r>
      <w:r>
        <w:tab/>
        <w:t>Stage 4</w:t>
      </w:r>
      <w:bookmarkEnd w:id="223"/>
      <w:bookmarkEnd w:id="224"/>
    </w:p>
    <w:p>
      <w:pPr>
        <w:pStyle w:val="ySubsection"/>
      </w:pPr>
      <w:r>
        <w:tab/>
        <w:t>(1)</w:t>
      </w:r>
      <w:r>
        <w:tab/>
        <w:t>A person must not water a lawn or garden except by —</w:t>
      </w:r>
    </w:p>
    <w:p>
      <w:pPr>
        <w:pStyle w:val="yIndenta"/>
      </w:pPr>
      <w:r>
        <w:tab/>
        <w:t>(a)</w:t>
      </w:r>
      <w:r>
        <w:tab/>
        <w:t>reticulation during either, but not both, the morning period or the evening period on one or both of 2 days of the week specified in relation to the relevant property in Schedule 3 Division 2;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225" w:name="_Toc257638611"/>
      <w:bookmarkStart w:id="226" w:name="_Toc257643338"/>
      <w:r>
        <w:rPr>
          <w:rStyle w:val="CharSClsNo"/>
        </w:rPr>
        <w:t>5</w:t>
      </w:r>
      <w:r>
        <w:t>.</w:t>
      </w:r>
      <w:r>
        <w:tab/>
        <w:t>Stage 5</w:t>
      </w:r>
      <w:bookmarkEnd w:id="225"/>
      <w:bookmarkEnd w:id="226"/>
    </w:p>
    <w:p>
      <w:pPr>
        <w:pStyle w:val="ySubsection"/>
      </w:pPr>
      <w:r>
        <w:tab/>
        <w:t>(1)</w:t>
      </w:r>
      <w:r>
        <w:tab/>
        <w:t>A person must not water a lawn or garden except by —</w:t>
      </w:r>
    </w:p>
    <w:p>
      <w:pPr>
        <w:pStyle w:val="yIndenta"/>
      </w:pPr>
      <w:r>
        <w:tab/>
        <w:t>(a)</w:t>
      </w:r>
      <w:r>
        <w:tab/>
        <w:t>reticulation during either, but not both, the morning period or the evening period on one day of the week specified in relation to the relevant property in Schedule 3 Division 3;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227" w:name="_Toc257638612"/>
      <w:bookmarkStart w:id="228" w:name="_Toc257643339"/>
      <w:r>
        <w:rPr>
          <w:rStyle w:val="CharSClsNo"/>
        </w:rPr>
        <w:t>6</w:t>
      </w:r>
      <w:r>
        <w:t>.</w:t>
      </w:r>
      <w:r>
        <w:tab/>
        <w:t>Stage 6</w:t>
      </w:r>
      <w:bookmarkEnd w:id="227"/>
      <w:bookmarkEnd w:id="228"/>
    </w:p>
    <w:p>
      <w:pPr>
        <w:pStyle w:val="ySubsection"/>
      </w:pPr>
      <w:r>
        <w:tab/>
        <w:t>(1)</w:t>
      </w:r>
      <w:r>
        <w:tab/>
        <w:t>A person must not water a lawn or garden except by —</w:t>
      </w:r>
    </w:p>
    <w:p>
      <w:pPr>
        <w:pStyle w:val="yIndenta"/>
      </w:pPr>
      <w:r>
        <w:tab/>
        <w:t>(a)</w:t>
      </w:r>
      <w:r>
        <w:tab/>
        <w:t>a handheld hose with one outlet; or</w:t>
      </w:r>
    </w:p>
    <w:p>
      <w:pPr>
        <w:pStyle w:val="yIndenta"/>
      </w:pPr>
      <w:r>
        <w:tab/>
        <w:t>(b)</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fill a swimming pool except —</w:t>
      </w:r>
    </w:p>
    <w:p>
      <w:pPr>
        <w:pStyle w:val="yIndenta"/>
      </w:pPr>
      <w:r>
        <w:tab/>
        <w:t>(a)</w:t>
      </w:r>
      <w:r>
        <w:tab/>
        <w:t>to replace water lost from the pool through evaporation or ordinary use; and</w:t>
      </w:r>
    </w:p>
    <w:p>
      <w:pPr>
        <w:pStyle w:val="yIndenta"/>
      </w:pPr>
      <w:r>
        <w:tab/>
        <w:t>(b)</w:t>
      </w:r>
      <w:r>
        <w:tab/>
        <w:t>to the minimum extent necessary for the proper functioning of the pool.</w:t>
      </w:r>
    </w:p>
    <w:p>
      <w:pPr>
        <w:pStyle w:val="ySubsection"/>
      </w:pPr>
      <w:r>
        <w:tab/>
        <w:t>(5)</w:t>
      </w:r>
      <w:r>
        <w:tab/>
        <w:t>A person must not water a synthetic sporting ground except for 10 minutes or less before a sport is played or practised on the sporting ground.</w:t>
      </w:r>
    </w:p>
    <w:p>
      <w:pPr>
        <w:pStyle w:val="yHeading5"/>
      </w:pPr>
      <w:bookmarkStart w:id="229" w:name="_Toc257638613"/>
      <w:bookmarkStart w:id="230" w:name="_Toc257643340"/>
      <w:r>
        <w:rPr>
          <w:rStyle w:val="CharSClsNo"/>
        </w:rPr>
        <w:t>7</w:t>
      </w:r>
      <w:r>
        <w:t>.</w:t>
      </w:r>
      <w:r>
        <w:tab/>
        <w:t>Stage 7</w:t>
      </w:r>
      <w:bookmarkEnd w:id="229"/>
      <w:bookmarkEnd w:id="230"/>
    </w:p>
    <w:p>
      <w:pPr>
        <w:pStyle w:val="ySubsection"/>
      </w:pPr>
      <w:r>
        <w:tab/>
        <w:t>(1)</w:t>
      </w:r>
      <w:r>
        <w:tab/>
        <w:t>A person must not water a lawn, garden, grass</w:t>
      </w:r>
      <w:r>
        <w:noBreakHyphen/>
        <w:t>covered sporting ground or synthetic sporting ground except by 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fill a swimming pool.</w:t>
      </w:r>
    </w:p>
    <w:p>
      <w:pPr>
        <w:pStyle w:val="ySubsection"/>
      </w:pPr>
      <w:r>
        <w:tab/>
        <w:t>(4)</w:t>
      </w:r>
      <w:r>
        <w:tab/>
        <w:t xml:space="preserve">A person must not wash a motor vehicle except — </w:t>
      </w:r>
    </w:p>
    <w:p>
      <w:pPr>
        <w:pStyle w:val="yIndenta"/>
      </w:pPr>
      <w:r>
        <w:tab/>
        <w:t>(a)</w:t>
      </w:r>
      <w:r>
        <w:tab/>
        <w:t>to the minimum extent necessary to enable the vehicle to be driven safely; and</w:t>
      </w:r>
    </w:p>
    <w:p>
      <w:pPr>
        <w:pStyle w:val="yIndenta"/>
      </w:pPr>
      <w:r>
        <w:tab/>
        <w:t>(b)</w:t>
      </w:r>
      <w:r>
        <w:tab/>
        <w:t>by using a bucket of water and a cloth.</w:t>
      </w:r>
    </w:p>
    <w:p>
      <w:pPr>
        <w:pStyle w:val="Subsection"/>
        <w:outlineLvl w:val="0"/>
        <w:sectPr>
          <w:headerReference w:type="even" r:id="rId29"/>
          <w:headerReference w:type="default" r:id="rId30"/>
          <w:endnotePr>
            <w:numFmt w:val="decimal"/>
          </w:endnotePr>
          <w:pgSz w:w="11907" w:h="16840" w:code="9"/>
          <w:pgMar w:top="2381" w:right="2410" w:bottom="3544" w:left="2410" w:header="720" w:footer="3380" w:gutter="0"/>
          <w:cols w:space="720"/>
          <w:docGrid w:linePitch="326"/>
        </w:sectPr>
      </w:pPr>
      <w:bookmarkStart w:id="231" w:name="_Toc253407987"/>
      <w:bookmarkStart w:id="232" w:name="_Toc253409396"/>
      <w:bookmarkStart w:id="233" w:name="_Toc253409463"/>
      <w:bookmarkStart w:id="234" w:name="_Toc253409854"/>
      <w:bookmarkStart w:id="235" w:name="_Toc253409940"/>
      <w:bookmarkStart w:id="236" w:name="_Toc253411530"/>
      <w:bookmarkStart w:id="237" w:name="_Toc253412825"/>
      <w:bookmarkStart w:id="238" w:name="_Toc253412879"/>
      <w:bookmarkStart w:id="239" w:name="_Toc253472345"/>
      <w:bookmarkStart w:id="240" w:name="_Toc253482368"/>
      <w:bookmarkStart w:id="241" w:name="_Toc253729636"/>
      <w:bookmarkStart w:id="242" w:name="_Toc253729689"/>
      <w:bookmarkStart w:id="243" w:name="_Toc253730858"/>
      <w:bookmarkStart w:id="244" w:name="_Toc253730911"/>
      <w:bookmarkStart w:id="245" w:name="_Toc253730964"/>
      <w:bookmarkStart w:id="246" w:name="_Toc254182210"/>
      <w:bookmarkStart w:id="247" w:name="_Toc254182515"/>
    </w:p>
    <w:p>
      <w:pPr>
        <w:pStyle w:val="yScheduleHeading"/>
      </w:pPr>
      <w:bookmarkStart w:id="248" w:name="_Toc257638614"/>
      <w:bookmarkStart w:id="249" w:name="_Toc257639335"/>
      <w:bookmarkStart w:id="250" w:name="_Toc257643341"/>
      <w:r>
        <w:rPr>
          <w:rStyle w:val="CharSchNo"/>
        </w:rPr>
        <w:t>Schedule 3</w:t>
      </w:r>
      <w:r>
        <w:t> — </w:t>
      </w:r>
      <w:r>
        <w:rPr>
          <w:rStyle w:val="CharSchText"/>
        </w:rPr>
        <w:t>Specified days for watering by reticulation</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pPr>
        <w:pStyle w:val="yShoulderClause"/>
      </w:pPr>
      <w:r>
        <w:t>[bl. 3, 6, Sch. 2 cl. 3, 4, 5 and 6]</w:t>
      </w:r>
    </w:p>
    <w:p>
      <w:pPr>
        <w:pStyle w:val="yHeading3"/>
        <w:spacing w:after="120"/>
      </w:pPr>
      <w:bookmarkStart w:id="251" w:name="_Toc257638615"/>
      <w:bookmarkStart w:id="252" w:name="_Toc257639336"/>
      <w:bookmarkStart w:id="253" w:name="_Toc257643342"/>
      <w:r>
        <w:rPr>
          <w:rStyle w:val="CharSDivNo"/>
        </w:rPr>
        <w:t>Division 1</w:t>
      </w:r>
      <w:r>
        <w:t> — </w:t>
      </w:r>
      <w:r>
        <w:rPr>
          <w:rStyle w:val="CharSDivText"/>
        </w:rPr>
        <w:t>Specified days for Schedule 2 clauses 3(1)(a), 4(2)(a), 5(2)(a) and 6(2)(a)</w:t>
      </w:r>
      <w:bookmarkEnd w:id="251"/>
      <w:bookmarkEnd w:id="252"/>
      <w:bookmarkEnd w:id="25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bottom w:val="single" w:sz="4" w:space="0" w:color="auto"/>
              <w:right w:val="nil"/>
            </w:tcBorders>
          </w:tcPr>
          <w:p>
            <w:pPr>
              <w:pStyle w:val="yTableNAm"/>
              <w:jc w:val="center"/>
              <w:rPr>
                <w:b/>
                <w:bCs/>
              </w:rPr>
            </w:pPr>
            <w:r>
              <w:rPr>
                <w:b/>
                <w:bCs/>
              </w:rPr>
              <w:t>Days for watering by reticulation</w:t>
            </w:r>
          </w:p>
        </w:tc>
      </w:tr>
      <w:tr>
        <w:tc>
          <w:tcPr>
            <w:tcW w:w="3402" w:type="dxa"/>
            <w:tcBorders>
              <w:left w:val="nil"/>
              <w:bottom w:val="nil"/>
            </w:tcBorders>
          </w:tcPr>
          <w:p>
            <w:pPr>
              <w:pStyle w:val="yTableNAm"/>
              <w:jc w:val="center"/>
            </w:pPr>
            <w:r>
              <w:t>1</w:t>
            </w:r>
          </w:p>
        </w:tc>
        <w:tc>
          <w:tcPr>
            <w:tcW w:w="3402" w:type="dxa"/>
            <w:tcBorders>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2</w:t>
            </w:r>
          </w:p>
        </w:tc>
        <w:tc>
          <w:tcPr>
            <w:tcW w:w="3402" w:type="dxa"/>
            <w:tcBorders>
              <w:top w:val="nil"/>
              <w:bottom w:val="nil"/>
              <w:right w:val="nil"/>
            </w:tcBorders>
          </w:tcPr>
          <w:p>
            <w:pPr>
              <w:pStyle w:val="yTableNAm"/>
            </w:pPr>
            <w:r>
              <w:t>Sunday, Tuesday and Thursday</w:t>
            </w:r>
          </w:p>
        </w:tc>
      </w:tr>
      <w:tr>
        <w:tc>
          <w:tcPr>
            <w:tcW w:w="3402" w:type="dxa"/>
            <w:tcBorders>
              <w:top w:val="nil"/>
              <w:left w:val="nil"/>
              <w:bottom w:val="nil"/>
            </w:tcBorders>
          </w:tcPr>
          <w:p>
            <w:pPr>
              <w:pStyle w:val="yTableNAm"/>
              <w:jc w:val="center"/>
            </w:pPr>
            <w:r>
              <w:t>3</w:t>
            </w:r>
          </w:p>
        </w:tc>
        <w:tc>
          <w:tcPr>
            <w:tcW w:w="3402" w:type="dxa"/>
            <w:tcBorders>
              <w:top w:val="nil"/>
              <w:bottom w:val="nil"/>
              <w:right w:val="nil"/>
            </w:tcBorders>
          </w:tcPr>
          <w:p>
            <w:pPr>
              <w:pStyle w:val="yTableNAm"/>
            </w:pPr>
            <w:r>
              <w:t xml:space="preserve">Monday, Wednesday and Friday </w:t>
            </w:r>
          </w:p>
        </w:tc>
      </w:tr>
      <w:tr>
        <w:tc>
          <w:tcPr>
            <w:tcW w:w="3402" w:type="dxa"/>
            <w:tcBorders>
              <w:top w:val="nil"/>
              <w:left w:val="nil"/>
              <w:bottom w:val="nil"/>
            </w:tcBorders>
          </w:tcPr>
          <w:p>
            <w:pPr>
              <w:pStyle w:val="yTableNAm"/>
              <w:jc w:val="center"/>
            </w:pPr>
            <w:r>
              <w:t>4</w:t>
            </w:r>
          </w:p>
        </w:tc>
        <w:tc>
          <w:tcPr>
            <w:tcW w:w="3402" w:type="dxa"/>
            <w:tcBorders>
              <w:top w:val="nil"/>
              <w:bottom w:val="nil"/>
              <w:right w:val="nil"/>
            </w:tcBorders>
          </w:tcPr>
          <w:p>
            <w:pPr>
              <w:pStyle w:val="yTableNAm"/>
            </w:pPr>
            <w:r>
              <w:t>Tuesday, Thursday and Saturday</w:t>
            </w:r>
          </w:p>
        </w:tc>
      </w:tr>
      <w:tr>
        <w:tc>
          <w:tcPr>
            <w:tcW w:w="3402" w:type="dxa"/>
            <w:tcBorders>
              <w:top w:val="nil"/>
              <w:left w:val="nil"/>
              <w:bottom w:val="nil"/>
            </w:tcBorders>
          </w:tcPr>
          <w:p>
            <w:pPr>
              <w:pStyle w:val="yTableNAm"/>
              <w:jc w:val="center"/>
            </w:pPr>
            <w:r>
              <w:t>5</w:t>
            </w:r>
          </w:p>
        </w:tc>
        <w:tc>
          <w:tcPr>
            <w:tcW w:w="3402" w:type="dxa"/>
            <w:tcBorders>
              <w:top w:val="nil"/>
              <w:bottom w:val="nil"/>
              <w:right w:val="nil"/>
            </w:tcBorders>
          </w:tcPr>
          <w:p>
            <w:pPr>
              <w:pStyle w:val="yTableNAm"/>
            </w:pPr>
            <w:r>
              <w:t>Sunday, Wednesday and Friday</w:t>
            </w:r>
          </w:p>
        </w:tc>
      </w:tr>
      <w:tr>
        <w:tc>
          <w:tcPr>
            <w:tcW w:w="3402" w:type="dxa"/>
            <w:tcBorders>
              <w:top w:val="nil"/>
              <w:left w:val="nil"/>
              <w:bottom w:val="nil"/>
            </w:tcBorders>
          </w:tcPr>
          <w:p>
            <w:pPr>
              <w:pStyle w:val="yTableNAm"/>
              <w:jc w:val="center"/>
            </w:pPr>
            <w:r>
              <w:t>6</w:t>
            </w:r>
          </w:p>
        </w:tc>
        <w:tc>
          <w:tcPr>
            <w:tcW w:w="3402" w:type="dxa"/>
            <w:tcBorders>
              <w:top w:val="nil"/>
              <w:bottom w:val="nil"/>
              <w:right w:val="nil"/>
            </w:tcBorders>
          </w:tcPr>
          <w:p>
            <w:pPr>
              <w:pStyle w:val="yTableNAm"/>
            </w:pPr>
            <w:r>
              <w:t>Monday, Thursday and Saturday</w:t>
            </w:r>
          </w:p>
        </w:tc>
      </w:tr>
      <w:tr>
        <w:tc>
          <w:tcPr>
            <w:tcW w:w="3402" w:type="dxa"/>
            <w:tcBorders>
              <w:top w:val="nil"/>
              <w:left w:val="nil"/>
              <w:bottom w:val="nil"/>
            </w:tcBorders>
          </w:tcPr>
          <w:p>
            <w:pPr>
              <w:pStyle w:val="yTableNAm"/>
              <w:jc w:val="center"/>
            </w:pPr>
            <w:r>
              <w:t>7</w:t>
            </w:r>
          </w:p>
        </w:tc>
        <w:tc>
          <w:tcPr>
            <w:tcW w:w="3402" w:type="dxa"/>
            <w:tcBorders>
              <w:top w:val="nil"/>
              <w:bottom w:val="nil"/>
              <w:right w:val="nil"/>
            </w:tcBorders>
          </w:tcPr>
          <w:p>
            <w:pPr>
              <w:pStyle w:val="yTableNAm"/>
            </w:pPr>
            <w:r>
              <w:t>Sunday, Tuesday and Friday</w:t>
            </w:r>
          </w:p>
        </w:tc>
      </w:tr>
      <w:tr>
        <w:tc>
          <w:tcPr>
            <w:tcW w:w="3402" w:type="dxa"/>
            <w:tcBorders>
              <w:top w:val="nil"/>
              <w:left w:val="nil"/>
              <w:bottom w:val="nil"/>
            </w:tcBorders>
          </w:tcPr>
          <w:p>
            <w:pPr>
              <w:pStyle w:val="yTableNAm"/>
              <w:jc w:val="center"/>
            </w:pPr>
            <w:r>
              <w:t>8</w:t>
            </w:r>
          </w:p>
        </w:tc>
        <w:tc>
          <w:tcPr>
            <w:tcW w:w="3402" w:type="dxa"/>
            <w:tcBorders>
              <w:top w:val="nil"/>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9</w:t>
            </w:r>
          </w:p>
        </w:tc>
        <w:tc>
          <w:tcPr>
            <w:tcW w:w="3402" w:type="dxa"/>
            <w:tcBorders>
              <w:top w:val="nil"/>
              <w:bottom w:val="nil"/>
              <w:right w:val="nil"/>
            </w:tcBorders>
          </w:tcPr>
          <w:p>
            <w:pPr>
              <w:pStyle w:val="yTableNAm"/>
            </w:pPr>
            <w:r>
              <w:t>Sunday, Tuesday and Thursday</w:t>
            </w:r>
          </w:p>
        </w:tc>
      </w:tr>
      <w:tr>
        <w:tc>
          <w:tcPr>
            <w:tcW w:w="3402" w:type="dxa"/>
            <w:tcBorders>
              <w:top w:val="nil"/>
              <w:left w:val="nil"/>
            </w:tcBorders>
          </w:tcPr>
          <w:p>
            <w:pPr>
              <w:pStyle w:val="yTableNAm"/>
              <w:jc w:val="center"/>
            </w:pPr>
            <w:r>
              <w:t>0</w:t>
            </w:r>
          </w:p>
        </w:tc>
        <w:tc>
          <w:tcPr>
            <w:tcW w:w="3402" w:type="dxa"/>
            <w:tcBorders>
              <w:top w:val="nil"/>
              <w:right w:val="nil"/>
            </w:tcBorders>
          </w:tcPr>
          <w:p>
            <w:pPr>
              <w:pStyle w:val="yTableNAm"/>
            </w:pPr>
            <w:r>
              <w:t>Monday, Wednesday and Friday</w:t>
            </w:r>
          </w:p>
        </w:tc>
      </w:tr>
    </w:tbl>
    <w:p>
      <w:pPr>
        <w:pStyle w:val="yHeading3"/>
        <w:spacing w:after="120"/>
      </w:pPr>
      <w:bookmarkStart w:id="254" w:name="_Toc257638616"/>
      <w:bookmarkStart w:id="255" w:name="_Toc257639337"/>
      <w:bookmarkStart w:id="256" w:name="_Toc257643343"/>
      <w:r>
        <w:rPr>
          <w:rStyle w:val="CharSDivNo"/>
        </w:rPr>
        <w:t>Division 2</w:t>
      </w:r>
      <w:r>
        <w:t> — </w:t>
      </w:r>
      <w:r>
        <w:rPr>
          <w:rStyle w:val="CharSDivText"/>
        </w:rPr>
        <w:t>Specified days for Schedule 2 clause 4(1)(a)</w:t>
      </w:r>
      <w:bookmarkEnd w:id="254"/>
      <w:bookmarkEnd w:id="255"/>
      <w:bookmarkEnd w:id="256"/>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jc w:val="center"/>
              <w:rPr>
                <w:b/>
                <w:bCs/>
              </w:rPr>
            </w:pPr>
            <w:r>
              <w:rPr>
                <w:b/>
                <w:bCs/>
              </w:rPr>
              <w:t>Days for watering by reticulation</w:t>
            </w:r>
          </w:p>
        </w:tc>
      </w:tr>
      <w:tr>
        <w:tc>
          <w:tcPr>
            <w:tcW w:w="3402" w:type="dxa"/>
            <w:tcBorders>
              <w:top w:val="single" w:sz="4" w:space="0" w:color="auto"/>
            </w:tcBorders>
          </w:tcPr>
          <w:p>
            <w:pPr>
              <w:pStyle w:val="yTableNAm"/>
              <w:jc w:val="center"/>
            </w:pPr>
            <w:r>
              <w:t>1</w:t>
            </w:r>
          </w:p>
        </w:tc>
        <w:tc>
          <w:tcPr>
            <w:tcW w:w="3402" w:type="dxa"/>
            <w:tcBorders>
              <w:top w:val="single" w:sz="4" w:space="0" w:color="auto"/>
            </w:tcBorders>
          </w:tcPr>
          <w:p>
            <w:pPr>
              <w:pStyle w:val="yTableNAm"/>
            </w:pPr>
            <w:r>
              <w:t>Wednesday and Saturday</w:t>
            </w:r>
          </w:p>
        </w:tc>
      </w:tr>
      <w:tr>
        <w:tc>
          <w:tcPr>
            <w:tcW w:w="3402" w:type="dxa"/>
          </w:tcPr>
          <w:p>
            <w:pPr>
              <w:pStyle w:val="yTableNAm"/>
              <w:jc w:val="center"/>
            </w:pPr>
            <w:r>
              <w:t>2</w:t>
            </w:r>
          </w:p>
        </w:tc>
        <w:tc>
          <w:tcPr>
            <w:tcW w:w="3402" w:type="dxa"/>
          </w:tcPr>
          <w:p>
            <w:pPr>
              <w:pStyle w:val="yTableNAm"/>
            </w:pPr>
            <w:r>
              <w:t>Sunday and Thursday</w:t>
            </w:r>
          </w:p>
        </w:tc>
      </w:tr>
      <w:tr>
        <w:tc>
          <w:tcPr>
            <w:tcW w:w="3402" w:type="dxa"/>
          </w:tcPr>
          <w:p>
            <w:pPr>
              <w:pStyle w:val="yTableNAm"/>
              <w:jc w:val="center"/>
            </w:pPr>
            <w:r>
              <w:t>3</w:t>
            </w:r>
          </w:p>
        </w:tc>
        <w:tc>
          <w:tcPr>
            <w:tcW w:w="3402" w:type="dxa"/>
          </w:tcPr>
          <w:p>
            <w:pPr>
              <w:pStyle w:val="yTableNAm"/>
            </w:pPr>
            <w:r>
              <w:t>Monday and Friday</w:t>
            </w:r>
          </w:p>
        </w:tc>
      </w:tr>
      <w:tr>
        <w:tc>
          <w:tcPr>
            <w:tcW w:w="3402" w:type="dxa"/>
          </w:tcPr>
          <w:p>
            <w:pPr>
              <w:pStyle w:val="yTableNAm"/>
              <w:jc w:val="center"/>
            </w:pPr>
            <w:r>
              <w:t>4</w:t>
            </w:r>
          </w:p>
        </w:tc>
        <w:tc>
          <w:tcPr>
            <w:tcW w:w="3402" w:type="dxa"/>
          </w:tcPr>
          <w:p>
            <w:pPr>
              <w:pStyle w:val="yTableNAm"/>
            </w:pPr>
            <w:r>
              <w:t>Tuesday and Saturday</w:t>
            </w:r>
          </w:p>
        </w:tc>
      </w:tr>
      <w:tr>
        <w:tc>
          <w:tcPr>
            <w:tcW w:w="3402" w:type="dxa"/>
          </w:tcPr>
          <w:p>
            <w:pPr>
              <w:pStyle w:val="yTableNAm"/>
              <w:jc w:val="center"/>
            </w:pPr>
            <w:r>
              <w:t>5</w:t>
            </w:r>
          </w:p>
        </w:tc>
        <w:tc>
          <w:tcPr>
            <w:tcW w:w="3402" w:type="dxa"/>
          </w:tcPr>
          <w:p>
            <w:pPr>
              <w:pStyle w:val="yTableNAm"/>
            </w:pPr>
            <w:r>
              <w:t>Sunday and Wednesday</w:t>
            </w:r>
          </w:p>
        </w:tc>
      </w:tr>
      <w:tr>
        <w:tc>
          <w:tcPr>
            <w:tcW w:w="3402" w:type="dxa"/>
          </w:tcPr>
          <w:p>
            <w:pPr>
              <w:pStyle w:val="yTableNAm"/>
              <w:jc w:val="center"/>
            </w:pPr>
            <w:r>
              <w:t>6</w:t>
            </w:r>
          </w:p>
        </w:tc>
        <w:tc>
          <w:tcPr>
            <w:tcW w:w="3402" w:type="dxa"/>
          </w:tcPr>
          <w:p>
            <w:pPr>
              <w:pStyle w:val="yTableNAm"/>
            </w:pPr>
            <w:r>
              <w:t>Monday and Thursday</w:t>
            </w:r>
          </w:p>
        </w:tc>
      </w:tr>
      <w:tr>
        <w:tc>
          <w:tcPr>
            <w:tcW w:w="3402" w:type="dxa"/>
          </w:tcPr>
          <w:p>
            <w:pPr>
              <w:pStyle w:val="yTableNAm"/>
              <w:jc w:val="center"/>
            </w:pPr>
            <w:r>
              <w:t>7</w:t>
            </w:r>
          </w:p>
        </w:tc>
        <w:tc>
          <w:tcPr>
            <w:tcW w:w="3402" w:type="dxa"/>
          </w:tcPr>
          <w:p>
            <w:pPr>
              <w:pStyle w:val="yTableNAm"/>
            </w:pPr>
            <w:r>
              <w:t>Tuesday and Friday</w:t>
            </w:r>
          </w:p>
        </w:tc>
      </w:tr>
      <w:tr>
        <w:tc>
          <w:tcPr>
            <w:tcW w:w="3402" w:type="dxa"/>
          </w:tcPr>
          <w:p>
            <w:pPr>
              <w:pStyle w:val="yTableNAm"/>
              <w:jc w:val="center"/>
            </w:pPr>
            <w:r>
              <w:t>8</w:t>
            </w:r>
          </w:p>
        </w:tc>
        <w:tc>
          <w:tcPr>
            <w:tcW w:w="3402" w:type="dxa"/>
          </w:tcPr>
          <w:p>
            <w:pPr>
              <w:pStyle w:val="yTableNAm"/>
            </w:pPr>
            <w:r>
              <w:t>Wednesday and Saturday</w:t>
            </w:r>
          </w:p>
        </w:tc>
      </w:tr>
      <w:tr>
        <w:tc>
          <w:tcPr>
            <w:tcW w:w="3402" w:type="dxa"/>
          </w:tcPr>
          <w:p>
            <w:pPr>
              <w:pStyle w:val="yTableNAm"/>
              <w:jc w:val="center"/>
            </w:pPr>
            <w:r>
              <w:t>9</w:t>
            </w:r>
          </w:p>
        </w:tc>
        <w:tc>
          <w:tcPr>
            <w:tcW w:w="3402" w:type="dxa"/>
          </w:tcPr>
          <w:p>
            <w:pPr>
              <w:pStyle w:val="yTableNAm"/>
            </w:pPr>
            <w:r>
              <w:t>Sunday and Thursday</w:t>
            </w:r>
          </w:p>
        </w:tc>
      </w:tr>
      <w:tr>
        <w:tc>
          <w:tcPr>
            <w:tcW w:w="3402" w:type="dxa"/>
          </w:tcPr>
          <w:p>
            <w:pPr>
              <w:pStyle w:val="yTableNAm"/>
              <w:jc w:val="center"/>
            </w:pPr>
            <w:r>
              <w:t>0</w:t>
            </w:r>
          </w:p>
        </w:tc>
        <w:tc>
          <w:tcPr>
            <w:tcW w:w="3402" w:type="dxa"/>
          </w:tcPr>
          <w:p>
            <w:pPr>
              <w:pStyle w:val="yTableNAm"/>
            </w:pPr>
            <w:r>
              <w:t>Monday and Friday</w:t>
            </w:r>
          </w:p>
        </w:tc>
      </w:tr>
    </w:tbl>
    <w:p>
      <w:pPr>
        <w:pStyle w:val="yHeading3"/>
        <w:spacing w:after="120"/>
      </w:pPr>
      <w:bookmarkStart w:id="257" w:name="_Toc257638617"/>
      <w:bookmarkStart w:id="258" w:name="_Toc257639338"/>
      <w:bookmarkStart w:id="259" w:name="_Toc257643344"/>
      <w:r>
        <w:rPr>
          <w:rStyle w:val="CharSDivNo"/>
        </w:rPr>
        <w:t>Division 3</w:t>
      </w:r>
      <w:r>
        <w:t> — </w:t>
      </w:r>
      <w:r>
        <w:rPr>
          <w:rStyle w:val="CharSDivText"/>
        </w:rPr>
        <w:t>Specified days for Schedule 2 clause 5(1)(a)</w:t>
      </w:r>
      <w:bookmarkEnd w:id="257"/>
      <w:bookmarkEnd w:id="258"/>
      <w:bookmarkEnd w:id="259"/>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jc w:val="center"/>
              <w:rPr>
                <w:b/>
                <w:bCs/>
              </w:rPr>
            </w:pPr>
            <w:r>
              <w:rPr>
                <w:b/>
                <w:bCs/>
              </w:rPr>
              <w:t>Day for watering by reticulation</w:t>
            </w:r>
          </w:p>
        </w:tc>
      </w:tr>
      <w:tr>
        <w:tc>
          <w:tcPr>
            <w:tcW w:w="3402" w:type="dxa"/>
            <w:tcBorders>
              <w:top w:val="single" w:sz="4" w:space="0" w:color="auto"/>
            </w:tcBorders>
          </w:tcPr>
          <w:p>
            <w:pPr>
              <w:pStyle w:val="yTableNAm"/>
              <w:jc w:val="center"/>
            </w:pPr>
            <w:r>
              <w:t>1</w:t>
            </w:r>
          </w:p>
        </w:tc>
        <w:tc>
          <w:tcPr>
            <w:tcW w:w="3402" w:type="dxa"/>
            <w:tcBorders>
              <w:top w:val="single" w:sz="4" w:space="0" w:color="auto"/>
            </w:tcBorders>
          </w:tcPr>
          <w:p>
            <w:pPr>
              <w:pStyle w:val="yTableNAm"/>
            </w:pPr>
            <w:r>
              <w:t>Monday</w:t>
            </w:r>
          </w:p>
        </w:tc>
      </w:tr>
      <w:tr>
        <w:tc>
          <w:tcPr>
            <w:tcW w:w="3402" w:type="dxa"/>
          </w:tcPr>
          <w:p>
            <w:pPr>
              <w:pStyle w:val="yTableNAm"/>
              <w:jc w:val="center"/>
            </w:pPr>
            <w:r>
              <w:t>2</w:t>
            </w:r>
          </w:p>
        </w:tc>
        <w:tc>
          <w:tcPr>
            <w:tcW w:w="3402" w:type="dxa"/>
          </w:tcPr>
          <w:p>
            <w:pPr>
              <w:pStyle w:val="yTableNAm"/>
            </w:pPr>
            <w:r>
              <w:t>Tuesday</w:t>
            </w:r>
          </w:p>
        </w:tc>
      </w:tr>
      <w:tr>
        <w:tc>
          <w:tcPr>
            <w:tcW w:w="3402" w:type="dxa"/>
          </w:tcPr>
          <w:p>
            <w:pPr>
              <w:pStyle w:val="yTableNAm"/>
              <w:jc w:val="center"/>
            </w:pPr>
            <w:r>
              <w:t>3</w:t>
            </w:r>
          </w:p>
        </w:tc>
        <w:tc>
          <w:tcPr>
            <w:tcW w:w="3402" w:type="dxa"/>
          </w:tcPr>
          <w:p>
            <w:pPr>
              <w:pStyle w:val="yTableNAm"/>
            </w:pPr>
            <w:r>
              <w:t>Wednesday</w:t>
            </w:r>
          </w:p>
        </w:tc>
      </w:tr>
      <w:tr>
        <w:tc>
          <w:tcPr>
            <w:tcW w:w="3402" w:type="dxa"/>
          </w:tcPr>
          <w:p>
            <w:pPr>
              <w:pStyle w:val="yTableNAm"/>
              <w:jc w:val="center"/>
            </w:pPr>
            <w:r>
              <w:t>4</w:t>
            </w:r>
          </w:p>
        </w:tc>
        <w:tc>
          <w:tcPr>
            <w:tcW w:w="3402" w:type="dxa"/>
          </w:tcPr>
          <w:p>
            <w:pPr>
              <w:pStyle w:val="yTableNAm"/>
            </w:pPr>
            <w:r>
              <w:t>Thursday</w:t>
            </w:r>
          </w:p>
        </w:tc>
      </w:tr>
      <w:tr>
        <w:tc>
          <w:tcPr>
            <w:tcW w:w="3402" w:type="dxa"/>
          </w:tcPr>
          <w:p>
            <w:pPr>
              <w:pStyle w:val="yTableNAm"/>
              <w:jc w:val="center"/>
            </w:pPr>
            <w:r>
              <w:t>5</w:t>
            </w:r>
          </w:p>
        </w:tc>
        <w:tc>
          <w:tcPr>
            <w:tcW w:w="3402" w:type="dxa"/>
          </w:tcPr>
          <w:p>
            <w:pPr>
              <w:pStyle w:val="yTableNAm"/>
            </w:pPr>
            <w:r>
              <w:t>Friday</w:t>
            </w:r>
          </w:p>
        </w:tc>
      </w:tr>
      <w:tr>
        <w:tc>
          <w:tcPr>
            <w:tcW w:w="3402" w:type="dxa"/>
          </w:tcPr>
          <w:p>
            <w:pPr>
              <w:pStyle w:val="yTableNAm"/>
              <w:jc w:val="center"/>
            </w:pPr>
            <w:r>
              <w:t>6</w:t>
            </w:r>
          </w:p>
        </w:tc>
        <w:tc>
          <w:tcPr>
            <w:tcW w:w="3402" w:type="dxa"/>
          </w:tcPr>
          <w:p>
            <w:pPr>
              <w:pStyle w:val="yTableNAm"/>
            </w:pPr>
            <w:r>
              <w:t>Saturday</w:t>
            </w:r>
          </w:p>
        </w:tc>
      </w:tr>
      <w:tr>
        <w:tc>
          <w:tcPr>
            <w:tcW w:w="3402" w:type="dxa"/>
          </w:tcPr>
          <w:p>
            <w:pPr>
              <w:pStyle w:val="yTableNAm"/>
              <w:jc w:val="center"/>
            </w:pPr>
            <w:r>
              <w:t>7</w:t>
            </w:r>
          </w:p>
        </w:tc>
        <w:tc>
          <w:tcPr>
            <w:tcW w:w="3402" w:type="dxa"/>
          </w:tcPr>
          <w:p>
            <w:pPr>
              <w:pStyle w:val="yTableNAm"/>
            </w:pPr>
            <w:r>
              <w:t>Sunday</w:t>
            </w:r>
          </w:p>
        </w:tc>
      </w:tr>
      <w:tr>
        <w:tc>
          <w:tcPr>
            <w:tcW w:w="3402" w:type="dxa"/>
          </w:tcPr>
          <w:p>
            <w:pPr>
              <w:pStyle w:val="yTableNAm"/>
              <w:jc w:val="center"/>
            </w:pPr>
            <w:r>
              <w:t>8</w:t>
            </w:r>
          </w:p>
        </w:tc>
        <w:tc>
          <w:tcPr>
            <w:tcW w:w="3402" w:type="dxa"/>
          </w:tcPr>
          <w:p>
            <w:pPr>
              <w:pStyle w:val="yTableNAm"/>
            </w:pPr>
            <w:r>
              <w:t>Monday</w:t>
            </w:r>
          </w:p>
        </w:tc>
      </w:tr>
      <w:tr>
        <w:tc>
          <w:tcPr>
            <w:tcW w:w="3402" w:type="dxa"/>
          </w:tcPr>
          <w:p>
            <w:pPr>
              <w:pStyle w:val="yTableNAm"/>
              <w:jc w:val="center"/>
            </w:pPr>
            <w:r>
              <w:t>9</w:t>
            </w:r>
          </w:p>
        </w:tc>
        <w:tc>
          <w:tcPr>
            <w:tcW w:w="3402" w:type="dxa"/>
          </w:tcPr>
          <w:p>
            <w:pPr>
              <w:pStyle w:val="yTableNAm"/>
            </w:pPr>
            <w:r>
              <w:t>Tuesday</w:t>
            </w:r>
          </w:p>
        </w:tc>
      </w:tr>
      <w:tr>
        <w:tc>
          <w:tcPr>
            <w:tcW w:w="3402" w:type="dxa"/>
          </w:tcPr>
          <w:p>
            <w:pPr>
              <w:pStyle w:val="yTableNAm"/>
              <w:jc w:val="center"/>
            </w:pPr>
            <w:r>
              <w:t>0</w:t>
            </w:r>
          </w:p>
        </w:tc>
        <w:tc>
          <w:tcPr>
            <w:tcW w:w="3402" w:type="dxa"/>
          </w:tcPr>
          <w:p>
            <w:pPr>
              <w:pStyle w:val="yTableNAm"/>
            </w:pPr>
            <w:r>
              <w:t>Wednesday</w:t>
            </w:r>
          </w:p>
        </w:tc>
      </w:tr>
    </w:tbl>
    <w:p/>
    <w:p>
      <w:pPr>
        <w:sectPr>
          <w:headerReference w:type="even" r:id="rId31"/>
          <w:headerReference w:type="default" r:id="rId32"/>
          <w:endnotePr>
            <w:numFmt w:val="decimal"/>
          </w:endnotePr>
          <w:pgSz w:w="11907" w:h="16840" w:code="9"/>
          <w:pgMar w:top="2381" w:right="2410" w:bottom="3544" w:left="2410" w:header="720" w:footer="3380" w:gutter="0"/>
          <w:cols w:space="720"/>
          <w:docGrid w:linePitch="326"/>
        </w:sectPr>
      </w:pPr>
    </w:p>
    <w:p>
      <w:pPr>
        <w:pStyle w:val="nHeading2"/>
      </w:pPr>
      <w:bookmarkStart w:id="260" w:name="_Toc257639339"/>
      <w:bookmarkStart w:id="261" w:name="_Toc257643345"/>
      <w:r>
        <w:t>Notes</w:t>
      </w:r>
      <w:bookmarkEnd w:id="196"/>
      <w:bookmarkEnd w:id="197"/>
      <w:bookmarkEnd w:id="198"/>
      <w:bookmarkEnd w:id="260"/>
      <w:bookmarkEnd w:id="261"/>
    </w:p>
    <w:p>
      <w:pPr>
        <w:pStyle w:val="nSubsection"/>
        <w:rPr>
          <w:snapToGrid w:val="0"/>
        </w:rPr>
      </w:pPr>
      <w:r>
        <w:rPr>
          <w:snapToGrid w:val="0"/>
          <w:vertAlign w:val="superscript"/>
        </w:rPr>
        <w:t>1</w:t>
      </w:r>
      <w:r>
        <w:rPr>
          <w:snapToGrid w:val="0"/>
        </w:rPr>
        <w:tab/>
        <w:t xml:space="preserve">This is a compilation of the </w:t>
      </w:r>
      <w:r>
        <w:rPr>
          <w:i/>
        </w:rPr>
        <w:t>Water Agencies (Water Use) By-laws 2010.</w:t>
      </w:r>
      <w:r>
        <w:t xml:space="preserve">  </w:t>
      </w:r>
      <w:r>
        <w:rPr>
          <w:snapToGrid w:val="0"/>
        </w:rPr>
        <w:t>The following table contains information about those by-laws.</w:t>
      </w:r>
    </w:p>
    <w:p>
      <w:pPr>
        <w:pStyle w:val="nHeading3"/>
      </w:pPr>
      <w:bookmarkStart w:id="262" w:name="_Toc70311430"/>
      <w:bookmarkStart w:id="263" w:name="_Toc113695923"/>
      <w:bookmarkStart w:id="264" w:name="_Toc257643346"/>
      <w:r>
        <w:t>Compilation table</w:t>
      </w:r>
      <w:bookmarkEnd w:id="262"/>
      <w:bookmarkEnd w:id="263"/>
      <w:bookmarkEnd w:id="26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Water Agencies (Water Use) By</w:t>
            </w:r>
            <w:r>
              <w:rPr>
                <w:i/>
                <w:sz w:val="19"/>
              </w:rPr>
              <w:noBreakHyphen/>
              <w:t xml:space="preserve">laws 2010 </w:t>
            </w:r>
          </w:p>
        </w:tc>
        <w:tc>
          <w:tcPr>
            <w:tcW w:w="1276" w:type="dxa"/>
          </w:tcPr>
          <w:p>
            <w:pPr>
              <w:pStyle w:val="nTable"/>
              <w:spacing w:after="40"/>
              <w:rPr>
                <w:sz w:val="19"/>
              </w:rPr>
            </w:pPr>
            <w:r>
              <w:rPr>
                <w:sz w:val="19"/>
              </w:rPr>
              <w:t>16 Mar 2010 p. 999-1031</w:t>
            </w:r>
          </w:p>
        </w:tc>
        <w:tc>
          <w:tcPr>
            <w:tcW w:w="2693" w:type="dxa"/>
          </w:tcPr>
          <w:p>
            <w:pPr>
              <w:pStyle w:val="nTable"/>
              <w:spacing w:after="40"/>
              <w:rPr>
                <w:sz w:val="19"/>
              </w:rPr>
            </w:pPr>
            <w:r>
              <w:rPr>
                <w:sz w:val="19"/>
              </w:rPr>
              <w:t>bl. 1 and 2: 16 Mar 2010 (see bl. 2(a));</w:t>
            </w:r>
            <w:r>
              <w:rPr>
                <w:sz w:val="19"/>
              </w:rPr>
              <w:br/>
              <w:t>By-laws other than bl. 1 and 2: 1 Apr 2010 (see bl. 2(b))</w:t>
            </w:r>
          </w:p>
        </w:tc>
      </w:tr>
    </w:tbl>
    <w:p>
      <w:bookmarkStart w:id="265" w:name="AutoSch"/>
      <w:bookmarkEnd w:id="265"/>
    </w:p>
    <w:p>
      <w:pPr>
        <w:sectPr>
          <w:headerReference w:type="even" r:id="rId33"/>
          <w:headerReference w:type="default" r:id="rId34"/>
          <w:headerReference w:type="first" r:id="rId35"/>
          <w:endnotePr>
            <w:numFmt w:val="decimal"/>
          </w:endnotePr>
          <w:pgSz w:w="11906" w:h="16838" w:code="9"/>
          <w:pgMar w:top="2376" w:right="2404" w:bottom="3544" w:left="2404" w:header="720" w:footer="3380" w:gutter="0"/>
          <w:cols w:space="720"/>
          <w:noEndnote/>
          <w:docGrid w:linePitch="326"/>
        </w:sectPr>
      </w:pPr>
    </w:p>
    <w:p/>
    <w:sectPr>
      <w:headerReference w:type="even" r:id="rId3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Agencies (Water Use) By-laws 2010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fldSimple w:instr=" styleref CharSDivText ">
            <w:r>
              <w:rPr>
                <w:noProof/>
              </w:rPr>
              <w:t>Saving and transitional provisions for the Water Agencies (Water Use) By-laws 2007</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7</w:instrText>
            </w:r>
          </w:fldSimple>
          <w:r>
            <w:instrText>"</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Maps showing Areas 1, 2, 3 and 4</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6</w:instrText>
            </w:r>
          </w:fldSimple>
          <w:r>
            <w:instrText>"</w:instrTex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Maps showing Areas 1, 2, 3 and 4</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7</w:instrText>
            </w:r>
          </w:fldSimple>
          <w:r>
            <w:instrText>"</w:instrTex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c>
        <w:tcPr>
          <w:tcW w:w="5715" w:type="dxa"/>
        </w:tcPr>
        <w:p>
          <w:pPr>
            <w:pStyle w:val="HeaderTextLeft"/>
          </w:pPr>
          <w:fldSimple w:instr=" styleref CharSchText ">
            <w:r>
              <w:rPr>
                <w:noProof/>
              </w:rPr>
              <w:t>Stages of restrictions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Stages of restrictions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bl.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bl.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fldSimple w:instr=" styleref CharSDivText ">
            <w:r>
              <w:rPr>
                <w:noProof/>
              </w:rPr>
              <w:t>Saving and transitional provisions for the Water Agencies (Water Use) By-laws 2007</w:t>
            </w:r>
          </w:fldSimple>
        </w:p>
      </w:tc>
    </w:tr>
    <w:tr>
      <w:tc>
        <w:tcPr>
          <w:tcW w:w="1548" w:type="dxa"/>
        </w:tcPr>
        <w:p>
          <w:pPr>
            <w:pStyle w:val="HeaderNumberLeft"/>
          </w:pP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7</w:instrText>
            </w:r>
          </w:fldSimple>
          <w:r>
            <w:instrText>"</w:instrTex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8B76CFA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89B20E2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jpeg"/><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jpeg"/><Relationship Id="rId33" Type="http://schemas.openxmlformats.org/officeDocument/2006/relationships/header" Target="head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6059</Words>
  <Characters>29025</Characters>
  <Application>Microsoft Office Word</Application>
  <DocSecurity>0</DocSecurity>
  <Lines>879</Lines>
  <Paragraphs>575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34509</CharactersWithSpaces>
  <SharedDoc>false</SharedDoc>
  <HLinks>
    <vt:vector size="12" baseType="variant">
      <vt:variant>
        <vt:i4>4915294</vt:i4>
      </vt:variant>
      <vt:variant>
        <vt:i4>25838</vt:i4>
      </vt:variant>
      <vt:variant>
        <vt:i4>1025</vt:i4>
      </vt:variant>
      <vt:variant>
        <vt:i4>1</vt:i4>
      </vt:variant>
      <vt:variant>
        <vt:lpwstr>WCStage6.jpg</vt:lpwstr>
      </vt:variant>
      <vt:variant>
        <vt:lpwstr/>
      </vt:variant>
      <vt:variant>
        <vt:i4>4128809</vt:i4>
      </vt:variant>
      <vt:variant>
        <vt:i4>25840</vt:i4>
      </vt:variant>
      <vt:variant>
        <vt:i4>1026</vt:i4>
      </vt:variant>
      <vt:variant>
        <vt:i4>1</vt:i4>
      </vt:variant>
      <vt:variant>
        <vt:lpwstr>WCStage6_SW3_4.jpg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2010 - 00-b0-02</dc:title>
  <dc:subject/>
  <dc:creator/>
  <cp:keywords/>
  <dc:description/>
  <cp:lastModifiedBy>svcMRProcess</cp:lastModifiedBy>
  <cp:revision>4</cp:revision>
  <cp:lastPrinted>2010-03-15T05:34:00Z</cp:lastPrinted>
  <dcterms:created xsi:type="dcterms:W3CDTF">2018-09-18T03:36:00Z</dcterms:created>
  <dcterms:modified xsi:type="dcterms:W3CDTF">2018-09-18T03:36:00Z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CommencementDate">
    <vt:lpwstr>20100401</vt:lpwstr>
  </property>
  <property fmtid="{D5CDD505-2E9C-101B-9397-08002B2CF9AE}" pid="4" name="DocumentType">
    <vt:lpwstr>Reg</vt:lpwstr>
  </property>
  <property fmtid="{D5CDD505-2E9C-101B-9397-08002B2CF9AE}" pid="5" name="AsAtDate">
    <vt:lpwstr>01 Apr 2010</vt:lpwstr>
  </property>
  <property fmtid="{D5CDD505-2E9C-101B-9397-08002B2CF9AE}" pid="6" name="Suffix">
    <vt:lpwstr>00-b0-02</vt:lpwstr>
  </property>
  <property fmtid="{D5CDD505-2E9C-101B-9397-08002B2CF9AE}" pid="7" name="OwlsUID">
    <vt:i4>42426</vt:i4>
  </property>
</Properties>
</file>