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 April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_Toc389658253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_Toc389658254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_Toc389658255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_Toc389658258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_Toc389658259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_Toc389658261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_Toc389658262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_Toc389658263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_Toc389658265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_Toc389658266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_Toc389658267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_Toc389658268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_Toc389658269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_Toc389658270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_Toc389658271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_Toc389658272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_Toc389658273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_Toc389658274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_Toc389658275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_Toc389658276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_Toc389658277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_Toc389658278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_Toc389658279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_Toc389658280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_Toc389658281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_Toc389658283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_Toc389658284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_Toc389658285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_Toc389658286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_Toc389658287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_Toc389658289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_Toc389658291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_Toc389658292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_Toc389658293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_Toc389658294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_Toc389658295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_Toc389658297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_Toc389658298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_Toc389658299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_Toc389658300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_Toc389658302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_Toc389658303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_Toc389658304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_Toc389658305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_Toc389658306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_Toc389658308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_Toc389658310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_Toc389658313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_Toc389658315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_Toc389658316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_Toc389658317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_Toc389658318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_Toc389658319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_Toc389658320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_Toc389658321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_Toc389658322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_Toc389658323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_Toc389658325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_Toc389658326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_Toc389658328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_Toc389658330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_Toc389658331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_Toc389658332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_Toc389658333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_Toc389658334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_Toc389658335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_Toc389658336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_Toc389658338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_Toc389658339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_Toc389658340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_Toc389658341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_Toc389658342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_Toc389658343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_Toc389658344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_Toc389658345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_Toc389658346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_Toc389658347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_Toc389658348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_Toc389658350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_Toc389658351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_Toc389658352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_Toc389658353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_Toc389658354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_Toc389658355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_Toc389658356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_Toc389658357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_Toc389658358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_Toc389658359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_Toc389658360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_Toc389658361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_Toc389658362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_Toc389658365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_Toc389658366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_Toc389658368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_Toc389658369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_Toc389658370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_Toc389658372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_Toc389658373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_Toc389658374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_Toc389658375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_Toc389658377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_Toc389658378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_Toc389658379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_Toc389658382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_Toc389658383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_Toc389658385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_Toc389658386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_Toc389658387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_Toc389658388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_Toc389658389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_Toc389658390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_Toc389658391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_Toc389658392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_Toc389658393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_Toc389658395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_Toc389658396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_Toc389658397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_Toc389658398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_Toc389658399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_Toc389658401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_Toc389658402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_Toc389658403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_Toc389658404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_Toc389658405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_Toc389658406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_Toc389658407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_Toc389658408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_Toc389658409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_Toc389658411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_Toc389658412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_Toc389658413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_Toc389658414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_Toc389658415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_Toc389658416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_Toc389658417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_Toc389658418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_Toc389658419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_Toc389658420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_Toc389658422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_Toc389658423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_Toc389658424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_Toc389658425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_Toc389658426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_Toc389658431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_Toc389658432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_Toc389658433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_Toc389658435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_Toc389658436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_Toc389658438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9</w:t>
            </w:r>
            <w:r>
              <w:rPr>
                <w:b/>
                <w:snapToGrid w:val="0"/>
                <w:sz w:val="22"/>
              </w:rPr>
              <w:t xml:space="preserve"> April 2010</w:t>
            </w:r>
          </w:p>
        </w:tc>
      </w:tr>
    </w:tbl>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252"/>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9658253"/>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89658254"/>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89658255"/>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89658256"/>
      <w:r>
        <w:rPr>
          <w:rStyle w:val="CharPartNo"/>
        </w:rPr>
        <w:t>Part 2</w:t>
      </w:r>
      <w:r>
        <w:t> — </w:t>
      </w:r>
      <w:r>
        <w:rPr>
          <w:rStyle w:val="CharPartText"/>
        </w:rPr>
        <w:t>Licensing of electricity supply</w:t>
      </w:r>
      <w:bookmarkEnd w:id="5"/>
    </w:p>
    <w:p>
      <w:pPr>
        <w:pStyle w:val="Heading3"/>
      </w:pPr>
      <w:bookmarkStart w:id="6" w:name="_Toc389658257"/>
      <w:r>
        <w:rPr>
          <w:rStyle w:val="CharDivNo"/>
        </w:rPr>
        <w:t>Division 1</w:t>
      </w:r>
      <w:r>
        <w:t> — </w:t>
      </w:r>
      <w:r>
        <w:rPr>
          <w:rStyle w:val="CharDivText"/>
        </w:rPr>
        <w:t>Licence classification and area</w:t>
      </w:r>
      <w:bookmarkEnd w:id="6"/>
    </w:p>
    <w:p>
      <w:pPr>
        <w:pStyle w:val="Heading5"/>
      </w:pPr>
      <w:bookmarkStart w:id="7" w:name="_Toc389658258"/>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89658259"/>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89658260"/>
      <w:r>
        <w:rPr>
          <w:rStyle w:val="CharDivNo"/>
        </w:rPr>
        <w:t>Division 2</w:t>
      </w:r>
      <w:r>
        <w:t> — </w:t>
      </w:r>
      <w:r>
        <w:rPr>
          <w:rStyle w:val="CharDivText"/>
        </w:rPr>
        <w:t>Licensing requirements</w:t>
      </w:r>
      <w:bookmarkEnd w:id="9"/>
    </w:p>
    <w:p>
      <w:pPr>
        <w:pStyle w:val="Heading5"/>
        <w:spacing w:before="240"/>
      </w:pPr>
      <w:bookmarkStart w:id="10" w:name="_Toc389658261"/>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89658262"/>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89658263"/>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89658264"/>
      <w:r>
        <w:rPr>
          <w:rStyle w:val="CharDivNo"/>
        </w:rPr>
        <w:t>Division 3</w:t>
      </w:r>
      <w:r>
        <w:t> — </w:t>
      </w:r>
      <w:r>
        <w:rPr>
          <w:rStyle w:val="CharDivText"/>
        </w:rPr>
        <w:t>General licensing provisions</w:t>
      </w:r>
      <w:bookmarkEnd w:id="13"/>
    </w:p>
    <w:p>
      <w:pPr>
        <w:pStyle w:val="Heading5"/>
      </w:pPr>
      <w:bookmarkStart w:id="14" w:name="_Toc389658265"/>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89658266"/>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89658267"/>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89658268"/>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89658269"/>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89658270"/>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89658271"/>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89658272"/>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89658273"/>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89658274"/>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89658275"/>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89658276"/>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89658277"/>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89658278"/>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89658279"/>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89658280"/>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89658281"/>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89658282"/>
      <w:r>
        <w:rPr>
          <w:rStyle w:val="CharDivNo"/>
        </w:rPr>
        <w:t>Division 4</w:t>
      </w:r>
      <w:r>
        <w:t> — </w:t>
      </w:r>
      <w:r>
        <w:rPr>
          <w:rStyle w:val="CharDivText"/>
        </w:rPr>
        <w:t>Exclusive licences</w:t>
      </w:r>
      <w:bookmarkEnd w:id="31"/>
    </w:p>
    <w:p>
      <w:pPr>
        <w:pStyle w:val="Heading5"/>
      </w:pPr>
      <w:bookmarkStart w:id="32" w:name="_Toc389658283"/>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89658284"/>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89658285"/>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89658286"/>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89658287"/>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89658288"/>
      <w:r>
        <w:rPr>
          <w:rStyle w:val="CharDivNo"/>
        </w:rPr>
        <w:t>Division 5</w:t>
      </w:r>
      <w:r>
        <w:t> — </w:t>
      </w:r>
      <w:r>
        <w:rPr>
          <w:rStyle w:val="CharDivText"/>
        </w:rPr>
        <w:t>Interruption of supply</w:t>
      </w:r>
      <w:bookmarkEnd w:id="37"/>
    </w:p>
    <w:p>
      <w:pPr>
        <w:pStyle w:val="Heading5"/>
        <w:spacing w:before="240"/>
      </w:pPr>
      <w:bookmarkStart w:id="38" w:name="_Toc389658289"/>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89658290"/>
      <w:r>
        <w:rPr>
          <w:rStyle w:val="CharDivNo"/>
        </w:rPr>
        <w:t>Division 6</w:t>
      </w:r>
      <w:r>
        <w:t> — </w:t>
      </w:r>
      <w:r>
        <w:rPr>
          <w:rStyle w:val="CharDivText"/>
        </w:rPr>
        <w:t>Enforcement</w:t>
      </w:r>
      <w:bookmarkEnd w:id="39"/>
    </w:p>
    <w:p>
      <w:pPr>
        <w:pStyle w:val="Heading5"/>
      </w:pPr>
      <w:bookmarkStart w:id="40" w:name="_Toc389658291"/>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89658292"/>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89658293"/>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89658294"/>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89658295"/>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89658296"/>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89658297"/>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89658298"/>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89658299"/>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89658300"/>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89658301"/>
      <w:r>
        <w:rPr>
          <w:rStyle w:val="CharDivNo"/>
        </w:rPr>
        <w:t>Division 8</w:t>
      </w:r>
      <w:r>
        <w:t> — </w:t>
      </w:r>
      <w:r>
        <w:rPr>
          <w:rStyle w:val="CharDivText"/>
        </w:rPr>
        <w:t>Powers in relation to land</w:t>
      </w:r>
      <w:bookmarkEnd w:id="50"/>
    </w:p>
    <w:p>
      <w:pPr>
        <w:pStyle w:val="Heading5"/>
      </w:pPr>
      <w:bookmarkStart w:id="51" w:name="_Toc389658302"/>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89658303"/>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89658304"/>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89658305"/>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89658306"/>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89658307"/>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89658308"/>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89658309"/>
      <w:r>
        <w:rPr>
          <w:rStyle w:val="CharDivNo"/>
        </w:rPr>
        <w:t>Division 10</w:t>
      </w:r>
      <w:r>
        <w:t> — </w:t>
      </w:r>
      <w:r>
        <w:rPr>
          <w:rStyle w:val="CharDivText"/>
        </w:rPr>
        <w:t>Transitional provision</w:t>
      </w:r>
      <w:bookmarkEnd w:id="58"/>
    </w:p>
    <w:p>
      <w:pPr>
        <w:pStyle w:val="Heading5"/>
      </w:pPr>
      <w:bookmarkStart w:id="59" w:name="_Toc389658310"/>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89658311"/>
      <w:r>
        <w:rPr>
          <w:rStyle w:val="CharPartNo"/>
        </w:rPr>
        <w:t>Part 3</w:t>
      </w:r>
      <w:r>
        <w:t> — </w:t>
      </w:r>
      <w:r>
        <w:rPr>
          <w:rStyle w:val="CharPartText"/>
        </w:rPr>
        <w:t>Supply of electricity to certain customers</w:t>
      </w:r>
      <w:bookmarkEnd w:id="60"/>
    </w:p>
    <w:p>
      <w:pPr>
        <w:pStyle w:val="Heading3"/>
      </w:pPr>
      <w:bookmarkStart w:id="61" w:name="_Toc389658312"/>
      <w:r>
        <w:rPr>
          <w:rStyle w:val="CharDivNo"/>
        </w:rPr>
        <w:t>Division 1</w:t>
      </w:r>
      <w:r>
        <w:t> — </w:t>
      </w:r>
      <w:r>
        <w:rPr>
          <w:rStyle w:val="CharDivText"/>
        </w:rPr>
        <w:t>Preliminary</w:t>
      </w:r>
      <w:bookmarkEnd w:id="61"/>
    </w:p>
    <w:p>
      <w:pPr>
        <w:pStyle w:val="Heading5"/>
      </w:pPr>
      <w:bookmarkStart w:id="62" w:name="_Toc389658313"/>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89658314"/>
      <w:r>
        <w:rPr>
          <w:rStyle w:val="CharDivNo"/>
        </w:rPr>
        <w:t>Division 2</w:t>
      </w:r>
      <w:r>
        <w:t> — </w:t>
      </w:r>
      <w:r>
        <w:rPr>
          <w:rStyle w:val="CharDivText"/>
        </w:rPr>
        <w:t>Supply contracts</w:t>
      </w:r>
      <w:bookmarkEnd w:id="63"/>
    </w:p>
    <w:p>
      <w:pPr>
        <w:pStyle w:val="Heading5"/>
      </w:pPr>
      <w:bookmarkStart w:id="64" w:name="_Toc389658315"/>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89658316"/>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89658317"/>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89658318"/>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89658319"/>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89658320"/>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89658321"/>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89658322"/>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89658323"/>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89658324"/>
      <w:r>
        <w:rPr>
          <w:rStyle w:val="CharDivNo"/>
        </w:rPr>
        <w:t>Division 3</w:t>
      </w:r>
      <w:r>
        <w:t> — </w:t>
      </w:r>
      <w:r>
        <w:rPr>
          <w:rStyle w:val="CharDivText"/>
        </w:rPr>
        <w:t>Connection to distribution system</w:t>
      </w:r>
      <w:bookmarkEnd w:id="73"/>
    </w:p>
    <w:p>
      <w:pPr>
        <w:pStyle w:val="Heading5"/>
      </w:pPr>
      <w:bookmarkStart w:id="74" w:name="_Toc389658325"/>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89658326"/>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89658327"/>
      <w:r>
        <w:rPr>
          <w:rStyle w:val="CharDivNo"/>
        </w:rPr>
        <w:t>Division 4</w:t>
      </w:r>
      <w:r>
        <w:t> — </w:t>
      </w:r>
      <w:r>
        <w:rPr>
          <w:rStyle w:val="CharDivText"/>
        </w:rPr>
        <w:t>Default supplier</w:t>
      </w:r>
      <w:bookmarkEnd w:id="76"/>
    </w:p>
    <w:p>
      <w:pPr>
        <w:pStyle w:val="Heading5"/>
      </w:pPr>
      <w:bookmarkStart w:id="77" w:name="_Toc389658328"/>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89658329"/>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89658330"/>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89658331"/>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89658332"/>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89658333"/>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89658334"/>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89658335"/>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89658336"/>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89658337"/>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89658338"/>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89658339"/>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89658340"/>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89658341"/>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89658342"/>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89658343"/>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89658344"/>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89658345"/>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89658346"/>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89658347"/>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89658348"/>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89658349"/>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89658350"/>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89658351"/>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89658352"/>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89658353"/>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03" w:name="_Toc389658354"/>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89658355"/>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89658356"/>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89658357"/>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89658358"/>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89658359"/>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89658360"/>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89658361"/>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89658362"/>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89658363"/>
      <w:r>
        <w:rPr>
          <w:rStyle w:val="CharPartNo"/>
        </w:rPr>
        <w:t>Part 7</w:t>
      </w:r>
      <w:r>
        <w:t> — </w:t>
      </w:r>
      <w:r>
        <w:rPr>
          <w:rStyle w:val="CharPartText"/>
        </w:rPr>
        <w:t>Electricity ombudsman scheme</w:t>
      </w:r>
      <w:bookmarkEnd w:id="112"/>
    </w:p>
    <w:p>
      <w:pPr>
        <w:pStyle w:val="Heading3"/>
      </w:pPr>
      <w:bookmarkStart w:id="113" w:name="_Toc389658364"/>
      <w:r>
        <w:rPr>
          <w:rStyle w:val="CharDivNo"/>
        </w:rPr>
        <w:t>Division 1</w:t>
      </w:r>
      <w:r>
        <w:t> — </w:t>
      </w:r>
      <w:r>
        <w:rPr>
          <w:rStyle w:val="CharDivText"/>
        </w:rPr>
        <w:t>Preliminary</w:t>
      </w:r>
      <w:bookmarkEnd w:id="113"/>
    </w:p>
    <w:p>
      <w:pPr>
        <w:pStyle w:val="Heading5"/>
      </w:pPr>
      <w:bookmarkStart w:id="114" w:name="_Toc389658365"/>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89658366"/>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89658367"/>
      <w:r>
        <w:rPr>
          <w:rStyle w:val="CharDivNo"/>
        </w:rPr>
        <w:t>Division 2</w:t>
      </w:r>
      <w:r>
        <w:t> — </w:t>
      </w:r>
      <w:r>
        <w:rPr>
          <w:rStyle w:val="CharDivText"/>
        </w:rPr>
        <w:t>Approval of electricity ombudsman scheme</w:t>
      </w:r>
      <w:bookmarkEnd w:id="116"/>
    </w:p>
    <w:p>
      <w:pPr>
        <w:pStyle w:val="Heading5"/>
      </w:pPr>
      <w:bookmarkStart w:id="117" w:name="_Toc389658368"/>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89658369"/>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89658370"/>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89658371"/>
      <w:r>
        <w:rPr>
          <w:rStyle w:val="CharDivNo"/>
        </w:rPr>
        <w:t>Division 3</w:t>
      </w:r>
      <w:r>
        <w:t> — </w:t>
      </w:r>
      <w:r>
        <w:rPr>
          <w:rStyle w:val="CharDivText"/>
        </w:rPr>
        <w:t>Scheme operation</w:t>
      </w:r>
      <w:bookmarkEnd w:id="120"/>
    </w:p>
    <w:p>
      <w:pPr>
        <w:pStyle w:val="Heading5"/>
      </w:pPr>
      <w:bookmarkStart w:id="121" w:name="_Toc389658372"/>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89658373"/>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89658374"/>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89658375"/>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89658376"/>
      <w:r>
        <w:rPr>
          <w:rStyle w:val="CharDivNo"/>
        </w:rPr>
        <w:t>Division 4</w:t>
      </w:r>
      <w:r>
        <w:t> — </w:t>
      </w:r>
      <w:r>
        <w:rPr>
          <w:rStyle w:val="CharDivText"/>
        </w:rPr>
        <w:t>Membership of approved scheme by licensee</w:t>
      </w:r>
      <w:bookmarkEnd w:id="125"/>
    </w:p>
    <w:p>
      <w:pPr>
        <w:pStyle w:val="Heading5"/>
        <w:spacing w:before="180"/>
      </w:pPr>
      <w:bookmarkStart w:id="126" w:name="_Toc389658377"/>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89658378"/>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89658379"/>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89658380"/>
      <w:r>
        <w:rPr>
          <w:rStyle w:val="CharPartNo"/>
        </w:rPr>
        <w:t>Part 8</w:t>
      </w:r>
      <w:r>
        <w:t> — </w:t>
      </w:r>
      <w:r>
        <w:rPr>
          <w:rStyle w:val="CharPartText"/>
        </w:rPr>
        <w:t>Access to services of network infrastructure facilities</w:t>
      </w:r>
      <w:bookmarkEnd w:id="129"/>
    </w:p>
    <w:p>
      <w:pPr>
        <w:pStyle w:val="Heading3"/>
      </w:pPr>
      <w:bookmarkStart w:id="130" w:name="_Toc389658381"/>
      <w:r>
        <w:rPr>
          <w:rStyle w:val="CharDivNo"/>
        </w:rPr>
        <w:t>Division 1</w:t>
      </w:r>
      <w:r>
        <w:t> — </w:t>
      </w:r>
      <w:r>
        <w:rPr>
          <w:rStyle w:val="CharDivText"/>
        </w:rPr>
        <w:t>Preliminary</w:t>
      </w:r>
      <w:bookmarkEnd w:id="130"/>
    </w:p>
    <w:p>
      <w:pPr>
        <w:pStyle w:val="Heading5"/>
      </w:pPr>
      <w:bookmarkStart w:id="131" w:name="_Toc389658382"/>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89658383"/>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89658384"/>
      <w:r>
        <w:rPr>
          <w:rStyle w:val="CharDivNo"/>
        </w:rPr>
        <w:t>Division 2</w:t>
      </w:r>
      <w:r>
        <w:t> — </w:t>
      </w:r>
      <w:r>
        <w:rPr>
          <w:rStyle w:val="CharDivText"/>
        </w:rPr>
        <w:t>Establishment of Code</w:t>
      </w:r>
      <w:bookmarkEnd w:id="133"/>
    </w:p>
    <w:p>
      <w:pPr>
        <w:pStyle w:val="Heading5"/>
      </w:pPr>
      <w:bookmarkStart w:id="134" w:name="_Toc389658385"/>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89658386"/>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89658387"/>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89658388"/>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89658389"/>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89658390"/>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89658391"/>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89658392"/>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89658393"/>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89658394"/>
      <w:r>
        <w:rPr>
          <w:rStyle w:val="CharDivNo"/>
        </w:rPr>
        <w:t>Division 3</w:t>
      </w:r>
      <w:r>
        <w:t> — </w:t>
      </w:r>
      <w:r>
        <w:rPr>
          <w:rStyle w:val="CharDivText"/>
        </w:rPr>
        <w:t>Enforcement</w:t>
      </w:r>
      <w:bookmarkEnd w:id="143"/>
    </w:p>
    <w:p>
      <w:pPr>
        <w:pStyle w:val="Heading5"/>
      </w:pPr>
      <w:bookmarkStart w:id="144" w:name="_Toc389658395"/>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89658396"/>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89658397"/>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89658398"/>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89658399"/>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89658400"/>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89658401"/>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89658402"/>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89658403"/>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89658404"/>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89658405"/>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89658406"/>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89658407"/>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89658408"/>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89658409"/>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89658410"/>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89658411"/>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89658412"/>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89658413"/>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89658414"/>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89658415"/>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89658416"/>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89658417"/>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89658418"/>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89658419"/>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89658420"/>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89658421"/>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89658422"/>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89658423"/>
      <w:r>
        <w:rPr>
          <w:rStyle w:val="CharSectno"/>
        </w:rPr>
        <w:t>131</w:t>
      </w:r>
      <w:r>
        <w:t>.</w:t>
      </w:r>
      <w:r>
        <w:tab/>
        <w:t>Regulations</w:t>
      </w:r>
      <w:bookmarkEnd w:id="1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389658424"/>
      <w:r>
        <w:rPr>
          <w:rStyle w:val="CharSectno"/>
        </w:rPr>
        <w:t>132</w:t>
      </w:r>
      <w:r>
        <w:t>.</w:t>
      </w:r>
      <w:r>
        <w:tab/>
        <w:t>Regulations as to fees and charges for supply and services</w:t>
      </w:r>
      <w:bookmarkEnd w:id="1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4" w:name="_Toc389658425"/>
      <w:r>
        <w:rPr>
          <w:rStyle w:val="CharSectno"/>
        </w:rPr>
        <w:t>133</w:t>
      </w:r>
      <w:r>
        <w:t>.</w:t>
      </w:r>
      <w:r>
        <w:tab/>
        <w:t>Regulations as to fees and charges for functions of arbitrator and Board</w:t>
      </w:r>
      <w:bookmarkEnd w:id="1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5" w:name="_Toc389658426"/>
      <w:r>
        <w:rPr>
          <w:rStyle w:val="CharSectno"/>
        </w:rPr>
        <w:t>134</w:t>
      </w:r>
      <w:r>
        <w:t>.</w:t>
      </w:r>
      <w:r>
        <w:tab/>
        <w:t>Regulations as to excluding Corporations legislation</w:t>
      </w:r>
      <w:bookmarkEnd w:id="1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 w:name="_Toc389658427"/>
      <w:r>
        <w:rPr>
          <w:rStyle w:val="CharSchNo"/>
        </w:rPr>
        <w:t>Schedule 1</w:t>
      </w:r>
      <w:r>
        <w:t> — </w:t>
      </w:r>
      <w:r>
        <w:rPr>
          <w:rStyle w:val="CharSchText"/>
        </w:rPr>
        <w:t>Licence terms and conditions</w:t>
      </w:r>
      <w:bookmarkEnd w:id="176"/>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177" w:name="_Toc389658428"/>
      <w:r>
        <w:rPr>
          <w:rStyle w:val="CharSchNo"/>
        </w:rPr>
        <w:t>Schedule 2</w:t>
      </w:r>
      <w:r>
        <w:t xml:space="preserve"> — </w:t>
      </w:r>
      <w:r>
        <w:rPr>
          <w:rStyle w:val="CharSchText"/>
        </w:rPr>
        <w:t>Objectives to be met by the electricity ombudsman scheme</w:t>
      </w:r>
      <w:bookmarkEnd w:id="177"/>
    </w:p>
    <w:p>
      <w:pPr>
        <w:pStyle w:val="yShoulderClause"/>
      </w:pPr>
      <w:r>
        <w:t>[s. 93]</w:t>
      </w:r>
    </w:p>
    <w:p>
      <w:pPr>
        <w:pStyle w:val="yMiscellaneousHeading"/>
        <w:tabs>
          <w:tab w:val="left" w:pos="910"/>
        </w:tabs>
        <w:ind w:left="960" w:hanging="960"/>
        <w:jc w:val="left"/>
        <w:rPr>
          <w:b/>
          <w:bCs/>
        </w:rPr>
      </w:pPr>
      <w:r>
        <w:rPr>
          <w:b/>
          <w:bCs/>
        </w:rPr>
        <w:tab/>
        <w:t>Objectives stated</w:t>
      </w:r>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78" w:name="_Toc389658429"/>
      <w:r>
        <w:rPr>
          <w:rStyle w:val="CharSchNo"/>
        </w:rPr>
        <w:t>Schedule 3</w:t>
      </w:r>
      <w:r>
        <w:t> — </w:t>
      </w:r>
      <w:r>
        <w:rPr>
          <w:rStyle w:val="CharSchText"/>
        </w:rPr>
        <w:t>Transitional provisions</w:t>
      </w:r>
      <w:bookmarkEnd w:id="178"/>
    </w:p>
    <w:p>
      <w:pPr>
        <w:pStyle w:val="yShoulderClause"/>
      </w:pPr>
      <w:r>
        <w:t>[s. 79, 81]</w:t>
      </w:r>
    </w:p>
    <w:p>
      <w:pPr>
        <w:pStyle w:val="yHeading3"/>
        <w:outlineLvl w:val="0"/>
      </w:pPr>
      <w:bookmarkStart w:id="179" w:name="_Toc389658430"/>
      <w:r>
        <w:rPr>
          <w:rStyle w:val="CharSDivNo"/>
        </w:rPr>
        <w:t>Division 1</w:t>
      </w:r>
      <w:r>
        <w:rPr>
          <w:b w:val="0"/>
        </w:rPr>
        <w:t> — </w:t>
      </w:r>
      <w:r>
        <w:rPr>
          <w:rStyle w:val="CharSDivText"/>
        </w:rPr>
        <w:t>Initial customer service code of conduct</w:t>
      </w:r>
      <w:bookmarkEnd w:id="179"/>
    </w:p>
    <w:p>
      <w:pPr>
        <w:pStyle w:val="yHeading5"/>
        <w:outlineLvl w:val="0"/>
      </w:pPr>
      <w:bookmarkStart w:id="180" w:name="_Toc389658431"/>
      <w:r>
        <w:rPr>
          <w:rStyle w:val="CharSClsNo"/>
        </w:rPr>
        <w:t>1</w:t>
      </w:r>
      <w:r>
        <w:t>.</w:t>
      </w:r>
      <w:r>
        <w:tab/>
        <w:t>Approval of initial customer service code of conduct</w:t>
      </w:r>
      <w:bookmarkEnd w:id="180"/>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1" w:name="_Toc389658432"/>
      <w:r>
        <w:rPr>
          <w:rStyle w:val="CharSClsNo"/>
        </w:rPr>
        <w:t>2</w:t>
      </w:r>
      <w:r>
        <w:t>.</w:t>
      </w:r>
      <w:r>
        <w:tab/>
        <w:t>Appointment of initial committee</w:t>
      </w:r>
      <w:bookmarkEnd w:id="181"/>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2" w:name="_Toc389658433"/>
      <w:r>
        <w:rPr>
          <w:rStyle w:val="CharSClsNo"/>
        </w:rPr>
        <w:t>3</w:t>
      </w:r>
      <w:r>
        <w:t>.</w:t>
      </w:r>
      <w:r>
        <w:tab/>
        <w:t>Regulations for transitional matters</w:t>
      </w:r>
      <w:bookmarkEnd w:id="18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3" w:name="_Toc389658434"/>
      <w:r>
        <w:rPr>
          <w:rStyle w:val="CharSDivNo"/>
        </w:rPr>
        <w:t>Division 2</w:t>
      </w:r>
      <w:r>
        <w:rPr>
          <w:b w:val="0"/>
        </w:rPr>
        <w:t> — </w:t>
      </w:r>
      <w:r>
        <w:rPr>
          <w:rStyle w:val="CharSDivText"/>
        </w:rPr>
        <w:t>Initial electricity ombudsman scheme</w:t>
      </w:r>
      <w:bookmarkEnd w:id="183"/>
    </w:p>
    <w:p>
      <w:pPr>
        <w:pStyle w:val="yHeading5"/>
        <w:outlineLvl w:val="0"/>
      </w:pPr>
      <w:bookmarkStart w:id="184" w:name="_Toc389658435"/>
      <w:r>
        <w:rPr>
          <w:rStyle w:val="CharSClsNo"/>
        </w:rPr>
        <w:t>4</w:t>
      </w:r>
      <w:r>
        <w:t>.</w:t>
      </w:r>
      <w:r>
        <w:tab/>
        <w:t>Approval of initial electricity ombudsman scheme</w:t>
      </w:r>
      <w:bookmarkEnd w:id="184"/>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5" w:name="_Toc389658436"/>
      <w:r>
        <w:rPr>
          <w:rStyle w:val="CharSClsNo"/>
        </w:rPr>
        <w:t>5</w:t>
      </w:r>
      <w:r>
        <w:t>.</w:t>
      </w:r>
      <w:r>
        <w:tab/>
        <w:t>Regulations for transitional matters</w:t>
      </w:r>
      <w:bookmarkEnd w:id="18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6" w:name="_Toc389658437"/>
      <w:r>
        <w:t>Notes</w:t>
      </w:r>
      <w:bookmarkEnd w:id="186"/>
    </w:p>
    <w:p>
      <w:pPr>
        <w:pStyle w:val="nSubsection"/>
        <w:rPr>
          <w:snapToGrid w:val="0"/>
        </w:rPr>
      </w:pPr>
      <w:r>
        <w:rPr>
          <w:snapToGrid w:val="0"/>
          <w:vertAlign w:val="superscript"/>
        </w:rPr>
        <w:t>1</w:t>
      </w:r>
      <w:r>
        <w:rPr>
          <w:snapToGrid w:val="0"/>
        </w:rPr>
        <w:tab/>
        <w:t xml:space="preserve">This reprint is a compilation as at 9 April 2010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7" w:name="_Toc389658438"/>
      <w:r>
        <w:rPr>
          <w:snapToGrid w:val="0"/>
        </w:rPr>
        <w:t>Compilation table</w:t>
      </w:r>
      <w:bookmarkEnd w:id="1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8" w:type="dxa"/>
          </w:tcPr>
          <w:p>
            <w:pPr>
              <w:pStyle w:val="nTable"/>
              <w:spacing w:after="40"/>
              <w:rPr>
                <w:i/>
                <w:snapToGrid w:val="0"/>
                <w:sz w:val="19"/>
              </w:rPr>
            </w:pPr>
            <w:r>
              <w:rPr>
                <w:i/>
                <w:sz w:val="19"/>
              </w:rPr>
              <w:t>Electricity Industry Amendment Act 2007</w:t>
            </w:r>
          </w:p>
        </w:tc>
        <w:tc>
          <w:tcPr>
            <w:tcW w:w="1134" w:type="dxa"/>
          </w:tcPr>
          <w:p>
            <w:pPr>
              <w:pStyle w:val="nTable"/>
              <w:spacing w:after="40"/>
              <w:rPr>
                <w:snapToGrid w:val="0"/>
                <w:sz w:val="19"/>
              </w:rPr>
            </w:pPr>
            <w:r>
              <w:rPr>
                <w:snapToGrid w:val="0"/>
                <w:sz w:val="19"/>
              </w:rPr>
              <w:t>32 of 2007</w:t>
            </w:r>
          </w:p>
        </w:tc>
        <w:tc>
          <w:tcPr>
            <w:tcW w:w="1134" w:type="dxa"/>
          </w:tcPr>
          <w:p>
            <w:pPr>
              <w:pStyle w:val="nTable"/>
              <w:spacing w:after="40"/>
              <w:rPr>
                <w:snapToGrid w:val="0"/>
                <w:sz w:val="19"/>
              </w:rPr>
            </w:pPr>
            <w:r>
              <w:rPr>
                <w:snapToGrid w:val="0"/>
                <w:sz w:val="19"/>
              </w:rPr>
              <w:t>21 Dec 2007</w:t>
            </w:r>
          </w:p>
        </w:tc>
        <w:tc>
          <w:tcPr>
            <w:tcW w:w="2552" w:type="dxa"/>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68" w:type="dxa"/>
          </w:tcPr>
          <w:p>
            <w:pPr>
              <w:pStyle w:val="nTable"/>
              <w:spacing w:after="40"/>
              <w:rPr>
                <w:i/>
                <w:sz w:val="19"/>
              </w:rPr>
            </w:pPr>
            <w:r>
              <w:rPr>
                <w:i/>
                <w:sz w:val="19"/>
              </w:rPr>
              <w:t>National Gas Access (WA) Act 2009</w:t>
            </w:r>
            <w:r>
              <w:rPr>
                <w:iCs/>
                <w:sz w:val="19"/>
              </w:rPr>
              <w:t xml:space="preserve"> Pt. 7 Div. 3</w:t>
            </w:r>
          </w:p>
        </w:tc>
        <w:tc>
          <w:tcPr>
            <w:tcW w:w="1134" w:type="dxa"/>
          </w:tcPr>
          <w:p>
            <w:pPr>
              <w:pStyle w:val="nTable"/>
              <w:spacing w:after="40"/>
              <w:rPr>
                <w:snapToGrid w:val="0"/>
                <w:sz w:val="19"/>
              </w:rPr>
            </w:pPr>
            <w:r>
              <w:rPr>
                <w:sz w:val="19"/>
              </w:rPr>
              <w:t>16 of 2009</w:t>
            </w:r>
          </w:p>
        </w:tc>
        <w:tc>
          <w:tcPr>
            <w:tcW w:w="1134" w:type="dxa"/>
          </w:tcPr>
          <w:p>
            <w:pPr>
              <w:pStyle w:val="nTable"/>
              <w:spacing w:after="40"/>
              <w:rPr>
                <w:snapToGrid w:val="0"/>
                <w:sz w:val="19"/>
              </w:rPr>
            </w:pPr>
            <w:r>
              <w:rPr>
                <w:sz w:val="19"/>
              </w:rPr>
              <w:t>1 Sep 2009</w:t>
            </w:r>
          </w:p>
        </w:tc>
        <w:tc>
          <w:tcPr>
            <w:tcW w:w="2552" w:type="dxa"/>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88" w:name="_Toc389658439"/>
      <w:r>
        <w:rPr>
          <w:sz w:val="28"/>
        </w:rPr>
        <w:t>Defined Terms</w:t>
      </w:r>
      <w:bookmarkEnd w:id="1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89" w:name="DefinedTerms"/>
      <w:bookmarkEnd w:id="189"/>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5"/>
          <w:headerReference w:type="default" r:id="rId36"/>
          <w:headerReference w:type="first" r:id="rId37"/>
          <w:endnotePr>
            <w:numFmt w:val="decimal"/>
          </w:endnotePr>
          <w:pgSz w:w="11906" w:h="16838" w:code="9"/>
          <w:pgMar w:top="2376" w:right="2404" w:bottom="3544" w:left="2404" w:header="709" w:footer="3380" w:gutter="0"/>
          <w:cols w:space="720"/>
          <w:noEndnote/>
          <w:docGrid w:linePitch="326"/>
        </w:sectPr>
      </w:pPr>
    </w:p>
    <w:p/>
    <w:sectPr>
      <w:headerReference w:type="even" r:id="rId38"/>
      <w:headerReference w:type="default" r:id="rId39"/>
      <w:headerReference w:type="first" r:id="rId40"/>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Apr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02-a0-02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45846"/>
    <w:docVar w:name="WAFER_20140604145846" w:val="RemoveTocBookmarks,RemoveUnusedBookmarks,RemoveLanguageTags,UsedStyles,ResetPageSize"/>
    <w:docVar w:name="WAFER_20140604145846_GUID" w:val="b3b2f830-5530-4d16-84fc-c7f63013ab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26098</Words>
  <Characters>130231</Characters>
  <Application>Microsoft Office Word</Application>
  <DocSecurity>0</DocSecurity>
  <Lines>3519</Lines>
  <Paragraphs>2201</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154128</CharactersWithSpaces>
  <SharedDoc>false</SharedDoc>
  <HyperlinkBase/>
  <HLinks>
    <vt:vector size="18" baseType="variant">
      <vt:variant>
        <vt:i4>3014716</vt:i4>
      </vt:variant>
      <vt:variant>
        <vt:i4>14084</vt:i4>
      </vt:variant>
      <vt:variant>
        <vt:i4>1027</vt:i4>
      </vt:variant>
      <vt:variant>
        <vt:i4>1</vt:i4>
      </vt:variant>
      <vt:variant>
        <vt:lpwstr>C:\Program Files\PCO DLL\Support\Crest.wpg</vt:lpwstr>
      </vt:variant>
      <vt:variant>
        <vt:lpwstr/>
      </vt:variant>
      <vt:variant>
        <vt:i4>5439608</vt:i4>
      </vt:variant>
      <vt:variant>
        <vt:i4>152668</vt:i4>
      </vt:variant>
      <vt:variant>
        <vt:i4>1028</vt:i4>
      </vt:variant>
      <vt:variant>
        <vt:i4>1</vt:i4>
      </vt:variant>
      <vt:variant>
        <vt:lpwstr>A:\dline.gif</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2004 - 02-a0-02</dc:title>
  <dc:subject/>
  <dc:creator/>
  <cp:keywords/>
  <dc:description/>
  <cp:lastModifiedBy>svcMRProcess</cp:lastModifiedBy>
  <cp:revision>4</cp:revision>
  <cp:lastPrinted>2010-04-13T02:19:00Z</cp:lastPrinted>
  <dcterms:created xsi:type="dcterms:W3CDTF">2018-08-28T08:50:00Z</dcterms:created>
  <dcterms:modified xsi:type="dcterms:W3CDTF">2018-08-28T08:50:00Z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20100409</vt:lpwstr>
  </property>
  <property fmtid="{D5CDD505-2E9C-101B-9397-08002B2CF9AE}" pid="4" name="DocumentType">
    <vt:lpwstr>Act</vt:lpwstr>
  </property>
  <property fmtid="{D5CDD505-2E9C-101B-9397-08002B2CF9AE}" pid="5" name="OwlsUID">
    <vt:i4>7017</vt:i4>
  </property>
  <property fmtid="{D5CDD505-2E9C-101B-9397-08002B2CF9AE}" pid="6" name="AsAtDate">
    <vt:lpwstr>09 Apr 2010</vt:lpwstr>
  </property>
  <property fmtid="{D5CDD505-2E9C-101B-9397-08002B2CF9AE}" pid="7" name="Suffix">
    <vt:lpwstr>02-a0-02</vt:lpwstr>
  </property>
  <property fmtid="{D5CDD505-2E9C-101B-9397-08002B2CF9AE}" pid="8" name="ReprintNo">
    <vt:lpwstr>2</vt:lpwstr>
  </property>
</Properties>
</file>