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Racing Penalties (Appeals)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Act 1990</w:t>
      </w:r>
      <w:r>
        <w:fldChar w:fldCharType="end"/>
      </w:r>
    </w:p>
    <w:p>
      <w:pPr>
        <w:pStyle w:val="Arrangement"/>
      </w:pPr>
      <w:r>
        <w:t>CONTENTS</w:t>
      </w:r>
    </w:p>
    <w:p>
      <w:pPr>
        <w:pStyle w:val="TOC2"/>
        <w:tabs>
          <w:tab w:val="right" w:leader="dot" w:pos="7078"/>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_Toc102538126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_Toc102538127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_Toc102538128 \h </w:instrText>
      </w:r>
      <w:r>
        <w:rPr>
          <w:noProof/>
        </w:rPr>
      </w:r>
      <w:r>
        <w:rPr>
          <w:noProof/>
        </w:rPr>
        <w:fldChar w:fldCharType="separate"/>
      </w:r>
      <w:r>
        <w:rPr>
          <w:noProof/>
        </w:rPr>
        <w:t>2</w:t>
      </w:r>
      <w:r>
        <w:rPr>
          <w:noProof/>
        </w:rPr>
        <w:fldChar w:fldCharType="end"/>
      </w:r>
    </w:p>
    <w:p>
      <w:pPr>
        <w:pStyle w:val="TOC2"/>
        <w:tabs>
          <w:tab w:val="right" w:leader="dot" w:pos="7078"/>
        </w:tabs>
        <w:rPr>
          <w:b w:val="0"/>
          <w:noProof/>
          <w:sz w:val="24"/>
          <w:szCs w:val="24"/>
        </w:rPr>
      </w:pPr>
      <w:r>
        <w:rPr>
          <w:noProof/>
          <w:szCs w:val="30"/>
        </w:rPr>
        <w:t>Part 2 — The Racing Penalties Appeal Tribunal of Western Australia</w:t>
      </w:r>
    </w:p>
    <w:p>
      <w:pPr>
        <w:pStyle w:val="TOC3"/>
        <w:rPr>
          <w:b w:val="0"/>
          <w:noProof/>
          <w:sz w:val="24"/>
          <w:szCs w:val="24"/>
        </w:rPr>
      </w:pPr>
      <w:r>
        <w:rPr>
          <w:noProof/>
          <w:szCs w:val="26"/>
        </w:rPr>
        <w:t>Division 1</w:t>
      </w:r>
      <w:r>
        <w:rPr>
          <w:noProof/>
          <w:snapToGrid w:val="0"/>
          <w:szCs w:val="26"/>
        </w:rPr>
        <w:t> — </w:t>
      </w:r>
      <w:r>
        <w:rPr>
          <w:noProof/>
          <w:szCs w:val="26"/>
        </w:rPr>
        <w:t>Constitution and Administration</w:t>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The Racing Penalties Appeal Tribunal of Western Australia</w:t>
      </w:r>
      <w:r>
        <w:rPr>
          <w:noProof/>
        </w:rPr>
        <w:tab/>
      </w:r>
      <w:r>
        <w:rPr>
          <w:noProof/>
        </w:rPr>
        <w:fldChar w:fldCharType="begin"/>
      </w:r>
      <w:r>
        <w:rPr>
          <w:noProof/>
        </w:rPr>
        <w:instrText xml:space="preserve"> PAGEREF _Toc102538131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Chairperson and Acting Chairperson</w:t>
      </w:r>
      <w:r>
        <w:rPr>
          <w:noProof/>
        </w:rPr>
        <w:tab/>
      </w:r>
      <w:r>
        <w:rPr>
          <w:noProof/>
        </w:rPr>
        <w:fldChar w:fldCharType="begin"/>
      </w:r>
      <w:r>
        <w:rPr>
          <w:noProof/>
        </w:rPr>
        <w:instrText xml:space="preserve"> PAGEREF _Toc102538132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Panel of members</w:t>
      </w:r>
      <w:r>
        <w:rPr>
          <w:noProof/>
        </w:rPr>
        <w:tab/>
      </w:r>
      <w:r>
        <w:rPr>
          <w:noProof/>
        </w:rPr>
        <w:fldChar w:fldCharType="begin"/>
      </w:r>
      <w:r>
        <w:rPr>
          <w:noProof/>
        </w:rPr>
        <w:instrText xml:space="preserve"> PAGEREF _Toc102538133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Eligibility to sit on a particular Tribunal</w:t>
      </w:r>
      <w:r>
        <w:rPr>
          <w:noProof/>
        </w:rPr>
        <w:tab/>
      </w:r>
      <w:r>
        <w:rPr>
          <w:noProof/>
        </w:rPr>
        <w:fldChar w:fldCharType="begin"/>
      </w:r>
      <w:r>
        <w:rPr>
          <w:noProof/>
        </w:rPr>
        <w:instrText xml:space="preserve"> PAGEREF _Toc102538134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The Registrar</w:t>
      </w:r>
      <w:r>
        <w:rPr>
          <w:noProof/>
        </w:rPr>
        <w:tab/>
      </w:r>
      <w:r>
        <w:rPr>
          <w:noProof/>
        </w:rPr>
        <w:fldChar w:fldCharType="begin"/>
      </w:r>
      <w:r>
        <w:rPr>
          <w:noProof/>
        </w:rPr>
        <w:instrText xml:space="preserve"> PAGEREF _Toc102538135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Relationship with Minister</w:t>
      </w:r>
      <w:r>
        <w:rPr>
          <w:noProof/>
        </w:rPr>
        <w:tab/>
      </w:r>
      <w:r>
        <w:rPr>
          <w:noProof/>
        </w:rPr>
        <w:fldChar w:fldCharType="begin"/>
      </w:r>
      <w:r>
        <w:rPr>
          <w:noProof/>
        </w:rPr>
        <w:instrText xml:space="preserve"> PAGEREF _Toc102538136 \h </w:instrText>
      </w:r>
      <w:r>
        <w:rPr>
          <w:noProof/>
        </w:rPr>
      </w:r>
      <w:r>
        <w:rPr>
          <w:noProof/>
        </w:rPr>
        <w:fldChar w:fldCharType="separate"/>
      </w:r>
      <w:r>
        <w:rPr>
          <w:noProof/>
        </w:rPr>
        <w:t>8</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Jurisdiction and functions</w:t>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Jurisdiction, as variously constituted</w:t>
      </w:r>
      <w:r>
        <w:rPr>
          <w:noProof/>
        </w:rPr>
        <w:tab/>
      </w:r>
      <w:r>
        <w:rPr>
          <w:noProof/>
        </w:rPr>
        <w:fldChar w:fldCharType="begin"/>
      </w:r>
      <w:r>
        <w:rPr>
          <w:noProof/>
        </w:rPr>
        <w:instrText xml:space="preserve"> PAGEREF _Toc102538138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Proceedings before the Tribunal</w:t>
      </w:r>
      <w:r>
        <w:rPr>
          <w:noProof/>
        </w:rPr>
        <w:tab/>
      </w:r>
      <w:r>
        <w:rPr>
          <w:noProof/>
        </w:rPr>
        <w:fldChar w:fldCharType="begin"/>
      </w:r>
      <w:r>
        <w:rPr>
          <w:noProof/>
        </w:rPr>
        <w:instrText xml:space="preserve"> PAGEREF _Toc102538139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Appeals which are not to be heard by the Tribunal</w:t>
      </w:r>
      <w:r>
        <w:rPr>
          <w:noProof/>
        </w:rPr>
        <w:tab/>
      </w:r>
      <w:r>
        <w:rPr>
          <w:noProof/>
        </w:rPr>
        <w:fldChar w:fldCharType="begin"/>
      </w:r>
      <w:r>
        <w:rPr>
          <w:noProof/>
        </w:rPr>
        <w:instrText xml:space="preserve"> PAGEREF _Toc102538140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Appeals which shall be heard by the Tribunal</w:t>
      </w:r>
      <w:r>
        <w:rPr>
          <w:noProof/>
        </w:rPr>
        <w:tab/>
      </w:r>
      <w:r>
        <w:rPr>
          <w:noProof/>
        </w:rPr>
        <w:fldChar w:fldCharType="begin"/>
      </w:r>
      <w:r>
        <w:rPr>
          <w:noProof/>
        </w:rPr>
        <w:instrText xml:space="preserve"> PAGEREF _Toc102538141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The determination of an appeal</w:t>
      </w:r>
      <w:r>
        <w:rPr>
          <w:noProof/>
        </w:rPr>
        <w:tab/>
      </w:r>
      <w:r>
        <w:rPr>
          <w:noProof/>
        </w:rPr>
        <w:fldChar w:fldCharType="begin"/>
      </w:r>
      <w:r>
        <w:rPr>
          <w:noProof/>
        </w:rPr>
        <w:instrText xml:space="preserve"> PAGEREF _Toc102538142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Other avenues of appeal may no longer be applicable</w:t>
      </w:r>
      <w:r>
        <w:rPr>
          <w:noProof/>
        </w:rPr>
        <w:tab/>
      </w:r>
      <w:r>
        <w:rPr>
          <w:noProof/>
        </w:rPr>
        <w:fldChar w:fldCharType="begin"/>
      </w:r>
      <w:r>
        <w:rPr>
          <w:noProof/>
        </w:rPr>
        <w:instrText xml:space="preserve"> PAGEREF _Toc102538143 \h </w:instrText>
      </w:r>
      <w:r>
        <w:rPr>
          <w:noProof/>
        </w:rPr>
      </w:r>
      <w:r>
        <w:rPr>
          <w:noProof/>
        </w:rPr>
        <w:fldChar w:fldCharType="separate"/>
      </w:r>
      <w:r>
        <w:rPr>
          <w:noProof/>
        </w:rPr>
        <w:t>16</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Procedures and powers</w:t>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Procedure on making an appeal</w:t>
      </w:r>
      <w:r>
        <w:rPr>
          <w:noProof/>
        </w:rPr>
        <w:tab/>
      </w:r>
      <w:r>
        <w:rPr>
          <w:noProof/>
        </w:rPr>
        <w:fldChar w:fldCharType="begin"/>
      </w:r>
      <w:r>
        <w:rPr>
          <w:noProof/>
        </w:rPr>
        <w:instrText xml:space="preserve"> PAGEREF _Toc102538145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Hearing powers</w:t>
      </w:r>
      <w:r>
        <w:rPr>
          <w:noProof/>
        </w:rPr>
        <w:tab/>
      </w:r>
      <w:r>
        <w:rPr>
          <w:noProof/>
        </w:rPr>
        <w:fldChar w:fldCharType="begin"/>
      </w:r>
      <w:r>
        <w:rPr>
          <w:noProof/>
        </w:rPr>
        <w:instrText xml:space="preserve"> PAGEREF _Toc102538146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Withdrawal of appeals</w:t>
      </w:r>
      <w:r>
        <w:rPr>
          <w:noProof/>
        </w:rPr>
        <w:tab/>
      </w:r>
      <w:r>
        <w:rPr>
          <w:noProof/>
        </w:rPr>
        <w:fldChar w:fldCharType="begin"/>
      </w:r>
      <w:r>
        <w:rPr>
          <w:noProof/>
        </w:rPr>
        <w:instrText xml:space="preserve"> PAGEREF _Toc102538147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Disobedience to determinations of the Tribunal</w:t>
      </w:r>
      <w:r>
        <w:rPr>
          <w:noProof/>
        </w:rPr>
        <w:tab/>
      </w:r>
      <w:r>
        <w:rPr>
          <w:noProof/>
        </w:rPr>
        <w:fldChar w:fldCharType="begin"/>
      </w:r>
      <w:r>
        <w:rPr>
          <w:noProof/>
        </w:rPr>
        <w:instrText xml:space="preserve"> PAGEREF _Toc102538148 \h </w:instrText>
      </w:r>
      <w:r>
        <w:rPr>
          <w:noProof/>
        </w:rPr>
      </w:r>
      <w:r>
        <w:rPr>
          <w:noProof/>
        </w:rPr>
        <w:fldChar w:fldCharType="separate"/>
      </w:r>
      <w:r>
        <w:rPr>
          <w:noProof/>
        </w:rPr>
        <w:t>23</w:t>
      </w:r>
      <w:r>
        <w:rPr>
          <w:noProof/>
        </w:rPr>
        <w:fldChar w:fldCharType="end"/>
      </w:r>
    </w:p>
    <w:p>
      <w:pPr>
        <w:pStyle w:val="TOC2"/>
        <w:tabs>
          <w:tab w:val="right" w:leader="dot" w:pos="7078"/>
        </w:tabs>
        <w:rPr>
          <w:b w:val="0"/>
          <w:noProof/>
          <w:sz w:val="24"/>
          <w:szCs w:val="24"/>
        </w:rPr>
      </w:pPr>
      <w:r>
        <w:rPr>
          <w:noProof/>
          <w:szCs w:val="30"/>
        </w:rPr>
        <w:t>Part 3 — Miscellaneous</w:t>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_Toc102538150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Reasons for determinations</w:t>
      </w:r>
      <w:r>
        <w:rPr>
          <w:noProof/>
        </w:rPr>
        <w:tab/>
      </w:r>
      <w:r>
        <w:rPr>
          <w:noProof/>
        </w:rPr>
        <w:fldChar w:fldCharType="begin"/>
      </w:r>
      <w:r>
        <w:rPr>
          <w:noProof/>
        </w:rPr>
        <w:instrText xml:space="preserve"> PAGEREF _Toc102538151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Protection</w:t>
      </w:r>
      <w:r>
        <w:rPr>
          <w:noProof/>
        </w:rPr>
        <w:tab/>
      </w:r>
      <w:r>
        <w:rPr>
          <w:noProof/>
        </w:rPr>
        <w:fldChar w:fldCharType="begin"/>
      </w:r>
      <w:r>
        <w:rPr>
          <w:noProof/>
        </w:rPr>
        <w:instrText xml:space="preserve"> PAGEREF _Toc102538152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Evidentiary provisions, and recovery of moneys ordered to be paid</w:t>
      </w:r>
      <w:r>
        <w:rPr>
          <w:noProof/>
        </w:rPr>
        <w:tab/>
      </w:r>
      <w:r>
        <w:rPr>
          <w:noProof/>
        </w:rPr>
        <w:fldChar w:fldCharType="begin"/>
      </w:r>
      <w:r>
        <w:rPr>
          <w:noProof/>
        </w:rPr>
        <w:instrText xml:space="preserve"> PAGEREF _Toc102538153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Finance and audit</w:t>
      </w:r>
      <w:r>
        <w:rPr>
          <w:noProof/>
        </w:rPr>
        <w:tab/>
      </w:r>
      <w:r>
        <w:rPr>
          <w:noProof/>
        </w:rPr>
        <w:fldChar w:fldCharType="begin"/>
      </w:r>
      <w:r>
        <w:rPr>
          <w:noProof/>
        </w:rPr>
        <w:instrText xml:space="preserve"> PAGEREF _Toc102538154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_Toc102538155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Transitional</w:t>
      </w:r>
      <w:r>
        <w:rPr>
          <w:noProof/>
        </w:rPr>
        <w:tab/>
      </w:r>
      <w:r>
        <w:rPr>
          <w:noProof/>
        </w:rPr>
        <w:fldChar w:fldCharType="begin"/>
      </w:r>
      <w:r>
        <w:rPr>
          <w:noProof/>
        </w:rPr>
        <w:instrText xml:space="preserve"> PAGEREF _Toc102538156 \h </w:instrText>
      </w:r>
      <w:r>
        <w:rPr>
          <w:noProof/>
        </w:rPr>
      </w:r>
      <w:r>
        <w:rPr>
          <w:noProof/>
        </w:rPr>
        <w:fldChar w:fldCharType="separate"/>
      </w:r>
      <w:r>
        <w:rPr>
          <w:noProof/>
        </w:rPr>
        <w:t>30</w:t>
      </w:r>
      <w:r>
        <w:rPr>
          <w:noProof/>
        </w:rPr>
        <w:fldChar w:fldCharType="end"/>
      </w:r>
    </w:p>
    <w:p>
      <w:pPr>
        <w:pStyle w:val="TOC5"/>
        <w:rPr>
          <w:b w:val="0"/>
          <w:noProof/>
          <w:sz w:val="24"/>
          <w:szCs w:val="24"/>
        </w:rPr>
      </w:pPr>
      <w:r>
        <w:rPr>
          <w:noProof/>
          <w:szCs w:val="28"/>
        </w:rPr>
        <w:t>Schedule</w:t>
      </w:r>
      <w:r>
        <w:rPr>
          <w:noProof/>
        </w:rPr>
        <w:tab/>
      </w:r>
      <w:r>
        <w:rPr>
          <w:b w:val="0"/>
          <w:noProof/>
          <w:sz w:val="22"/>
        </w:rPr>
        <w:fldChar w:fldCharType="begin"/>
      </w:r>
      <w:r>
        <w:rPr>
          <w:b w:val="0"/>
          <w:noProof/>
          <w:sz w:val="22"/>
        </w:rPr>
        <w:instrText xml:space="preserve"> PAGEREF _Toc102538157 \h </w:instrText>
      </w:r>
      <w:r>
        <w:rPr>
          <w:b w:val="0"/>
          <w:noProof/>
          <w:sz w:val="22"/>
        </w:rPr>
      </w:r>
      <w:r>
        <w:rPr>
          <w:b w:val="0"/>
          <w:noProof/>
          <w:sz w:val="22"/>
        </w:rPr>
        <w:fldChar w:fldCharType="separate"/>
      </w:r>
      <w:r>
        <w:rPr>
          <w:b w:val="0"/>
          <w:noProof/>
          <w:sz w:val="22"/>
        </w:rPr>
        <w:t>32</w:t>
      </w:r>
      <w:r>
        <w:rPr>
          <w:b w:val="0"/>
          <w:noProof/>
          <w:sz w:val="22"/>
        </w:rPr>
        <w:fldChar w:fldCharType="end"/>
      </w:r>
    </w:p>
    <w:p>
      <w:pPr>
        <w:pStyle w:val="TOC4"/>
        <w:rPr>
          <w:noProof/>
          <w:sz w:val="24"/>
          <w:szCs w:val="24"/>
        </w:rPr>
      </w:pPr>
      <w:r>
        <w:rPr>
          <w:noProof/>
          <w:snapToGrid w:val="0"/>
          <w:szCs w:val="22"/>
        </w:rPr>
        <w:t>1.</w:t>
      </w:r>
      <w:r>
        <w:rPr>
          <w:noProof/>
          <w:sz w:val="24"/>
          <w:szCs w:val="24"/>
        </w:rPr>
        <w:tab/>
      </w:r>
      <w:r>
        <w:rPr>
          <w:noProof/>
          <w:snapToGrid w:val="0"/>
          <w:szCs w:val="22"/>
        </w:rPr>
        <w:t>Public Servant may be member of a Tribunal</w:t>
      </w:r>
      <w:r>
        <w:rPr>
          <w:noProof/>
        </w:rPr>
        <w:tab/>
      </w:r>
      <w:r>
        <w:rPr>
          <w:noProof/>
        </w:rPr>
        <w:fldChar w:fldCharType="begin"/>
      </w:r>
      <w:r>
        <w:rPr>
          <w:noProof/>
        </w:rPr>
        <w:instrText xml:space="preserve"> PAGEREF _Toc102538158 \h </w:instrText>
      </w:r>
      <w:r>
        <w:rPr>
          <w:noProof/>
        </w:rPr>
      </w:r>
      <w:r>
        <w:rPr>
          <w:noProof/>
        </w:rPr>
        <w:fldChar w:fldCharType="separate"/>
      </w:r>
      <w:r>
        <w:rPr>
          <w:noProof/>
        </w:rPr>
        <w:t>32</w:t>
      </w:r>
      <w:r>
        <w:rPr>
          <w:noProof/>
        </w:rPr>
        <w:fldChar w:fldCharType="end"/>
      </w:r>
    </w:p>
    <w:p>
      <w:pPr>
        <w:pStyle w:val="TOC4"/>
        <w:rPr>
          <w:noProof/>
          <w:sz w:val="24"/>
          <w:szCs w:val="24"/>
        </w:rPr>
      </w:pPr>
      <w:r>
        <w:rPr>
          <w:noProof/>
          <w:snapToGrid w:val="0"/>
          <w:szCs w:val="22"/>
        </w:rPr>
        <w:t>2.</w:t>
      </w:r>
      <w:r>
        <w:rPr>
          <w:noProof/>
          <w:sz w:val="24"/>
          <w:szCs w:val="24"/>
        </w:rPr>
        <w:tab/>
      </w:r>
      <w:r>
        <w:rPr>
          <w:noProof/>
          <w:snapToGrid w:val="0"/>
          <w:szCs w:val="22"/>
        </w:rPr>
        <w:t>Remuneration</w:t>
      </w:r>
      <w:r>
        <w:rPr>
          <w:noProof/>
        </w:rPr>
        <w:tab/>
      </w:r>
      <w:r>
        <w:rPr>
          <w:noProof/>
        </w:rPr>
        <w:fldChar w:fldCharType="begin"/>
      </w:r>
      <w:r>
        <w:rPr>
          <w:noProof/>
        </w:rPr>
        <w:instrText xml:space="preserve"> PAGEREF _Toc102538159 \h </w:instrText>
      </w:r>
      <w:r>
        <w:rPr>
          <w:noProof/>
        </w:rPr>
      </w:r>
      <w:r>
        <w:rPr>
          <w:noProof/>
        </w:rPr>
        <w:fldChar w:fldCharType="separate"/>
      </w:r>
      <w:r>
        <w:rPr>
          <w:noProof/>
        </w:rPr>
        <w:t>32</w:t>
      </w:r>
      <w:r>
        <w:rPr>
          <w:noProof/>
        </w:rPr>
        <w:fldChar w:fldCharType="end"/>
      </w:r>
    </w:p>
    <w:p>
      <w:pPr>
        <w:pStyle w:val="TOC4"/>
        <w:rPr>
          <w:noProof/>
          <w:sz w:val="24"/>
          <w:szCs w:val="24"/>
        </w:rPr>
      </w:pPr>
      <w:r>
        <w:rPr>
          <w:noProof/>
          <w:snapToGrid w:val="0"/>
          <w:szCs w:val="22"/>
        </w:rPr>
        <w:t>3.</w:t>
      </w:r>
      <w:r>
        <w:rPr>
          <w:noProof/>
          <w:sz w:val="24"/>
          <w:szCs w:val="24"/>
        </w:rPr>
        <w:tab/>
      </w:r>
      <w:r>
        <w:rPr>
          <w:noProof/>
          <w:snapToGrid w:val="0"/>
          <w:szCs w:val="22"/>
        </w:rPr>
        <w:t>Eligibility for, and vacation of, office and conditions of appointment</w:t>
      </w:r>
      <w:r>
        <w:rPr>
          <w:noProof/>
        </w:rPr>
        <w:tab/>
      </w:r>
      <w:r>
        <w:rPr>
          <w:noProof/>
        </w:rPr>
        <w:fldChar w:fldCharType="begin"/>
      </w:r>
      <w:r>
        <w:rPr>
          <w:noProof/>
        </w:rPr>
        <w:instrText xml:space="preserve"> PAGEREF _Toc102538160 \h </w:instrText>
      </w:r>
      <w:r>
        <w:rPr>
          <w:noProof/>
        </w:rPr>
      </w:r>
      <w:r>
        <w:rPr>
          <w:noProof/>
        </w:rPr>
        <w:fldChar w:fldCharType="separate"/>
      </w:r>
      <w:r>
        <w:rPr>
          <w:noProof/>
        </w:rPr>
        <w:t>32</w:t>
      </w:r>
      <w:r>
        <w:rPr>
          <w:noProof/>
        </w:rPr>
        <w:fldChar w:fldCharType="end"/>
      </w:r>
    </w:p>
    <w:p>
      <w:pPr>
        <w:pStyle w:val="TOC4"/>
        <w:rPr>
          <w:noProof/>
          <w:sz w:val="24"/>
          <w:szCs w:val="24"/>
        </w:rPr>
      </w:pPr>
      <w:r>
        <w:rPr>
          <w:noProof/>
          <w:snapToGrid w:val="0"/>
          <w:szCs w:val="22"/>
        </w:rPr>
        <w:t>4.</w:t>
      </w:r>
      <w:r>
        <w:rPr>
          <w:noProof/>
          <w:sz w:val="24"/>
          <w:szCs w:val="24"/>
        </w:rPr>
        <w:tab/>
      </w:r>
      <w:r>
        <w:rPr>
          <w:noProof/>
          <w:snapToGrid w:val="0"/>
          <w:szCs w:val="22"/>
        </w:rPr>
        <w:t>Removal from office</w:t>
      </w:r>
      <w:r>
        <w:rPr>
          <w:noProof/>
        </w:rPr>
        <w:tab/>
      </w:r>
      <w:r>
        <w:rPr>
          <w:noProof/>
        </w:rPr>
        <w:fldChar w:fldCharType="begin"/>
      </w:r>
      <w:r>
        <w:rPr>
          <w:noProof/>
        </w:rPr>
        <w:instrText xml:space="preserve"> PAGEREF _Toc102538161 \h </w:instrText>
      </w:r>
      <w:r>
        <w:rPr>
          <w:noProof/>
        </w:rPr>
      </w:r>
      <w:r>
        <w:rPr>
          <w:noProof/>
        </w:rPr>
        <w:fldChar w:fldCharType="separate"/>
      </w:r>
      <w:r>
        <w:rPr>
          <w:noProof/>
        </w:rPr>
        <w:t>33</w:t>
      </w:r>
      <w:r>
        <w:rPr>
          <w:noProof/>
        </w:rPr>
        <w:fldChar w:fldCharType="end"/>
      </w:r>
    </w:p>
    <w:p>
      <w:pPr>
        <w:pStyle w:val="TOC4"/>
        <w:rPr>
          <w:noProof/>
          <w:sz w:val="24"/>
          <w:szCs w:val="24"/>
        </w:rPr>
      </w:pPr>
      <w:r>
        <w:rPr>
          <w:noProof/>
          <w:snapToGrid w:val="0"/>
          <w:szCs w:val="22"/>
        </w:rPr>
        <w:t>5.</w:t>
      </w:r>
      <w:r>
        <w:rPr>
          <w:noProof/>
          <w:sz w:val="24"/>
          <w:szCs w:val="24"/>
        </w:rPr>
        <w:tab/>
      </w:r>
      <w:r>
        <w:rPr>
          <w:noProof/>
          <w:snapToGrid w:val="0"/>
          <w:szCs w:val="22"/>
        </w:rPr>
        <w:t>Validity of proceedings, etc.</w:t>
      </w:r>
      <w:r>
        <w:rPr>
          <w:noProof/>
        </w:rPr>
        <w:tab/>
      </w:r>
      <w:r>
        <w:rPr>
          <w:noProof/>
        </w:rPr>
        <w:fldChar w:fldCharType="begin"/>
      </w:r>
      <w:r>
        <w:rPr>
          <w:noProof/>
        </w:rPr>
        <w:instrText xml:space="preserve"> PAGEREF _Toc102538162 \h </w:instrText>
      </w:r>
      <w:r>
        <w:rPr>
          <w:noProof/>
        </w:rPr>
      </w:r>
      <w:r>
        <w:rPr>
          <w:noProof/>
        </w:rPr>
        <w:fldChar w:fldCharType="separate"/>
      </w:r>
      <w:r>
        <w:rPr>
          <w:noProof/>
        </w:rPr>
        <w:t>34</w:t>
      </w:r>
      <w:r>
        <w:rPr>
          <w:noProof/>
        </w:rPr>
        <w:fldChar w:fldCharType="end"/>
      </w:r>
    </w:p>
    <w:p>
      <w:pPr>
        <w:pStyle w:val="TOC4"/>
        <w:rPr>
          <w:noProof/>
          <w:sz w:val="24"/>
          <w:szCs w:val="24"/>
        </w:rPr>
      </w:pPr>
      <w:r>
        <w:rPr>
          <w:noProof/>
          <w:snapToGrid w:val="0"/>
          <w:szCs w:val="22"/>
        </w:rPr>
        <w:t>6.</w:t>
      </w:r>
      <w:r>
        <w:rPr>
          <w:noProof/>
          <w:sz w:val="24"/>
          <w:szCs w:val="24"/>
        </w:rPr>
        <w:tab/>
      </w:r>
      <w:r>
        <w:rPr>
          <w:noProof/>
          <w:snapToGrid w:val="0"/>
          <w:szCs w:val="22"/>
        </w:rPr>
        <w:t>Presumptions</w:t>
      </w:r>
      <w:r>
        <w:rPr>
          <w:noProof/>
        </w:rPr>
        <w:tab/>
      </w:r>
      <w:r>
        <w:rPr>
          <w:noProof/>
        </w:rPr>
        <w:fldChar w:fldCharType="begin"/>
      </w:r>
      <w:r>
        <w:rPr>
          <w:noProof/>
        </w:rPr>
        <w:instrText xml:space="preserve"> PAGEREF _Toc102538163 \h </w:instrText>
      </w:r>
      <w:r>
        <w:rPr>
          <w:noProof/>
        </w:rPr>
      </w:r>
      <w:r>
        <w:rPr>
          <w:noProof/>
        </w:rPr>
        <w:fldChar w:fldCharType="separate"/>
      </w:r>
      <w:r>
        <w:rPr>
          <w:noProof/>
        </w:rPr>
        <w:t>35</w:t>
      </w:r>
      <w:r>
        <w:rPr>
          <w:noProof/>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_Toc102538165 \h </w:instrText>
      </w:r>
      <w:r>
        <w:rPr>
          <w:noProof/>
        </w:rPr>
      </w:r>
      <w:r>
        <w:rPr>
          <w:noProof/>
        </w:rPr>
        <w:fldChar w:fldCharType="separate"/>
      </w:r>
      <w:r>
        <w:rPr>
          <w:noProof/>
        </w:rPr>
        <w:t>36</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after="1680"/>
      </w:pPr>
      <w:r>
        <w:t xml:space="preserve">Racing Penalties (Appeals) Act 1990 </w:t>
      </w:r>
    </w:p>
    <w:p>
      <w:pPr>
        <w:pStyle w:val="LongTitle"/>
        <w:rPr>
          <w:snapToGrid w:val="0"/>
        </w:rPr>
      </w:pPr>
      <w:r>
        <w:rPr>
          <w:snapToGrid w:val="0"/>
        </w:rPr>
        <w:t xml:space="preserve">An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 </w:t>
      </w:r>
    </w:p>
    <w:p>
      <w:pPr>
        <w:pStyle w:val="Heading2"/>
      </w:pPr>
      <w:bookmarkStart w:id="2" w:name="_Toc89505458"/>
      <w:bookmarkStart w:id="3" w:name="_Toc89505500"/>
      <w:bookmarkStart w:id="4" w:name="_Toc89585113"/>
      <w:bookmarkStart w:id="5" w:name="_Toc102465865"/>
      <w:bookmarkStart w:id="6" w:name="_Toc10253812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487527724"/>
      <w:bookmarkStart w:id="8" w:name="_Toc526931897"/>
      <w:bookmarkStart w:id="9" w:name="_Toc102538126"/>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10" w:name="_Toc487527725"/>
      <w:bookmarkStart w:id="11" w:name="_Toc526931898"/>
      <w:bookmarkStart w:id="12" w:name="_Toc102538127"/>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13" w:name="_Toc487527726"/>
      <w:bookmarkStart w:id="14" w:name="_Toc526931899"/>
      <w:bookmarkStart w:id="15" w:name="_Toc102538128"/>
      <w:r>
        <w:rPr>
          <w:rStyle w:val="CharSectno"/>
        </w:rPr>
        <w:t>3</w:t>
      </w:r>
      <w:r>
        <w:rPr>
          <w:snapToGrid w:val="0"/>
        </w:rPr>
        <w:t>.</w:t>
      </w:r>
      <w:r>
        <w:rPr>
          <w:snapToGrid w:val="0"/>
        </w:rPr>
        <w:tab/>
        <w:t>Interpretation</w:t>
      </w:r>
      <w:bookmarkEnd w:id="13"/>
      <w:bookmarkEnd w:id="14"/>
      <w:bookmarkEnd w:id="1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bet</w:t>
      </w:r>
      <w:r>
        <w:rPr>
          <w:b/>
        </w:rPr>
        <w:t>”</w:t>
      </w:r>
      <w:r>
        <w:t xml:space="preserve"> includes wager;</w:t>
      </w:r>
    </w:p>
    <w:p>
      <w:pPr>
        <w:pStyle w:val="Defstart"/>
      </w:pPr>
      <w:r>
        <w:rPr>
          <w:b/>
        </w:rPr>
        <w:tab/>
        <w:t>“</w:t>
      </w:r>
      <w:r>
        <w:rPr>
          <w:rStyle w:val="CharDefText"/>
        </w:rPr>
        <w:t>bookmaker</w:t>
      </w:r>
      <w:r>
        <w:rPr>
          <w:b/>
        </w:rPr>
        <w:t>”</w:t>
      </w:r>
      <w:r>
        <w:t xml:space="preserve"> means a person holding a current licence under the </w:t>
      </w:r>
      <w:r>
        <w:rPr>
          <w:i/>
        </w:rPr>
        <w:t>Betting Control Act 1954</w:t>
      </w:r>
      <w:r>
        <w:t>;</w:t>
      </w:r>
    </w:p>
    <w:p>
      <w:pPr>
        <w:pStyle w:val="Defstart"/>
      </w:pPr>
      <w:r>
        <w:rPr>
          <w:b/>
        </w:rPr>
        <w:tab/>
        <w:t>“</w:t>
      </w:r>
      <w:r>
        <w:rPr>
          <w:rStyle w:val="CharDefText"/>
        </w:rPr>
        <w:t>Chairperson</w:t>
      </w:r>
      <w:r>
        <w:rPr>
          <w:b/>
        </w:rPr>
        <w:t>”</w:t>
      </w:r>
      <w:r>
        <w:t xml:space="preserve"> means the holder of the office of Chairperson of the Tribunal but includes a reference to a member acting as Chairperson;</w:t>
      </w:r>
    </w:p>
    <w:p>
      <w:pPr>
        <w:pStyle w:val="Defstart"/>
      </w:pPr>
      <w:r>
        <w:rPr>
          <w:b/>
        </w:rPr>
        <w:tab/>
        <w:t>“</w:t>
      </w:r>
      <w:r>
        <w:rPr>
          <w:rStyle w:val="CharDefText"/>
        </w:rPr>
        <w:t>determination</w:t>
      </w:r>
      <w:r>
        <w:rPr>
          <w:b/>
        </w:rPr>
        <w:t>”</w:t>
      </w:r>
      <w:r>
        <w:t xml:space="preserve"> includes a reference to a decision, order or direction;</w:t>
      </w:r>
    </w:p>
    <w:p>
      <w:pPr>
        <w:pStyle w:val="Defstart"/>
      </w:pPr>
      <w:r>
        <w:rPr>
          <w:b/>
        </w:rPr>
        <w:tab/>
        <w:t>“</w:t>
      </w:r>
      <w:r>
        <w:rPr>
          <w:rStyle w:val="CharDefText"/>
        </w:rPr>
        <w:t>horse</w:t>
      </w:r>
      <w:r>
        <w:rPr>
          <w:b/>
        </w:rPr>
        <w:t>”</w:t>
      </w:r>
      <w:r>
        <w:t xml:space="preserve"> includes pony;</w:t>
      </w:r>
    </w:p>
    <w:p>
      <w:pPr>
        <w:pStyle w:val="Defstart"/>
      </w:pPr>
      <w:r>
        <w:rPr>
          <w:b/>
        </w:rPr>
        <w:tab/>
        <w:t>“</w:t>
      </w:r>
      <w:r>
        <w:rPr>
          <w:rStyle w:val="CharDefText"/>
        </w:rPr>
        <w:t>member</w:t>
      </w:r>
      <w:r>
        <w:rPr>
          <w:b/>
        </w:rPr>
        <w:t>”</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t>“</w:t>
      </w:r>
      <w:r>
        <w:rPr>
          <w:rStyle w:val="CharDefText"/>
        </w:rPr>
        <w:t>owner</w:t>
      </w:r>
      <w:r>
        <w:rPr>
          <w:b/>
        </w:rPr>
        <w:t>”</w:t>
      </w:r>
      <w:r>
        <w:t>, in relation to a runner which is leased, includes any person who is a lessee of that runner;</w:t>
      </w:r>
    </w:p>
    <w:p>
      <w:pPr>
        <w:pStyle w:val="Defstart"/>
      </w:pPr>
      <w:r>
        <w:rPr>
          <w:b/>
        </w:rPr>
        <w:tab/>
        <w:t>“</w:t>
      </w:r>
      <w:r>
        <w:rPr>
          <w:rStyle w:val="CharDefText"/>
        </w:rPr>
        <w:t>pacer</w:t>
      </w:r>
      <w:r>
        <w:rPr>
          <w:b/>
        </w:rPr>
        <w:t>”</w:t>
      </w:r>
      <w:r>
        <w:t xml:space="preserve"> means a horse which when raced is driven in harness, and includes the kind of horse commonly known as a trotter;</w:t>
      </w:r>
    </w:p>
    <w:p>
      <w:pPr>
        <w:pStyle w:val="Defstart"/>
      </w:pPr>
      <w:r>
        <w:rPr>
          <w:b/>
        </w:rPr>
        <w:tab/>
        <w:t>“</w:t>
      </w:r>
      <w:r>
        <w:rPr>
          <w:rStyle w:val="CharDefText"/>
        </w:rPr>
        <w:t>race</w:t>
      </w:r>
      <w:r>
        <w:rPr>
          <w:b/>
        </w:rPr>
        <w:t>”</w:t>
      </w:r>
      <w:r>
        <w:t xml:space="preserve"> means a contest in which 2 or more runners compete simultaneously one against the other or others, in a test of speed over a designated distance, course or period of time or for the purpose of providing a contingency on which bets may be made, but the term does not include —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t>“</w:t>
      </w:r>
      <w:r>
        <w:rPr>
          <w:rStyle w:val="CharDefText"/>
        </w:rPr>
        <w:t>racecourse</w:t>
      </w:r>
      <w:r>
        <w:rPr>
          <w:b/>
        </w:rPr>
        <w:t>”</w:t>
      </w:r>
      <w:r>
        <w:t xml:space="preserve"> means a place for the holding of lawful race meetings;</w:t>
      </w:r>
    </w:p>
    <w:p>
      <w:pPr>
        <w:pStyle w:val="Defstart"/>
      </w:pPr>
      <w:r>
        <w:rPr>
          <w:b/>
        </w:rPr>
        <w:tab/>
        <w:t>“</w:t>
      </w:r>
      <w:r>
        <w:rPr>
          <w:rStyle w:val="CharDefText"/>
        </w:rPr>
        <w:t>race meeting</w:t>
      </w:r>
      <w:r>
        <w:rPr>
          <w:b/>
        </w:rPr>
        <w:t>”</w:t>
      </w:r>
      <w:r>
        <w:t xml:space="preserve"> means a meeting for the purpose of conducting races between greyhounds or thoroughbreds or pacers;</w:t>
      </w:r>
    </w:p>
    <w:p>
      <w:pPr>
        <w:pStyle w:val="Defstart"/>
      </w:pPr>
      <w:r>
        <w:rPr>
          <w:b/>
        </w:rPr>
        <w:tab/>
        <w:t>“</w:t>
      </w:r>
      <w:r>
        <w:rPr>
          <w:rStyle w:val="CharDefText"/>
        </w:rPr>
        <w:t>racing</w:t>
      </w:r>
      <w:r>
        <w:rPr>
          <w:b/>
        </w:rPr>
        <w:t>”</w:t>
      </w:r>
      <w:r>
        <w:t xml:space="preserve"> includes a reference — </w:t>
      </w:r>
    </w:p>
    <w:p>
      <w:pPr>
        <w:pStyle w:val="Defpara"/>
      </w:pPr>
      <w:r>
        <w:tab/>
        <w:t>(a)</w:t>
      </w:r>
      <w:r>
        <w:tab/>
        <w:t>to greyhound racing;</w:t>
      </w:r>
    </w:p>
    <w:p>
      <w:pPr>
        <w:pStyle w:val="Defpara"/>
      </w:pPr>
      <w:r>
        <w:tab/>
        <w:t>(b)</w:t>
      </w:r>
      <w:r>
        <w:tab/>
        <w:t>to harness racing; and</w:t>
      </w:r>
    </w:p>
    <w:p>
      <w:pPr>
        <w:pStyle w:val="Defpara"/>
      </w:pPr>
      <w:r>
        <w:tab/>
        <w:t>(c)</w:t>
      </w:r>
      <w:r>
        <w:tab/>
        <w:t>to thoroughbred racing,</w:t>
      </w:r>
    </w:p>
    <w:p>
      <w:pPr>
        <w:pStyle w:val="Defstart"/>
      </w:pPr>
      <w:r>
        <w:tab/>
      </w:r>
      <w:r>
        <w:tab/>
        <w:t>and to any race or race meeting, as the context may require;</w:t>
      </w:r>
    </w:p>
    <w:p>
      <w:pPr>
        <w:pStyle w:val="Defstart"/>
      </w:pPr>
      <w:r>
        <w:rPr>
          <w:b/>
        </w:rPr>
        <w:tab/>
        <w:t>“</w:t>
      </w:r>
      <w:r>
        <w:rPr>
          <w:rStyle w:val="CharDefText"/>
        </w:rPr>
        <w:t>Registrar</w:t>
      </w:r>
      <w:r>
        <w:rPr>
          <w:b/>
        </w:rPr>
        <w:t>”</w:t>
      </w:r>
      <w:r>
        <w:t xml:space="preserve"> means the Registrar of the Tribunal referred to in section 8;</w:t>
      </w:r>
    </w:p>
    <w:p>
      <w:pPr>
        <w:pStyle w:val="Defstart"/>
      </w:pPr>
      <w:r>
        <w:rPr>
          <w:b/>
        </w:rPr>
        <w:tab/>
        <w:t>“</w:t>
      </w:r>
      <w:r>
        <w:rPr>
          <w:rStyle w:val="CharDefText"/>
        </w:rPr>
        <w:t>runner</w:t>
      </w:r>
      <w:r>
        <w:rPr>
          <w:b/>
        </w:rPr>
        <w:t>”</w:t>
      </w:r>
      <w:r>
        <w:t xml:space="preserve"> in relation — </w:t>
      </w:r>
    </w:p>
    <w:p>
      <w:pPr>
        <w:pStyle w:val="Defpara"/>
      </w:pPr>
      <w:r>
        <w:tab/>
        <w:t>(a)</w:t>
      </w:r>
      <w:r>
        <w:tab/>
        <w:t>to greyhound racing, means a greyhound;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b/>
        </w:rPr>
        <w:t>“</w:t>
      </w:r>
      <w:r>
        <w:rPr>
          <w:rStyle w:val="CharDefText"/>
        </w:rPr>
        <w:t>RWWA</w:t>
      </w:r>
      <w:r>
        <w:rPr>
          <w:b/>
        </w:rPr>
        <w:t>”</w:t>
      </w:r>
      <w:r>
        <w:t xml:space="preserve"> means Racing and Wagering Western Australia established under the </w:t>
      </w:r>
      <w:r>
        <w:rPr>
          <w:i/>
        </w:rPr>
        <w:t>Racing and Wagering Western Australia Act 2003</w:t>
      </w:r>
      <w:r>
        <w:t>;</w:t>
      </w:r>
    </w:p>
    <w:p>
      <w:pPr>
        <w:pStyle w:val="Defstart"/>
      </w:pPr>
      <w:r>
        <w:rPr>
          <w:b/>
        </w:rPr>
        <w:tab/>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steward</w:t>
      </w:r>
      <w:r>
        <w:rPr>
          <w:b/>
        </w:rPr>
        <w:t>”</w:t>
      </w:r>
      <w:r>
        <w:t xml:space="preserve"> means a steward appointed under the RWWA Act;</w:t>
      </w:r>
    </w:p>
    <w:p>
      <w:pPr>
        <w:pStyle w:val="Defstart"/>
      </w:pPr>
      <w:r>
        <w:rPr>
          <w:b/>
        </w:rPr>
        <w:tab/>
        <w:t>“</w:t>
      </w:r>
      <w:r>
        <w:rPr>
          <w:rStyle w:val="CharDefText"/>
        </w:rPr>
        <w:t>thoroughbred</w:t>
      </w:r>
      <w:r>
        <w:rPr>
          <w:b/>
        </w:rPr>
        <w:t>”</w:t>
      </w:r>
      <w:r>
        <w:t xml:space="preserve"> means a horse which when raced is galloped and is ridden by a jockey;</w:t>
      </w:r>
    </w:p>
    <w:p>
      <w:pPr>
        <w:pStyle w:val="Defstart"/>
      </w:pPr>
      <w:r>
        <w:rPr>
          <w:b/>
        </w:rPr>
        <w:tab/>
        <w:t>“</w:t>
      </w:r>
      <w:r>
        <w:rPr>
          <w:rStyle w:val="CharDefText"/>
        </w:rPr>
        <w:t>trial</w:t>
      </w:r>
      <w:r>
        <w:rPr>
          <w:b/>
        </w:rPr>
        <w:t>”</w:t>
      </w:r>
      <w:r>
        <w:t xml:space="preserve"> means an event held for the purpose of testing or training runners for which no prize money or other award, gratuity or privilege of more than a nominal value is offered;</w:t>
      </w:r>
    </w:p>
    <w:p>
      <w:pPr>
        <w:pStyle w:val="Defstart"/>
      </w:pPr>
      <w:r>
        <w:rPr>
          <w:b/>
        </w:rPr>
        <w:tab/>
        <w:t>“</w:t>
      </w:r>
      <w:r>
        <w:rPr>
          <w:rStyle w:val="CharDefText"/>
        </w:rPr>
        <w:t>Tribunal</w:t>
      </w:r>
      <w:r>
        <w:rPr>
          <w:b/>
        </w:rPr>
        <w:t>”</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 xml:space="preserve">A word or expression used in this Act has the same meaning as it has in the RWWA Act unless —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 xml:space="preserve">[Section 3 amended by No. 11 of 1992 s. 70; No. 23 of 1998 s. 20; No. 35 of 2003 s. 180.] </w:t>
      </w:r>
    </w:p>
    <w:p>
      <w:pPr>
        <w:pStyle w:val="Heading2"/>
      </w:pPr>
      <w:bookmarkStart w:id="16" w:name="_Toc89505462"/>
      <w:bookmarkStart w:id="17" w:name="_Toc89505504"/>
      <w:bookmarkStart w:id="18" w:name="_Toc89585117"/>
      <w:bookmarkStart w:id="19" w:name="_Toc102465869"/>
      <w:bookmarkStart w:id="20" w:name="_Toc102538129"/>
      <w:r>
        <w:rPr>
          <w:rStyle w:val="CharPartNo"/>
        </w:rPr>
        <w:t>Part 2</w:t>
      </w:r>
      <w:r>
        <w:t> — </w:t>
      </w:r>
      <w:r>
        <w:rPr>
          <w:rStyle w:val="CharPartText"/>
        </w:rPr>
        <w:t>The Racing Penalties Appeal Tribunal of Western Australia</w:t>
      </w:r>
      <w:bookmarkEnd w:id="16"/>
      <w:bookmarkEnd w:id="17"/>
      <w:bookmarkEnd w:id="18"/>
      <w:bookmarkEnd w:id="19"/>
      <w:bookmarkEnd w:id="20"/>
      <w:r>
        <w:rPr>
          <w:rStyle w:val="CharPartText"/>
        </w:rPr>
        <w:t xml:space="preserve"> </w:t>
      </w:r>
    </w:p>
    <w:p>
      <w:pPr>
        <w:pStyle w:val="Heading3"/>
        <w:rPr>
          <w:snapToGrid w:val="0"/>
        </w:rPr>
      </w:pPr>
      <w:bookmarkStart w:id="21" w:name="_Toc89505463"/>
      <w:bookmarkStart w:id="22" w:name="_Toc89505505"/>
      <w:bookmarkStart w:id="23" w:name="_Toc89585118"/>
      <w:bookmarkStart w:id="24" w:name="_Toc102465870"/>
      <w:bookmarkStart w:id="25" w:name="_Toc102538130"/>
      <w:r>
        <w:rPr>
          <w:rStyle w:val="CharDivNo"/>
        </w:rPr>
        <w:t>Division 1</w:t>
      </w:r>
      <w:r>
        <w:rPr>
          <w:snapToGrid w:val="0"/>
        </w:rPr>
        <w:t> — </w:t>
      </w:r>
      <w:r>
        <w:rPr>
          <w:rStyle w:val="CharDivText"/>
        </w:rPr>
        <w:t>Constitution and Administration</w:t>
      </w:r>
      <w:bookmarkEnd w:id="21"/>
      <w:bookmarkEnd w:id="22"/>
      <w:bookmarkEnd w:id="23"/>
      <w:bookmarkEnd w:id="24"/>
      <w:bookmarkEnd w:id="25"/>
      <w:r>
        <w:rPr>
          <w:rStyle w:val="CharDivText"/>
        </w:rPr>
        <w:t xml:space="preserve"> </w:t>
      </w:r>
    </w:p>
    <w:p>
      <w:pPr>
        <w:pStyle w:val="Heading5"/>
        <w:rPr>
          <w:snapToGrid w:val="0"/>
        </w:rPr>
      </w:pPr>
      <w:bookmarkStart w:id="26" w:name="_Toc487527727"/>
      <w:bookmarkStart w:id="27" w:name="_Toc526931900"/>
      <w:bookmarkStart w:id="28" w:name="_Toc102538131"/>
      <w:r>
        <w:rPr>
          <w:rStyle w:val="CharSectno"/>
        </w:rPr>
        <w:t>4</w:t>
      </w:r>
      <w:r>
        <w:rPr>
          <w:snapToGrid w:val="0"/>
        </w:rPr>
        <w:t>.</w:t>
      </w:r>
      <w:r>
        <w:rPr>
          <w:snapToGrid w:val="0"/>
        </w:rPr>
        <w:tab/>
        <w:t>The Racing Penalties Appeal Tribunal of Western Australia</w:t>
      </w:r>
      <w:bookmarkEnd w:id="26"/>
      <w:bookmarkEnd w:id="27"/>
      <w:bookmarkEnd w:id="28"/>
      <w:r>
        <w:rPr>
          <w:snapToGrid w:val="0"/>
        </w:rPr>
        <w:t xml:space="preserve"> </w:t>
      </w:r>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 xml:space="preserve">[Section 4 amended by No. 32 of 1994 s. 19.] </w:t>
      </w:r>
    </w:p>
    <w:p>
      <w:pPr>
        <w:pStyle w:val="Heading5"/>
        <w:rPr>
          <w:snapToGrid w:val="0"/>
        </w:rPr>
      </w:pPr>
      <w:bookmarkStart w:id="29" w:name="_Toc487527728"/>
      <w:bookmarkStart w:id="30" w:name="_Toc526931901"/>
      <w:bookmarkStart w:id="31" w:name="_Toc102538132"/>
      <w:r>
        <w:rPr>
          <w:rStyle w:val="CharSectno"/>
        </w:rPr>
        <w:t>5</w:t>
      </w:r>
      <w:r>
        <w:rPr>
          <w:snapToGrid w:val="0"/>
        </w:rPr>
        <w:t>.</w:t>
      </w:r>
      <w:r>
        <w:rPr>
          <w:snapToGrid w:val="0"/>
        </w:rPr>
        <w:tab/>
        <w:t>Chairperson and Acting Chairperson</w:t>
      </w:r>
      <w:bookmarkEnd w:id="29"/>
      <w:bookmarkEnd w:id="30"/>
      <w:bookmarkEnd w:id="31"/>
      <w:r>
        <w:rPr>
          <w:snapToGrid w:val="0"/>
        </w:rPr>
        <w:t xml:space="preserve"> </w:t>
      </w:r>
    </w:p>
    <w:p>
      <w:pPr>
        <w:pStyle w:val="Subsection"/>
        <w:rPr>
          <w:snapToGrid w:val="0"/>
        </w:rPr>
      </w:pPr>
      <w:r>
        <w:rPr>
          <w:snapToGrid w:val="0"/>
        </w:rPr>
        <w:tab/>
        <w:t>(1)</w:t>
      </w:r>
      <w:r>
        <w:rPr>
          <w:snapToGrid w:val="0"/>
        </w:rPr>
        <w:tab/>
        <w:t>The Minister shall, in writing, appoint a person who is a</w:t>
      </w:r>
      <w:r>
        <w:t xml:space="preserve"> legal practitioner (as defined in the </w:t>
      </w:r>
      <w:r>
        <w:rPr>
          <w:i/>
        </w:rPr>
        <w:t>Legal Practice Act 2003</w:t>
      </w:r>
      <w:r>
        <w:t>) or a barrister or solicitor of the Supreme Court of another State or a Territory</w:t>
      </w:r>
      <w:r>
        <w:rPr>
          <w:snapToGrid w:val="0"/>
        </w:rPr>
        <w:t>, of not less than 7 years’ standing and practice to be the Chairperson of the Tribunal.</w:t>
      </w:r>
    </w:p>
    <w:p>
      <w:pPr>
        <w:pStyle w:val="Subsection"/>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pPr>
      <w:r>
        <w:tab/>
        <w:t>[Section 5 amended by No. 65 of 2003 s. 116.]</w:t>
      </w:r>
    </w:p>
    <w:p>
      <w:pPr>
        <w:pStyle w:val="Heading5"/>
        <w:rPr>
          <w:snapToGrid w:val="0"/>
        </w:rPr>
      </w:pPr>
      <w:bookmarkStart w:id="32" w:name="_Toc487527729"/>
      <w:bookmarkStart w:id="33" w:name="_Toc526931902"/>
      <w:bookmarkStart w:id="34" w:name="_Toc102538133"/>
      <w:r>
        <w:rPr>
          <w:rStyle w:val="CharSectno"/>
        </w:rPr>
        <w:t>6</w:t>
      </w:r>
      <w:r>
        <w:rPr>
          <w:snapToGrid w:val="0"/>
        </w:rPr>
        <w:t>.</w:t>
      </w:r>
      <w:r>
        <w:rPr>
          <w:snapToGrid w:val="0"/>
        </w:rPr>
        <w:tab/>
        <w:t>Panel of members</w:t>
      </w:r>
      <w:bookmarkEnd w:id="32"/>
      <w:bookmarkEnd w:id="33"/>
      <w:bookmarkEnd w:id="34"/>
      <w:r>
        <w:rPr>
          <w:snapToGrid w:val="0"/>
        </w:rPr>
        <w:t xml:space="preserve"> </w:t>
      </w:r>
    </w:p>
    <w:p>
      <w:pPr>
        <w:pStyle w:val="Subsection"/>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rPr>
          <w:snapToGrid w:val="0"/>
        </w:rPr>
      </w:pPr>
      <w:r>
        <w:rPr>
          <w:snapToGrid w:val="0"/>
        </w:rPr>
        <w:tab/>
        <w:t>(4)</w:t>
      </w:r>
      <w:r>
        <w:rPr>
          <w:snapToGrid w:val="0"/>
        </w:rPr>
        <w:tab/>
        <w:t>A person shall not be appointed by the Minister under this section unless the Minister is satisfied that the person — </w:t>
      </w:r>
    </w:p>
    <w:p>
      <w:pPr>
        <w:pStyle w:val="Indenta"/>
        <w:rPr>
          <w:snapToGrid w:val="0"/>
        </w:rPr>
      </w:pPr>
      <w:r>
        <w:rPr>
          <w:snapToGrid w:val="0"/>
        </w:rPr>
        <w:tab/>
        <w:t>(a)</w:t>
      </w:r>
      <w:r>
        <w:rPr>
          <w:snapToGrid w:val="0"/>
        </w:rPr>
        <w:tab/>
        <w:t>is, or would be eligible for appointment as, or has been, a magistrate; or</w:t>
      </w:r>
    </w:p>
    <w:p>
      <w:pPr>
        <w:pStyle w:val="Indenta"/>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pPr>
      <w:r>
        <w:tab/>
        <w:t>[Section 6 amended by No. 24 of 2000 s. 37.]</w:t>
      </w:r>
    </w:p>
    <w:p>
      <w:pPr>
        <w:pStyle w:val="Heading5"/>
        <w:rPr>
          <w:snapToGrid w:val="0"/>
        </w:rPr>
      </w:pPr>
      <w:bookmarkStart w:id="35" w:name="_Toc487527730"/>
      <w:bookmarkStart w:id="36" w:name="_Toc526931903"/>
      <w:bookmarkStart w:id="37" w:name="_Toc102538134"/>
      <w:r>
        <w:rPr>
          <w:rStyle w:val="CharSectno"/>
        </w:rPr>
        <w:t>7</w:t>
      </w:r>
      <w:r>
        <w:rPr>
          <w:snapToGrid w:val="0"/>
        </w:rPr>
        <w:t>.</w:t>
      </w:r>
      <w:r>
        <w:rPr>
          <w:snapToGrid w:val="0"/>
        </w:rPr>
        <w:tab/>
        <w:t>Eligibility to sit on a particular Tribunal</w:t>
      </w:r>
      <w:bookmarkEnd w:id="35"/>
      <w:bookmarkEnd w:id="36"/>
      <w:bookmarkEnd w:id="37"/>
      <w:r>
        <w:rPr>
          <w:snapToGrid w:val="0"/>
        </w:rPr>
        <w:t xml:space="preserve"> </w:t>
      </w:r>
    </w:p>
    <w:p>
      <w:pPr>
        <w:pStyle w:val="Subsection"/>
        <w:spacing w:before="140"/>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 </w:t>
      </w:r>
    </w:p>
    <w:p>
      <w:pPr>
        <w:pStyle w:val="Indenta"/>
        <w:spacing w:before="60"/>
        <w:rPr>
          <w:snapToGrid w:val="0"/>
        </w:rPr>
      </w:pPr>
      <w:r>
        <w:rPr>
          <w:snapToGrid w:val="0"/>
        </w:rPr>
        <w:tab/>
        <w:t>(a)</w:t>
      </w:r>
      <w:r>
        <w:rPr>
          <w:snapToGrid w:val="0"/>
        </w:rPr>
        <w:tab/>
        <w:t>a greyhound, where the appeal relates to greyhound racing;</w:t>
      </w:r>
    </w:p>
    <w:p>
      <w:pPr>
        <w:pStyle w:val="Indenta"/>
        <w:spacing w:before="60"/>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spacing w:before="60"/>
        <w:rPr>
          <w:snapToGrid w:val="0"/>
        </w:rPr>
      </w:pPr>
      <w:r>
        <w:rPr>
          <w:snapToGrid w:val="0"/>
        </w:rPr>
        <w:tab/>
        <w:t>(c)</w:t>
      </w:r>
      <w:r>
        <w:rPr>
          <w:snapToGrid w:val="0"/>
        </w:rPr>
        <w:tab/>
        <w:t>a pacer, where the appeal relates to harness racing,</w:t>
      </w:r>
    </w:p>
    <w:p>
      <w:pPr>
        <w:pStyle w:val="Subsection"/>
        <w:spacing w:before="60"/>
        <w:rPr>
          <w:snapToGrid w:val="0"/>
        </w:rPr>
      </w:pPr>
      <w:r>
        <w:rPr>
          <w:snapToGrid w:val="0"/>
        </w:rPr>
        <w:tab/>
      </w:r>
      <w:r>
        <w:rPr>
          <w:snapToGrid w:val="0"/>
        </w:rPr>
        <w:tab/>
        <w:t>and any person who so sits as a member commits an offence.</w:t>
      </w:r>
    </w:p>
    <w:p>
      <w:pPr>
        <w:pStyle w:val="Penstart"/>
        <w:spacing w:before="60"/>
        <w:rPr>
          <w:snapToGrid w:val="0"/>
        </w:rPr>
      </w:pPr>
      <w:r>
        <w:rPr>
          <w:snapToGrid w:val="0"/>
        </w:rPr>
        <w:tab/>
        <w:t>Penalty: $5 000.</w:t>
      </w:r>
    </w:p>
    <w:p>
      <w:pPr>
        <w:pStyle w:val="Subsection"/>
        <w:spacing w:before="140"/>
        <w:rPr>
          <w:snapToGrid w:val="0"/>
        </w:rPr>
      </w:pPr>
      <w:r>
        <w:rPr>
          <w:snapToGrid w:val="0"/>
        </w:rPr>
        <w:tab/>
        <w:t>(2)</w:t>
      </w:r>
      <w:r>
        <w:rPr>
          <w:snapToGrid w:val="0"/>
        </w:rPr>
        <w:tab/>
        <w:t>A person shall not sit as a member of a Tribunal on an appeal arising out of — </w:t>
      </w:r>
    </w:p>
    <w:p>
      <w:pPr>
        <w:pStyle w:val="Indenta"/>
        <w:spacing w:before="60"/>
        <w:rPr>
          <w:snapToGrid w:val="0"/>
        </w:rPr>
      </w:pPr>
      <w:r>
        <w:rPr>
          <w:snapToGrid w:val="0"/>
        </w:rPr>
        <w:tab/>
        <w:t>(a)</w:t>
      </w:r>
      <w:r>
        <w:rPr>
          <w:snapToGrid w:val="0"/>
        </w:rPr>
        <w:tab/>
        <w:t>the running of a race;</w:t>
      </w:r>
    </w:p>
    <w:p>
      <w:pPr>
        <w:pStyle w:val="Indenta"/>
        <w:spacing w:before="60"/>
        <w:rPr>
          <w:snapToGrid w:val="0"/>
        </w:rPr>
      </w:pPr>
      <w:r>
        <w:rPr>
          <w:snapToGrid w:val="0"/>
        </w:rPr>
        <w:tab/>
        <w:t>(b)</w:t>
      </w:r>
      <w:r>
        <w:rPr>
          <w:snapToGrid w:val="0"/>
        </w:rPr>
        <w:tab/>
        <w:t>any matter which occurred during a race; or</w:t>
      </w:r>
    </w:p>
    <w:p>
      <w:pPr>
        <w:pStyle w:val="Indenta"/>
        <w:spacing w:before="60"/>
        <w:rPr>
          <w:snapToGrid w:val="0"/>
        </w:rPr>
      </w:pPr>
      <w:r>
        <w:rPr>
          <w:snapToGrid w:val="0"/>
        </w:rPr>
        <w:tab/>
        <w:t>(c)</w:t>
      </w:r>
      <w:r>
        <w:rPr>
          <w:snapToGrid w:val="0"/>
        </w:rPr>
        <w:tab/>
        <w:t>a swab which was taken from a runner competing in a race,</w:t>
      </w:r>
    </w:p>
    <w:p>
      <w:pPr>
        <w:pStyle w:val="Subsection"/>
        <w:spacing w:before="60"/>
        <w:rPr>
          <w:snapToGrid w:val="0"/>
        </w:rPr>
      </w:pPr>
      <w:r>
        <w:rPr>
          <w:snapToGrid w:val="0"/>
        </w:rPr>
        <w:tab/>
      </w:r>
      <w:r>
        <w:rPr>
          <w:snapToGrid w:val="0"/>
        </w:rPr>
        <w:tab/>
        <w:t>if that person had an interest in a runner in the race, and any person who so sits as a member commits an offence.</w:t>
      </w:r>
    </w:p>
    <w:p>
      <w:pPr>
        <w:pStyle w:val="Penstart"/>
        <w:spacing w:before="60"/>
        <w:rPr>
          <w:snapToGrid w:val="0"/>
        </w:rPr>
      </w:pPr>
      <w:r>
        <w:rPr>
          <w:snapToGrid w:val="0"/>
        </w:rPr>
        <w:tab/>
        <w:t>Penalty: $5 000.</w:t>
      </w:r>
    </w:p>
    <w:p>
      <w:pPr>
        <w:pStyle w:val="Subsection"/>
        <w:spacing w:before="140"/>
        <w:rPr>
          <w:snapToGrid w:val="0"/>
        </w:rPr>
      </w:pPr>
      <w:r>
        <w:rPr>
          <w:snapToGrid w:val="0"/>
        </w:rPr>
        <w:tab/>
        <w:t>(3)</w:t>
      </w:r>
      <w:r>
        <w:rPr>
          <w:snapToGrid w:val="0"/>
        </w:rPr>
        <w:tab/>
        <w:t>For the purposes of subsections (1) and (2) a person shall be deemed to have had an interest in a runner if that person — </w:t>
      </w:r>
    </w:p>
    <w:p>
      <w:pPr>
        <w:pStyle w:val="Indenta"/>
        <w:spacing w:before="60"/>
        <w:rPr>
          <w:snapToGrid w:val="0"/>
        </w:rPr>
      </w:pPr>
      <w:r>
        <w:rPr>
          <w:snapToGrid w:val="0"/>
        </w:rPr>
        <w:tab/>
        <w:t>(a)</w:t>
      </w:r>
      <w:r>
        <w:rPr>
          <w:snapToGrid w:val="0"/>
        </w:rPr>
        <w:tab/>
        <w:t>at the time when the event giving rise to the appeal occurred was — </w:t>
      </w:r>
    </w:p>
    <w:p>
      <w:pPr>
        <w:pStyle w:val="Indenti"/>
        <w:spacing w:before="60"/>
        <w:rPr>
          <w:snapToGrid w:val="0"/>
        </w:rPr>
      </w:pPr>
      <w:r>
        <w:rPr>
          <w:snapToGrid w:val="0"/>
        </w:rPr>
        <w:tab/>
        <w:t>(i)</w:t>
      </w:r>
      <w:r>
        <w:rPr>
          <w:snapToGrid w:val="0"/>
        </w:rPr>
        <w:tab/>
        <w:t>an owner or the trainer of the runner; or</w:t>
      </w:r>
    </w:p>
    <w:p>
      <w:pPr>
        <w:pStyle w:val="Indenti"/>
        <w:spacing w:before="60"/>
        <w:rPr>
          <w:snapToGrid w:val="0"/>
        </w:rPr>
      </w:pPr>
      <w:r>
        <w:rPr>
          <w:snapToGrid w:val="0"/>
        </w:rPr>
        <w:tab/>
        <w:t>(ii)</w:t>
      </w:r>
      <w:r>
        <w:rPr>
          <w:snapToGrid w:val="0"/>
        </w:rPr>
        <w:tab/>
        <w:t xml:space="preserve">an employee or agent of the owner or trainer;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bet on the race or matter which is the subject of the appeal, whether or not on that runner.</w:t>
      </w:r>
    </w:p>
    <w:p>
      <w:pPr>
        <w:pStyle w:val="Subsection"/>
        <w:spacing w:before="140"/>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spacing w:before="140"/>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by No. 35 of 2003 s. 181.]</w:t>
      </w:r>
    </w:p>
    <w:p>
      <w:pPr>
        <w:pStyle w:val="Heading5"/>
        <w:rPr>
          <w:snapToGrid w:val="0"/>
        </w:rPr>
      </w:pPr>
      <w:bookmarkStart w:id="38" w:name="_Toc487527731"/>
      <w:bookmarkStart w:id="39" w:name="_Toc526931904"/>
      <w:bookmarkStart w:id="40" w:name="_Toc102538135"/>
      <w:r>
        <w:rPr>
          <w:rStyle w:val="CharSectno"/>
        </w:rPr>
        <w:t>8</w:t>
      </w:r>
      <w:r>
        <w:rPr>
          <w:snapToGrid w:val="0"/>
        </w:rPr>
        <w:t>.</w:t>
      </w:r>
      <w:r>
        <w:rPr>
          <w:snapToGrid w:val="0"/>
        </w:rPr>
        <w:tab/>
        <w:t>The Registrar</w:t>
      </w:r>
      <w:bookmarkEnd w:id="38"/>
      <w:bookmarkEnd w:id="39"/>
      <w:bookmarkEnd w:id="40"/>
      <w:r>
        <w:rPr>
          <w:snapToGrid w:val="0"/>
        </w:rPr>
        <w:t xml:space="preserve"> </w:t>
      </w:r>
    </w:p>
    <w:p>
      <w:pPr>
        <w:pStyle w:val="Subsection"/>
        <w:spacing w:before="140"/>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spacing w:before="140"/>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spacing w:before="140"/>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 xml:space="preserve">[Section 8 amended by No. 32 of 1994 s. 19.] </w:t>
      </w:r>
    </w:p>
    <w:p>
      <w:pPr>
        <w:pStyle w:val="Heading5"/>
        <w:rPr>
          <w:snapToGrid w:val="0"/>
        </w:rPr>
      </w:pPr>
      <w:bookmarkStart w:id="41" w:name="_Toc487527732"/>
      <w:bookmarkStart w:id="42" w:name="_Toc526931905"/>
      <w:bookmarkStart w:id="43" w:name="_Toc102538136"/>
      <w:r>
        <w:rPr>
          <w:rStyle w:val="CharSectno"/>
        </w:rPr>
        <w:t>9</w:t>
      </w:r>
      <w:r>
        <w:rPr>
          <w:snapToGrid w:val="0"/>
        </w:rPr>
        <w:t>.</w:t>
      </w:r>
      <w:r>
        <w:rPr>
          <w:snapToGrid w:val="0"/>
        </w:rPr>
        <w:tab/>
        <w:t>Relationship with Minister</w:t>
      </w:r>
      <w:bookmarkEnd w:id="41"/>
      <w:bookmarkEnd w:id="42"/>
      <w:bookmarkEnd w:id="43"/>
      <w:r>
        <w:rPr>
          <w:snapToGrid w:val="0"/>
        </w:rPr>
        <w:t xml:space="preserve"> </w:t>
      </w:r>
    </w:p>
    <w:p>
      <w:pPr>
        <w:pStyle w:val="Subsection"/>
        <w:spacing w:before="140"/>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spacing w:before="14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 xml:space="preserve">Prior to the submission of the annual report of operations required by the </w:t>
      </w:r>
      <w:r>
        <w:rPr>
          <w:i/>
          <w:snapToGrid w:val="0"/>
        </w:rPr>
        <w:t>Financial Administration and Audit Act 1985</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rPr>
          <w:snapToGrid w:val="0"/>
        </w:rPr>
      </w:pPr>
      <w:bookmarkStart w:id="44" w:name="_Toc89505470"/>
      <w:bookmarkStart w:id="45" w:name="_Toc89505512"/>
      <w:bookmarkStart w:id="46" w:name="_Toc89585125"/>
      <w:bookmarkStart w:id="47" w:name="_Toc102465877"/>
      <w:bookmarkStart w:id="48" w:name="_Toc102538137"/>
      <w:r>
        <w:rPr>
          <w:rStyle w:val="CharDivNo"/>
        </w:rPr>
        <w:t>Division 2</w:t>
      </w:r>
      <w:r>
        <w:rPr>
          <w:snapToGrid w:val="0"/>
        </w:rPr>
        <w:t> — </w:t>
      </w:r>
      <w:r>
        <w:rPr>
          <w:rStyle w:val="CharDivText"/>
        </w:rPr>
        <w:t>Jurisdiction and functions</w:t>
      </w:r>
      <w:bookmarkEnd w:id="44"/>
      <w:bookmarkEnd w:id="45"/>
      <w:bookmarkEnd w:id="46"/>
      <w:bookmarkEnd w:id="47"/>
      <w:bookmarkEnd w:id="48"/>
      <w:r>
        <w:rPr>
          <w:rStyle w:val="CharDivText"/>
        </w:rPr>
        <w:t xml:space="preserve"> </w:t>
      </w:r>
    </w:p>
    <w:p>
      <w:pPr>
        <w:pStyle w:val="Heading5"/>
        <w:rPr>
          <w:snapToGrid w:val="0"/>
        </w:rPr>
      </w:pPr>
      <w:bookmarkStart w:id="49" w:name="_Toc487527733"/>
      <w:bookmarkStart w:id="50" w:name="_Toc526931906"/>
      <w:bookmarkStart w:id="51" w:name="_Toc102538138"/>
      <w:r>
        <w:rPr>
          <w:rStyle w:val="CharSectno"/>
        </w:rPr>
        <w:t>10</w:t>
      </w:r>
      <w:r>
        <w:rPr>
          <w:snapToGrid w:val="0"/>
        </w:rPr>
        <w:t>.</w:t>
      </w:r>
      <w:r>
        <w:rPr>
          <w:snapToGrid w:val="0"/>
        </w:rPr>
        <w:tab/>
        <w:t>Jurisdiction, as variously constituted</w:t>
      </w:r>
      <w:bookmarkEnd w:id="49"/>
      <w:bookmarkEnd w:id="50"/>
      <w:bookmarkEnd w:id="51"/>
      <w:r>
        <w:rPr>
          <w:snapToGrid w:val="0"/>
        </w:rPr>
        <w:t xml:space="preserve"> </w:t>
      </w:r>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2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2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2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spacing w:before="120"/>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52" w:name="_Toc487527734"/>
      <w:bookmarkStart w:id="53" w:name="_Toc526931907"/>
      <w:bookmarkStart w:id="54" w:name="_Toc102538139"/>
      <w:r>
        <w:rPr>
          <w:rStyle w:val="CharSectno"/>
        </w:rPr>
        <w:t>11</w:t>
      </w:r>
      <w:r>
        <w:rPr>
          <w:snapToGrid w:val="0"/>
        </w:rPr>
        <w:t>.</w:t>
      </w:r>
      <w:r>
        <w:rPr>
          <w:snapToGrid w:val="0"/>
        </w:rPr>
        <w:tab/>
        <w:t>Proceedings before the Tribunal</w:t>
      </w:r>
      <w:bookmarkEnd w:id="52"/>
      <w:bookmarkEnd w:id="53"/>
      <w:bookmarkEnd w:id="54"/>
      <w:r>
        <w:rPr>
          <w:snapToGrid w:val="0"/>
        </w:rPr>
        <w:t xml:space="preserve"> </w:t>
      </w:r>
    </w:p>
    <w:p>
      <w:pPr>
        <w:pStyle w:val="Subsection"/>
        <w:spacing w:before="120"/>
        <w:rPr>
          <w:snapToGrid w:val="0"/>
        </w:rPr>
      </w:pPr>
      <w:r>
        <w:rPr>
          <w:snapToGrid w:val="0"/>
        </w:rPr>
        <w:tab/>
        <w:t>(1)</w:t>
      </w:r>
      <w:r>
        <w:rPr>
          <w:snapToGrid w:val="0"/>
        </w:rPr>
        <w:tab/>
        <w:t>The Tribunal, comprising the member or members by which it is for the time being constituted, shall — </w:t>
      </w:r>
    </w:p>
    <w:p>
      <w:pPr>
        <w:pStyle w:val="Indenta"/>
        <w:spacing w:before="60"/>
        <w:rPr>
          <w:snapToGrid w:val="0"/>
        </w:rPr>
      </w:pPr>
      <w:r>
        <w:rPr>
          <w:snapToGrid w:val="0"/>
        </w:rPr>
        <w:tab/>
        <w:t>(a)</w:t>
      </w:r>
      <w:r>
        <w:rPr>
          <w:snapToGrid w:val="0"/>
        </w:rPr>
        <w:tab/>
        <w:t>conduct its proceedings at such times and places as are necessary to enable it to discharge its functions;</w:t>
      </w:r>
    </w:p>
    <w:p>
      <w:pPr>
        <w:pStyle w:val="Indenta"/>
        <w:spacing w:before="60"/>
        <w:rPr>
          <w:snapToGrid w:val="0"/>
        </w:rPr>
      </w:pPr>
      <w:r>
        <w:rPr>
          <w:snapToGrid w:val="0"/>
        </w:rPr>
        <w:tab/>
        <w:t>(b)</w:t>
      </w:r>
      <w:r>
        <w:rPr>
          <w:snapToGrid w:val="0"/>
        </w:rPr>
        <w:tab/>
        <w:t>act according to equity, good conscience and the substantial merits of the case; and</w:t>
      </w:r>
    </w:p>
    <w:p>
      <w:pPr>
        <w:pStyle w:val="Indenta"/>
        <w:spacing w:before="60"/>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 </w:t>
      </w:r>
    </w:p>
    <w:p>
      <w:pPr>
        <w:pStyle w:val="Indenta"/>
        <w:rPr>
          <w:snapToGrid w:val="0"/>
        </w:rPr>
      </w:pPr>
      <w:r>
        <w:rPr>
          <w:snapToGrid w:val="0"/>
        </w:rPr>
        <w:tab/>
        <w:t>(a)</w:t>
      </w:r>
      <w:r>
        <w:rPr>
          <w:snapToGrid w:val="0"/>
        </w:rPr>
        <w:tab/>
        <w:t>the member presiding shall determine any question relating to — </w:t>
      </w:r>
    </w:p>
    <w:p>
      <w:pPr>
        <w:pStyle w:val="Indenti"/>
        <w:rPr>
          <w:snapToGrid w:val="0"/>
        </w:rPr>
      </w:pPr>
      <w:r>
        <w:rPr>
          <w:snapToGrid w:val="0"/>
        </w:rPr>
        <w:tab/>
        <w:t>(i)</w:t>
      </w:r>
      <w:r>
        <w:rPr>
          <w:snapToGrid w:val="0"/>
        </w:rPr>
        <w:tab/>
        <w:t>the jurisdiction of the Tribunal;</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w:t>
      </w:r>
    </w:p>
    <w:p>
      <w:pPr>
        <w:pStyle w:val="Indenta"/>
        <w:rPr>
          <w:snapToGrid w:val="0"/>
        </w:rPr>
      </w:pPr>
      <w:r>
        <w:rPr>
          <w:snapToGrid w:val="0"/>
        </w:rPr>
        <w:tab/>
        <w:t>(d)</w:t>
      </w:r>
      <w:r>
        <w:rPr>
          <w:snapToGrid w:val="0"/>
        </w:rPr>
        <w:tab/>
        <w:t>the Tribunal may appoint persons to act as — </w:t>
      </w:r>
    </w:p>
    <w:p>
      <w:pPr>
        <w:pStyle w:val="Indenti"/>
        <w:rPr>
          <w:snapToGrid w:val="0"/>
        </w:rPr>
      </w:pPr>
      <w:r>
        <w:rPr>
          <w:snapToGrid w:val="0"/>
        </w:rPr>
        <w:tab/>
        <w:t>(i)</w:t>
      </w:r>
      <w:r>
        <w:rPr>
          <w:snapToGrid w:val="0"/>
        </w:rPr>
        <w:tab/>
        <w:t>counsel; or</w:t>
      </w:r>
    </w:p>
    <w:p>
      <w:pPr>
        <w:pStyle w:val="Indenti"/>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55" w:name="_Toc487527735"/>
      <w:bookmarkStart w:id="56" w:name="_Toc526931908"/>
      <w:bookmarkStart w:id="57" w:name="_Toc102538140"/>
      <w:r>
        <w:rPr>
          <w:rStyle w:val="CharSectno"/>
        </w:rPr>
        <w:t>12</w:t>
      </w:r>
      <w:r>
        <w:rPr>
          <w:snapToGrid w:val="0"/>
        </w:rPr>
        <w:t>.</w:t>
      </w:r>
      <w:r>
        <w:rPr>
          <w:snapToGrid w:val="0"/>
        </w:rPr>
        <w:tab/>
        <w:t>Appeals which are not to be heard by the Tribunal</w:t>
      </w:r>
      <w:bookmarkEnd w:id="55"/>
      <w:bookmarkEnd w:id="56"/>
      <w:bookmarkEnd w:id="57"/>
      <w:r>
        <w:rPr>
          <w:snapToGrid w:val="0"/>
        </w:rPr>
        <w:t xml:space="preserve"> </w:t>
      </w:r>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 </w:t>
      </w:r>
    </w:p>
    <w:p>
      <w:pPr>
        <w:pStyle w:val="Indenta"/>
        <w:rPr>
          <w:snapToGrid w:val="0"/>
        </w:rPr>
      </w:pPr>
      <w:r>
        <w:rPr>
          <w:snapToGrid w:val="0"/>
        </w:rPr>
        <w:tab/>
        <w:t>(a)</w:t>
      </w:r>
      <w:r>
        <w:rPr>
          <w:snapToGrid w:val="0"/>
        </w:rPr>
        <w:tab/>
        <w:t>any protest or objection against a placed runner arising out of any incident occurring during the running of a race;</w:t>
      </w:r>
    </w:p>
    <w:p>
      <w:pPr>
        <w:pStyle w:val="Indenta"/>
        <w:rPr>
          <w:snapToGrid w:val="0"/>
        </w:rPr>
      </w:pPr>
      <w:r>
        <w:rPr>
          <w:snapToGrid w:val="0"/>
        </w:rPr>
        <w:tab/>
        <w:t>(b)</w:t>
      </w:r>
      <w:r>
        <w:rPr>
          <w:snapToGrid w:val="0"/>
        </w:rPr>
        <w:tab/>
        <w:t xml:space="preserve">the eligibility of a runner to take part in, or the conditions under which a runner takes part in, any race; or </w:t>
      </w:r>
    </w:p>
    <w:p>
      <w:pPr>
        <w:pStyle w:val="Indenta"/>
        <w:rPr>
          <w:snapToGrid w:val="0"/>
        </w:rPr>
      </w:pPr>
      <w:r>
        <w:rPr>
          <w:snapToGrid w:val="0"/>
        </w:rPr>
        <w:tab/>
        <w:t>(c)</w:t>
      </w:r>
      <w:r>
        <w:rPr>
          <w:snapToGrid w:val="0"/>
        </w:rPr>
        <w:tab/>
        <w:t>any question or dispute as to a bet,</w:t>
      </w:r>
    </w:p>
    <w:p>
      <w:pPr>
        <w:pStyle w:val="Subsection"/>
        <w:spacing w:before="80"/>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bookmarkStart w:id="58" w:name="_Toc487527736"/>
      <w:bookmarkStart w:id="59" w:name="_Toc526931909"/>
      <w:r>
        <w:tab/>
        <w:t>[Section 12 amended by No. 35 of 2003 s. 182.]</w:t>
      </w:r>
    </w:p>
    <w:p>
      <w:pPr>
        <w:pStyle w:val="Heading5"/>
        <w:rPr>
          <w:snapToGrid w:val="0"/>
        </w:rPr>
      </w:pPr>
      <w:bookmarkStart w:id="60" w:name="_Toc102538141"/>
      <w:r>
        <w:rPr>
          <w:rStyle w:val="CharSectno"/>
        </w:rPr>
        <w:t>13</w:t>
      </w:r>
      <w:r>
        <w:rPr>
          <w:snapToGrid w:val="0"/>
        </w:rPr>
        <w:t>.</w:t>
      </w:r>
      <w:r>
        <w:rPr>
          <w:snapToGrid w:val="0"/>
        </w:rPr>
        <w:tab/>
        <w:t>Appeals which shall be heard by the Tribunal</w:t>
      </w:r>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A person (in this Part referred to as “the appellant”)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w:t>
      </w:r>
    </w:p>
    <w:p>
      <w:pPr>
        <w:pStyle w:val="Indenta"/>
        <w:rPr>
          <w:snapToGrid w:val="0"/>
        </w:rPr>
      </w:pPr>
      <w:r>
        <w:rPr>
          <w:snapToGrid w:val="0"/>
        </w:rPr>
        <w:tab/>
        <w:t>(b)</w:t>
      </w:r>
      <w:r>
        <w:rPr>
          <w:snapToGrid w:val="0"/>
        </w:rPr>
        <w:tab/>
        <w:t>imposing a fine;</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rPr>
          <w:snapToGrid w:val="0"/>
        </w:rPr>
      </w:pPr>
      <w:r>
        <w:rPr>
          <w:snapToGrid w:val="0"/>
        </w:rPr>
        <w:tab/>
        <w:t>(d)</w:t>
      </w:r>
      <w:r>
        <w:rPr>
          <w:snapToGrid w:val="0"/>
        </w:rPr>
        <w:tab/>
        <w:t>in relation to any other matter, where the Tribunal gives leave to appeal,</w:t>
      </w:r>
    </w:p>
    <w:p>
      <w:pPr>
        <w:pStyle w:val="Subsection"/>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rPr>
          <w:snapToGrid w:val="0"/>
        </w:rPr>
      </w:pPr>
      <w:r>
        <w:rPr>
          <w:snapToGrid w:val="0"/>
        </w:rPr>
        <w:tab/>
        <w:t>(2)</w:t>
      </w:r>
      <w:r>
        <w:rPr>
          <w:snapToGrid w:val="0"/>
        </w:rPr>
        <w:tab/>
        <w:t>An appeal —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rPr>
          <w:snapToGrid w:val="0"/>
        </w:rPr>
      </w:pPr>
      <w:r>
        <w:rPr>
          <w:snapToGrid w:val="0"/>
        </w:rPr>
        <w:tab/>
      </w:r>
      <w:r>
        <w:rPr>
          <w:snapToGrid w:val="0"/>
        </w:rPr>
        <w:tab/>
        <w:t>may be made to and heard by the Tribunal, by leave of the Tribunal.</w:t>
      </w:r>
    </w:p>
    <w:p>
      <w:pPr>
        <w:pStyle w:val="Subsection"/>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bookmarkStart w:id="61" w:name="_Toc487527737"/>
      <w:bookmarkStart w:id="62" w:name="_Toc526931910"/>
      <w:r>
        <w:tab/>
        <w:t>[Section 13 amended by No. 35 of 2003 s. 183.]</w:t>
      </w:r>
    </w:p>
    <w:p>
      <w:pPr>
        <w:pStyle w:val="Heading5"/>
        <w:rPr>
          <w:snapToGrid w:val="0"/>
        </w:rPr>
      </w:pPr>
      <w:bookmarkStart w:id="63" w:name="_Toc102538142"/>
      <w:r>
        <w:rPr>
          <w:rStyle w:val="CharSectno"/>
        </w:rPr>
        <w:t>14</w:t>
      </w:r>
      <w:r>
        <w:rPr>
          <w:snapToGrid w:val="0"/>
        </w:rPr>
        <w:t>.</w:t>
      </w:r>
      <w:r>
        <w:rPr>
          <w:snapToGrid w:val="0"/>
        </w:rPr>
        <w:tab/>
        <w:t>The determination of an appeal</w:t>
      </w:r>
      <w:bookmarkEnd w:id="61"/>
      <w:bookmarkEnd w:id="62"/>
      <w:bookmarkEnd w:id="63"/>
      <w:r>
        <w:rPr>
          <w:snapToGrid w:val="0"/>
        </w:rPr>
        <w:t xml:space="preserve"> </w:t>
      </w:r>
    </w:p>
    <w:p>
      <w:pPr>
        <w:pStyle w:val="Subsection"/>
        <w:rPr>
          <w:snapToGrid w:val="0"/>
        </w:rPr>
      </w:pPr>
      <w:r>
        <w:rPr>
          <w:snapToGrid w:val="0"/>
        </w:rPr>
        <w:tab/>
        <w:t>(1)</w:t>
      </w:r>
      <w:r>
        <w:rPr>
          <w:snapToGrid w:val="0"/>
        </w:rPr>
        <w:tab/>
        <w:t>A determination of the Tribunal in relation to an appeal —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bookmarkStart w:id="64" w:name="_Toc487527738"/>
      <w:bookmarkStart w:id="65" w:name="_Toc526931911"/>
      <w:r>
        <w:tab/>
        <w:t>[Section 14 amended by No. 35 of 2003 s. 184.]</w:t>
      </w:r>
    </w:p>
    <w:p>
      <w:pPr>
        <w:pStyle w:val="Heading5"/>
        <w:rPr>
          <w:snapToGrid w:val="0"/>
        </w:rPr>
      </w:pPr>
      <w:bookmarkStart w:id="66" w:name="_Toc102538143"/>
      <w:r>
        <w:rPr>
          <w:rStyle w:val="CharSectno"/>
        </w:rPr>
        <w:t>15</w:t>
      </w:r>
      <w:r>
        <w:rPr>
          <w:snapToGrid w:val="0"/>
        </w:rPr>
        <w:t>.</w:t>
      </w:r>
      <w:r>
        <w:rPr>
          <w:snapToGrid w:val="0"/>
        </w:rPr>
        <w:tab/>
        <w:t>Other avenues of appeal may no longer be applicable</w:t>
      </w:r>
      <w:bookmarkEnd w:id="64"/>
      <w:bookmarkEnd w:id="65"/>
      <w:bookmarkEnd w:id="66"/>
      <w:r>
        <w:rPr>
          <w:snapToGrid w:val="0"/>
        </w:rPr>
        <w:t xml:space="preserve"> </w:t>
      </w:r>
    </w:p>
    <w:p>
      <w:pPr>
        <w:pStyle w:val="Subsection"/>
        <w:rPr>
          <w:snapToGrid w:val="0"/>
        </w:rPr>
      </w:pPr>
      <w:r>
        <w:rPr>
          <w:snapToGrid w:val="0"/>
        </w:rPr>
        <w:tab/>
        <w:t>(1)</w:t>
      </w:r>
      <w:r>
        <w:rPr>
          <w:snapToGrid w:val="0"/>
        </w:rPr>
        <w:tab/>
        <w:t>Subject to subsection (2), notwithstanding —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by No. 35 of 2003 s. 185.]</w:t>
      </w:r>
    </w:p>
    <w:p>
      <w:pPr>
        <w:pStyle w:val="Heading3"/>
        <w:rPr>
          <w:snapToGrid w:val="0"/>
        </w:rPr>
      </w:pPr>
      <w:bookmarkStart w:id="67" w:name="_Toc89505477"/>
      <w:bookmarkStart w:id="68" w:name="_Toc89505519"/>
      <w:bookmarkStart w:id="69" w:name="_Toc89585132"/>
      <w:bookmarkStart w:id="70" w:name="_Toc102465884"/>
      <w:bookmarkStart w:id="71" w:name="_Toc102538144"/>
      <w:r>
        <w:rPr>
          <w:rStyle w:val="CharDivNo"/>
        </w:rPr>
        <w:t>Division 3</w:t>
      </w:r>
      <w:r>
        <w:rPr>
          <w:snapToGrid w:val="0"/>
        </w:rPr>
        <w:t> — </w:t>
      </w:r>
      <w:r>
        <w:rPr>
          <w:rStyle w:val="CharDivText"/>
        </w:rPr>
        <w:t>Procedures and powers</w:t>
      </w:r>
      <w:bookmarkEnd w:id="67"/>
      <w:bookmarkEnd w:id="68"/>
      <w:bookmarkEnd w:id="69"/>
      <w:bookmarkEnd w:id="70"/>
      <w:bookmarkEnd w:id="71"/>
      <w:r>
        <w:rPr>
          <w:rStyle w:val="CharDivText"/>
        </w:rPr>
        <w:t xml:space="preserve"> </w:t>
      </w:r>
    </w:p>
    <w:p>
      <w:pPr>
        <w:pStyle w:val="Heading5"/>
        <w:rPr>
          <w:snapToGrid w:val="0"/>
        </w:rPr>
      </w:pPr>
      <w:bookmarkStart w:id="72" w:name="_Toc487527739"/>
      <w:bookmarkStart w:id="73" w:name="_Toc526931912"/>
      <w:bookmarkStart w:id="74" w:name="_Toc102538145"/>
      <w:r>
        <w:rPr>
          <w:rStyle w:val="CharSectno"/>
        </w:rPr>
        <w:t>16</w:t>
      </w:r>
      <w:r>
        <w:rPr>
          <w:snapToGrid w:val="0"/>
        </w:rPr>
        <w:t>.</w:t>
      </w:r>
      <w:r>
        <w:rPr>
          <w:snapToGrid w:val="0"/>
        </w:rPr>
        <w:tab/>
        <w:t>Procedure on making an appeal</w:t>
      </w:r>
      <w:bookmarkEnd w:id="72"/>
      <w:bookmarkEnd w:id="73"/>
      <w:bookmarkEnd w:id="74"/>
      <w:r>
        <w:rPr>
          <w:snapToGrid w:val="0"/>
        </w:rPr>
        <w:t xml:space="preserve"> </w:t>
      </w:r>
    </w:p>
    <w:p>
      <w:pPr>
        <w:pStyle w:val="Subsection"/>
        <w:rPr>
          <w:snapToGrid w:val="0"/>
        </w:rPr>
      </w:pPr>
      <w:r>
        <w:rPr>
          <w:snapToGrid w:val="0"/>
        </w:rPr>
        <w:tab/>
        <w:t>(1)</w:t>
      </w:r>
      <w:r>
        <w:rPr>
          <w:snapToGrid w:val="0"/>
        </w:rPr>
        <w:tab/>
        <w:t>An appeal shall be instituted by lodging with the Registrar — </w:t>
      </w:r>
    </w:p>
    <w:p>
      <w:pPr>
        <w:pStyle w:val="Indenta"/>
        <w:rPr>
          <w:snapToGrid w:val="0"/>
        </w:rPr>
      </w:pPr>
      <w:r>
        <w:rPr>
          <w:snapToGrid w:val="0"/>
        </w:rPr>
        <w:tab/>
        <w:t>(a)</w:t>
      </w:r>
      <w:r>
        <w:rPr>
          <w:snapToGrid w:val="0"/>
        </w:rPr>
        <w:tab/>
        <w:t>a written notice of appeal;</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 </w:t>
      </w:r>
    </w:p>
    <w:p>
      <w:pPr>
        <w:pStyle w:val="Indenta"/>
        <w:rPr>
          <w:snapToGrid w:val="0"/>
        </w:rPr>
      </w:pPr>
      <w:r>
        <w:rPr>
          <w:snapToGrid w:val="0"/>
        </w:rPr>
        <w:tab/>
        <w:t>(a)</w:t>
      </w:r>
      <w:r>
        <w:rPr>
          <w:snapToGrid w:val="0"/>
        </w:rPr>
        <w:tab/>
        <w:t>the name and address of the appellant;</w:t>
      </w:r>
    </w:p>
    <w:p>
      <w:pPr>
        <w:pStyle w:val="Indenta"/>
        <w:rPr>
          <w:snapToGrid w:val="0"/>
        </w:rPr>
      </w:pPr>
      <w:r>
        <w:rPr>
          <w:snapToGrid w:val="0"/>
        </w:rPr>
        <w:tab/>
        <w:t>(b)</w:t>
      </w:r>
      <w:r>
        <w:rPr>
          <w:snapToGrid w:val="0"/>
        </w:rPr>
        <w:tab/>
        <w:t>the determination appealed against;</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 </w:t>
      </w:r>
    </w:p>
    <w:p>
      <w:pPr>
        <w:pStyle w:val="Indenti"/>
        <w:rPr>
          <w:snapToGrid w:val="0"/>
        </w:rPr>
      </w:pPr>
      <w:r>
        <w:rPr>
          <w:snapToGrid w:val="0"/>
        </w:rPr>
        <w:tab/>
        <w:t>(i)</w:t>
      </w:r>
      <w:r>
        <w:rPr>
          <w:snapToGrid w:val="0"/>
        </w:rPr>
        <w:tab/>
        <w:t>on the secretary of the club or to the committee or stewards, responsible for the determination or finding appealed against;</w:t>
      </w:r>
    </w:p>
    <w:p>
      <w:pPr>
        <w:pStyle w:val="Indenti"/>
      </w:pPr>
      <w:r>
        <w:tab/>
        <w:t>(ia)</w:t>
      </w:r>
      <w:r>
        <w:tab/>
        <w:t>on RWWA;</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keepNext/>
        <w:rPr>
          <w:snapToGrid w:val="0"/>
        </w:rPr>
      </w:pPr>
      <w:r>
        <w:rPr>
          <w:snapToGrid w:val="0"/>
        </w:rPr>
        <w:tab/>
        <w:t>(6)</w:t>
      </w:r>
      <w:r>
        <w:rPr>
          <w:snapToGrid w:val="0"/>
        </w:rPr>
        <w:tab/>
        <w:t>A person entitled to be heard at an appeal may —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 a</w:t>
      </w:r>
      <w:r>
        <w:t xml:space="preserve"> certificated practitioner (within the meaning of the </w:t>
      </w:r>
      <w:r>
        <w:rPr>
          <w:i/>
        </w:rPr>
        <w:t>Legal Practice Act 2003</w:t>
      </w:r>
      <w:r>
        <w:t>)</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bookmarkStart w:id="75" w:name="_Toc487527740"/>
      <w:bookmarkStart w:id="76" w:name="_Toc526931913"/>
      <w:r>
        <w:tab/>
        <w:t>[Section 16 amended by No. 35 of 2003 s. 186; No. 65 of 2003 s. 58(2).]</w:t>
      </w:r>
    </w:p>
    <w:p>
      <w:pPr>
        <w:pStyle w:val="Heading5"/>
        <w:rPr>
          <w:snapToGrid w:val="0"/>
        </w:rPr>
      </w:pPr>
      <w:bookmarkStart w:id="77" w:name="_Toc102538146"/>
      <w:r>
        <w:rPr>
          <w:rStyle w:val="CharSectno"/>
        </w:rPr>
        <w:t>17</w:t>
      </w:r>
      <w:r>
        <w:rPr>
          <w:snapToGrid w:val="0"/>
        </w:rPr>
        <w:t>.</w:t>
      </w:r>
      <w:r>
        <w:rPr>
          <w:snapToGrid w:val="0"/>
        </w:rPr>
        <w:tab/>
        <w:t>Hearing powers</w:t>
      </w:r>
      <w:bookmarkEnd w:id="75"/>
      <w:bookmarkEnd w:id="76"/>
      <w:bookmarkEnd w:id="77"/>
      <w:r>
        <w:rPr>
          <w:snapToGrid w:val="0"/>
        </w:rPr>
        <w:t xml:space="preserve"> </w:t>
      </w:r>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 </w:t>
      </w:r>
    </w:p>
    <w:p>
      <w:pPr>
        <w:pStyle w:val="Indenta"/>
        <w:rPr>
          <w:snapToGrid w:val="0"/>
        </w:rPr>
      </w:pPr>
      <w:r>
        <w:rPr>
          <w:snapToGrid w:val="0"/>
        </w:rPr>
        <w:tab/>
        <w:t>(a)</w:t>
      </w:r>
      <w:r>
        <w:rPr>
          <w:snapToGrid w:val="0"/>
        </w:rPr>
        <w:tab/>
        <w:t>give evidence in such manner as may be directed;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(b)</w:t>
      </w:r>
      <w:r>
        <w:rPr>
          <w:snapToGrid w:val="0"/>
        </w:rPr>
        <w:tab/>
        <w:t>inspect any racecourse or other place or facilities relevant to the proceedings;</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rPr>
          <w:snapToGrid w:val="0"/>
        </w:rPr>
      </w:pPr>
      <w:r>
        <w:rPr>
          <w:snapToGrid w:val="0"/>
        </w:rPr>
        <w:tab/>
        <w:t>(6)</w:t>
      </w:r>
      <w:r>
        <w:rPr>
          <w:snapToGrid w:val="0"/>
        </w:rPr>
        <w:tab/>
        <w:t>In the course of any proceedings the Tribunal may —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 </w:t>
      </w:r>
    </w:p>
    <w:p>
      <w:pPr>
        <w:pStyle w:val="Indenta"/>
      </w:pPr>
      <w:r>
        <w:tab/>
        <w:t>(a)</w:t>
      </w:r>
      <w:r>
        <w:tab/>
        <w:t>to RWWA;</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 </w:t>
      </w:r>
    </w:p>
    <w:p>
      <w:pPr>
        <w:pStyle w:val="Indenta"/>
        <w:rPr>
          <w:snapToGrid w:val="0"/>
        </w:rPr>
      </w:pPr>
      <w:r>
        <w:rPr>
          <w:snapToGrid w:val="0"/>
        </w:rPr>
        <w:tab/>
        <w:t>(a)</w:t>
      </w:r>
      <w:r>
        <w:rPr>
          <w:snapToGrid w:val="0"/>
        </w:rPr>
        <w:tab/>
        <w:t>order the refund or repayment of any stakes paid in respect of a race to which the appeal relates;</w:t>
      </w:r>
    </w:p>
    <w:p>
      <w:pPr>
        <w:pStyle w:val="Indenta"/>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w:t>
      </w:r>
    </w:p>
    <w:p>
      <w:pPr>
        <w:pStyle w:val="Indenta"/>
        <w:rPr>
          <w:snapToGrid w:val="0"/>
        </w:rPr>
      </w:pPr>
      <w:r>
        <w:rPr>
          <w:snapToGrid w:val="0"/>
        </w:rPr>
        <w:tab/>
        <w:t>(c)</w:t>
      </w:r>
      <w:r>
        <w:rPr>
          <w:snapToGrid w:val="0"/>
        </w:rPr>
        <w:tab/>
        <w:t>confirm, vary or set aside the determination or finding appealed against or any order or penalty imposed to which it relates;</w:t>
      </w:r>
    </w:p>
    <w:p>
      <w:pPr>
        <w:pStyle w:val="Indenta"/>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w:t>
      </w:r>
    </w:p>
    <w:p>
      <w:pPr>
        <w:pStyle w:val="Indenta"/>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pPr>
      <w:bookmarkStart w:id="78" w:name="_Toc487527741"/>
      <w:bookmarkStart w:id="79" w:name="_Toc526931914"/>
      <w:r>
        <w:tab/>
        <w:t>[Section 17 amended by No. 35 of 2003 s. 187.]</w:t>
      </w:r>
    </w:p>
    <w:p>
      <w:pPr>
        <w:pStyle w:val="Heading5"/>
        <w:rPr>
          <w:snapToGrid w:val="0"/>
        </w:rPr>
      </w:pPr>
      <w:bookmarkStart w:id="80" w:name="_Toc102538147"/>
      <w:r>
        <w:rPr>
          <w:rStyle w:val="CharSectno"/>
        </w:rPr>
        <w:t>18</w:t>
      </w:r>
      <w:r>
        <w:rPr>
          <w:snapToGrid w:val="0"/>
        </w:rPr>
        <w:t>.</w:t>
      </w:r>
      <w:r>
        <w:rPr>
          <w:snapToGrid w:val="0"/>
        </w:rPr>
        <w:tab/>
        <w:t>Withdrawal of appeals</w:t>
      </w:r>
      <w:bookmarkEnd w:id="78"/>
      <w:bookmarkEnd w:id="79"/>
      <w:bookmarkEnd w:id="80"/>
      <w:r>
        <w:rPr>
          <w:snapToGrid w:val="0"/>
        </w:rPr>
        <w:t xml:space="preserve"> </w:t>
      </w:r>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81" w:name="_Toc487527742"/>
      <w:bookmarkStart w:id="82" w:name="_Toc526931915"/>
      <w:bookmarkStart w:id="83" w:name="_Toc102538148"/>
      <w:r>
        <w:rPr>
          <w:rStyle w:val="CharSectno"/>
        </w:rPr>
        <w:t>19</w:t>
      </w:r>
      <w:r>
        <w:rPr>
          <w:snapToGrid w:val="0"/>
        </w:rPr>
        <w:t>.</w:t>
      </w:r>
      <w:r>
        <w:rPr>
          <w:snapToGrid w:val="0"/>
        </w:rPr>
        <w:tab/>
        <w:t>Disobedience to determinations of the Tribunal</w:t>
      </w:r>
      <w:bookmarkEnd w:id="81"/>
      <w:bookmarkEnd w:id="82"/>
      <w:bookmarkEnd w:id="83"/>
      <w:r>
        <w:rPr>
          <w:snapToGrid w:val="0"/>
        </w:rPr>
        <w:t xml:space="preserve"> </w:t>
      </w:r>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 </w:t>
      </w:r>
    </w:p>
    <w:p>
      <w:pPr>
        <w:pStyle w:val="Indenta"/>
      </w:pPr>
      <w:r>
        <w:tab/>
        <w:t>(a)</w:t>
      </w:r>
      <w:r>
        <w:tab/>
        <w:t>RWWA;</w:t>
      </w:r>
    </w:p>
    <w:p>
      <w:pPr>
        <w:pStyle w:val="Indenta"/>
      </w:pPr>
      <w:r>
        <w:tab/>
        <w:t>(aa)</w:t>
      </w:r>
      <w:r>
        <w:tab/>
        <w:t>a steward;</w:t>
      </w:r>
    </w:p>
    <w:p>
      <w:pPr>
        <w:pStyle w:val="Indenta"/>
        <w:rPr>
          <w:snapToGrid w:val="0"/>
        </w:rPr>
      </w:pPr>
      <w:r>
        <w:rPr>
          <w:snapToGrid w:val="0"/>
        </w:rPr>
        <w:tab/>
        <w:t>(b)</w:t>
      </w:r>
      <w:r>
        <w:rPr>
          <w:snapToGrid w:val="0"/>
        </w:rPr>
        <w:tab/>
        <w:t>a racing club;</w:t>
      </w:r>
    </w:p>
    <w:p>
      <w:pPr>
        <w:pStyle w:val="Indenta"/>
        <w:rPr>
          <w:snapToGrid w:val="0"/>
        </w:rPr>
      </w:pPr>
      <w:r>
        <w:rPr>
          <w:snapToGrid w:val="0"/>
        </w:rPr>
        <w:tab/>
        <w:t>(c)</w:t>
      </w:r>
      <w:r>
        <w:rPr>
          <w:snapToGrid w:val="0"/>
        </w:rPr>
        <w:tab/>
        <w:t xml:space="preserve">any committee; or </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by No. 35 of 2003 s. 188.]</w:t>
      </w:r>
    </w:p>
    <w:p>
      <w:pPr>
        <w:pStyle w:val="Heading2"/>
      </w:pPr>
      <w:bookmarkStart w:id="84" w:name="_Toc89505482"/>
      <w:bookmarkStart w:id="85" w:name="_Toc89505524"/>
      <w:bookmarkStart w:id="86" w:name="_Toc89585137"/>
      <w:bookmarkStart w:id="87" w:name="_Toc102465889"/>
      <w:bookmarkStart w:id="88" w:name="_Toc102538149"/>
      <w:r>
        <w:rPr>
          <w:rStyle w:val="CharPartNo"/>
        </w:rPr>
        <w:t>Part 3</w:t>
      </w:r>
      <w:r>
        <w:rPr>
          <w:rStyle w:val="CharDivNo"/>
        </w:rPr>
        <w:t> </w:t>
      </w:r>
      <w:r>
        <w:t>—</w:t>
      </w:r>
      <w:r>
        <w:rPr>
          <w:rStyle w:val="CharDivText"/>
        </w:rPr>
        <w:t> </w:t>
      </w:r>
      <w:r>
        <w:rPr>
          <w:rStyle w:val="CharPartText"/>
        </w:rPr>
        <w:t>Miscellaneous</w:t>
      </w:r>
      <w:bookmarkEnd w:id="84"/>
      <w:bookmarkEnd w:id="85"/>
      <w:bookmarkEnd w:id="86"/>
      <w:bookmarkEnd w:id="87"/>
      <w:bookmarkEnd w:id="88"/>
      <w:r>
        <w:rPr>
          <w:rStyle w:val="CharPartText"/>
        </w:rPr>
        <w:t xml:space="preserve"> </w:t>
      </w:r>
    </w:p>
    <w:p>
      <w:pPr>
        <w:pStyle w:val="Heading5"/>
        <w:rPr>
          <w:snapToGrid w:val="0"/>
        </w:rPr>
      </w:pPr>
      <w:bookmarkStart w:id="89" w:name="_Toc487527743"/>
      <w:bookmarkStart w:id="90" w:name="_Toc526931916"/>
      <w:bookmarkStart w:id="91" w:name="_Toc102538150"/>
      <w:r>
        <w:rPr>
          <w:rStyle w:val="CharSectno"/>
        </w:rPr>
        <w:t>20</w:t>
      </w:r>
      <w:r>
        <w:rPr>
          <w:snapToGrid w:val="0"/>
        </w:rPr>
        <w:t>.</w:t>
      </w:r>
      <w:r>
        <w:rPr>
          <w:snapToGrid w:val="0"/>
        </w:rPr>
        <w:tab/>
        <w:t>Offences</w:t>
      </w:r>
      <w:bookmarkEnd w:id="89"/>
      <w:bookmarkEnd w:id="90"/>
      <w:bookmarkEnd w:id="91"/>
      <w:r>
        <w:rPr>
          <w:snapToGrid w:val="0"/>
        </w:rPr>
        <w:t xml:space="preserve"> </w:t>
      </w:r>
    </w:p>
    <w:p>
      <w:pPr>
        <w:pStyle w:val="Subsection"/>
        <w:ind w:left="890" w:hanging="89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92" w:name="_Toc487527744"/>
      <w:bookmarkStart w:id="93" w:name="_Toc526931917"/>
      <w:bookmarkStart w:id="94" w:name="_Toc102538151"/>
      <w:r>
        <w:rPr>
          <w:rStyle w:val="CharSectno"/>
        </w:rPr>
        <w:t>21</w:t>
      </w:r>
      <w:r>
        <w:rPr>
          <w:snapToGrid w:val="0"/>
        </w:rPr>
        <w:t>.</w:t>
      </w:r>
      <w:r>
        <w:rPr>
          <w:snapToGrid w:val="0"/>
        </w:rPr>
        <w:tab/>
        <w:t>Reasons for determinations</w:t>
      </w:r>
      <w:bookmarkEnd w:id="92"/>
      <w:bookmarkEnd w:id="93"/>
      <w:bookmarkEnd w:id="94"/>
      <w:r>
        <w:rPr>
          <w:snapToGrid w:val="0"/>
        </w:rPr>
        <w:t xml:space="preserve"> </w:t>
      </w:r>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95" w:name="_Toc487527745"/>
      <w:bookmarkStart w:id="96" w:name="_Toc526931918"/>
      <w:bookmarkStart w:id="97" w:name="_Toc102538152"/>
      <w:r>
        <w:rPr>
          <w:rStyle w:val="CharSectno"/>
        </w:rPr>
        <w:t>22</w:t>
      </w:r>
      <w:r>
        <w:rPr>
          <w:snapToGrid w:val="0"/>
        </w:rPr>
        <w:t>.</w:t>
      </w:r>
      <w:r>
        <w:rPr>
          <w:snapToGrid w:val="0"/>
        </w:rPr>
        <w:tab/>
        <w:t>Protection</w:t>
      </w:r>
      <w:bookmarkEnd w:id="95"/>
      <w:bookmarkEnd w:id="96"/>
      <w:bookmarkEnd w:id="97"/>
      <w:r>
        <w:rPr>
          <w:snapToGrid w:val="0"/>
        </w:rPr>
        <w:t xml:space="preserve"> </w:t>
      </w:r>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98" w:name="_Toc487527746"/>
      <w:bookmarkStart w:id="99" w:name="_Toc526931919"/>
      <w:bookmarkStart w:id="100" w:name="_Toc102538153"/>
      <w:r>
        <w:rPr>
          <w:rStyle w:val="CharSectno"/>
        </w:rPr>
        <w:t>23</w:t>
      </w:r>
      <w:r>
        <w:rPr>
          <w:snapToGrid w:val="0"/>
        </w:rPr>
        <w:t>.</w:t>
      </w:r>
      <w:r>
        <w:rPr>
          <w:snapToGrid w:val="0"/>
        </w:rPr>
        <w:tab/>
        <w:t>Evidentiary provisions, and recovery of moneys ordered to be paid</w:t>
      </w:r>
      <w:bookmarkEnd w:id="98"/>
      <w:bookmarkEnd w:id="99"/>
      <w:bookmarkEnd w:id="100"/>
      <w:r>
        <w:rPr>
          <w:snapToGrid w:val="0"/>
        </w:rPr>
        <w:t xml:space="preserve"> </w:t>
      </w:r>
    </w:p>
    <w:p>
      <w:pPr>
        <w:pStyle w:val="Subsection"/>
        <w:rPr>
          <w:snapToGrid w:val="0"/>
        </w:rPr>
      </w:pPr>
      <w:r>
        <w:rPr>
          <w:snapToGrid w:val="0"/>
        </w:rPr>
        <w:tab/>
        <w:t>(1)</w:t>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 xml:space="preserve">[Section 23 amended by No. 59 of 2004 s. 142.] </w:t>
      </w:r>
    </w:p>
    <w:p>
      <w:pPr>
        <w:pStyle w:val="Heading5"/>
        <w:rPr>
          <w:snapToGrid w:val="0"/>
        </w:rPr>
      </w:pPr>
      <w:bookmarkStart w:id="101" w:name="_Toc487527747"/>
      <w:bookmarkStart w:id="102" w:name="_Toc526931920"/>
      <w:bookmarkStart w:id="103" w:name="_Toc102538154"/>
      <w:r>
        <w:rPr>
          <w:rStyle w:val="CharSectno"/>
        </w:rPr>
        <w:t>24</w:t>
      </w:r>
      <w:r>
        <w:rPr>
          <w:snapToGrid w:val="0"/>
        </w:rPr>
        <w:t>.</w:t>
      </w:r>
      <w:r>
        <w:rPr>
          <w:snapToGrid w:val="0"/>
        </w:rPr>
        <w:tab/>
        <w:t>Finance and audit</w:t>
      </w:r>
      <w:bookmarkEnd w:id="101"/>
      <w:bookmarkEnd w:id="102"/>
      <w:bookmarkEnd w:id="103"/>
      <w:r>
        <w:rPr>
          <w:snapToGrid w:val="0"/>
        </w:rPr>
        <w:t xml:space="preserve"> </w:t>
      </w:r>
    </w:p>
    <w:p>
      <w:pPr>
        <w:pStyle w:val="Subsection"/>
        <w:rPr>
          <w:snapToGrid w:val="0"/>
        </w:rPr>
      </w:pPr>
      <w:r>
        <w:rPr>
          <w:snapToGrid w:val="0"/>
        </w:rPr>
        <w:tab/>
        <w:t>(1)</w:t>
      </w:r>
      <w:r>
        <w:rPr>
          <w:snapToGrid w:val="0"/>
        </w:rPr>
        <w:tab/>
        <w:t>The funds available to the Tribunal to enable it to perform its functions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derived from the performance of its functions;</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pPr>
      <w:r>
        <w:tab/>
        <w:t>(2)</w:t>
      </w:r>
      <w:r>
        <w:tab/>
        <w:t xml:space="preserve">The Registrar, before the end of each financial year, shall —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pPr>
      <w:r>
        <w:tab/>
        <w:t>(3)</w:t>
      </w:r>
      <w:r>
        <w:tab/>
        <w:t xml:space="preserve">The estimate submitted under subsection (2)(b) shall be adjusted —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 xml:space="preserve">The amount representing the estimate approved by the Minister under subsection (2) shall be — </w:t>
      </w:r>
    </w:p>
    <w:p>
      <w:pPr>
        <w:pStyle w:val="Indenta"/>
      </w:pPr>
      <w:r>
        <w:rPr>
          <w:spacing w:val="-4"/>
        </w:rPr>
        <w:tab/>
        <w:t>(a)</w:t>
      </w:r>
      <w:r>
        <w:rPr>
          <w:spacing w:val="-4"/>
        </w:rPr>
        <w:tab/>
        <w:t>deducted by RWWA from the moneys that, but for section 105(1)(h) or 106(1)(h) of the RWWA Act, would otherwise be available to be paid or credited to racing clubs by RWWA under section 105 or 106 of the RWWA Act; and</w:t>
      </w:r>
    </w:p>
    <w:p>
      <w:pPr>
        <w:pStyle w:val="Indenta"/>
      </w:pPr>
      <w:r>
        <w:tab/>
        <w:t>(b)</w:t>
      </w:r>
      <w:r>
        <w:tab/>
        <w:t>paid by RWWA to the Tribunal.</w:t>
      </w:r>
    </w:p>
    <w:p>
      <w:pPr>
        <w:pStyle w:val="Ednotesubsection"/>
      </w:pPr>
      <w:r>
        <w:tab/>
        <w:t>[(5), (6), (7)</w:t>
      </w:r>
      <w:r>
        <w:tab/>
        <w:t>repealed]</w:t>
      </w:r>
    </w:p>
    <w:p>
      <w:pPr>
        <w:pStyle w:val="Subsection"/>
        <w:rPr>
          <w:snapToGrid w:val="0"/>
        </w:rPr>
      </w:pPr>
      <w:r>
        <w:rPr>
          <w:snapToGrid w:val="0"/>
        </w:rPr>
        <w:tab/>
        <w:t>(8)</w:t>
      </w:r>
      <w:r>
        <w:rPr>
          <w:snapToGrid w:val="0"/>
        </w:rPr>
        <w:tab/>
        <w:t>An account or accounts shall be maintained in respect of the funds of the Tribunal — </w:t>
      </w:r>
    </w:p>
    <w:p>
      <w:pPr>
        <w:pStyle w:val="Indenta"/>
        <w:rPr>
          <w:snapToGrid w:val="0"/>
        </w:rPr>
      </w:pPr>
      <w:r>
        <w:rPr>
          <w:snapToGrid w:val="0"/>
        </w:rPr>
        <w:tab/>
        <w:t>(a)</w:t>
      </w:r>
      <w:r>
        <w:rPr>
          <w:snapToGrid w:val="0"/>
        </w:rPr>
        <w:tab/>
        <w:t xml:space="preserve">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at a bank approved by the Treasurer,</w:t>
      </w:r>
    </w:p>
    <w:p>
      <w:pPr>
        <w:pStyle w:val="Subsection"/>
        <w:rPr>
          <w:snapToGrid w:val="0"/>
        </w:rPr>
      </w:pPr>
      <w:r>
        <w:rPr>
          <w:snapToGrid w:val="0"/>
        </w:rPr>
        <w:tab/>
      </w:r>
      <w:r>
        <w:rPr>
          <w:snapToGrid w:val="0"/>
        </w:rPr>
        <w:tab/>
        <w:t>to which all amounts received by the Tribunal shall be credited and all expenditure charged.</w:t>
      </w:r>
    </w:p>
    <w:p>
      <w:pPr>
        <w:pStyle w:val="Subsection"/>
        <w:rPr>
          <w:snapToGrid w:val="0"/>
        </w:rPr>
      </w:pPr>
      <w:r>
        <w:rPr>
          <w:snapToGrid w:val="0"/>
        </w:rPr>
        <w:tab/>
        <w:t>(9)</w:t>
      </w:r>
      <w:r>
        <w:rPr>
          <w:snapToGrid w:val="0"/>
        </w:rPr>
        <w:tab/>
        <w:t xml:space="preserve">Subject to subsection (10),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Tribunal and its operations.</w:t>
      </w:r>
    </w:p>
    <w:p>
      <w:pPr>
        <w:pStyle w:val="Subsection"/>
        <w:rPr>
          <w:snapToGrid w:val="0"/>
        </w:rPr>
      </w:pPr>
      <w:r>
        <w:rPr>
          <w:snapToGrid w:val="0"/>
        </w:rPr>
        <w:tab/>
        <w:t>(10)</w:t>
      </w:r>
      <w:r>
        <w:rPr>
          <w:snapToGrid w:val="0"/>
        </w:rPr>
        <w:tab/>
        <w:t xml:space="preserve">Notwithstanding the provisions of the </w:t>
      </w:r>
      <w:r>
        <w:rPr>
          <w:i/>
          <w:snapToGrid w:val="0"/>
        </w:rPr>
        <w:t>Financial Administration and Audit Act 1985</w:t>
      </w:r>
      <w:r>
        <w:rPr>
          <w:snapToGrid w:val="0"/>
        </w:rPr>
        <w:t>, the financial year of the Tribunal shall end on 31 July in each year.</w:t>
      </w:r>
    </w:p>
    <w:p>
      <w:pPr>
        <w:pStyle w:val="Footnotesection"/>
      </w:pPr>
      <w:r>
        <w:tab/>
        <w:t xml:space="preserve">[Section 24 amended by No. 11 of 1992 s. 71; No. 49 of 1996 s. 59; No. 35 of 2003 s. 189.] </w:t>
      </w:r>
    </w:p>
    <w:p>
      <w:pPr>
        <w:pStyle w:val="Heading5"/>
        <w:rPr>
          <w:snapToGrid w:val="0"/>
        </w:rPr>
      </w:pPr>
      <w:bookmarkStart w:id="104" w:name="_Toc487527748"/>
      <w:bookmarkStart w:id="105" w:name="_Toc526931921"/>
      <w:bookmarkStart w:id="106" w:name="_Toc102538155"/>
      <w:r>
        <w:rPr>
          <w:rStyle w:val="CharSectno"/>
        </w:rPr>
        <w:t>25</w:t>
      </w:r>
      <w:r>
        <w:rPr>
          <w:snapToGrid w:val="0"/>
        </w:rPr>
        <w:t>.</w:t>
      </w:r>
      <w:r>
        <w:rPr>
          <w:snapToGrid w:val="0"/>
        </w:rPr>
        <w:tab/>
        <w:t>Regulations</w:t>
      </w:r>
      <w:bookmarkEnd w:id="104"/>
      <w:bookmarkEnd w:id="105"/>
      <w:bookmarkEnd w:id="10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w:t>
      </w:r>
    </w:p>
    <w:p>
      <w:pPr>
        <w:pStyle w:val="Indenta"/>
        <w:rPr>
          <w:snapToGrid w:val="0"/>
        </w:rPr>
      </w:pPr>
      <w:r>
        <w:rPr>
          <w:snapToGrid w:val="0"/>
        </w:rPr>
        <w:tab/>
        <w:t>(b)</w:t>
      </w:r>
      <w:r>
        <w:rPr>
          <w:snapToGrid w:val="0"/>
        </w:rPr>
        <w:tab/>
        <w:t>in relation to the jurisdiction of the Tribunal, provide for sittings of the Tribunal and for security for costs to be given;</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w:t>
      </w:r>
    </w:p>
    <w:p>
      <w:pPr>
        <w:pStyle w:val="Indenta"/>
        <w:rPr>
          <w:snapToGrid w:val="0"/>
        </w:rPr>
      </w:pPr>
      <w:r>
        <w:rPr>
          <w:snapToGrid w:val="0"/>
        </w:rPr>
        <w:tab/>
        <w:t>(d)</w:t>
      </w:r>
      <w:r>
        <w:rPr>
          <w:snapToGrid w:val="0"/>
        </w:rPr>
        <w:tab/>
        <w:t>provide for — </w:t>
      </w:r>
    </w:p>
    <w:p>
      <w:pPr>
        <w:pStyle w:val="Indenti"/>
        <w:rPr>
          <w:snapToGrid w:val="0"/>
        </w:rPr>
      </w:pPr>
      <w:r>
        <w:rPr>
          <w:snapToGrid w:val="0"/>
        </w:rPr>
        <w:tab/>
        <w:t>(i)</w:t>
      </w:r>
      <w:r>
        <w:rPr>
          <w:snapToGrid w:val="0"/>
        </w:rPr>
        <w:tab/>
        <w:t>the manner of lodging appeals;</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t>(e)</w:t>
      </w:r>
      <w:r>
        <w:rPr>
          <w:snapToGrid w:val="0"/>
        </w:rPr>
        <w:tab/>
        <w:t>provide for the enforcement of the determinations of the Tribunal;</w:t>
      </w:r>
    </w:p>
    <w:p>
      <w:pPr>
        <w:pStyle w:val="Indenta"/>
        <w:rPr>
          <w:snapToGrid w:val="0"/>
        </w:rPr>
      </w:pPr>
      <w:r>
        <w:rPr>
          <w:snapToGrid w:val="0"/>
        </w:rPr>
        <w:tab/>
        <w:t>(f)</w:t>
      </w:r>
      <w:r>
        <w:rPr>
          <w:snapToGrid w:val="0"/>
        </w:rPr>
        <w:tab/>
        <w:t>assign functions to the Registrar and regulate the manner in which they are to be carried out;</w:t>
      </w:r>
    </w:p>
    <w:p>
      <w:pPr>
        <w:pStyle w:val="Indenta"/>
        <w:rPr>
          <w:snapToGrid w:val="0"/>
        </w:rPr>
      </w:pPr>
      <w:r>
        <w:rPr>
          <w:snapToGrid w:val="0"/>
        </w:rPr>
        <w:tab/>
        <w:t>(g)</w:t>
      </w:r>
      <w:r>
        <w:rPr>
          <w:snapToGrid w:val="0"/>
        </w:rPr>
        <w:tab/>
        <w:t>subject to any</w:t>
      </w:r>
      <w:r>
        <w:t xml:space="preserve"> legal costs determination (as defined in the </w:t>
      </w:r>
      <w:r>
        <w:rPr>
          <w:i/>
        </w:rPr>
        <w:t>Legal Practice Act 2003</w:t>
      </w:r>
      <w:r>
        <w:t>)</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bookmarkStart w:id="107" w:name="_Toc487527749"/>
      <w:bookmarkStart w:id="108" w:name="_Toc526931922"/>
      <w:r>
        <w:tab/>
        <w:t>[Section 25 amended by No. 35 of 2003 s. 190; No. 65 of 2003 s. 58(3).]</w:t>
      </w:r>
    </w:p>
    <w:p>
      <w:pPr>
        <w:pStyle w:val="Heading5"/>
        <w:rPr>
          <w:snapToGrid w:val="0"/>
        </w:rPr>
      </w:pPr>
      <w:bookmarkStart w:id="109" w:name="_Toc102538156"/>
      <w:r>
        <w:rPr>
          <w:rStyle w:val="CharSectno"/>
        </w:rPr>
        <w:t>26</w:t>
      </w:r>
      <w:r>
        <w:rPr>
          <w:snapToGrid w:val="0"/>
        </w:rPr>
        <w:t>.</w:t>
      </w:r>
      <w:r>
        <w:rPr>
          <w:snapToGrid w:val="0"/>
        </w:rPr>
        <w:tab/>
        <w:t>Transitional</w:t>
      </w:r>
      <w:bookmarkEnd w:id="107"/>
      <w:bookmarkEnd w:id="108"/>
      <w:bookmarkEnd w:id="109"/>
      <w:r>
        <w:rPr>
          <w:snapToGrid w:val="0"/>
        </w:rPr>
        <w:t xml:space="preserve"> </w:t>
      </w:r>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ab/>
        <w:t>Repealed by No. 35 of 2003 s. 191.]</w:t>
      </w:r>
    </w:p>
    <w:p>
      <w:pPr>
        <w:pStyle w:val="Ednotesection"/>
        <w:ind w:left="0" w:firstLine="0"/>
      </w:pPr>
      <w:r>
        <w:t>[</w:t>
      </w:r>
      <w:r>
        <w:rPr>
          <w:b/>
        </w:rPr>
        <w:t>28, 29.</w:t>
      </w:r>
      <w:r>
        <w:tab/>
        <w:t xml:space="preserve">Omitted under the Reprints Act 1984 s. 7(4)(e).]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10" w:name="_Toc102538157"/>
      <w:r>
        <w:rPr>
          <w:rStyle w:val="CharSchNo"/>
        </w:rPr>
        <w:t>Schedule</w:t>
      </w:r>
      <w:bookmarkEnd w:id="110"/>
      <w:r>
        <w:rPr>
          <w:rStyle w:val="CharSchNo"/>
        </w:rPr>
        <w:t xml:space="preserve"> </w:t>
      </w:r>
    </w:p>
    <w:p>
      <w:pPr>
        <w:pStyle w:val="yShoulderClause"/>
        <w:spacing w:before="100"/>
        <w:rPr>
          <w:snapToGrid w:val="0"/>
        </w:rPr>
      </w:pPr>
      <w:r>
        <w:rPr>
          <w:snapToGrid w:val="0"/>
        </w:rPr>
        <w:t>[Section 4(4)]</w:t>
      </w:r>
    </w:p>
    <w:p>
      <w:pPr>
        <w:pStyle w:val="MiscellaneousHeading"/>
        <w:rPr>
          <w:b/>
          <w:snapToGrid w:val="0"/>
          <w:sz w:val="22"/>
        </w:rPr>
      </w:pPr>
      <w:r>
        <w:rPr>
          <w:b/>
          <w:snapToGrid w:val="0"/>
          <w:sz w:val="22"/>
        </w:rPr>
        <w:t>Provisions with respect to the constitution and membership of the Racing Penalties Appeal Tribunal of Western Australia</w:t>
      </w:r>
    </w:p>
    <w:p>
      <w:pPr>
        <w:pStyle w:val="yHeading5"/>
        <w:spacing w:before="200"/>
        <w:outlineLvl w:val="9"/>
        <w:rPr>
          <w:snapToGrid w:val="0"/>
        </w:rPr>
      </w:pPr>
      <w:bookmarkStart w:id="111" w:name="_Toc526931926"/>
      <w:bookmarkStart w:id="112" w:name="_Toc102538158"/>
      <w:r>
        <w:rPr>
          <w:snapToGrid w:val="0"/>
        </w:rPr>
        <w:t>1.</w:t>
      </w:r>
      <w:r>
        <w:rPr>
          <w:snapToGrid w:val="0"/>
        </w:rPr>
        <w:tab/>
        <w:t>Public Servant may be member of a Tribunal</w:t>
      </w:r>
      <w:bookmarkEnd w:id="111"/>
      <w:bookmarkEnd w:id="112"/>
    </w:p>
    <w:p>
      <w:pPr>
        <w:pStyle w:val="ySubsection"/>
        <w:spacing w:before="140"/>
        <w:rPr>
          <w:snapToGrid w:val="0"/>
        </w:rPr>
      </w:pPr>
      <w:r>
        <w:rPr>
          <w:snapToGrid w:val="0"/>
        </w:rPr>
        <w:tab/>
        <w:t>(1)</w:t>
      </w:r>
      <w:r>
        <w:rPr>
          <w:snapToGrid w:val="0"/>
        </w:rPr>
        <w:tab/>
        <w:t>An officer of the Public Service may be appointed to be a member of a Tribunal.</w:t>
      </w:r>
    </w:p>
    <w:p>
      <w:pPr>
        <w:pStyle w:val="ySubsection"/>
        <w:spacing w:before="14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 </w:t>
      </w:r>
    </w:p>
    <w:p>
      <w:pPr>
        <w:pStyle w:val="yIndenta"/>
        <w:rPr>
          <w:snapToGrid w:val="0"/>
        </w:rPr>
      </w:pPr>
      <w:r>
        <w:rPr>
          <w:snapToGrid w:val="0"/>
        </w:rPr>
        <w:tab/>
        <w:t>(a)</w:t>
      </w:r>
      <w:r>
        <w:rPr>
          <w:snapToGrid w:val="0"/>
        </w:rPr>
        <w:tab/>
        <w:t>the appointment of a person to the panel established under section 6(3);</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4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 Public Service Commissioner, may from time to time determine.</w:t>
      </w:r>
    </w:p>
    <w:p>
      <w:pPr>
        <w:pStyle w:val="yHeading5"/>
        <w:spacing w:before="200"/>
        <w:outlineLvl w:val="9"/>
        <w:rPr>
          <w:snapToGrid w:val="0"/>
        </w:rPr>
      </w:pPr>
      <w:bookmarkStart w:id="113" w:name="_Toc526931927"/>
      <w:bookmarkStart w:id="114" w:name="_Toc102538159"/>
      <w:r>
        <w:rPr>
          <w:snapToGrid w:val="0"/>
        </w:rPr>
        <w:t>2.</w:t>
      </w:r>
      <w:r>
        <w:rPr>
          <w:snapToGrid w:val="0"/>
        </w:rPr>
        <w:tab/>
        <w:t>Remuneration</w:t>
      </w:r>
      <w:bookmarkEnd w:id="113"/>
      <w:bookmarkEnd w:id="114"/>
    </w:p>
    <w:p>
      <w:pPr>
        <w:pStyle w:val="ySubsection"/>
        <w:spacing w:before="14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 Public Service Commissioner, may from time to time determine.</w:t>
      </w:r>
    </w:p>
    <w:p>
      <w:pPr>
        <w:pStyle w:val="yHeading5"/>
        <w:spacing w:before="200"/>
        <w:outlineLvl w:val="9"/>
        <w:rPr>
          <w:snapToGrid w:val="0"/>
        </w:rPr>
      </w:pPr>
      <w:bookmarkStart w:id="115" w:name="_Toc526931928"/>
      <w:bookmarkStart w:id="116" w:name="_Toc102538160"/>
      <w:r>
        <w:rPr>
          <w:snapToGrid w:val="0"/>
        </w:rPr>
        <w:t>3.</w:t>
      </w:r>
      <w:r>
        <w:rPr>
          <w:snapToGrid w:val="0"/>
        </w:rPr>
        <w:tab/>
        <w:t>Eligibility for, and vacation of, office and conditions of appointment</w:t>
      </w:r>
      <w:bookmarkEnd w:id="115"/>
      <w:bookmarkEnd w:id="116"/>
    </w:p>
    <w:p>
      <w:pPr>
        <w:pStyle w:val="yEdnotesection"/>
        <w:spacing w:before="140"/>
      </w:pPr>
      <w:r>
        <w:tab/>
        <w:t>[(1)</w:t>
      </w:r>
      <w:r>
        <w:tab/>
        <w:t>repealed]</w:t>
      </w:r>
    </w:p>
    <w:p>
      <w:pPr>
        <w:pStyle w:val="ySubsection"/>
        <w:keepNext/>
        <w:keepLines/>
        <w:spacing w:before="140"/>
        <w:rPr>
          <w:snapToGrid w:val="0"/>
        </w:rPr>
      </w:pPr>
      <w:r>
        <w:rPr>
          <w:snapToGrid w:val="0"/>
        </w:rPr>
        <w:tab/>
        <w:t>(2)</w:t>
      </w:r>
      <w:r>
        <w:rPr>
          <w:snapToGrid w:val="0"/>
        </w:rPr>
        <w:tab/>
        <w:t>A person is not eligible for appointment as, and shall cease to be eligible to hold the office of, Chairperson or a member if the person is or becomes — </w:t>
      </w:r>
    </w:p>
    <w:p>
      <w:pPr>
        <w:pStyle w:val="yIndenta"/>
        <w:rPr>
          <w:snapToGrid w:val="0"/>
        </w:rPr>
      </w:pPr>
      <w:r>
        <w:rPr>
          <w:snapToGrid w:val="0"/>
        </w:rPr>
        <w:tab/>
        <w:t>(a)</w:t>
      </w:r>
      <w:r>
        <w:rPr>
          <w:snapToGrid w:val="0"/>
        </w:rPr>
        <w:tab/>
        <w:t>a bookmaker or a bookmaker’s clerk;</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 </w:t>
      </w:r>
    </w:p>
    <w:p>
      <w:pPr>
        <w:pStyle w:val="yIndenta"/>
        <w:rPr>
          <w:snapToGrid w:val="0"/>
        </w:rPr>
      </w:pPr>
      <w:r>
        <w:rPr>
          <w:snapToGrid w:val="0"/>
        </w:rPr>
        <w:tab/>
        <w:t>(a)</w:t>
      </w:r>
      <w:r>
        <w:rPr>
          <w:snapToGrid w:val="0"/>
        </w:rPr>
        <w:tab/>
        <w:t>when the term for which that person was appointed expires;</w:t>
      </w:r>
    </w:p>
    <w:p>
      <w:pPr>
        <w:pStyle w:val="yIndenta"/>
        <w:rPr>
          <w:snapToGrid w:val="0"/>
        </w:rPr>
      </w:pPr>
      <w:r>
        <w:rPr>
          <w:snapToGrid w:val="0"/>
        </w:rPr>
        <w:tab/>
        <w:t>(b)</w:t>
      </w:r>
      <w:r>
        <w:rPr>
          <w:snapToGrid w:val="0"/>
        </w:rPr>
        <w:tab/>
        <w:t>when that person dies;</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by No. 35 of 2003 s. 192.]</w:t>
      </w:r>
    </w:p>
    <w:p>
      <w:pPr>
        <w:pStyle w:val="yHeading5"/>
        <w:outlineLvl w:val="9"/>
        <w:rPr>
          <w:snapToGrid w:val="0"/>
        </w:rPr>
      </w:pPr>
      <w:bookmarkStart w:id="117" w:name="_Toc526931929"/>
      <w:bookmarkStart w:id="118" w:name="_Toc102538161"/>
      <w:r>
        <w:rPr>
          <w:snapToGrid w:val="0"/>
        </w:rPr>
        <w:t>4.</w:t>
      </w:r>
      <w:r>
        <w:rPr>
          <w:snapToGrid w:val="0"/>
        </w:rPr>
        <w:tab/>
        <w:t>Removal from office</w:t>
      </w:r>
      <w:bookmarkEnd w:id="117"/>
      <w:bookmarkEnd w:id="118"/>
    </w:p>
    <w:p>
      <w:pPr>
        <w:pStyle w:val="ySubsection"/>
        <w:keepNext/>
        <w:keepLines/>
        <w:rPr>
          <w:snapToGrid w:val="0"/>
        </w:rPr>
      </w:pPr>
      <w:r>
        <w:rPr>
          <w:snapToGrid w:val="0"/>
        </w:rPr>
        <w:tab/>
      </w:r>
      <w:r>
        <w:rPr>
          <w:snapToGrid w:val="0"/>
        </w:rPr>
        <w:tab/>
        <w:t>The Minister may remove the Chairperson or a person eligible to be a member from that office — </w:t>
      </w:r>
    </w:p>
    <w:p>
      <w:pPr>
        <w:pStyle w:val="yIndenta"/>
        <w:rPr>
          <w:snapToGrid w:val="0"/>
        </w:rPr>
      </w:pPr>
      <w:r>
        <w:rPr>
          <w:snapToGrid w:val="0"/>
        </w:rPr>
        <w:tab/>
        <w:t>(a)</w:t>
      </w:r>
      <w:r>
        <w:rPr>
          <w:snapToGrid w:val="0"/>
        </w:rPr>
        <w:tab/>
        <w:t>if, in the opinion of the Minister, that person — </w:t>
      </w:r>
    </w:p>
    <w:p>
      <w:pPr>
        <w:pStyle w:val="yIndenti0"/>
        <w:rPr>
          <w:snapToGrid w:val="0"/>
        </w:rPr>
      </w:pPr>
      <w:r>
        <w:rPr>
          <w:snapToGrid w:val="0"/>
        </w:rPr>
        <w:tab/>
        <w:t>(i)</w:t>
      </w:r>
      <w:r>
        <w:rPr>
          <w:snapToGrid w:val="0"/>
        </w:rPr>
        <w:tab/>
        <w:t>has contravened section 7(1) or (2) or a condition specified in the instrument of appointment;</w:t>
      </w:r>
    </w:p>
    <w:p>
      <w:pPr>
        <w:pStyle w:val="yIndenti0"/>
        <w:rPr>
          <w:snapToGrid w:val="0"/>
        </w:rPr>
      </w:pPr>
      <w:r>
        <w:rPr>
          <w:snapToGrid w:val="0"/>
        </w:rPr>
        <w:tab/>
        <w:t>(ii)</w:t>
      </w:r>
      <w:r>
        <w:rPr>
          <w:snapToGrid w:val="0"/>
        </w:rPr>
        <w:tab/>
        <w:t>is or becomes ineligible to hold the office;</w:t>
      </w:r>
    </w:p>
    <w:p>
      <w:pPr>
        <w:pStyle w:val="yIndenti0"/>
        <w:rPr>
          <w:snapToGrid w:val="0"/>
        </w:rPr>
      </w:pPr>
      <w:r>
        <w:rPr>
          <w:snapToGrid w:val="0"/>
        </w:rPr>
        <w:tab/>
        <w:t>(iii)</w:t>
      </w:r>
      <w:r>
        <w:rPr>
          <w:snapToGrid w:val="0"/>
        </w:rPr>
        <w:tab/>
        <w:t>is guilty of —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 xml:space="preserve">misconduct; </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p>
    <w:p>
      <w:pPr>
        <w:pStyle w:val="yIndenta"/>
        <w:rPr>
          <w:snapToGrid w:val="0"/>
        </w:rPr>
      </w:pPr>
      <w:r>
        <w:rPr>
          <w:snapToGrid w:val="0"/>
        </w:rPr>
        <w:tab/>
        <w:t>(b)</w:t>
      </w:r>
      <w:r>
        <w:rPr>
          <w:snapToGrid w:val="0"/>
        </w:rPr>
        <w:tab/>
        <w:t>if the person has become bankrupt, applied to take the benefits of any law for the relief of bankrupt or insolvent debtors, compounded with creditors (whether separate creditors of that person or the creditors of a partnership which includes that person), or made an assignment of any remuneration or estate for the benefit of such creditors;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Heading5"/>
        <w:outlineLvl w:val="9"/>
        <w:rPr>
          <w:snapToGrid w:val="0"/>
        </w:rPr>
      </w:pPr>
      <w:bookmarkStart w:id="119" w:name="_Toc526931930"/>
      <w:bookmarkStart w:id="120" w:name="_Toc102538162"/>
      <w:r>
        <w:rPr>
          <w:snapToGrid w:val="0"/>
        </w:rPr>
        <w:t>5.</w:t>
      </w:r>
      <w:r>
        <w:rPr>
          <w:snapToGrid w:val="0"/>
        </w:rPr>
        <w:tab/>
        <w:t>Validity of proceedings, etc.</w:t>
      </w:r>
      <w:bookmarkEnd w:id="119"/>
      <w:bookmarkEnd w:id="120"/>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 </w:t>
      </w:r>
    </w:p>
    <w:p>
      <w:pPr>
        <w:pStyle w:val="yIndenta"/>
        <w:rPr>
          <w:snapToGrid w:val="0"/>
        </w:rPr>
      </w:pPr>
      <w:r>
        <w:rPr>
          <w:snapToGrid w:val="0"/>
        </w:rPr>
        <w:tab/>
        <w:t>(a)</w:t>
      </w:r>
      <w:r>
        <w:rPr>
          <w:snapToGrid w:val="0"/>
        </w:rPr>
        <w:tab/>
        <w:t>that as at the time the Tribunal was constituted —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 xml:space="preserve">a member of the Tribunal was a person who was disqualified from acting as, or was incapable of being, a member of that Tribunal;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outlineLvl w:val="9"/>
        <w:rPr>
          <w:snapToGrid w:val="0"/>
        </w:rPr>
      </w:pPr>
      <w:bookmarkStart w:id="121" w:name="_Toc526931931"/>
      <w:bookmarkStart w:id="122" w:name="_Toc102538163"/>
      <w:r>
        <w:rPr>
          <w:snapToGrid w:val="0"/>
        </w:rPr>
        <w:t>6.</w:t>
      </w:r>
      <w:r>
        <w:rPr>
          <w:snapToGrid w:val="0"/>
        </w:rPr>
        <w:tab/>
        <w:t>Presumptions</w:t>
      </w:r>
      <w:bookmarkEnd w:id="121"/>
      <w:bookmarkEnd w:id="122"/>
    </w:p>
    <w:p>
      <w:pPr>
        <w:pStyle w:val="ySubsection"/>
        <w:rPr>
          <w:snapToGrid w:val="0"/>
        </w:rPr>
      </w:pPr>
      <w:r>
        <w:rPr>
          <w:snapToGrid w:val="0"/>
        </w:rPr>
        <w:tab/>
      </w:r>
      <w:r>
        <w:rPr>
          <w:snapToGrid w:val="0"/>
        </w:rPr>
        <w:tab/>
        <w:t>In any proceedings before or in relation to the Tribunal, unless evidence is given to the contrary, no proof shall be required of — </w:t>
      </w:r>
    </w:p>
    <w:p>
      <w:pPr>
        <w:pStyle w:val="yIndenta"/>
        <w:rPr>
          <w:snapToGrid w:val="0"/>
        </w:rPr>
      </w:pPr>
      <w:r>
        <w:rPr>
          <w:snapToGrid w:val="0"/>
        </w:rPr>
        <w:tab/>
        <w:t>(a)</w:t>
      </w:r>
      <w:r>
        <w:rPr>
          <w:snapToGrid w:val="0"/>
        </w:rPr>
        <w:tab/>
        <w:t>the constitution of the Tribunal;</w:t>
      </w:r>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Pr>
        <w:pStyle w:val="yFootnotesection"/>
      </w:pPr>
      <w:r>
        <w:tab/>
        <w:t xml:space="preserve">[Schedule amended by No. 32 of 1994 s. 19; No. 42 of 1997 s. 8; No. 23 of 1998 s. 20; No. 35 of 2003 s. 192.]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23" w:name="_Toc89505497"/>
      <w:bookmarkStart w:id="124" w:name="_Toc89505539"/>
      <w:bookmarkStart w:id="125" w:name="_Toc89585152"/>
      <w:bookmarkStart w:id="126" w:name="_Toc102465904"/>
      <w:bookmarkStart w:id="127" w:name="_Toc102538164"/>
      <w:r>
        <w:t>Notes</w:t>
      </w:r>
      <w:bookmarkEnd w:id="123"/>
      <w:bookmarkEnd w:id="124"/>
      <w:bookmarkEnd w:id="125"/>
      <w:bookmarkEnd w:id="126"/>
      <w:bookmarkEnd w:id="127"/>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8" w:name="_Toc102538165"/>
      <w:r>
        <w:rPr>
          <w:snapToGrid w:val="0"/>
        </w:rPr>
        <w:t>Compilation table</w:t>
      </w:r>
      <w:bookmarkEnd w:id="12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Racing Penalties (Appeals) Act 1990</w:t>
            </w:r>
          </w:p>
        </w:tc>
        <w:tc>
          <w:tcPr>
            <w:tcW w:w="1134" w:type="dxa"/>
          </w:tcPr>
          <w:p>
            <w:pPr>
              <w:pStyle w:val="nTable"/>
              <w:spacing w:before="120"/>
              <w:rPr>
                <w:sz w:val="19"/>
              </w:rPr>
            </w:pPr>
            <w:r>
              <w:rPr>
                <w:sz w:val="19"/>
              </w:rPr>
              <w:t>46 of 1990</w:t>
            </w:r>
          </w:p>
        </w:tc>
        <w:tc>
          <w:tcPr>
            <w:tcW w:w="1134" w:type="dxa"/>
          </w:tcPr>
          <w:p>
            <w:pPr>
              <w:pStyle w:val="nTable"/>
              <w:spacing w:before="120"/>
              <w:rPr>
                <w:sz w:val="19"/>
              </w:rPr>
            </w:pPr>
            <w:r>
              <w:rPr>
                <w:sz w:val="19"/>
              </w:rPr>
              <w:t>26 Nov 1990</w:t>
            </w:r>
          </w:p>
        </w:tc>
        <w:tc>
          <w:tcPr>
            <w:tcW w:w="2552" w:type="dxa"/>
          </w:tcPr>
          <w:p>
            <w:pPr>
              <w:pStyle w:val="nTable"/>
              <w:spacing w:before="120"/>
              <w:rPr>
                <w:sz w:val="19"/>
              </w:rPr>
            </w:pPr>
            <w:r>
              <w:rPr>
                <w:sz w:val="19"/>
              </w:rPr>
              <w:t xml:space="preserve">15 Apr 1991 (see s. 2 and </w:t>
            </w:r>
            <w:r>
              <w:rPr>
                <w:i/>
                <w:sz w:val="19"/>
              </w:rPr>
              <w:t>Gazette</w:t>
            </w:r>
            <w:r>
              <w:rPr>
                <w:sz w:val="19"/>
              </w:rPr>
              <w:t xml:space="preserve"> 12 Apr 1991  p. 1597)</w:t>
            </w:r>
          </w:p>
        </w:tc>
      </w:tr>
      <w:tr>
        <w:trPr>
          <w:cantSplit/>
        </w:trPr>
        <w:tc>
          <w:tcPr>
            <w:tcW w:w="2268" w:type="dxa"/>
          </w:tcPr>
          <w:p>
            <w:pPr>
              <w:pStyle w:val="nTable"/>
              <w:spacing w:before="120"/>
              <w:ind w:right="113"/>
              <w:rPr>
                <w:sz w:val="19"/>
              </w:rPr>
            </w:pPr>
            <w:r>
              <w:rPr>
                <w:i/>
                <w:sz w:val="19"/>
              </w:rPr>
              <w:t>Acts Amendment and Repeal (Betting) Act 1992</w:t>
            </w:r>
            <w:r>
              <w:rPr>
                <w:sz w:val="19"/>
              </w:rPr>
              <w:t xml:space="preserve"> Pt. 6</w:t>
            </w:r>
          </w:p>
        </w:tc>
        <w:tc>
          <w:tcPr>
            <w:tcW w:w="1134" w:type="dxa"/>
          </w:tcPr>
          <w:p>
            <w:pPr>
              <w:pStyle w:val="nTable"/>
              <w:spacing w:before="120"/>
              <w:rPr>
                <w:sz w:val="19"/>
              </w:rPr>
            </w:pPr>
            <w:r>
              <w:rPr>
                <w:sz w:val="19"/>
              </w:rPr>
              <w:t>11 of 1992</w:t>
            </w:r>
          </w:p>
        </w:tc>
        <w:tc>
          <w:tcPr>
            <w:tcW w:w="1134" w:type="dxa"/>
          </w:tcPr>
          <w:p>
            <w:pPr>
              <w:pStyle w:val="nTable"/>
              <w:spacing w:before="120"/>
              <w:rPr>
                <w:sz w:val="19"/>
              </w:rPr>
            </w:pPr>
            <w:r>
              <w:rPr>
                <w:sz w:val="19"/>
              </w:rPr>
              <w:t>16 Jun 1992</w:t>
            </w:r>
          </w:p>
        </w:tc>
        <w:tc>
          <w:tcPr>
            <w:tcW w:w="2552" w:type="dxa"/>
          </w:tcPr>
          <w:p>
            <w:pPr>
              <w:pStyle w:val="nTable"/>
              <w:spacing w:before="120"/>
              <w:rPr>
                <w:sz w:val="19"/>
              </w:rPr>
            </w:pPr>
            <w:r>
              <w:rPr>
                <w:sz w:val="19"/>
              </w:rPr>
              <w:t xml:space="preserve">31 Jul 1992 (see s. 2(1) and </w:t>
            </w:r>
            <w:r>
              <w:rPr>
                <w:i/>
                <w:sz w:val="19"/>
              </w:rPr>
              <w:t>Gazette</w:t>
            </w:r>
            <w:r>
              <w:rPr>
                <w:sz w:val="19"/>
              </w:rPr>
              <w:t xml:space="preserve"> 31 Jul 1992 p. 3735)</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Statutes (Repeals and Minor Amendments) Act 1994</w:t>
            </w:r>
            <w:r>
              <w:rPr>
                <w:sz w:val="19"/>
              </w:rPr>
              <w:t xml:space="preserve"> s. 4</w:t>
            </w:r>
          </w:p>
        </w:tc>
        <w:tc>
          <w:tcPr>
            <w:tcW w:w="1134" w:type="dxa"/>
          </w:tcPr>
          <w:p>
            <w:pPr>
              <w:pStyle w:val="nTable"/>
              <w:spacing w:before="120"/>
              <w:rPr>
                <w:sz w:val="19"/>
              </w:rPr>
            </w:pPr>
            <w:r>
              <w:rPr>
                <w:sz w:val="19"/>
              </w:rPr>
              <w:t>73 of 1994</w:t>
            </w:r>
          </w:p>
        </w:tc>
        <w:tc>
          <w:tcPr>
            <w:tcW w:w="1134" w:type="dxa"/>
          </w:tcPr>
          <w:p>
            <w:pPr>
              <w:pStyle w:val="nTable"/>
              <w:spacing w:before="120"/>
              <w:rPr>
                <w:sz w:val="19"/>
              </w:rPr>
            </w:pPr>
            <w:r>
              <w:rPr>
                <w:sz w:val="19"/>
              </w:rPr>
              <w:t>9 Dec 1994</w:t>
            </w:r>
          </w:p>
        </w:tc>
        <w:tc>
          <w:tcPr>
            <w:tcW w:w="2552" w:type="dxa"/>
          </w:tcPr>
          <w:p>
            <w:pPr>
              <w:pStyle w:val="nTable"/>
              <w:spacing w:before="120"/>
              <w:rPr>
                <w:sz w:val="19"/>
              </w:rPr>
            </w:pPr>
            <w:r>
              <w:rPr>
                <w:sz w:val="19"/>
              </w:rPr>
              <w:t>9 Dec 1994 (see s. 2)</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59</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sz w:val="19"/>
              </w:rPr>
            </w:pPr>
            <w:r>
              <w:rPr>
                <w:i/>
                <w:sz w:val="19"/>
              </w:rPr>
              <w:t>Equal Opportunity Amendment Act (No. 3) 1997</w:t>
            </w:r>
            <w:r>
              <w:rPr>
                <w:sz w:val="19"/>
              </w:rPr>
              <w:t xml:space="preserve"> s. 8</w:t>
            </w:r>
          </w:p>
        </w:tc>
        <w:tc>
          <w:tcPr>
            <w:tcW w:w="1134" w:type="dxa"/>
          </w:tcPr>
          <w:p>
            <w:pPr>
              <w:pStyle w:val="nTable"/>
              <w:spacing w:before="120"/>
              <w:rPr>
                <w:sz w:val="19"/>
              </w:rPr>
            </w:pPr>
            <w:r>
              <w:rPr>
                <w:sz w:val="19"/>
              </w:rPr>
              <w:t>42 of 1997</w:t>
            </w:r>
          </w:p>
        </w:tc>
        <w:tc>
          <w:tcPr>
            <w:tcW w:w="1134" w:type="dxa"/>
          </w:tcPr>
          <w:p>
            <w:pPr>
              <w:pStyle w:val="nTable"/>
              <w:spacing w:before="120"/>
              <w:rPr>
                <w:sz w:val="19"/>
              </w:rPr>
            </w:pPr>
            <w:r>
              <w:rPr>
                <w:sz w:val="19"/>
              </w:rPr>
              <w:t>9 Dec 1997</w:t>
            </w:r>
          </w:p>
        </w:tc>
        <w:tc>
          <w:tcPr>
            <w:tcW w:w="2552" w:type="dxa"/>
          </w:tcPr>
          <w:p>
            <w:pPr>
              <w:pStyle w:val="nTable"/>
              <w:spacing w:before="120"/>
              <w:rPr>
                <w:sz w:val="19"/>
              </w:rPr>
            </w:pPr>
            <w:r>
              <w:rPr>
                <w:sz w:val="19"/>
              </w:rPr>
              <w:t>6 Jan 1998 (see s. 2(1))</w:t>
            </w:r>
          </w:p>
        </w:tc>
      </w:tr>
      <w:tr>
        <w:trPr>
          <w:cantSplit/>
        </w:trPr>
        <w:tc>
          <w:tcPr>
            <w:tcW w:w="2268" w:type="dxa"/>
          </w:tcPr>
          <w:p>
            <w:pPr>
              <w:pStyle w:val="nTable"/>
              <w:spacing w:before="120"/>
              <w:ind w:right="113"/>
              <w:rPr>
                <w:sz w:val="19"/>
              </w:rPr>
            </w:pPr>
            <w:r>
              <w:rPr>
                <w:i/>
                <w:sz w:val="19"/>
              </w:rPr>
              <w:t>Western Australian Greyhound Racing Association Amendment Act 1998</w:t>
            </w:r>
            <w:r>
              <w:rPr>
                <w:sz w:val="19"/>
              </w:rPr>
              <w:t xml:space="preserve"> s. 20</w:t>
            </w:r>
          </w:p>
        </w:tc>
        <w:tc>
          <w:tcPr>
            <w:tcW w:w="1134" w:type="dxa"/>
          </w:tcPr>
          <w:p>
            <w:pPr>
              <w:pStyle w:val="nTable"/>
              <w:spacing w:before="120"/>
              <w:rPr>
                <w:sz w:val="19"/>
              </w:rPr>
            </w:pPr>
            <w:r>
              <w:rPr>
                <w:sz w:val="19"/>
              </w:rPr>
              <w:t>23 of 1998</w:t>
            </w:r>
          </w:p>
        </w:tc>
        <w:tc>
          <w:tcPr>
            <w:tcW w:w="1134" w:type="dxa"/>
          </w:tcPr>
          <w:p>
            <w:pPr>
              <w:pStyle w:val="nTable"/>
              <w:spacing w:before="120"/>
              <w:rPr>
                <w:sz w:val="19"/>
              </w:rPr>
            </w:pPr>
            <w:r>
              <w:rPr>
                <w:sz w:val="19"/>
              </w:rPr>
              <w:t>30 Jun 1998</w:t>
            </w:r>
          </w:p>
        </w:tc>
        <w:tc>
          <w:tcPr>
            <w:tcW w:w="2552" w:type="dxa"/>
          </w:tcPr>
          <w:p>
            <w:pPr>
              <w:pStyle w:val="nTable"/>
              <w:spacing w:before="12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before="120"/>
              <w:ind w:right="113"/>
              <w:rPr>
                <w:i/>
                <w:sz w:val="19"/>
              </w:rPr>
            </w:pPr>
            <w:r>
              <w:rPr>
                <w:i/>
                <w:sz w:val="19"/>
              </w:rPr>
              <w:t>Statutes (Repeals and Minor Amendments) Act 2000</w:t>
            </w:r>
            <w:r>
              <w:rPr>
                <w:sz w:val="19"/>
              </w:rPr>
              <w:t xml:space="preserve"> s. 37</w:t>
            </w:r>
          </w:p>
        </w:tc>
        <w:tc>
          <w:tcPr>
            <w:tcW w:w="1134" w:type="dxa"/>
          </w:tcPr>
          <w:p>
            <w:pPr>
              <w:pStyle w:val="nTable"/>
              <w:spacing w:before="120"/>
              <w:rPr>
                <w:sz w:val="19"/>
              </w:rPr>
            </w:pPr>
            <w:r>
              <w:rPr>
                <w:sz w:val="19"/>
              </w:rPr>
              <w:t>24 of 2000</w:t>
            </w:r>
          </w:p>
        </w:tc>
        <w:tc>
          <w:tcPr>
            <w:tcW w:w="1134" w:type="dxa"/>
          </w:tcPr>
          <w:p>
            <w:pPr>
              <w:pStyle w:val="nTable"/>
              <w:spacing w:before="120"/>
              <w:rPr>
                <w:sz w:val="19"/>
              </w:rPr>
            </w:pPr>
            <w:r>
              <w:rPr>
                <w:sz w:val="19"/>
              </w:rPr>
              <w:t>4 Jul 2000</w:t>
            </w:r>
          </w:p>
        </w:tc>
        <w:tc>
          <w:tcPr>
            <w:tcW w:w="2552" w:type="dxa"/>
          </w:tcPr>
          <w:p>
            <w:pPr>
              <w:pStyle w:val="nTable"/>
              <w:spacing w:before="120"/>
              <w:rPr>
                <w:sz w:val="19"/>
              </w:rPr>
            </w:pPr>
            <w:r>
              <w:rPr>
                <w:sz w:val="19"/>
              </w:rPr>
              <w:t>4 Jul 2000 (see s. 2)</w:t>
            </w:r>
          </w:p>
        </w:tc>
      </w:tr>
      <w:tr>
        <w:trPr>
          <w:cantSplit/>
        </w:trPr>
        <w:tc>
          <w:tcPr>
            <w:tcW w:w="7088" w:type="dxa"/>
            <w:gridSpan w:val="4"/>
          </w:tcPr>
          <w:p>
            <w:pPr>
              <w:pStyle w:val="nTable"/>
              <w:spacing w:before="120"/>
              <w:rPr>
                <w:sz w:val="19"/>
              </w:rPr>
            </w:pPr>
            <w:r>
              <w:rPr>
                <w:b/>
                <w:sz w:val="19"/>
              </w:rPr>
              <w:t xml:space="preserve">Reprint of the </w:t>
            </w:r>
            <w:r>
              <w:rPr>
                <w:b/>
                <w:i/>
                <w:sz w:val="19"/>
              </w:rPr>
              <w:t>Racing Penalties (Appeals) Act 1990</w:t>
            </w:r>
            <w:r>
              <w:rPr>
                <w:b/>
                <w:sz w:val="19"/>
              </w:rPr>
              <w:t xml:space="preserve"> as at 19 Oct 2001 </w:t>
            </w:r>
            <w:r>
              <w:rPr>
                <w:sz w:val="19"/>
              </w:rPr>
              <w:t>(includes amendments listed above)</w:t>
            </w:r>
          </w:p>
        </w:tc>
      </w:tr>
      <w:tr>
        <w:trPr>
          <w:cantSplit/>
        </w:trPr>
        <w:tc>
          <w:tcPr>
            <w:tcW w:w="2268" w:type="dxa"/>
          </w:tcPr>
          <w:p>
            <w:pPr>
              <w:pStyle w:val="nTable"/>
              <w:spacing w:before="120"/>
              <w:ind w:right="113"/>
              <w:rPr>
                <w:sz w:val="19"/>
              </w:rPr>
            </w:pPr>
            <w:r>
              <w:rPr>
                <w:i/>
                <w:sz w:val="19"/>
              </w:rPr>
              <w:t>Racing and Gambling Legislation Amendment and Repeal Act 2003</w:t>
            </w:r>
            <w:r>
              <w:rPr>
                <w:sz w:val="19"/>
              </w:rPr>
              <w:t xml:space="preserve"> Pt. 11</w:t>
            </w:r>
            <w:r>
              <w:rPr>
                <w:sz w:val="19"/>
                <w:vertAlign w:val="superscript"/>
              </w:rPr>
              <w:t> 2</w:t>
            </w:r>
          </w:p>
        </w:tc>
        <w:tc>
          <w:tcPr>
            <w:tcW w:w="1134" w:type="dxa"/>
          </w:tcPr>
          <w:p>
            <w:pPr>
              <w:pStyle w:val="nTable"/>
              <w:spacing w:before="120"/>
              <w:rPr>
                <w:sz w:val="19"/>
              </w:rPr>
            </w:pPr>
            <w:r>
              <w:rPr>
                <w:sz w:val="19"/>
              </w:rPr>
              <w:t>35 of 2003</w:t>
            </w:r>
          </w:p>
        </w:tc>
        <w:tc>
          <w:tcPr>
            <w:tcW w:w="1134" w:type="dxa"/>
          </w:tcPr>
          <w:p>
            <w:pPr>
              <w:pStyle w:val="nTable"/>
              <w:spacing w:before="120"/>
              <w:rPr>
                <w:sz w:val="19"/>
              </w:rPr>
            </w:pPr>
            <w:r>
              <w:rPr>
                <w:sz w:val="19"/>
              </w:rPr>
              <w:t>26 Jun 2003</w:t>
            </w:r>
          </w:p>
        </w:tc>
        <w:tc>
          <w:tcPr>
            <w:tcW w:w="2552" w:type="dxa"/>
          </w:tcPr>
          <w:p>
            <w:pPr>
              <w:pStyle w:val="nTable"/>
              <w:spacing w:before="120"/>
              <w:rPr>
                <w:sz w:val="19"/>
              </w:rPr>
            </w:pPr>
            <w:r>
              <w:rPr>
                <w:sz w:val="19"/>
              </w:rPr>
              <w:t>s. 179, 180(1)(a), (b), (d)</w:t>
            </w:r>
            <w:r>
              <w:rPr>
                <w:sz w:val="19"/>
              </w:rPr>
              <w:noBreakHyphen/>
              <w:t>(g) and 181</w:t>
            </w:r>
            <w:r>
              <w:rPr>
                <w:sz w:val="19"/>
              </w:rPr>
              <w:noBreakHyphen/>
              <w:t xml:space="preserve">194: 1 Aug 2003 (see s. 2 and </w:t>
            </w:r>
            <w:r>
              <w:rPr>
                <w:i/>
                <w:sz w:val="19"/>
              </w:rPr>
              <w:t>Gazette</w:t>
            </w:r>
            <w:r>
              <w:rPr>
                <w:sz w:val="19"/>
              </w:rPr>
              <w:t xml:space="preserve"> 29 Jul 2003 p. 3259); s. 180(1)(c) and (2): 30 Jan 2004 (see s. 2 and </w:t>
            </w:r>
            <w:r>
              <w:rPr>
                <w:i/>
                <w:sz w:val="19"/>
              </w:rPr>
              <w:t>Gazette</w:t>
            </w:r>
            <w:r>
              <w:rPr>
                <w:sz w:val="19"/>
              </w:rPr>
              <w:t xml:space="preserve"> 30 Jan 2004 p. 397)</w:t>
            </w:r>
          </w:p>
        </w:tc>
      </w:tr>
      <w:tr>
        <w:trPr>
          <w:cantSplit/>
        </w:trPr>
        <w:tc>
          <w:tcPr>
            <w:tcW w:w="2268" w:type="dxa"/>
          </w:tcPr>
          <w:p>
            <w:pPr>
              <w:pStyle w:val="nTable"/>
              <w:spacing w:before="120"/>
              <w:ind w:right="113"/>
              <w:rPr>
                <w:sz w:val="19"/>
              </w:rPr>
            </w:pPr>
            <w:r>
              <w:rPr>
                <w:i/>
                <w:sz w:val="19"/>
              </w:rPr>
              <w:t>Acts Amendment and Repeal (Courts and Legal Practice) Act 2003</w:t>
            </w:r>
            <w:r>
              <w:rPr>
                <w:sz w:val="19"/>
              </w:rPr>
              <w:t xml:space="preserve"> s. 58 and 116</w:t>
            </w:r>
          </w:p>
        </w:tc>
        <w:tc>
          <w:tcPr>
            <w:tcW w:w="1134" w:type="dxa"/>
          </w:tcPr>
          <w:p>
            <w:pPr>
              <w:pStyle w:val="nTable"/>
              <w:spacing w:before="120"/>
              <w:rPr>
                <w:sz w:val="19"/>
              </w:rPr>
            </w:pPr>
            <w:r>
              <w:rPr>
                <w:sz w:val="19"/>
              </w:rPr>
              <w:t>65 of 2003</w:t>
            </w:r>
          </w:p>
        </w:tc>
        <w:tc>
          <w:tcPr>
            <w:tcW w:w="1134" w:type="dxa"/>
          </w:tcPr>
          <w:p>
            <w:pPr>
              <w:pStyle w:val="nTable"/>
              <w:spacing w:before="120"/>
              <w:rPr>
                <w:sz w:val="19"/>
              </w:rPr>
            </w:pPr>
            <w:r>
              <w:rPr>
                <w:sz w:val="19"/>
              </w:rPr>
              <w:t>4 Dec 2003</w:t>
            </w:r>
          </w:p>
        </w:tc>
        <w:tc>
          <w:tcPr>
            <w:tcW w:w="2552" w:type="dxa"/>
          </w:tcPr>
          <w:p>
            <w:pPr>
              <w:pStyle w:val="nTable"/>
              <w:spacing w:before="12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Borders>
              <w:bottom w:val="single" w:sz="4" w:space="0" w:color="auto"/>
            </w:tcBorders>
          </w:tcPr>
          <w:p>
            <w:pPr>
              <w:pStyle w:val="nTable"/>
              <w:spacing w:before="120"/>
              <w:ind w:right="113"/>
              <w:rPr>
                <w:i/>
                <w:sz w:val="19"/>
              </w:rPr>
            </w:pPr>
            <w:r>
              <w:rPr>
                <w:i/>
                <w:snapToGrid w:val="0"/>
                <w:sz w:val="19"/>
                <w:lang w:val="en-US"/>
              </w:rPr>
              <w:t>Courts Legislation Amendment and Repeal Act 2004</w:t>
            </w:r>
            <w:r>
              <w:rPr>
                <w:snapToGrid w:val="0"/>
                <w:sz w:val="19"/>
                <w:lang w:val="en-US"/>
              </w:rPr>
              <w:t xml:space="preserve"> s. 142</w:t>
            </w:r>
          </w:p>
        </w:tc>
        <w:tc>
          <w:tcPr>
            <w:tcW w:w="1134" w:type="dxa"/>
            <w:tcBorders>
              <w:bottom w:val="single" w:sz="4" w:space="0" w:color="auto"/>
            </w:tcBorders>
          </w:tcPr>
          <w:p>
            <w:pPr>
              <w:pStyle w:val="nTable"/>
              <w:spacing w:before="120"/>
              <w:rPr>
                <w:sz w:val="19"/>
              </w:rPr>
            </w:pPr>
            <w:r>
              <w:rPr>
                <w:snapToGrid w:val="0"/>
                <w:sz w:val="19"/>
                <w:lang w:val="en-US"/>
              </w:rPr>
              <w:t>59 of 2004</w:t>
            </w:r>
          </w:p>
        </w:tc>
        <w:tc>
          <w:tcPr>
            <w:tcW w:w="1134" w:type="dxa"/>
            <w:tcBorders>
              <w:bottom w:val="single" w:sz="4" w:space="0" w:color="auto"/>
            </w:tcBorders>
          </w:tcPr>
          <w:p>
            <w:pPr>
              <w:pStyle w:val="nTable"/>
              <w:spacing w:before="120"/>
              <w:rPr>
                <w:sz w:val="19"/>
              </w:rPr>
            </w:pPr>
            <w:r>
              <w:rPr>
                <w:sz w:val="19"/>
              </w:rPr>
              <w:t>23 Nov 2004</w:t>
            </w:r>
          </w:p>
        </w:tc>
        <w:tc>
          <w:tcPr>
            <w:tcW w:w="2552" w:type="dxa"/>
            <w:tcBorders>
              <w:bottom w:val="single" w:sz="4" w:space="0" w:color="auto"/>
            </w:tcBorders>
          </w:tcPr>
          <w:p>
            <w:pPr>
              <w:pStyle w:val="nTable"/>
              <w:spacing w:before="1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bl>
    <w:p>
      <w:pPr>
        <w:pStyle w:val="nSubsection"/>
        <w:rPr>
          <w:vertAlign w:val="superscript"/>
        </w:rPr>
      </w:pPr>
    </w:p>
    <w:p>
      <w:pPr>
        <w:pStyle w:val="nSubsection"/>
      </w:pPr>
      <w:r>
        <w:rPr>
          <w:vertAlign w:val="superscript"/>
        </w:rPr>
        <w:t>2</w:t>
      </w:r>
      <w:r>
        <w:tab/>
        <w:t xml:space="preserve">The </w:t>
      </w:r>
      <w:r>
        <w:rPr>
          <w:i/>
        </w:rPr>
        <w:t>Racing and Gambling Legislation Amendment and Repeal Act 2003</w:t>
      </w:r>
      <w:r>
        <w:t xml:space="preserve"> s. 19 and Pt. 11 Div. 2 read as follows:</w:t>
      </w:r>
    </w:p>
    <w:p>
      <w:pPr>
        <w:pStyle w:val="MiscOpen"/>
      </w:pPr>
      <w:r>
        <w:t>“</w:t>
      </w:r>
    </w:p>
    <w:p>
      <w:pPr>
        <w:pStyle w:val="nzHeading5"/>
      </w:pPr>
      <w:bookmarkStart w:id="129" w:name="_Toc20219085"/>
      <w:bookmarkStart w:id="130" w:name="_Toc20710666"/>
      <w:bookmarkStart w:id="131" w:name="_Toc22632825"/>
      <w:bookmarkStart w:id="132" w:name="_Toc44146574"/>
      <w:r>
        <w:rPr>
          <w:rStyle w:val="CharSectno"/>
        </w:rPr>
        <w:t>19</w:t>
      </w:r>
      <w:r>
        <w:t>.</w:t>
      </w:r>
      <w:r>
        <w:tab/>
        <w:t>Power to amend regulations</w:t>
      </w:r>
      <w:bookmarkEnd w:id="129"/>
      <w:bookmarkEnd w:id="130"/>
      <w:bookmarkEnd w:id="131"/>
      <w:bookmarkEnd w:id="132"/>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MiscOpen"/>
      </w:pPr>
      <w:r>
        <w:t>“</w:t>
      </w:r>
    </w:p>
    <w:p>
      <w:pPr>
        <w:pStyle w:val="nzHeading3"/>
      </w:pPr>
      <w:r>
        <w:rPr>
          <w:rStyle w:val="CharDivNo"/>
        </w:rPr>
        <w:t>Division 2</w:t>
      </w:r>
      <w:r>
        <w:t> — </w:t>
      </w:r>
      <w:r>
        <w:rPr>
          <w:rStyle w:val="CharDivText"/>
        </w:rPr>
        <w:t>Transitional provisions</w:t>
      </w:r>
    </w:p>
    <w:p>
      <w:pPr>
        <w:pStyle w:val="nzHeading5"/>
      </w:pPr>
      <w:bookmarkStart w:id="133" w:name="_Toc44146748"/>
      <w:r>
        <w:rPr>
          <w:rStyle w:val="CharSectno"/>
        </w:rPr>
        <w:t>193</w:t>
      </w:r>
      <w:r>
        <w:t>.</w:t>
      </w:r>
      <w:r>
        <w:tab/>
        <w:t>Appeals</w:t>
      </w:r>
      <w:bookmarkEnd w:id="133"/>
    </w:p>
    <w:p>
      <w:pPr>
        <w:pStyle w:val="nzSubsection"/>
      </w:pPr>
      <w:r>
        <w:tab/>
      </w:r>
      <w:r>
        <w:tab/>
        <w:t>If, immediately before the coming into operation of this section, the Tribunal had the jurisdiction to hear and determine an appeal, or an application for leave to appeal and subsequent appeal, any appeal, or application for leave to appeal and subsequent appeal, that could have been made under that jurisdiction in relation to a determination made before the coming into operation of this section, may be made to or continued by, and determined by, the Tribunal.</w:t>
      </w:r>
    </w:p>
    <w:p>
      <w:pPr>
        <w:pStyle w:val="nzHeading5"/>
      </w:pPr>
      <w:bookmarkStart w:id="134" w:name="_Toc44146749"/>
      <w:r>
        <w:rPr>
          <w:rStyle w:val="CharSectno"/>
        </w:rPr>
        <w:t>194</w:t>
      </w:r>
      <w:r>
        <w:t>.</w:t>
      </w:r>
      <w:r>
        <w:tab/>
        <w:t>Funds of Tribunal</w:t>
      </w:r>
      <w:bookmarkEnd w:id="134"/>
    </w:p>
    <w:p>
      <w:pPr>
        <w:pStyle w:val="nzSubsection"/>
      </w:pPr>
      <w:r>
        <w:tab/>
      </w:r>
      <w:r>
        <w:tab/>
        <w:t xml:space="preserve">Despite the amendments to section 24 of the </w:t>
      </w:r>
      <w:r>
        <w:rPr>
          <w:i/>
        </w:rPr>
        <w:t>Racing Penalties (Appeals) Act 1990</w:t>
      </w:r>
      <w:r>
        <w:t xml:space="preserve"> effected by section 189 of this Act — </w:t>
      </w:r>
    </w:p>
    <w:p>
      <w:pPr>
        <w:pStyle w:val="nzIndenta"/>
      </w:pPr>
      <w:r>
        <w:tab/>
        <w:t>(a)</w:t>
      </w:r>
      <w:r>
        <w:tab/>
        <w:t xml:space="preserve">the amount of funds available to the Racing Penalties Appeal Tribunal of Western Australia under subsection (1)(c) of section 24 of the </w:t>
      </w:r>
      <w:r>
        <w:rPr>
          <w:i/>
        </w:rPr>
        <w:t>Racing Penalties (Appeals) Act 1990</w:t>
      </w:r>
      <w:r>
        <w:t xml:space="preserve"> for any financial year commencing before the coming into operation of section 189 of this Act is to be the amount approved by the Minister for that financial year under that section before the coming into operation of section 189 of this Act;</w:t>
      </w:r>
    </w:p>
    <w:p>
      <w:pPr>
        <w:pStyle w:val="nzIndenta"/>
      </w:pPr>
      <w:r>
        <w:tab/>
        <w:t>(b)</w:t>
      </w:r>
      <w:r>
        <w:tab/>
        <w:t>to the extent that that amount has not been paid to the Tribunal by the Totalisator Agency Board before the coming into operation of section 189 of this Act, the amount is to be paid by RWWA.</w:t>
      </w:r>
    </w:p>
    <w:p>
      <w:pPr>
        <w:pStyle w:val="MiscClose"/>
      </w:pPr>
      <w:r>
        <w:t>”.</w:t>
      </w:r>
    </w:p>
    <w:p>
      <w:bookmarkStart w:id="135" w:name="AutoSch"/>
      <w:bookmarkEnd w:id="135"/>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xxxviii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9520</Words>
  <Characters>44935</Characters>
  <Application>Microsoft Office Word</Application>
  <DocSecurity>0</DocSecurity>
  <Lines>1214</Lines>
  <Paragraphs>656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1990 - 01-c0-02</dc:title>
  <dc:subject/>
  <dc:creator/>
  <cp:keywords/>
  <dc:description/>
  <cp:lastModifiedBy>svcMRProcess</cp:lastModifiedBy>
  <cp:revision>4</cp:revision>
  <cp:lastPrinted>2001-10-19T02:05:00Z</cp:lastPrinted>
  <dcterms:created xsi:type="dcterms:W3CDTF">2018-09-07T17:02:00Z</dcterms:created>
  <dcterms:modified xsi:type="dcterms:W3CDTF">2018-09-07T17:02:00Z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652</vt:i4>
  </property>
  <property fmtid="{D5CDD505-2E9C-101B-9397-08002B2CF9AE}" pid="6" name="AsAtDate">
    <vt:lpwstr>01 May 2005</vt:lpwstr>
  </property>
  <property fmtid="{D5CDD505-2E9C-101B-9397-08002B2CF9AE}" pid="7" name="Suffix">
    <vt:lpwstr>01-c0-02</vt:lpwstr>
  </property>
</Properties>
</file>