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6AF" w:rsidRDefault="00D21D9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576AF" w:rsidRDefault="00D21D96">
      <w:pPr>
        <w:pStyle w:val="NameofActReg"/>
        <w:spacing w:before="3760" w:after="4200"/>
      </w:pPr>
      <w:r>
        <w:rPr>
          <w:noProof/>
        </w:rPr>
        <w:t>Redemption of Annuities Act 1909</w:t>
      </w:r>
    </w:p>
    <w:p w:rsidR="001576AF" w:rsidRDefault="001576AF">
      <w:pPr>
        <w:jc w:val="center"/>
        <w:rPr>
          <w:b/>
        </w:rPr>
        <w:sectPr w:rsidR="001576A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576AF">
        <w:trPr>
          <w:cantSplit/>
        </w:trPr>
        <w:tc>
          <w:tcPr>
            <w:tcW w:w="2434" w:type="dxa"/>
            <w:vMerge w:val="restart"/>
          </w:tcPr>
          <w:p w:rsidR="001576AF" w:rsidRDefault="001576AF"/>
        </w:tc>
        <w:tc>
          <w:tcPr>
            <w:tcW w:w="2434" w:type="dxa"/>
            <w:vMerge w:val="restart"/>
          </w:tcPr>
          <w:p w:rsidR="001576AF" w:rsidRDefault="001576AF">
            <w:pPr>
              <w:jc w:val="center"/>
            </w:pPr>
          </w:p>
        </w:tc>
        <w:tc>
          <w:tcPr>
            <w:tcW w:w="2434" w:type="dxa"/>
          </w:tcPr>
          <w:p w:rsidR="001576AF" w:rsidRDefault="001576AF"/>
        </w:tc>
      </w:tr>
      <w:tr w:rsidR="001576AF">
        <w:trPr>
          <w:cantSplit/>
        </w:trPr>
        <w:tc>
          <w:tcPr>
            <w:tcW w:w="2434" w:type="dxa"/>
            <w:vMerge/>
          </w:tcPr>
          <w:p w:rsidR="001576AF" w:rsidRDefault="001576AF"/>
        </w:tc>
        <w:tc>
          <w:tcPr>
            <w:tcW w:w="2434" w:type="dxa"/>
            <w:vMerge/>
          </w:tcPr>
          <w:p w:rsidR="001576AF" w:rsidRDefault="001576AF">
            <w:pPr>
              <w:jc w:val="center"/>
            </w:pPr>
          </w:p>
        </w:tc>
        <w:tc>
          <w:tcPr>
            <w:tcW w:w="2434" w:type="dxa"/>
          </w:tcPr>
          <w:p w:rsidR="001576AF" w:rsidRDefault="00D21D96">
            <w:pPr>
              <w:keepNext/>
              <w:rPr>
                <w:b/>
                <w:sz w:val="22"/>
              </w:rPr>
            </w:pPr>
            <w:r>
              <w:rPr>
                <w:b/>
                <w:sz w:val="22"/>
              </w:rPr>
              <w:t xml:space="preserve">Reprinted under the </w:t>
            </w:r>
            <w:r>
              <w:rPr>
                <w:b/>
                <w:i/>
                <w:sz w:val="22"/>
              </w:rPr>
              <w:t>Reprints Act 1984</w:t>
            </w:r>
            <w:r>
              <w:rPr>
                <w:b/>
                <w:sz w:val="22"/>
              </w:rPr>
              <w:t xml:space="preserve"> as at 4 March 2005</w:t>
            </w:r>
          </w:p>
        </w:tc>
      </w:tr>
    </w:tbl>
    <w:p w:rsidR="001576AF" w:rsidRDefault="00D21D96">
      <w:pPr>
        <w:pStyle w:val="WA"/>
        <w:spacing w:before="120"/>
      </w:pPr>
      <w:r>
        <w:t>Western Australia</w:t>
      </w:r>
    </w:p>
    <w:p w:rsidR="001576AF" w:rsidRDefault="00D21D96">
      <w:pPr>
        <w:pStyle w:val="NameofActRegPage1"/>
      </w:pPr>
      <w:r>
        <w:fldChar w:fldCharType="begin"/>
      </w:r>
      <w:r>
        <w:instrText xml:space="preserve"> STYLEREF "Name Of Act/Reg"</w:instrText>
      </w:r>
      <w:r>
        <w:fldChar w:fldCharType="separate"/>
      </w:r>
      <w:r w:rsidR="00F43BD7">
        <w:rPr>
          <w:noProof/>
        </w:rPr>
        <w:t>Redemption of Annuities Act 1909</w:t>
      </w:r>
      <w:r>
        <w:fldChar w:fldCharType="end"/>
      </w:r>
    </w:p>
    <w:p w:rsidR="001576AF" w:rsidRDefault="00D21D96">
      <w:pPr>
        <w:pStyle w:val="Arrangement"/>
      </w:pPr>
      <w:r>
        <w:t>CONTENTS</w:t>
      </w:r>
    </w:p>
    <w:p w:rsidR="001576AF" w:rsidRDefault="00D21D96">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_Toc100632873 \h </w:instrText>
      </w:r>
      <w:r>
        <w:rPr>
          <w:noProof/>
        </w:rPr>
      </w:r>
      <w:r>
        <w:rPr>
          <w:noProof/>
        </w:rPr>
        <w:fldChar w:fldCharType="separate"/>
      </w:r>
      <w:r w:rsidR="00F43BD7">
        <w:rPr>
          <w:noProof/>
        </w:rPr>
        <w:t>1</w:t>
      </w:r>
      <w:r>
        <w:rPr>
          <w:noProof/>
        </w:rPr>
        <w:fldChar w:fldCharType="end"/>
      </w:r>
    </w:p>
    <w:p w:rsidR="001576AF" w:rsidRDefault="00D21D9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_Toc100632874 \h </w:instrText>
      </w:r>
      <w:r>
        <w:rPr>
          <w:noProof/>
        </w:rPr>
      </w:r>
      <w:r>
        <w:rPr>
          <w:noProof/>
        </w:rPr>
        <w:fldChar w:fldCharType="separate"/>
      </w:r>
      <w:r w:rsidR="00F43BD7">
        <w:rPr>
          <w:noProof/>
        </w:rPr>
        <w:t>1</w:t>
      </w:r>
      <w:r>
        <w:rPr>
          <w:noProof/>
        </w:rPr>
        <w:fldChar w:fldCharType="end"/>
      </w:r>
    </w:p>
    <w:p w:rsidR="001576AF" w:rsidRDefault="00D21D9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Judge may order redemption of annuity on surrender value being ascertained and paid</w:t>
      </w:r>
      <w:r>
        <w:rPr>
          <w:noProof/>
        </w:rPr>
        <w:tab/>
      </w:r>
      <w:r>
        <w:rPr>
          <w:noProof/>
        </w:rPr>
        <w:fldChar w:fldCharType="begin"/>
      </w:r>
      <w:r>
        <w:rPr>
          <w:noProof/>
        </w:rPr>
        <w:instrText xml:space="preserve"> PAGEREF _Toc100632875 \h </w:instrText>
      </w:r>
      <w:r>
        <w:rPr>
          <w:noProof/>
        </w:rPr>
      </w:r>
      <w:r>
        <w:rPr>
          <w:noProof/>
        </w:rPr>
        <w:fldChar w:fldCharType="separate"/>
      </w:r>
      <w:r w:rsidR="00F43BD7">
        <w:rPr>
          <w:noProof/>
        </w:rPr>
        <w:t>2</w:t>
      </w:r>
      <w:r>
        <w:rPr>
          <w:noProof/>
        </w:rPr>
        <w:fldChar w:fldCharType="end"/>
      </w:r>
    </w:p>
    <w:p w:rsidR="001576AF" w:rsidRDefault="00D21D96">
      <w:pPr>
        <w:pStyle w:val="TOC2"/>
        <w:tabs>
          <w:tab w:val="right" w:leader="dot" w:pos="7086"/>
        </w:tabs>
        <w:rPr>
          <w:b w:val="0"/>
          <w:noProof/>
          <w:sz w:val="24"/>
          <w:szCs w:val="24"/>
        </w:rPr>
      </w:pPr>
      <w:r>
        <w:rPr>
          <w:noProof/>
          <w:szCs w:val="26"/>
        </w:rPr>
        <w:t>Notes</w:t>
      </w:r>
    </w:p>
    <w:p w:rsidR="001576AF" w:rsidRDefault="00D21D96">
      <w:pPr>
        <w:pStyle w:val="TOC4"/>
      </w:pPr>
      <w:r>
        <w:rPr>
          <w:noProof/>
          <w:snapToGrid w:val="0"/>
          <w:szCs w:val="24"/>
        </w:rPr>
        <w:tab/>
        <w:t>Compilation table</w:t>
      </w:r>
      <w:r>
        <w:rPr>
          <w:noProof/>
        </w:rPr>
        <w:tab/>
      </w:r>
      <w:r>
        <w:rPr>
          <w:noProof/>
        </w:rPr>
        <w:fldChar w:fldCharType="begin"/>
      </w:r>
      <w:r>
        <w:rPr>
          <w:noProof/>
        </w:rPr>
        <w:instrText xml:space="preserve"> PAGEREF _Toc100632877 \h </w:instrText>
      </w:r>
      <w:r>
        <w:rPr>
          <w:noProof/>
        </w:rPr>
      </w:r>
      <w:r>
        <w:rPr>
          <w:noProof/>
        </w:rPr>
        <w:fldChar w:fldCharType="separate"/>
      </w:r>
      <w:r w:rsidR="00F43BD7">
        <w:rPr>
          <w:noProof/>
        </w:rPr>
        <w:t>4</w:t>
      </w:r>
      <w:r>
        <w:rPr>
          <w:noProof/>
        </w:rPr>
        <w:fldChar w:fldCharType="end"/>
      </w:r>
      <w:r>
        <w:fldChar w:fldCharType="end"/>
      </w:r>
    </w:p>
    <w:p w:rsidR="001576AF" w:rsidRDefault="00D21D9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76AF" w:rsidRDefault="001576AF">
      <w:pPr>
        <w:pStyle w:val="NoteHeading"/>
        <w:sectPr w:rsidR="001576A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576AF">
        <w:trPr>
          <w:cantSplit/>
        </w:trPr>
        <w:tc>
          <w:tcPr>
            <w:tcW w:w="2434" w:type="dxa"/>
            <w:vMerge w:val="restart"/>
          </w:tcPr>
          <w:p w:rsidR="001576AF" w:rsidRDefault="001576AF"/>
        </w:tc>
        <w:tc>
          <w:tcPr>
            <w:tcW w:w="2434" w:type="dxa"/>
            <w:vMerge w:val="restart"/>
          </w:tcPr>
          <w:p w:rsidR="001576AF" w:rsidRDefault="00D21D96">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576AF" w:rsidRDefault="001576AF"/>
        </w:tc>
      </w:tr>
      <w:tr w:rsidR="001576AF">
        <w:trPr>
          <w:cantSplit/>
        </w:trPr>
        <w:tc>
          <w:tcPr>
            <w:tcW w:w="2434" w:type="dxa"/>
            <w:vMerge/>
          </w:tcPr>
          <w:p w:rsidR="001576AF" w:rsidRDefault="001576AF"/>
        </w:tc>
        <w:tc>
          <w:tcPr>
            <w:tcW w:w="2434" w:type="dxa"/>
            <w:vMerge/>
          </w:tcPr>
          <w:p w:rsidR="001576AF" w:rsidRDefault="001576AF">
            <w:pPr>
              <w:jc w:val="center"/>
            </w:pPr>
          </w:p>
        </w:tc>
        <w:tc>
          <w:tcPr>
            <w:tcW w:w="2434" w:type="dxa"/>
          </w:tcPr>
          <w:p w:rsidR="001576AF" w:rsidRDefault="00D21D96">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March 2005</w:t>
            </w:r>
          </w:p>
        </w:tc>
      </w:tr>
    </w:tbl>
    <w:p w:rsidR="001576AF" w:rsidRDefault="00D21D96">
      <w:pPr>
        <w:pStyle w:val="WA"/>
        <w:spacing w:before="120"/>
      </w:pPr>
      <w:r>
        <w:t>Western Australia</w:t>
      </w:r>
    </w:p>
    <w:p w:rsidR="001576AF" w:rsidRDefault="00D21D96">
      <w:pPr>
        <w:pStyle w:val="NameofActReg"/>
      </w:pPr>
      <w:r>
        <w:t xml:space="preserve">Redemption of Annuities Act 1909 </w:t>
      </w:r>
    </w:p>
    <w:p w:rsidR="001576AF" w:rsidRDefault="00D21D96">
      <w:pPr>
        <w:pStyle w:val="LongTitle"/>
        <w:rPr>
          <w:snapToGrid w:val="0"/>
        </w:rPr>
      </w:pPr>
      <w:r>
        <w:rPr>
          <w:snapToGrid w:val="0"/>
        </w:rPr>
        <w:t xml:space="preserve">An Act for the redemption of annuities charged on or issuing out of land. </w:t>
      </w:r>
    </w:p>
    <w:p w:rsidR="001576AF" w:rsidRDefault="00D21D96">
      <w:pPr>
        <w:pStyle w:val="Heading5"/>
        <w:rPr>
          <w:snapToGrid w:val="0"/>
        </w:rPr>
      </w:pPr>
      <w:bookmarkStart w:id="1" w:name="_Toc100632873"/>
      <w:r>
        <w:rPr>
          <w:rStyle w:val="CharSectno"/>
        </w:rPr>
        <w:t>1</w:t>
      </w:r>
      <w:r>
        <w:rPr>
          <w:snapToGrid w:val="0"/>
        </w:rPr>
        <w:t>.</w:t>
      </w:r>
      <w:r>
        <w:rPr>
          <w:snapToGrid w:val="0"/>
        </w:rPr>
        <w:tab/>
        <w:t>Short title</w:t>
      </w:r>
      <w:bookmarkEnd w:id="1"/>
      <w:r>
        <w:rPr>
          <w:snapToGrid w:val="0"/>
        </w:rPr>
        <w:t xml:space="preserve"> </w:t>
      </w:r>
    </w:p>
    <w:p w:rsidR="001576AF" w:rsidRDefault="00D21D96">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rsidR="001576AF" w:rsidRDefault="00D21D96">
      <w:pPr>
        <w:pStyle w:val="Heading5"/>
        <w:rPr>
          <w:snapToGrid w:val="0"/>
        </w:rPr>
      </w:pPr>
      <w:bookmarkStart w:id="2" w:name="_Toc100632874"/>
      <w:r>
        <w:rPr>
          <w:rStyle w:val="CharSectno"/>
        </w:rPr>
        <w:t>2</w:t>
      </w:r>
      <w:r>
        <w:rPr>
          <w:snapToGrid w:val="0"/>
        </w:rPr>
        <w:t>.</w:t>
      </w:r>
      <w:r>
        <w:rPr>
          <w:snapToGrid w:val="0"/>
        </w:rPr>
        <w:tab/>
        <w:t>Interpretation</w:t>
      </w:r>
      <w:bookmarkEnd w:id="2"/>
      <w:r>
        <w:rPr>
          <w:snapToGrid w:val="0"/>
        </w:rPr>
        <w:t xml:space="preserve"> </w:t>
      </w:r>
    </w:p>
    <w:p w:rsidR="001576AF" w:rsidRDefault="00D21D96">
      <w:pPr>
        <w:pStyle w:val="Subsection"/>
        <w:rPr>
          <w:snapToGrid w:val="0"/>
        </w:rPr>
      </w:pPr>
      <w:r>
        <w:rPr>
          <w:snapToGrid w:val="0"/>
        </w:rPr>
        <w:tab/>
      </w:r>
      <w:r>
        <w:rPr>
          <w:snapToGrid w:val="0"/>
        </w:rPr>
        <w:tab/>
        <w:t>In this Act the following terms have the meanings set against them respectively: — </w:t>
      </w:r>
    </w:p>
    <w:p w:rsidR="001576AF" w:rsidRDefault="00D21D96">
      <w:pPr>
        <w:pStyle w:val="Defstart"/>
      </w:pPr>
      <w:r>
        <w:rPr>
          <w:b/>
        </w:rPr>
        <w:tab/>
        <w:t>“</w:t>
      </w:r>
      <w:r>
        <w:rPr>
          <w:rStyle w:val="CharDefText"/>
        </w:rPr>
        <w:t>Annuitant</w:t>
      </w:r>
      <w:r>
        <w:rPr>
          <w:b/>
        </w:rPr>
        <w: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rsidR="001576AF" w:rsidRDefault="00D21D96">
      <w:pPr>
        <w:pStyle w:val="Defstart"/>
      </w:pPr>
      <w:r>
        <w:rPr>
          <w:b/>
        </w:rPr>
        <w:tab/>
        <w:t>“</w:t>
      </w:r>
      <w:r>
        <w:rPr>
          <w:rStyle w:val="CharDefText"/>
        </w:rPr>
        <w:t>Annuity</w:t>
      </w:r>
      <w:r>
        <w:rPr>
          <w:b/>
        </w:rPr>
        <w:t>”</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rsidR="001576AF" w:rsidRDefault="00D21D96">
      <w:pPr>
        <w:pStyle w:val="Defstart"/>
      </w:pPr>
      <w:r>
        <w:rPr>
          <w:b/>
        </w:rPr>
        <w:lastRenderedPageBreak/>
        <w:tab/>
        <w:t>“</w:t>
      </w:r>
      <w:r>
        <w:rPr>
          <w:rStyle w:val="CharDefText"/>
        </w:rPr>
        <w:t>Judge</w:t>
      </w:r>
      <w:r>
        <w:rPr>
          <w:b/>
        </w:rPr>
        <w:t>”</w:t>
      </w:r>
      <w:r>
        <w:t xml:space="preserve"> means a Judge of the Supreme Court.</w:t>
      </w:r>
    </w:p>
    <w:p w:rsidR="001576AF" w:rsidRDefault="00D21D96">
      <w:pPr>
        <w:pStyle w:val="Defstart"/>
      </w:pPr>
      <w:r>
        <w:rPr>
          <w:b/>
        </w:rPr>
        <w:tab/>
        <w:t>“</w:t>
      </w:r>
      <w:r>
        <w:rPr>
          <w:rStyle w:val="CharDefText"/>
        </w:rPr>
        <w:t>Land</w:t>
      </w:r>
      <w:r>
        <w:rPr>
          <w:b/>
        </w:rPr>
        <w:t>”</w:t>
      </w:r>
      <w:r>
        <w:t xml:space="preserve"> includes land of any tenure, and tenements and hereditaments, corporeal or incorporeal, and houses and other buildings, also an undivided share in land.</w:t>
      </w:r>
    </w:p>
    <w:p w:rsidR="001576AF" w:rsidRDefault="00D21D96">
      <w:pPr>
        <w:pStyle w:val="Defstart"/>
      </w:pPr>
      <w:r>
        <w:rPr>
          <w:b/>
        </w:rPr>
        <w:tab/>
        <w:t>“</w:t>
      </w:r>
      <w:r>
        <w:rPr>
          <w:rStyle w:val="CharDefText"/>
        </w:rPr>
        <w:t>Owner</w:t>
      </w:r>
      <w:r>
        <w:rPr>
          <w:b/>
        </w:rPr>
        <w:t>”</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rsidR="001576AF" w:rsidRDefault="00D21D96">
      <w:pPr>
        <w:pStyle w:val="Defstart"/>
      </w:pPr>
      <w:r>
        <w:rPr>
          <w:b/>
        </w:rPr>
        <w:tab/>
        <w:t>“</w:t>
      </w:r>
      <w:r>
        <w:rPr>
          <w:rStyle w:val="CharDefText"/>
        </w:rPr>
        <w:t>Registrar</w:t>
      </w:r>
      <w:r>
        <w:rPr>
          <w:b/>
        </w:rPr>
        <w:t>”</w:t>
      </w:r>
      <w:r>
        <w:t xml:space="preserve"> means and includes the Registrar of Titles, and the Registrar of Deeds, and any deputy, assistant, or acting Registrar respectively.</w:t>
      </w:r>
    </w:p>
    <w:p w:rsidR="001576AF" w:rsidRDefault="00D21D96">
      <w:pPr>
        <w:pStyle w:val="Heading5"/>
        <w:rPr>
          <w:snapToGrid w:val="0"/>
        </w:rPr>
      </w:pPr>
      <w:bookmarkStart w:id="3" w:name="_Toc100632875"/>
      <w:r>
        <w:rPr>
          <w:rStyle w:val="CharSectno"/>
        </w:rPr>
        <w:t>3</w:t>
      </w:r>
      <w:r>
        <w:rPr>
          <w:snapToGrid w:val="0"/>
        </w:rPr>
        <w:t>.</w:t>
      </w:r>
      <w:r>
        <w:rPr>
          <w:snapToGrid w:val="0"/>
        </w:rPr>
        <w:tab/>
        <w:t>Judge may order redemption of annuity on surrender value being ascertained and paid</w:t>
      </w:r>
      <w:bookmarkEnd w:id="3"/>
      <w:r>
        <w:rPr>
          <w:snapToGrid w:val="0"/>
        </w:rPr>
        <w:t xml:space="preserve"> </w:t>
      </w:r>
    </w:p>
    <w:p w:rsidR="001576AF" w:rsidRDefault="00D21D96">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rsidR="001576AF" w:rsidRDefault="00D21D96">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rsidR="001576AF" w:rsidRDefault="00D21D96">
      <w:pPr>
        <w:pStyle w:val="Indenta"/>
        <w:spacing w:before="60"/>
        <w:rPr>
          <w:snapToGrid w:val="0"/>
        </w:rPr>
      </w:pPr>
      <w:r>
        <w:rPr>
          <w:snapToGrid w:val="0"/>
        </w:rPr>
        <w:tab/>
        <w:t>(2)</w:t>
      </w:r>
      <w:r>
        <w:rPr>
          <w:snapToGrid w:val="0"/>
        </w:rPr>
        <w:tab/>
        <w:t xml:space="preserve">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w:t>
      </w:r>
      <w:r>
        <w:rPr>
          <w:snapToGrid w:val="0"/>
        </w:rPr>
        <w:lastRenderedPageBreak/>
        <w:t>Judge may direct. Every such order shall contain full particulars of the land affected.</w:t>
      </w:r>
    </w:p>
    <w:p w:rsidR="001576AF" w:rsidRDefault="00D21D96">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rsidR="001576AF" w:rsidRDefault="00D21D96">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rsidR="001576AF" w:rsidRDefault="00D21D96">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rsidR="001576AF" w:rsidRDefault="00D21D96">
      <w:pPr>
        <w:pStyle w:val="Indenta"/>
        <w:rPr>
          <w:snapToGrid w:val="0"/>
        </w:rPr>
      </w:pPr>
      <w:r>
        <w:rPr>
          <w:snapToGrid w:val="0"/>
        </w:rPr>
        <w:tab/>
        <w:t>(6)</w:t>
      </w:r>
      <w:r>
        <w:rPr>
          <w:snapToGrid w:val="0"/>
        </w:rPr>
        <w:tab/>
        <w:t>A Judge in Chambers may from time to time vary alter or amend any order heretofore or hereafter made under this Act.</w:t>
      </w:r>
    </w:p>
    <w:p w:rsidR="001576AF" w:rsidRDefault="00D21D96">
      <w:pPr>
        <w:pStyle w:val="Footnotesection"/>
      </w:pPr>
      <w:r>
        <w:tab/>
        <w:t xml:space="preserve">[Section 3 amended by No. 48 of 1944 s. 2; No. 81 of 1996 s. 153(1).] </w:t>
      </w:r>
    </w:p>
    <w:p w:rsidR="001576AF" w:rsidRDefault="001576AF">
      <w:pPr>
        <w:rPr>
          <w:rStyle w:val="CharDivText"/>
        </w:rPr>
        <w:sectPr w:rsidR="001576AF">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576AF" w:rsidRDefault="00D21D96">
      <w:pPr>
        <w:pStyle w:val="nHeading2"/>
      </w:pPr>
      <w:bookmarkStart w:id="4" w:name="_Toc95290646"/>
      <w:bookmarkStart w:id="5" w:name="_Toc95290959"/>
      <w:bookmarkStart w:id="6" w:name="_Toc96999517"/>
      <w:bookmarkStart w:id="7" w:name="_Toc97021062"/>
      <w:bookmarkStart w:id="8" w:name="_Toc100632876"/>
      <w:r>
        <w:lastRenderedPageBreak/>
        <w:t>Notes</w:t>
      </w:r>
      <w:bookmarkEnd w:id="4"/>
      <w:bookmarkEnd w:id="5"/>
      <w:bookmarkEnd w:id="6"/>
      <w:bookmarkEnd w:id="7"/>
      <w:bookmarkEnd w:id="8"/>
    </w:p>
    <w:p w:rsidR="001576AF" w:rsidRDefault="00D21D96">
      <w:pPr>
        <w:pStyle w:val="nSubsection"/>
        <w:rPr>
          <w:snapToGrid w:val="0"/>
        </w:rPr>
      </w:pPr>
      <w:r>
        <w:rPr>
          <w:snapToGrid w:val="0"/>
          <w:vertAlign w:val="superscript"/>
        </w:rPr>
        <w:t>1</w:t>
      </w:r>
      <w:r>
        <w:rPr>
          <w:snapToGrid w:val="0"/>
        </w:rPr>
        <w:tab/>
        <w:t xml:space="preserve">This reprint is a compilation as at 4 March 2005 of the </w:t>
      </w:r>
      <w:r>
        <w:rPr>
          <w:i/>
          <w:noProof/>
          <w:snapToGrid w:val="0"/>
        </w:rPr>
        <w:t>Redemption of Annuities Act 1909</w:t>
      </w:r>
      <w:r>
        <w:rPr>
          <w:snapToGrid w:val="0"/>
        </w:rPr>
        <w:t xml:space="preserve"> and includes the amendments made by the other written laws referred to in the following table.  The table also contains information about any reprint.</w:t>
      </w:r>
    </w:p>
    <w:p w:rsidR="001576AF" w:rsidRDefault="00D21D96">
      <w:pPr>
        <w:pStyle w:val="nHeading3"/>
        <w:rPr>
          <w:snapToGrid w:val="0"/>
        </w:rPr>
      </w:pPr>
      <w:bookmarkStart w:id="9" w:name="_Toc100632877"/>
      <w:r>
        <w:rPr>
          <w:snapToGrid w:val="0"/>
        </w:rPr>
        <w:t>Compilation table</w:t>
      </w:r>
      <w:bookmarkEnd w:id="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76AF">
        <w:trPr>
          <w:tblHeader/>
        </w:trPr>
        <w:tc>
          <w:tcPr>
            <w:tcW w:w="2268" w:type="dxa"/>
            <w:tcBorders>
              <w:top w:val="single" w:sz="8" w:space="0" w:color="auto"/>
              <w:bottom w:val="single" w:sz="8" w:space="0" w:color="auto"/>
            </w:tcBorders>
          </w:tcPr>
          <w:p w:rsidR="001576AF" w:rsidRDefault="00D21D9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76AF" w:rsidRDefault="00D21D9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76AF" w:rsidRDefault="00D21D96">
            <w:pPr>
              <w:pStyle w:val="nTable"/>
              <w:spacing w:after="40"/>
              <w:rPr>
                <w:b/>
                <w:sz w:val="19"/>
              </w:rPr>
            </w:pPr>
            <w:r>
              <w:rPr>
                <w:b/>
                <w:sz w:val="19"/>
              </w:rPr>
              <w:t>Assent</w:t>
            </w:r>
          </w:p>
        </w:tc>
        <w:tc>
          <w:tcPr>
            <w:tcW w:w="2551" w:type="dxa"/>
            <w:tcBorders>
              <w:top w:val="single" w:sz="8" w:space="0" w:color="auto"/>
              <w:bottom w:val="single" w:sz="8" w:space="0" w:color="auto"/>
            </w:tcBorders>
          </w:tcPr>
          <w:p w:rsidR="001576AF" w:rsidRDefault="00D21D96">
            <w:pPr>
              <w:pStyle w:val="nTable"/>
              <w:spacing w:after="40"/>
              <w:rPr>
                <w:b/>
                <w:sz w:val="19"/>
              </w:rPr>
            </w:pPr>
            <w:r>
              <w:rPr>
                <w:b/>
                <w:sz w:val="19"/>
              </w:rPr>
              <w:t>Commencement</w:t>
            </w:r>
          </w:p>
        </w:tc>
      </w:tr>
      <w:tr w:rsidR="001576AF">
        <w:tc>
          <w:tcPr>
            <w:tcW w:w="2268" w:type="dxa"/>
            <w:tcBorders>
              <w:top w:val="single" w:sz="8" w:space="0" w:color="auto"/>
            </w:tcBorders>
          </w:tcPr>
          <w:p w:rsidR="001576AF" w:rsidRDefault="00D21D96">
            <w:pPr>
              <w:pStyle w:val="nTable"/>
              <w:spacing w:after="40"/>
              <w:rPr>
                <w:sz w:val="19"/>
              </w:rPr>
            </w:pPr>
            <w:r>
              <w:rPr>
                <w:i/>
                <w:sz w:val="19"/>
              </w:rPr>
              <w:t>Redemption of Annuities Act 1909</w:t>
            </w:r>
          </w:p>
        </w:tc>
        <w:tc>
          <w:tcPr>
            <w:tcW w:w="1134" w:type="dxa"/>
            <w:tcBorders>
              <w:top w:val="single" w:sz="8" w:space="0" w:color="auto"/>
            </w:tcBorders>
          </w:tcPr>
          <w:p w:rsidR="001576AF" w:rsidRDefault="00D21D96">
            <w:pPr>
              <w:pStyle w:val="nTable"/>
              <w:spacing w:after="40"/>
              <w:rPr>
                <w:sz w:val="19"/>
              </w:rPr>
            </w:pPr>
            <w:r>
              <w:rPr>
                <w:sz w:val="19"/>
              </w:rPr>
              <w:t>34 of 1909</w:t>
            </w:r>
          </w:p>
        </w:tc>
        <w:tc>
          <w:tcPr>
            <w:tcW w:w="1134" w:type="dxa"/>
            <w:tcBorders>
              <w:top w:val="single" w:sz="8" w:space="0" w:color="auto"/>
            </w:tcBorders>
          </w:tcPr>
          <w:p w:rsidR="001576AF" w:rsidRDefault="00D21D96">
            <w:pPr>
              <w:pStyle w:val="nTable"/>
              <w:spacing w:after="40"/>
              <w:rPr>
                <w:sz w:val="19"/>
              </w:rPr>
            </w:pPr>
            <w:r>
              <w:rPr>
                <w:sz w:val="19"/>
              </w:rPr>
              <w:t>4 Dec 1909</w:t>
            </w:r>
          </w:p>
        </w:tc>
        <w:tc>
          <w:tcPr>
            <w:tcW w:w="2551" w:type="dxa"/>
            <w:tcBorders>
              <w:top w:val="single" w:sz="8" w:space="0" w:color="auto"/>
            </w:tcBorders>
          </w:tcPr>
          <w:p w:rsidR="001576AF" w:rsidRDefault="00D21D96">
            <w:pPr>
              <w:pStyle w:val="nTable"/>
              <w:spacing w:after="40"/>
              <w:rPr>
                <w:sz w:val="19"/>
              </w:rPr>
            </w:pPr>
            <w:r>
              <w:rPr>
                <w:sz w:val="19"/>
              </w:rPr>
              <w:t>4 Dec 1909</w:t>
            </w:r>
          </w:p>
        </w:tc>
      </w:tr>
      <w:tr w:rsidR="001576AF">
        <w:tc>
          <w:tcPr>
            <w:tcW w:w="2268" w:type="dxa"/>
          </w:tcPr>
          <w:p w:rsidR="001576AF" w:rsidRDefault="00D21D96">
            <w:pPr>
              <w:pStyle w:val="nTable"/>
              <w:spacing w:after="40"/>
              <w:rPr>
                <w:sz w:val="19"/>
              </w:rPr>
            </w:pPr>
            <w:r>
              <w:rPr>
                <w:i/>
                <w:sz w:val="19"/>
              </w:rPr>
              <w:t>Redemption of Annuities Act Amendment Act 1944</w:t>
            </w:r>
          </w:p>
        </w:tc>
        <w:tc>
          <w:tcPr>
            <w:tcW w:w="1134" w:type="dxa"/>
          </w:tcPr>
          <w:p w:rsidR="001576AF" w:rsidRDefault="00D21D96">
            <w:pPr>
              <w:pStyle w:val="nTable"/>
              <w:spacing w:after="40"/>
              <w:rPr>
                <w:sz w:val="19"/>
              </w:rPr>
            </w:pPr>
            <w:r>
              <w:rPr>
                <w:sz w:val="19"/>
              </w:rPr>
              <w:t>48 of 1944</w:t>
            </w:r>
          </w:p>
        </w:tc>
        <w:tc>
          <w:tcPr>
            <w:tcW w:w="1134" w:type="dxa"/>
          </w:tcPr>
          <w:p w:rsidR="001576AF" w:rsidRDefault="00D21D96">
            <w:pPr>
              <w:pStyle w:val="nTable"/>
              <w:spacing w:after="40"/>
              <w:rPr>
                <w:sz w:val="19"/>
              </w:rPr>
            </w:pPr>
            <w:r>
              <w:rPr>
                <w:sz w:val="19"/>
              </w:rPr>
              <w:t>24 Jan 1945</w:t>
            </w:r>
          </w:p>
        </w:tc>
        <w:tc>
          <w:tcPr>
            <w:tcW w:w="2551" w:type="dxa"/>
          </w:tcPr>
          <w:p w:rsidR="001576AF" w:rsidRDefault="00D21D96">
            <w:pPr>
              <w:pStyle w:val="nTable"/>
              <w:spacing w:after="40"/>
              <w:rPr>
                <w:sz w:val="19"/>
              </w:rPr>
            </w:pPr>
            <w:r>
              <w:rPr>
                <w:sz w:val="19"/>
              </w:rPr>
              <w:t>24 Jan 1945</w:t>
            </w:r>
          </w:p>
        </w:tc>
      </w:tr>
      <w:tr w:rsidR="001576AF">
        <w:tc>
          <w:tcPr>
            <w:tcW w:w="2268" w:type="dxa"/>
          </w:tcPr>
          <w:p w:rsidR="001576AF" w:rsidRDefault="00D21D96">
            <w:pPr>
              <w:pStyle w:val="nTable"/>
              <w:spacing w:after="40"/>
              <w:rPr>
                <w:sz w:val="19"/>
              </w:rPr>
            </w:pPr>
            <w:r>
              <w:rPr>
                <w:i/>
                <w:sz w:val="19"/>
              </w:rPr>
              <w:t>Transfer of Land Amendment Act 1996</w:t>
            </w:r>
            <w:r>
              <w:rPr>
                <w:sz w:val="19"/>
              </w:rPr>
              <w:t xml:space="preserve"> s. 153(1)</w:t>
            </w:r>
          </w:p>
        </w:tc>
        <w:tc>
          <w:tcPr>
            <w:tcW w:w="1134" w:type="dxa"/>
          </w:tcPr>
          <w:p w:rsidR="001576AF" w:rsidRDefault="00D21D96">
            <w:pPr>
              <w:pStyle w:val="nTable"/>
              <w:spacing w:after="40"/>
              <w:rPr>
                <w:sz w:val="19"/>
              </w:rPr>
            </w:pPr>
            <w:r>
              <w:rPr>
                <w:sz w:val="19"/>
              </w:rPr>
              <w:t>81 of 1996</w:t>
            </w:r>
          </w:p>
        </w:tc>
        <w:tc>
          <w:tcPr>
            <w:tcW w:w="1134" w:type="dxa"/>
          </w:tcPr>
          <w:p w:rsidR="001576AF" w:rsidRDefault="00D21D96">
            <w:pPr>
              <w:pStyle w:val="nTable"/>
              <w:spacing w:after="40"/>
              <w:rPr>
                <w:sz w:val="19"/>
              </w:rPr>
            </w:pPr>
            <w:r>
              <w:rPr>
                <w:sz w:val="19"/>
              </w:rPr>
              <w:t>14 Nov 1996</w:t>
            </w:r>
          </w:p>
        </w:tc>
        <w:tc>
          <w:tcPr>
            <w:tcW w:w="2551" w:type="dxa"/>
          </w:tcPr>
          <w:p w:rsidR="001576AF" w:rsidRDefault="00D21D96">
            <w:pPr>
              <w:pStyle w:val="nTable"/>
              <w:spacing w:after="40"/>
              <w:rPr>
                <w:sz w:val="19"/>
              </w:rPr>
            </w:pPr>
            <w:r>
              <w:rPr>
                <w:sz w:val="19"/>
              </w:rPr>
              <w:t>14 Nov 1996 (see s. 2(1))</w:t>
            </w:r>
          </w:p>
        </w:tc>
      </w:tr>
      <w:tr w:rsidR="001576AF">
        <w:trPr>
          <w:cantSplit/>
        </w:trPr>
        <w:tc>
          <w:tcPr>
            <w:tcW w:w="7087" w:type="dxa"/>
            <w:gridSpan w:val="4"/>
            <w:tcBorders>
              <w:bottom w:val="single" w:sz="8" w:space="0" w:color="auto"/>
            </w:tcBorders>
          </w:tcPr>
          <w:p w:rsidR="001576AF" w:rsidRDefault="00D21D96">
            <w:pPr>
              <w:pStyle w:val="nTable"/>
              <w:spacing w:after="40"/>
              <w:rPr>
                <w:sz w:val="19"/>
              </w:rPr>
            </w:pPr>
            <w:r>
              <w:rPr>
                <w:b/>
                <w:bCs/>
                <w:sz w:val="19"/>
              </w:rPr>
              <w:t xml:space="preserve">Reprint 1: The </w:t>
            </w:r>
            <w:r>
              <w:rPr>
                <w:b/>
                <w:bCs/>
                <w:i/>
                <w:sz w:val="19"/>
              </w:rPr>
              <w:t>Redemption of Annuities Act 1909</w:t>
            </w:r>
            <w:r>
              <w:rPr>
                <w:b/>
                <w:bCs/>
                <w:sz w:val="19"/>
              </w:rPr>
              <w:t xml:space="preserve"> as at 4 Mar 2005</w:t>
            </w:r>
            <w:r>
              <w:rPr>
                <w:sz w:val="19"/>
              </w:rPr>
              <w:t xml:space="preserve"> (includes amendments listed above)</w:t>
            </w:r>
          </w:p>
        </w:tc>
      </w:tr>
    </w:tbl>
    <w:p w:rsidR="001576AF" w:rsidRDefault="001576AF"/>
    <w:p w:rsidR="001576AF" w:rsidRDefault="001576AF">
      <w:pPr>
        <w:sectPr w:rsidR="001576A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576AF" w:rsidRDefault="001576AF"/>
    <w:sectPr w:rsidR="001576AF">
      <w:headerReference w:type="even" r:id="rId31"/>
      <w:headerReference w:type="default" r:id="rId32"/>
      <w:headerReference w:type="firs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6AF" w:rsidRDefault="00D21D96">
      <w:r>
        <w:separator/>
      </w:r>
    </w:p>
  </w:endnote>
  <w:endnote w:type="continuationSeparator" w:id="0">
    <w:p w:rsidR="001576AF" w:rsidRDefault="00D2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p>
  <w:p w:rsidR="001576AF" w:rsidRDefault="00D21D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1576AF" w:rsidRDefault="00D21D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1576AF" w:rsidRDefault="00D21D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p>
  <w:p w:rsidR="001576AF" w:rsidRDefault="00D21D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1576AF" w:rsidRDefault="00D21D9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BD7">
      <w:rPr>
        <w:rStyle w:val="PageNumber"/>
        <w:rFonts w:ascii="Arial" w:hAnsi="Arial" w:cs="Arial"/>
        <w:noProof/>
      </w:rPr>
      <w:t>i</w:t>
    </w:r>
    <w:r>
      <w:rPr>
        <w:rStyle w:val="PageNumber"/>
        <w:rFonts w:ascii="Arial" w:hAnsi="Arial" w:cs="Arial"/>
      </w:rPr>
      <w:fldChar w:fldCharType="end"/>
    </w:r>
  </w:p>
  <w:p w:rsidR="001576AF" w:rsidRDefault="00D21D9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BD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 xml:space="preserve"> </w:t>
    </w:r>
  </w:p>
  <w:p w:rsidR="001576AF" w:rsidRDefault="00D21D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BD7">
      <w:rPr>
        <w:rStyle w:val="CharPageNo"/>
        <w:rFonts w:ascii="Arial" w:hAnsi="Arial"/>
        <w:noProof/>
      </w:rPr>
      <w:t>3</w:t>
    </w:r>
    <w:r>
      <w:rPr>
        <w:rStyle w:val="CharPageNo"/>
        <w:rFonts w:ascii="Arial" w:hAnsi="Arial"/>
      </w:rPr>
      <w:fldChar w:fldCharType="end"/>
    </w:r>
  </w:p>
  <w:p w:rsidR="001576AF" w:rsidRDefault="00D21D9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Footer"/>
      <w:tabs>
        <w:tab w:val="clear" w:pos="4153"/>
        <w:tab w:val="right" w:pos="7088"/>
      </w:tabs>
      <w:rPr>
        <w:rStyle w:val="PageNumber"/>
      </w:rPr>
    </w:pPr>
  </w:p>
  <w:p w:rsidR="001576AF" w:rsidRDefault="00D21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BD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BD7">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BD7">
      <w:rPr>
        <w:rStyle w:val="CharPageNo"/>
        <w:rFonts w:ascii="Arial" w:hAnsi="Arial"/>
        <w:noProof/>
      </w:rPr>
      <w:t>1</w:t>
    </w:r>
    <w:r>
      <w:rPr>
        <w:rStyle w:val="CharPageNo"/>
        <w:rFonts w:ascii="Arial" w:hAnsi="Arial"/>
      </w:rPr>
      <w:fldChar w:fldCharType="end"/>
    </w:r>
  </w:p>
  <w:p w:rsidR="001576AF" w:rsidRDefault="00D21D9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6AF" w:rsidRDefault="00D21D96">
      <w:r>
        <w:separator/>
      </w:r>
    </w:p>
  </w:footnote>
  <w:footnote w:type="continuationSeparator" w:id="0">
    <w:p w:rsidR="001576AF" w:rsidRDefault="00D21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76AF">
      <w:trPr>
        <w:cantSplit/>
      </w:trPr>
      <w:tc>
        <w:tcPr>
          <w:tcW w:w="7312" w:type="dxa"/>
          <w:gridSpan w:val="2"/>
        </w:tcPr>
        <w:p w:rsidR="001576AF" w:rsidRDefault="00D21D96">
          <w:pPr>
            <w:pStyle w:val="HeaderActNameLeft"/>
          </w:pPr>
          <w:r>
            <w:rPr>
              <w:i w:val="0"/>
            </w:rPr>
            <w:fldChar w:fldCharType="begin"/>
          </w:r>
          <w:r>
            <w:rPr>
              <w:i w:val="0"/>
            </w:rPr>
            <w:instrText xml:space="preserve"> Styleref "Name of Act/Reg" </w:instrText>
          </w:r>
          <w:r>
            <w:rPr>
              <w:i w:val="0"/>
            </w:rPr>
            <w:fldChar w:fldCharType="separate"/>
          </w:r>
          <w:r w:rsidR="00F43BD7">
            <w:rPr>
              <w:i w:val="0"/>
              <w:noProof/>
            </w:rPr>
            <w:t>Redemption of Annuities Act 1909</w:t>
          </w:r>
          <w:r>
            <w:rPr>
              <w:i w:val="0"/>
            </w:rPr>
            <w:fldChar w:fldCharType="end"/>
          </w:r>
        </w:p>
      </w:tc>
    </w:tr>
    <w:tr w:rsidR="001576AF">
      <w:tc>
        <w:tcPr>
          <w:tcW w:w="1548" w:type="dxa"/>
        </w:tcPr>
        <w:p w:rsidR="001576AF" w:rsidRDefault="001576AF">
          <w:pPr>
            <w:pStyle w:val="HeaderNumberLeft"/>
          </w:pPr>
        </w:p>
      </w:tc>
      <w:tc>
        <w:tcPr>
          <w:tcW w:w="5764" w:type="dxa"/>
        </w:tcPr>
        <w:p w:rsidR="001576AF" w:rsidRDefault="001576AF">
          <w:pPr>
            <w:pStyle w:val="HeaderTextLeft"/>
          </w:pPr>
        </w:p>
      </w:tc>
    </w:tr>
    <w:tr w:rsidR="001576AF">
      <w:tc>
        <w:tcPr>
          <w:tcW w:w="1548" w:type="dxa"/>
        </w:tcPr>
        <w:p w:rsidR="001576AF" w:rsidRDefault="001576AF">
          <w:pPr>
            <w:pStyle w:val="HeaderNumberLeft"/>
          </w:pPr>
        </w:p>
      </w:tc>
      <w:tc>
        <w:tcPr>
          <w:tcW w:w="5764" w:type="dxa"/>
        </w:tcPr>
        <w:p w:rsidR="001576AF" w:rsidRDefault="001576AF">
          <w:pPr>
            <w:pStyle w:val="HeaderTextLeft"/>
          </w:pPr>
        </w:p>
      </w:tc>
    </w:tr>
    <w:tr w:rsidR="001576AF">
      <w:trPr>
        <w:cantSplit/>
      </w:trPr>
      <w:tc>
        <w:tcPr>
          <w:tcW w:w="7312" w:type="dxa"/>
          <w:gridSpan w:val="2"/>
        </w:tcPr>
        <w:p w:rsidR="001576AF" w:rsidRDefault="001576AF">
          <w:pPr>
            <w:pStyle w:val="HeaderSectionLeft"/>
          </w:pPr>
        </w:p>
      </w:tc>
    </w:tr>
  </w:tbl>
  <w:p w:rsidR="001576AF" w:rsidRDefault="001576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76AF">
      <w:trPr>
        <w:cantSplit/>
      </w:trPr>
      <w:tc>
        <w:tcPr>
          <w:tcW w:w="7312" w:type="dxa"/>
          <w:gridSpan w:val="2"/>
        </w:tcPr>
        <w:p w:rsidR="001576AF" w:rsidRDefault="00D21D96">
          <w:pPr>
            <w:pStyle w:val="HeaderActNameRight"/>
          </w:pPr>
          <w:fldSimple w:instr=" Styleref &quot;Name of Act/Reg&quot; ">
            <w:r w:rsidR="00F43BD7">
              <w:rPr>
                <w:noProof/>
              </w:rPr>
              <w:t>Redemption of Annuities Act 1909</w:t>
            </w:r>
          </w:fldSimple>
        </w:p>
      </w:tc>
    </w:tr>
    <w:tr w:rsidR="001576AF">
      <w:tc>
        <w:tcPr>
          <w:tcW w:w="5760" w:type="dxa"/>
        </w:tcPr>
        <w:p w:rsidR="001576AF" w:rsidRDefault="001576AF">
          <w:pPr>
            <w:pStyle w:val="HeaderTextRight"/>
          </w:pPr>
        </w:p>
      </w:tc>
      <w:tc>
        <w:tcPr>
          <w:tcW w:w="1552" w:type="dxa"/>
        </w:tcPr>
        <w:p w:rsidR="001576AF" w:rsidRDefault="001576AF">
          <w:pPr>
            <w:pStyle w:val="HeaderNumberRight"/>
          </w:pPr>
        </w:p>
      </w:tc>
    </w:tr>
    <w:tr w:rsidR="001576AF">
      <w:tc>
        <w:tcPr>
          <w:tcW w:w="5760" w:type="dxa"/>
        </w:tcPr>
        <w:p w:rsidR="001576AF" w:rsidRDefault="001576AF">
          <w:pPr>
            <w:pStyle w:val="HeaderTextRight"/>
          </w:pPr>
        </w:p>
      </w:tc>
      <w:tc>
        <w:tcPr>
          <w:tcW w:w="1552" w:type="dxa"/>
        </w:tcPr>
        <w:p w:rsidR="001576AF" w:rsidRDefault="001576AF">
          <w:pPr>
            <w:pStyle w:val="HeaderNumberRight"/>
          </w:pPr>
        </w:p>
      </w:tc>
    </w:tr>
    <w:tr w:rsidR="001576AF">
      <w:trPr>
        <w:cantSplit/>
      </w:trPr>
      <w:tc>
        <w:tcPr>
          <w:tcW w:w="7312" w:type="dxa"/>
          <w:gridSpan w:val="2"/>
        </w:tcPr>
        <w:p w:rsidR="001576AF" w:rsidRDefault="001576AF">
          <w:pPr>
            <w:pStyle w:val="HeaderSectionRight"/>
          </w:pPr>
        </w:p>
      </w:tc>
    </w:tr>
  </w:tbl>
  <w:p w:rsidR="001576AF" w:rsidRDefault="001576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1576AF">
      <w:tc>
        <w:tcPr>
          <w:tcW w:w="7263" w:type="dxa"/>
          <w:gridSpan w:val="2"/>
          <w:vAlign w:val="bottom"/>
        </w:tcPr>
        <w:p w:rsidR="001576AF" w:rsidRDefault="00D21D96">
          <w:pPr>
            <w:pStyle w:val="HeaderActNameLeft"/>
          </w:pPr>
          <w:fldSimple w:instr=" Styleref &quot;Name of Act/Reg&quot; ">
            <w:r w:rsidR="00F43BD7">
              <w:rPr>
                <w:noProof/>
              </w:rPr>
              <w:t>Redemption of Annuities Act 1909</w:t>
            </w:r>
          </w:fldSimple>
        </w:p>
      </w:tc>
    </w:tr>
    <w:tr w:rsidR="001576AF">
      <w:tc>
        <w:tcPr>
          <w:tcW w:w="1520" w:type="dxa"/>
        </w:tcPr>
        <w:p w:rsidR="001576AF" w:rsidRDefault="00D21D96">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1576AF" w:rsidRDefault="00D21D96">
          <w:pPr>
            <w:pStyle w:val="HeaderTextLeft"/>
          </w:pPr>
          <w:r>
            <w:fldChar w:fldCharType="begin"/>
          </w:r>
          <w:r>
            <w:instrText xml:space="preserve"> STYLEREF CharPartText </w:instrText>
          </w:r>
          <w:r>
            <w:fldChar w:fldCharType="end"/>
          </w:r>
        </w:p>
      </w:tc>
    </w:tr>
    <w:tr w:rsidR="001576AF">
      <w:tc>
        <w:tcPr>
          <w:tcW w:w="1520" w:type="dxa"/>
        </w:tcPr>
        <w:p w:rsidR="001576AF" w:rsidRDefault="00D21D96">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1576AF" w:rsidRDefault="00D21D96">
          <w:pPr>
            <w:pStyle w:val="HeaderTextLeft"/>
          </w:pPr>
          <w:r>
            <w:fldChar w:fldCharType="begin"/>
          </w:r>
          <w:r>
            <w:instrText xml:space="preserve"> STYLEREF CharDivText </w:instrText>
          </w:r>
          <w:r>
            <w:fldChar w:fldCharType="end"/>
          </w:r>
        </w:p>
      </w:tc>
    </w:tr>
    <w:tr w:rsidR="001576AF">
      <w:tc>
        <w:tcPr>
          <w:tcW w:w="7263" w:type="dxa"/>
          <w:gridSpan w:val="2"/>
        </w:tcPr>
        <w:p w:rsidR="001576AF" w:rsidRDefault="00D21D96">
          <w:pPr>
            <w:pStyle w:val="HeaderSectionLeft"/>
          </w:pPr>
          <w:r>
            <w:t xml:space="preserve">s. </w:t>
          </w:r>
          <w:fldSimple w:instr=" styleref CharSectno ">
            <w:r w:rsidR="00F43BD7">
              <w:rPr>
                <w:noProof/>
              </w:rPr>
              <w:t>1</w:t>
            </w:r>
          </w:fldSimple>
        </w:p>
      </w:tc>
    </w:tr>
  </w:tbl>
  <w:p w:rsidR="001576AF" w:rsidRDefault="001576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1576AF">
      <w:tc>
        <w:tcPr>
          <w:tcW w:w="7263" w:type="dxa"/>
          <w:gridSpan w:val="2"/>
          <w:vAlign w:val="bottom"/>
        </w:tcPr>
        <w:p w:rsidR="001576AF" w:rsidRDefault="00D21D96">
          <w:pPr>
            <w:pStyle w:val="HeaderActNameRight"/>
            <w:ind w:right="17"/>
          </w:pPr>
          <w:fldSimple w:instr=" Styleref &quot;Name of Act/Reg&quot; ">
            <w:r w:rsidR="00F43BD7">
              <w:rPr>
                <w:noProof/>
              </w:rPr>
              <w:t>Redemption of Annuities Act 1909</w:t>
            </w:r>
          </w:fldSimple>
        </w:p>
      </w:tc>
    </w:tr>
    <w:tr w:rsidR="001576AF">
      <w:tc>
        <w:tcPr>
          <w:tcW w:w="5742" w:type="dxa"/>
          <w:vAlign w:val="bottom"/>
        </w:tcPr>
        <w:p w:rsidR="001576AF" w:rsidRDefault="00D21D96">
          <w:pPr>
            <w:pStyle w:val="HeaderTextRight"/>
          </w:pPr>
          <w:r>
            <w:fldChar w:fldCharType="begin"/>
          </w:r>
          <w:r>
            <w:instrText xml:space="preserve"> STYLEREF CharPartText </w:instrText>
          </w:r>
          <w:r>
            <w:fldChar w:fldCharType="end"/>
          </w:r>
        </w:p>
      </w:tc>
      <w:tc>
        <w:tcPr>
          <w:tcW w:w="1521" w:type="dxa"/>
        </w:tcPr>
        <w:p w:rsidR="001576AF" w:rsidRDefault="00D21D96">
          <w:pPr>
            <w:pStyle w:val="HeaderNumberRight"/>
            <w:ind w:right="17"/>
          </w:pPr>
          <w:r>
            <w:fldChar w:fldCharType="begin"/>
          </w:r>
          <w:r>
            <w:instrText xml:space="preserve"> STYLEREF CharPartNo </w:instrText>
          </w:r>
          <w:r>
            <w:fldChar w:fldCharType="end"/>
          </w:r>
        </w:p>
      </w:tc>
    </w:tr>
    <w:tr w:rsidR="001576AF">
      <w:tc>
        <w:tcPr>
          <w:tcW w:w="5742" w:type="dxa"/>
          <w:vAlign w:val="bottom"/>
        </w:tcPr>
        <w:p w:rsidR="001576AF" w:rsidRDefault="00D21D96">
          <w:pPr>
            <w:pStyle w:val="HeaderTextRight"/>
          </w:pPr>
          <w:r>
            <w:fldChar w:fldCharType="begin"/>
          </w:r>
          <w:r>
            <w:instrText xml:space="preserve"> STYLEREF CharDivText </w:instrText>
          </w:r>
          <w:r>
            <w:fldChar w:fldCharType="end"/>
          </w:r>
        </w:p>
      </w:tc>
      <w:tc>
        <w:tcPr>
          <w:tcW w:w="1521" w:type="dxa"/>
        </w:tcPr>
        <w:p w:rsidR="001576AF" w:rsidRDefault="00D21D96">
          <w:pPr>
            <w:pStyle w:val="HeaderNumberRight"/>
            <w:ind w:right="17"/>
          </w:pPr>
          <w:r>
            <w:fldChar w:fldCharType="begin"/>
          </w:r>
          <w:r>
            <w:instrText xml:space="preserve"> STYLEREF CharDivNo </w:instrText>
          </w:r>
          <w:r>
            <w:fldChar w:fldCharType="end"/>
          </w:r>
        </w:p>
      </w:tc>
    </w:tr>
    <w:tr w:rsidR="001576AF">
      <w:tc>
        <w:tcPr>
          <w:tcW w:w="7263" w:type="dxa"/>
          <w:gridSpan w:val="2"/>
        </w:tcPr>
        <w:p w:rsidR="001576AF" w:rsidRDefault="00D21D96">
          <w:pPr>
            <w:pStyle w:val="HeaderSectionRight"/>
            <w:ind w:right="17"/>
          </w:pPr>
          <w:r>
            <w:t xml:space="preserve">s. </w:t>
          </w:r>
          <w:fldSimple w:instr=" styleref CharSectno ">
            <w:r w:rsidR="00F43BD7">
              <w:rPr>
                <w:noProof/>
              </w:rPr>
              <w:t>1</w:t>
            </w:r>
          </w:fldSimple>
        </w:p>
      </w:tc>
    </w:tr>
  </w:tbl>
  <w:p w:rsidR="001576AF" w:rsidRDefault="001576A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76AF">
      <w:tc>
        <w:tcPr>
          <w:tcW w:w="7312" w:type="dxa"/>
          <w:gridSpan w:val="2"/>
          <w:vAlign w:val="bottom"/>
        </w:tcPr>
        <w:p w:rsidR="001576AF" w:rsidRDefault="00D21D96">
          <w:pPr>
            <w:pStyle w:val="HeaderActNameLeft"/>
          </w:pPr>
          <w:fldSimple w:instr=" Styleref &quot;Name of Act/Reg&quot; ">
            <w:r w:rsidR="00F43BD7">
              <w:rPr>
                <w:noProof/>
              </w:rPr>
              <w:t>Redemption of Annuities Act 1909</w:t>
            </w:r>
          </w:fldSimple>
        </w:p>
      </w:tc>
    </w:tr>
    <w:tr w:rsidR="001576AF">
      <w:tc>
        <w:tcPr>
          <w:tcW w:w="1548" w:type="dxa"/>
          <w:vAlign w:val="bottom"/>
        </w:tcPr>
        <w:p w:rsidR="001576AF" w:rsidRDefault="001576AF">
          <w:pPr>
            <w:pStyle w:val="HeaderNumberLeft"/>
          </w:pPr>
        </w:p>
      </w:tc>
      <w:tc>
        <w:tcPr>
          <w:tcW w:w="5764" w:type="dxa"/>
          <w:vAlign w:val="bottom"/>
        </w:tcPr>
        <w:p w:rsidR="001576AF" w:rsidRDefault="001576AF">
          <w:pPr>
            <w:pStyle w:val="HeaderTextLeft"/>
          </w:pPr>
        </w:p>
      </w:tc>
    </w:tr>
    <w:tr w:rsidR="001576AF">
      <w:tc>
        <w:tcPr>
          <w:tcW w:w="1548" w:type="dxa"/>
          <w:vAlign w:val="bottom"/>
        </w:tcPr>
        <w:p w:rsidR="001576AF" w:rsidRDefault="001576AF">
          <w:pPr>
            <w:pStyle w:val="HeaderNumberLeft"/>
          </w:pPr>
        </w:p>
      </w:tc>
      <w:tc>
        <w:tcPr>
          <w:tcW w:w="5764" w:type="dxa"/>
          <w:vAlign w:val="bottom"/>
        </w:tcPr>
        <w:p w:rsidR="001576AF" w:rsidRDefault="001576AF">
          <w:pPr>
            <w:pStyle w:val="HeaderTextLeft"/>
          </w:pPr>
        </w:p>
      </w:tc>
    </w:tr>
    <w:tr w:rsidR="001576AF">
      <w:tc>
        <w:tcPr>
          <w:tcW w:w="7312" w:type="dxa"/>
          <w:gridSpan w:val="2"/>
          <w:vAlign w:val="bottom"/>
        </w:tcPr>
        <w:p w:rsidR="001576AF" w:rsidRDefault="001576AF">
          <w:pPr>
            <w:pStyle w:val="HeaderSectionLeft"/>
          </w:pPr>
        </w:p>
      </w:tc>
    </w:tr>
  </w:tbl>
  <w:p w:rsidR="001576AF" w:rsidRDefault="001576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76AF">
      <w:trPr>
        <w:cantSplit/>
      </w:trPr>
      <w:tc>
        <w:tcPr>
          <w:tcW w:w="7312" w:type="dxa"/>
          <w:gridSpan w:val="2"/>
        </w:tcPr>
        <w:p w:rsidR="001576AF" w:rsidRDefault="00D21D96">
          <w:pPr>
            <w:pStyle w:val="HeaderActNameRight"/>
          </w:pPr>
          <w:fldSimple w:instr=" Styleref &quot;Name of Act/Reg&quot; ">
            <w:r w:rsidR="00F43BD7">
              <w:rPr>
                <w:noProof/>
              </w:rPr>
              <w:t>Redemption of Annuities Act 1909</w:t>
            </w:r>
          </w:fldSimple>
        </w:p>
      </w:tc>
    </w:tr>
    <w:tr w:rsidR="001576AF">
      <w:tc>
        <w:tcPr>
          <w:tcW w:w="5760" w:type="dxa"/>
        </w:tcPr>
        <w:p w:rsidR="001576AF" w:rsidRDefault="001576AF">
          <w:pPr>
            <w:pStyle w:val="HeaderTextRight"/>
          </w:pPr>
        </w:p>
      </w:tc>
      <w:tc>
        <w:tcPr>
          <w:tcW w:w="1552" w:type="dxa"/>
        </w:tcPr>
        <w:p w:rsidR="001576AF" w:rsidRDefault="001576AF">
          <w:pPr>
            <w:pStyle w:val="HeaderNumberRight"/>
          </w:pPr>
        </w:p>
      </w:tc>
    </w:tr>
    <w:tr w:rsidR="001576AF">
      <w:tc>
        <w:tcPr>
          <w:tcW w:w="5760" w:type="dxa"/>
        </w:tcPr>
        <w:p w:rsidR="001576AF" w:rsidRDefault="001576AF">
          <w:pPr>
            <w:pStyle w:val="HeaderTextRight"/>
          </w:pPr>
        </w:p>
      </w:tc>
      <w:tc>
        <w:tcPr>
          <w:tcW w:w="1552" w:type="dxa"/>
        </w:tcPr>
        <w:p w:rsidR="001576AF" w:rsidRDefault="001576AF">
          <w:pPr>
            <w:pStyle w:val="HeaderNumberRight"/>
          </w:pPr>
        </w:p>
      </w:tc>
    </w:tr>
    <w:tr w:rsidR="001576AF">
      <w:trPr>
        <w:cantSplit/>
      </w:trPr>
      <w:tc>
        <w:tcPr>
          <w:tcW w:w="7312" w:type="dxa"/>
          <w:gridSpan w:val="2"/>
        </w:tcPr>
        <w:p w:rsidR="001576AF" w:rsidRDefault="001576AF">
          <w:pPr>
            <w:pStyle w:val="HeaderSectionRight"/>
          </w:pPr>
        </w:p>
      </w:tc>
    </w:tr>
  </w:tbl>
  <w:p w:rsidR="001576AF" w:rsidRDefault="001576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D21D96">
    <w:pPr>
      <w:pStyle w:val="headerpartodd"/>
      <w:ind w:left="0" w:firstLine="0"/>
      <w:rPr>
        <w:i/>
      </w:rPr>
    </w:pPr>
    <w:r>
      <w:rPr>
        <w:i/>
      </w:rPr>
      <w:fldChar w:fldCharType="begin"/>
    </w:r>
    <w:r>
      <w:rPr>
        <w:i/>
      </w:rPr>
      <w:instrText xml:space="preserve"> Styleref "Name of Act/Reg" </w:instrText>
    </w:r>
    <w:r>
      <w:rPr>
        <w:i/>
      </w:rPr>
      <w:fldChar w:fldCharType="separate"/>
    </w:r>
    <w:r w:rsidR="00F43BD7">
      <w:rPr>
        <w:i/>
        <w:noProof/>
      </w:rPr>
      <w:t>Redemption of Annuities Act 1909</w:t>
    </w:r>
    <w:r>
      <w:rPr>
        <w:i/>
      </w:rPr>
      <w:fldChar w:fldCharType="end"/>
    </w:r>
  </w:p>
  <w:p w:rsidR="001576AF" w:rsidRDefault="001576AF">
    <w:pPr>
      <w:pStyle w:val="headerpartodd"/>
      <w:ind w:left="0" w:firstLine="0"/>
      <w:rPr>
        <w:b w:val="0"/>
        <w:i/>
      </w:rPr>
    </w:pPr>
  </w:p>
  <w:p w:rsidR="001576AF" w:rsidRDefault="001576AF">
    <w:pPr>
      <w:pStyle w:val="headerpart"/>
    </w:pPr>
  </w:p>
  <w:p w:rsidR="001576AF" w:rsidRDefault="001576AF">
    <w:pPr>
      <w:pStyle w:val="headerpart"/>
    </w:pPr>
  </w:p>
  <w:p w:rsidR="001576AF" w:rsidRDefault="001576AF">
    <w:pPr>
      <w:pBdr>
        <w:bottom w:val="single" w:sz="6" w:space="1" w:color="auto"/>
      </w:pBdr>
      <w:rPr>
        <w:b/>
      </w:rPr>
    </w:pPr>
  </w:p>
  <w:p w:rsidR="001576AF" w:rsidRDefault="001576A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D21D96">
    <w:pPr>
      <w:pStyle w:val="headerpartodd"/>
      <w:ind w:left="0" w:firstLine="0"/>
      <w:jc w:val="right"/>
      <w:rPr>
        <w:i/>
      </w:rPr>
    </w:pPr>
    <w:r>
      <w:rPr>
        <w:i/>
      </w:rPr>
      <w:fldChar w:fldCharType="begin"/>
    </w:r>
    <w:r>
      <w:rPr>
        <w:i/>
      </w:rPr>
      <w:instrText xml:space="preserve"> Styleref "Name of Act/Reg" </w:instrText>
    </w:r>
    <w:r>
      <w:rPr>
        <w:i/>
      </w:rPr>
      <w:fldChar w:fldCharType="separate"/>
    </w:r>
    <w:r w:rsidR="00F43BD7">
      <w:rPr>
        <w:i/>
        <w:noProof/>
      </w:rPr>
      <w:t>Redemption of Annuities Act 1909</w:t>
    </w:r>
    <w:r>
      <w:rPr>
        <w:i/>
      </w:rPr>
      <w:fldChar w:fldCharType="end"/>
    </w:r>
  </w:p>
  <w:p w:rsidR="001576AF" w:rsidRDefault="001576AF">
    <w:pPr>
      <w:pStyle w:val="headerpartodd"/>
      <w:ind w:left="0" w:firstLine="0"/>
      <w:jc w:val="right"/>
      <w:rPr>
        <w:b w:val="0"/>
        <w:i/>
      </w:rPr>
    </w:pPr>
  </w:p>
  <w:p w:rsidR="001576AF" w:rsidRDefault="001576AF">
    <w:pPr>
      <w:pStyle w:val="headerpart"/>
      <w:jc w:val="right"/>
    </w:pPr>
  </w:p>
  <w:p w:rsidR="001576AF" w:rsidRDefault="001576AF">
    <w:pPr>
      <w:pStyle w:val="headerpart"/>
      <w:jc w:val="right"/>
    </w:pPr>
  </w:p>
  <w:p w:rsidR="001576AF" w:rsidRDefault="001576AF">
    <w:pPr>
      <w:pBdr>
        <w:bottom w:val="single" w:sz="6" w:space="1" w:color="auto"/>
      </w:pBdr>
      <w:jc w:val="right"/>
      <w:rPr>
        <w:b/>
      </w:rPr>
    </w:pPr>
  </w:p>
  <w:p w:rsidR="001576AF" w:rsidRDefault="001576A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F" w:rsidRDefault="001576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D96"/>
    <w:rsid w:val="001576AF"/>
    <w:rsid w:val="00391185"/>
    <w:rsid w:val="00BE063C"/>
    <w:rsid w:val="00D21D96"/>
    <w:rsid w:val="00F43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972</Words>
  <Characters>4531</Characters>
  <Application>Microsoft Office Word</Application>
  <DocSecurity>0</DocSecurity>
  <Lines>161</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5433</CharactersWithSpaces>
  <SharedDoc>false</SharedDoc>
  <HLinks>
    <vt:vector size="12" baseType="variant">
      <vt:variant>
        <vt:i4>3014716</vt:i4>
      </vt:variant>
      <vt:variant>
        <vt:i4>1711</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1909 - 01-a0-02</dc:title>
  <dc:subject/>
  <dc:creator>Gilbert CHow</dc:creator>
  <cp:keywords/>
  <cp:lastModifiedBy>svcMRProcess</cp:lastModifiedBy>
  <cp:revision>4</cp:revision>
  <cp:lastPrinted>2005-02-24T07:09:00Z</cp:lastPrinted>
  <dcterms:created xsi:type="dcterms:W3CDTF">2013-02-20T06:58:00Z</dcterms:created>
  <dcterms:modified xsi:type="dcterms:W3CDTF">2013-02-20T06:58:00Z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20050304</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AsAtDate">
    <vt:lpwstr>04 Mar 2005</vt:lpwstr>
  </property>
  <property fmtid="{D5CDD505-2E9C-101B-9397-08002B2CF9AE}" pid="8" name="Suffix">
    <vt:lpwstr>01-a0-02</vt:lpwstr>
  </property>
</Properties>
</file>