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Deeds Act 1856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Application of Act</w:t>
      </w:r>
      <w:r>
        <w:rPr>
          <w:noProof/>
        </w:rPr>
        <w:tab/>
      </w:r>
      <w:r>
        <w:rPr>
          <w:noProof/>
        </w:rPr>
        <w:fldChar w:fldCharType="begin"/>
      </w:r>
      <w:r>
        <w:rPr>
          <w:noProof/>
        </w:rPr>
        <w:instrText xml:space="preserve"> PAGEREF _Toc101780913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Office</w:t>
      </w:r>
      <w:r>
        <w:rPr>
          <w:noProof/>
        </w:rPr>
        <w:tab/>
      </w:r>
      <w:r>
        <w:rPr>
          <w:noProof/>
        </w:rPr>
        <w:fldChar w:fldCharType="begin"/>
      </w:r>
      <w:r>
        <w:rPr>
          <w:noProof/>
        </w:rPr>
        <w:instrText xml:space="preserve"> PAGEREF _Toc101780914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2A</w:t>
      </w:r>
      <w:r>
        <w:rPr>
          <w:noProof/>
          <w:snapToGrid w:val="0"/>
          <w:szCs w:val="24"/>
        </w:rPr>
        <w:t>.</w:t>
      </w:r>
      <w:r>
        <w:rPr>
          <w:noProof/>
          <w:sz w:val="24"/>
          <w:szCs w:val="24"/>
        </w:rPr>
        <w:tab/>
      </w:r>
      <w:r>
        <w:rPr>
          <w:noProof/>
          <w:snapToGrid w:val="0"/>
          <w:szCs w:val="24"/>
        </w:rPr>
        <w:t>Assistant Registrar of Deeds and Transfers</w:t>
      </w:r>
      <w:r>
        <w:rPr>
          <w:noProof/>
        </w:rPr>
        <w:tab/>
      </w:r>
      <w:r>
        <w:rPr>
          <w:noProof/>
        </w:rPr>
        <w:fldChar w:fldCharType="begin"/>
      </w:r>
      <w:r>
        <w:rPr>
          <w:noProof/>
        </w:rPr>
        <w:instrText xml:space="preserve"> PAGEREF _Toc101780915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Priority according to date of registration</w:t>
      </w:r>
      <w:r>
        <w:rPr>
          <w:noProof/>
        </w:rPr>
        <w:tab/>
      </w:r>
      <w:r>
        <w:rPr>
          <w:noProof/>
        </w:rPr>
        <w:fldChar w:fldCharType="begin"/>
      </w:r>
      <w:r>
        <w:rPr>
          <w:noProof/>
        </w:rPr>
        <w:instrText xml:space="preserve"> PAGEREF _Toc101780916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Times for registration</w:t>
      </w:r>
      <w:r>
        <w:rPr>
          <w:noProof/>
        </w:rPr>
        <w:tab/>
      </w:r>
      <w:r>
        <w:rPr>
          <w:noProof/>
        </w:rPr>
        <w:fldChar w:fldCharType="begin"/>
      </w:r>
      <w:r>
        <w:rPr>
          <w:noProof/>
        </w:rPr>
        <w:instrText xml:space="preserve"> PAGEREF _Toc101780917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Purchaser not disturbed by suppressed will if unregistered</w:t>
      </w:r>
      <w:r>
        <w:rPr>
          <w:noProof/>
        </w:rPr>
        <w:tab/>
      </w:r>
      <w:r>
        <w:rPr>
          <w:noProof/>
        </w:rPr>
        <w:fldChar w:fldCharType="begin"/>
      </w:r>
      <w:r>
        <w:rPr>
          <w:noProof/>
        </w:rPr>
        <w:instrText xml:space="preserve"> PAGEREF _Toc101780918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Memorial for registration</w:t>
      </w:r>
      <w:r>
        <w:rPr>
          <w:noProof/>
        </w:rPr>
        <w:tab/>
      </w:r>
      <w:r>
        <w:rPr>
          <w:noProof/>
        </w:rPr>
        <w:fldChar w:fldCharType="begin"/>
      </w:r>
      <w:r>
        <w:rPr>
          <w:noProof/>
        </w:rPr>
        <w:instrText xml:space="preserve"> PAGEREF _Toc101780919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Claimant's signature to affidavit authorises registration</w:t>
      </w:r>
      <w:r>
        <w:rPr>
          <w:noProof/>
        </w:rPr>
        <w:tab/>
      </w:r>
      <w:r>
        <w:rPr>
          <w:noProof/>
        </w:rPr>
        <w:fldChar w:fldCharType="begin"/>
      </w:r>
      <w:r>
        <w:rPr>
          <w:noProof/>
        </w:rPr>
        <w:instrText xml:space="preserve"> PAGEREF _Toc101780920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Memorial to contain the names, etc., of all the parties, and the pecuniary consideration</w:t>
      </w:r>
      <w:r>
        <w:rPr>
          <w:noProof/>
        </w:rPr>
        <w:tab/>
      </w:r>
      <w:r>
        <w:rPr>
          <w:noProof/>
        </w:rPr>
        <w:fldChar w:fldCharType="begin"/>
      </w:r>
      <w:r>
        <w:rPr>
          <w:noProof/>
        </w:rPr>
        <w:instrText xml:space="preserve"> PAGEREF _Toc101780921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Order of time</w:t>
      </w:r>
      <w:r>
        <w:rPr>
          <w:noProof/>
        </w:rPr>
        <w:tab/>
      </w:r>
      <w:r>
        <w:rPr>
          <w:noProof/>
        </w:rPr>
        <w:fldChar w:fldCharType="begin"/>
      </w:r>
      <w:r>
        <w:rPr>
          <w:noProof/>
        </w:rPr>
        <w:instrText xml:space="preserve"> PAGEREF _Toc101780922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Memorials to be registered in succession, as numbered in a book kept by Registrar, who shall also keep an index of places and of names of parties to deed, and of plaintiff and defendant in judgments</w:t>
      </w:r>
      <w:r>
        <w:rPr>
          <w:noProof/>
        </w:rPr>
        <w:tab/>
      </w:r>
      <w:r>
        <w:rPr>
          <w:noProof/>
        </w:rPr>
        <w:fldChar w:fldCharType="begin"/>
      </w:r>
      <w:r>
        <w:rPr>
          <w:noProof/>
        </w:rPr>
        <w:instrText xml:space="preserve"> PAGEREF _Toc101780923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Mortgages and judgments</w:t>
      </w:r>
      <w:r>
        <w:rPr>
          <w:noProof/>
        </w:rPr>
        <w:tab/>
      </w:r>
      <w:r>
        <w:rPr>
          <w:noProof/>
        </w:rPr>
        <w:fldChar w:fldCharType="begin"/>
      </w:r>
      <w:r>
        <w:rPr>
          <w:noProof/>
        </w:rPr>
        <w:instrText xml:space="preserve"> PAGEREF _Toc101780924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Contents of certificate</w:t>
      </w:r>
      <w:r>
        <w:rPr>
          <w:noProof/>
        </w:rPr>
        <w:tab/>
      </w:r>
      <w:r>
        <w:rPr>
          <w:noProof/>
        </w:rPr>
        <w:fldChar w:fldCharType="begin"/>
      </w:r>
      <w:r>
        <w:rPr>
          <w:noProof/>
        </w:rPr>
        <w:instrText xml:space="preserve"> PAGEREF _Toc101780925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Anyone may deposit for safe custody, any deed or will</w:t>
      </w:r>
      <w:r>
        <w:rPr>
          <w:noProof/>
        </w:rPr>
        <w:tab/>
      </w:r>
      <w:r>
        <w:rPr>
          <w:noProof/>
        </w:rPr>
        <w:fldChar w:fldCharType="begin"/>
      </w:r>
      <w:r>
        <w:rPr>
          <w:noProof/>
        </w:rPr>
        <w:instrText xml:space="preserve"> PAGEREF _Toc101780926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Enrolment</w:t>
      </w:r>
      <w:r>
        <w:rPr>
          <w:noProof/>
        </w:rPr>
        <w:tab/>
      </w:r>
      <w:r>
        <w:rPr>
          <w:noProof/>
        </w:rPr>
        <w:fldChar w:fldCharType="begin"/>
      </w:r>
      <w:r>
        <w:rPr>
          <w:noProof/>
        </w:rPr>
        <w:instrText xml:space="preserve"> PAGEREF _Toc101780927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Lost instrument</w:t>
      </w:r>
      <w:r>
        <w:rPr>
          <w:noProof/>
        </w:rPr>
        <w:tab/>
      </w:r>
      <w:r>
        <w:rPr>
          <w:noProof/>
        </w:rPr>
        <w:fldChar w:fldCharType="begin"/>
      </w:r>
      <w:r>
        <w:rPr>
          <w:noProof/>
        </w:rPr>
        <w:instrText xml:space="preserve"> PAGEREF _Toc101780928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Prior registrations even if informal evidence of facts and circumstances</w:t>
      </w:r>
      <w:r>
        <w:rPr>
          <w:noProof/>
        </w:rPr>
        <w:tab/>
      </w:r>
      <w:r>
        <w:rPr>
          <w:noProof/>
        </w:rPr>
        <w:fldChar w:fldCharType="begin"/>
      </w:r>
      <w:r>
        <w:rPr>
          <w:noProof/>
        </w:rPr>
        <w:instrText xml:space="preserve"> PAGEREF _Toc101780929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Court may cancel a false or fraudulent registration</w:t>
      </w:r>
      <w:r>
        <w:rPr>
          <w:noProof/>
        </w:rPr>
        <w:tab/>
      </w:r>
      <w:r>
        <w:rPr>
          <w:noProof/>
        </w:rPr>
        <w:fldChar w:fldCharType="begin"/>
      </w:r>
      <w:r>
        <w:rPr>
          <w:noProof/>
        </w:rPr>
        <w:instrText xml:space="preserve"> PAGEREF _Toc101780930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Mistake or omission, if not wilful, may be rectified by Court</w:t>
      </w:r>
      <w:r>
        <w:rPr>
          <w:noProof/>
        </w:rPr>
        <w:tab/>
      </w:r>
      <w:r>
        <w:rPr>
          <w:noProof/>
        </w:rPr>
        <w:fldChar w:fldCharType="begin"/>
      </w:r>
      <w:r>
        <w:rPr>
          <w:noProof/>
        </w:rPr>
        <w:instrText xml:space="preserve"> PAGEREF _Toc101780931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_Toc101780932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_Toc101780933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lastRenderedPageBreak/>
        <w:t>25</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_Toc101780934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_Toc101780936 \h </w:instrText>
      </w:r>
      <w:r>
        <w:rPr>
          <w:noProof/>
        </w:rPr>
      </w:r>
      <w:r>
        <w:rPr>
          <w:noProof/>
        </w:rPr>
        <w:fldChar w:fldCharType="separate"/>
      </w:r>
      <w:r>
        <w:rPr>
          <w:noProof/>
        </w:rPr>
        <w:t>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101780913"/>
      <w:bookmarkStart w:id="2" w:name="_Toc61168576"/>
      <w:bookmarkStart w:id="3" w:name="_Toc67886637"/>
      <w:bookmarkStart w:id="4" w:name="_Toc71097015"/>
      <w:r>
        <w:rPr>
          <w:rStyle w:val="CharSectno"/>
        </w:rPr>
        <w:t>1</w:t>
      </w:r>
      <w:r>
        <w:t>.</w:t>
      </w:r>
      <w:r>
        <w:tab/>
        <w:t>Application of Act</w:t>
      </w:r>
      <w:bookmarkEnd w:id="1"/>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5" w:name="_Toc101780914"/>
      <w:r>
        <w:rPr>
          <w:rStyle w:val="CharSectno"/>
        </w:rPr>
        <w:t>2</w:t>
      </w:r>
      <w:r>
        <w:rPr>
          <w:snapToGrid w:val="0"/>
        </w:rPr>
        <w:t>.</w:t>
      </w:r>
      <w:r>
        <w:rPr>
          <w:snapToGrid w:val="0"/>
        </w:rPr>
        <w:tab/>
        <w:t>Office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That there shall be maintained as heretofore at Perth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person holding the appointment of Registrar of Deeds and Transfers at the time of the passing of this Act shall continue to be Registrar of the aforesaid office under this Act, and that every person appointed to the office of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pPr>
      <w:r>
        <w:tab/>
        <w:t xml:space="preserve">[Section 2 amended by No. 17 of 1974 s. 3 and 9.] </w:t>
      </w:r>
    </w:p>
    <w:p>
      <w:pPr>
        <w:pStyle w:val="Heading5"/>
        <w:rPr>
          <w:snapToGrid w:val="0"/>
        </w:rPr>
      </w:pPr>
      <w:bookmarkStart w:id="6" w:name="_Toc61168577"/>
      <w:bookmarkStart w:id="7" w:name="_Toc67886638"/>
      <w:bookmarkStart w:id="8" w:name="_Toc71097016"/>
      <w:bookmarkStart w:id="9" w:name="_Toc101780915"/>
      <w:r>
        <w:rPr>
          <w:rStyle w:val="CharSectno"/>
        </w:rPr>
        <w:t>2A</w:t>
      </w:r>
      <w:r>
        <w:rPr>
          <w:snapToGrid w:val="0"/>
        </w:rPr>
        <w:t>.</w:t>
      </w:r>
      <w:r>
        <w:rPr>
          <w:snapToGrid w:val="0"/>
        </w:rPr>
        <w:tab/>
        <w:t>Assistant Registrar of Deeds and Transfers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That all such persons as are or have been appointed to be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person holding the appointment of Registrar of Deeds and Transfers may be lawfully done or signed by an assistant registrar of deeds and transfers.</w:t>
      </w:r>
    </w:p>
    <w:p>
      <w:pPr>
        <w:pStyle w:val="Footnotesection"/>
      </w:pPr>
      <w:r>
        <w:tab/>
        <w:t xml:space="preserve">[Section 2A inserted by No. 17 of 1974 s. 4.] </w:t>
      </w:r>
    </w:p>
    <w:p>
      <w:pPr>
        <w:pStyle w:val="Heading5"/>
        <w:rPr>
          <w:snapToGrid w:val="0"/>
        </w:rPr>
      </w:pPr>
      <w:bookmarkStart w:id="10" w:name="_Toc61168578"/>
      <w:bookmarkStart w:id="11" w:name="_Toc67886639"/>
      <w:bookmarkStart w:id="12" w:name="_Toc71097017"/>
      <w:bookmarkStart w:id="13" w:name="_Toc101780916"/>
      <w:r>
        <w:rPr>
          <w:rStyle w:val="CharSectno"/>
        </w:rPr>
        <w:t>3</w:t>
      </w:r>
      <w:r>
        <w:rPr>
          <w:snapToGrid w:val="0"/>
        </w:rPr>
        <w:t>.</w:t>
      </w:r>
      <w:r>
        <w:rPr>
          <w:snapToGrid w:val="0"/>
        </w:rPr>
        <w:tab/>
        <w:t>Priority according to date of registration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14" w:name="_Toc61168579"/>
      <w:bookmarkStart w:id="15" w:name="_Toc67886640"/>
      <w:bookmarkStart w:id="16" w:name="_Toc71097018"/>
      <w:bookmarkStart w:id="17" w:name="_Toc101780917"/>
      <w:r>
        <w:rPr>
          <w:rStyle w:val="CharSectno"/>
        </w:rPr>
        <w:t>4</w:t>
      </w:r>
      <w:r>
        <w:rPr>
          <w:snapToGrid w:val="0"/>
        </w:rPr>
        <w:t>.</w:t>
      </w:r>
      <w:r>
        <w:rPr>
          <w:snapToGrid w:val="0"/>
        </w:rPr>
        <w:tab/>
        <w:t>Times for registration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18" w:name="_Toc61168580"/>
      <w:bookmarkStart w:id="19" w:name="_Toc67886641"/>
      <w:bookmarkStart w:id="20" w:name="_Toc71097019"/>
      <w:bookmarkStart w:id="21" w:name="_Toc101780918"/>
      <w:r>
        <w:rPr>
          <w:rStyle w:val="CharSectno"/>
        </w:rPr>
        <w:t>5</w:t>
      </w:r>
      <w:r>
        <w:rPr>
          <w:snapToGrid w:val="0"/>
        </w:rPr>
        <w:t>.</w:t>
      </w:r>
      <w:r>
        <w:rPr>
          <w:snapToGrid w:val="0"/>
        </w:rPr>
        <w:tab/>
        <w:t>Purchaser not disturbed by suppressed will if unregistered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2" w:name="_Toc61168581"/>
      <w:bookmarkStart w:id="23" w:name="_Toc67886642"/>
      <w:bookmarkStart w:id="24" w:name="_Toc71097020"/>
      <w:bookmarkStart w:id="25" w:name="_Toc101780919"/>
      <w:r>
        <w:rPr>
          <w:rStyle w:val="CharSectno"/>
        </w:rPr>
        <w:t>6</w:t>
      </w:r>
      <w:r>
        <w:rPr>
          <w:snapToGrid w:val="0"/>
        </w:rPr>
        <w:t>.</w:t>
      </w:r>
      <w:r>
        <w:rPr>
          <w:snapToGrid w:val="0"/>
        </w:rPr>
        <w:tab/>
        <w:t>Memorial for registration</w:t>
      </w:r>
      <w:bookmarkEnd w:id="22"/>
      <w:bookmarkEnd w:id="23"/>
      <w:bookmarkEnd w:id="24"/>
      <w:bookmarkEnd w:id="25"/>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into the Registrar's office 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w:t>
      </w:r>
    </w:p>
    <w:p>
      <w:pPr>
        <w:pStyle w:val="Heading5"/>
        <w:rPr>
          <w:snapToGrid w:val="0"/>
        </w:rPr>
      </w:pPr>
      <w:bookmarkStart w:id="26" w:name="_Toc61168582"/>
      <w:bookmarkStart w:id="27" w:name="_Toc67886643"/>
      <w:bookmarkStart w:id="28" w:name="_Toc71097021"/>
      <w:bookmarkStart w:id="29" w:name="_Toc101780920"/>
      <w:r>
        <w:rPr>
          <w:rStyle w:val="CharSectno"/>
        </w:rPr>
        <w:t>7</w:t>
      </w:r>
      <w:r>
        <w:rPr>
          <w:snapToGrid w:val="0"/>
        </w:rPr>
        <w:t>.</w:t>
      </w:r>
      <w:r>
        <w:rPr>
          <w:snapToGrid w:val="0"/>
        </w:rPr>
        <w:tab/>
        <w:t>Claimant's signature to affidavit authorises registration</w:t>
      </w:r>
      <w:bookmarkEnd w:id="26"/>
      <w:bookmarkEnd w:id="27"/>
      <w:bookmarkEnd w:id="28"/>
      <w:bookmarkEnd w:id="29"/>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0" w:name="_Toc61168583"/>
      <w:bookmarkStart w:id="31" w:name="_Toc67886644"/>
      <w:bookmarkStart w:id="32" w:name="_Toc71097022"/>
      <w:bookmarkStart w:id="33" w:name="_Toc101780921"/>
      <w:r>
        <w:rPr>
          <w:rStyle w:val="CharSectno"/>
        </w:rPr>
        <w:t>8</w:t>
      </w:r>
      <w:r>
        <w:rPr>
          <w:snapToGrid w:val="0"/>
        </w:rPr>
        <w:t>.</w:t>
      </w:r>
      <w:r>
        <w:rPr>
          <w:snapToGrid w:val="0"/>
        </w:rPr>
        <w:tab/>
        <w:t>Memorial to contain the names, etc., of all the parties, and the pecuniary consideration</w:t>
      </w:r>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34" w:name="_Toc61168584"/>
      <w:bookmarkStart w:id="35" w:name="_Toc67886645"/>
      <w:bookmarkStart w:id="36" w:name="_Toc71097023"/>
      <w:bookmarkStart w:id="37" w:name="_Toc101780922"/>
      <w:r>
        <w:rPr>
          <w:rStyle w:val="CharSectno"/>
        </w:rPr>
        <w:t>9</w:t>
      </w:r>
      <w:r>
        <w:rPr>
          <w:snapToGrid w:val="0"/>
        </w:rPr>
        <w:t>.</w:t>
      </w:r>
      <w:r>
        <w:rPr>
          <w:snapToGrid w:val="0"/>
        </w:rPr>
        <w:tab/>
        <w:t>Order of time</w:t>
      </w:r>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 in the said Registry Office;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Heading5"/>
        <w:keepNext w:val="0"/>
        <w:keepLines w:val="0"/>
        <w:rPr>
          <w:snapToGrid w:val="0"/>
        </w:rPr>
      </w:pPr>
      <w:bookmarkStart w:id="38" w:name="_Toc61168585"/>
      <w:bookmarkStart w:id="39" w:name="_Toc67886646"/>
      <w:bookmarkStart w:id="40" w:name="_Toc71097024"/>
      <w:bookmarkStart w:id="41" w:name="_Toc101780923"/>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his 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w:t>
      </w:r>
    </w:p>
    <w:p>
      <w:pPr>
        <w:pStyle w:val="Heading5"/>
        <w:rPr>
          <w:snapToGrid w:val="0"/>
        </w:rPr>
      </w:pPr>
      <w:bookmarkStart w:id="42" w:name="_Toc61168586"/>
      <w:bookmarkStart w:id="43" w:name="_Toc67886647"/>
      <w:bookmarkStart w:id="44" w:name="_Toc71097025"/>
      <w:bookmarkStart w:id="45" w:name="_Toc101780924"/>
      <w:r>
        <w:rPr>
          <w:rStyle w:val="CharSectno"/>
        </w:rPr>
        <w:t>11</w:t>
      </w:r>
      <w:r>
        <w:rPr>
          <w:snapToGrid w:val="0"/>
        </w:rPr>
        <w:t>.</w:t>
      </w:r>
      <w:r>
        <w:rPr>
          <w:snapToGrid w:val="0"/>
        </w:rPr>
        <w:tab/>
        <w:t>Mortgages and judgments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 of his office; and the said Registrar shall also make an entry thereof in his alphabetical index or indexes, referring accurately to the page of registry of such certificate.</w:t>
      </w:r>
    </w:p>
    <w:p>
      <w:pPr>
        <w:pStyle w:val="Footnotesection"/>
      </w:pPr>
      <w:r>
        <w:tab/>
        <w:t xml:space="preserve">[Section 11 amended by No. 17 of 1974 s. 9.] </w:t>
      </w:r>
    </w:p>
    <w:p>
      <w:pPr>
        <w:pStyle w:val="Heading5"/>
        <w:rPr>
          <w:snapToGrid w:val="0"/>
        </w:rPr>
      </w:pPr>
      <w:bookmarkStart w:id="46" w:name="_Toc61168587"/>
      <w:bookmarkStart w:id="47" w:name="_Toc67886648"/>
      <w:bookmarkStart w:id="48" w:name="_Toc71097026"/>
      <w:bookmarkStart w:id="49" w:name="_Toc101780925"/>
      <w:r>
        <w:rPr>
          <w:rStyle w:val="CharSectno"/>
        </w:rPr>
        <w:t>12</w:t>
      </w:r>
      <w:r>
        <w:rPr>
          <w:snapToGrid w:val="0"/>
        </w:rPr>
        <w:t>.</w:t>
      </w:r>
      <w:r>
        <w:rPr>
          <w:snapToGrid w:val="0"/>
        </w:rPr>
        <w:tab/>
        <w:t>Contents of certificate</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his office for future reference when required.</w:t>
      </w:r>
    </w:p>
    <w:p>
      <w:pPr>
        <w:pStyle w:val="Heading5"/>
        <w:rPr>
          <w:snapToGrid w:val="0"/>
        </w:rPr>
      </w:pPr>
      <w:bookmarkStart w:id="50" w:name="_Toc61168588"/>
      <w:bookmarkStart w:id="51" w:name="_Toc67886649"/>
      <w:bookmarkStart w:id="52" w:name="_Toc71097027"/>
      <w:bookmarkStart w:id="53" w:name="_Toc101780926"/>
      <w:r>
        <w:rPr>
          <w:rStyle w:val="CharSectno"/>
        </w:rPr>
        <w:t>13</w:t>
      </w:r>
      <w:r>
        <w:rPr>
          <w:snapToGrid w:val="0"/>
        </w:rPr>
        <w:t>.</w:t>
      </w:r>
      <w:r>
        <w:rPr>
          <w:snapToGrid w:val="0"/>
        </w:rPr>
        <w:tab/>
        <w:t>Anyone may deposit for safe custody, any deed or will</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That any person or persons may deposit in the said Registrar’s 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his said 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w:t>
      </w:r>
    </w:p>
    <w:p>
      <w:pPr>
        <w:pStyle w:val="Heading5"/>
        <w:rPr>
          <w:snapToGrid w:val="0"/>
        </w:rPr>
      </w:pPr>
      <w:bookmarkStart w:id="54" w:name="_Toc61168589"/>
      <w:bookmarkStart w:id="55" w:name="_Toc67886650"/>
      <w:bookmarkStart w:id="56" w:name="_Toc71097028"/>
      <w:bookmarkStart w:id="57" w:name="_Toc101780927"/>
      <w:r>
        <w:rPr>
          <w:rStyle w:val="CharSectno"/>
        </w:rPr>
        <w:t>14</w:t>
      </w:r>
      <w:r>
        <w:rPr>
          <w:snapToGrid w:val="0"/>
        </w:rPr>
        <w:t>.</w:t>
      </w:r>
      <w:r>
        <w:rPr>
          <w:snapToGrid w:val="0"/>
        </w:rPr>
        <w:tab/>
        <w:t>Enrolment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58" w:name="_Toc61168590"/>
      <w:bookmarkStart w:id="59" w:name="_Toc67886651"/>
      <w:bookmarkStart w:id="60" w:name="_Toc71097029"/>
      <w:bookmarkStart w:id="61" w:name="_Toc101780928"/>
      <w:r>
        <w:rPr>
          <w:rStyle w:val="CharSectno"/>
        </w:rPr>
        <w:t>15</w:t>
      </w:r>
      <w:r>
        <w:rPr>
          <w:snapToGrid w:val="0"/>
        </w:rPr>
        <w:t>.</w:t>
      </w:r>
      <w:r>
        <w:rPr>
          <w:snapToGrid w:val="0"/>
        </w:rPr>
        <w:tab/>
        <w:t>Lost instrument</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62" w:name="_Toc61168591"/>
      <w:bookmarkStart w:id="63" w:name="_Toc67886652"/>
      <w:bookmarkStart w:id="64" w:name="_Toc71097030"/>
      <w:bookmarkStart w:id="65" w:name="_Toc101780929"/>
      <w:r>
        <w:rPr>
          <w:rStyle w:val="CharSectno"/>
        </w:rPr>
        <w:t>16</w:t>
      </w:r>
      <w:r>
        <w:rPr>
          <w:snapToGrid w:val="0"/>
        </w:rPr>
        <w:t>.</w:t>
      </w:r>
      <w:r>
        <w:rPr>
          <w:snapToGrid w:val="0"/>
        </w:rPr>
        <w:tab/>
        <w:t>Prior registrations even if informal evidence of facts and circumstances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66" w:name="_Toc61168592"/>
      <w:bookmarkStart w:id="67" w:name="_Toc67886653"/>
      <w:bookmarkStart w:id="68" w:name="_Toc71097031"/>
      <w:bookmarkStart w:id="69" w:name="_Toc101780930"/>
      <w:r>
        <w:rPr>
          <w:rStyle w:val="CharSectno"/>
        </w:rPr>
        <w:t>19</w:t>
      </w:r>
      <w:r>
        <w:rPr>
          <w:snapToGrid w:val="0"/>
        </w:rPr>
        <w:t>.</w:t>
      </w:r>
      <w:r>
        <w:rPr>
          <w:snapToGrid w:val="0"/>
        </w:rPr>
        <w:tab/>
        <w:t>Court may cancel a false or fraudulent registration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70" w:name="_Toc61168593"/>
      <w:bookmarkStart w:id="71" w:name="_Toc67886654"/>
      <w:bookmarkStart w:id="72" w:name="_Toc71097032"/>
      <w:bookmarkStart w:id="73" w:name="_Toc101780931"/>
      <w:r>
        <w:rPr>
          <w:rStyle w:val="CharSectno"/>
        </w:rPr>
        <w:t>20</w:t>
      </w:r>
      <w:r>
        <w:rPr>
          <w:snapToGrid w:val="0"/>
        </w:rPr>
        <w:t>.</w:t>
      </w:r>
      <w:r>
        <w:rPr>
          <w:snapToGrid w:val="0"/>
        </w:rPr>
        <w:tab/>
        <w:t>Mistake or omission, if not wilful, may be rectified by Court</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74" w:name="_Toc61168594"/>
      <w:bookmarkStart w:id="75" w:name="_Toc67886655"/>
      <w:bookmarkStart w:id="76" w:name="_Toc71097033"/>
      <w:bookmarkStart w:id="77" w:name="_Toc101780932"/>
      <w:r>
        <w:rPr>
          <w:rStyle w:val="CharSectno"/>
        </w:rPr>
        <w:t>22</w:t>
      </w:r>
      <w:r>
        <w:rPr>
          <w:snapToGrid w:val="0"/>
        </w:rPr>
        <w:t>.</w:t>
      </w:r>
      <w:r>
        <w:rPr>
          <w:snapToGrid w:val="0"/>
        </w:rPr>
        <w:tab/>
        <w:t>Regulations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That it shall be lawful for the Commissioner of Titles, appointed under the </w:t>
      </w:r>
      <w:r>
        <w:rPr>
          <w:i/>
          <w:snapToGrid w:val="0"/>
        </w:rPr>
        <w:t>Transfer of Land Act 1893</w:t>
      </w:r>
      <w:r>
        <w:rPr>
          <w:snapToGrid w:val="0"/>
        </w:rPr>
        <w:t>, with the approval of the Governor, 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Footnotesection"/>
      </w:pPr>
      <w:r>
        <w:tab/>
        <w:t xml:space="preserve">[Section 22 inserted by No. 17 of 1974 s. 6.] </w:t>
      </w:r>
    </w:p>
    <w:p>
      <w:pPr>
        <w:pStyle w:val="Heading5"/>
        <w:rPr>
          <w:snapToGrid w:val="0"/>
        </w:rPr>
      </w:pPr>
      <w:bookmarkStart w:id="78" w:name="_Toc61168595"/>
      <w:bookmarkStart w:id="79" w:name="_Toc67886656"/>
      <w:bookmarkStart w:id="80" w:name="_Toc71097034"/>
      <w:bookmarkStart w:id="81" w:name="_Toc101780933"/>
      <w:r>
        <w:rPr>
          <w:rStyle w:val="CharSectno"/>
        </w:rPr>
        <w:t>22A</w:t>
      </w:r>
      <w:r>
        <w:rPr>
          <w:snapToGrid w:val="0"/>
        </w:rPr>
        <w:t>.</w:t>
      </w:r>
      <w:r>
        <w:rPr>
          <w:snapToGrid w:val="0"/>
        </w:rPr>
        <w:tab/>
        <w:t>Validation</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82" w:name="_Toc61168596"/>
      <w:bookmarkStart w:id="83" w:name="_Toc67886657"/>
      <w:bookmarkStart w:id="84" w:name="_Toc71097035"/>
      <w:bookmarkStart w:id="85" w:name="_Toc101780934"/>
      <w:r>
        <w:rPr>
          <w:rStyle w:val="CharSectno"/>
        </w:rPr>
        <w:t>25</w:t>
      </w:r>
      <w:r>
        <w:rPr>
          <w:snapToGrid w:val="0"/>
        </w:rPr>
        <w:t>.</w:t>
      </w:r>
      <w:r>
        <w:rPr>
          <w:snapToGrid w:val="0"/>
        </w:rPr>
        <w:tab/>
      </w:r>
      <w:bookmarkEnd w:id="82"/>
      <w:r>
        <w:rPr>
          <w:snapToGrid w:val="0"/>
        </w:rPr>
        <w:t>Short title</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6" w:name="_Toc71097036"/>
      <w:bookmarkStart w:id="87" w:name="_Toc101780125"/>
      <w:bookmarkStart w:id="88" w:name="_Toc101780935"/>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 w:name="_Toc67886658"/>
      <w:bookmarkStart w:id="90" w:name="_Toc71097037"/>
      <w:bookmarkStart w:id="91" w:name="_Toc101780936"/>
      <w:r>
        <w:rPr>
          <w:snapToGrid w:val="0"/>
        </w:rPr>
        <w:t>Compilation table</w:t>
      </w:r>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Borders>
              <w:bottom w:val="single" w:sz="4" w:space="0" w:color="auto"/>
            </w:tcBorders>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Borders>
              <w:bottom w:val="single" w:sz="4" w:space="0" w:color="auto"/>
            </w:tcBorders>
          </w:tcPr>
          <w:p>
            <w:pPr>
              <w:pStyle w:val="nTable"/>
              <w:spacing w:after="40"/>
              <w:rPr>
                <w:sz w:val="19"/>
              </w:rPr>
            </w:pPr>
            <w:r>
              <w:rPr>
                <w:snapToGrid w:val="0"/>
                <w:sz w:val="19"/>
                <w:lang w:val="en-US"/>
              </w:rPr>
              <w:t>59 of 2004</w:t>
            </w:r>
          </w:p>
        </w:tc>
        <w:tc>
          <w:tcPr>
            <w:tcW w:w="1134" w:type="dxa"/>
            <w:tcBorders>
              <w:bottom w:val="single" w:sz="4" w:space="0" w:color="auto"/>
            </w:tcBorders>
          </w:tcPr>
          <w:p>
            <w:pPr>
              <w:pStyle w:val="nTable"/>
              <w:spacing w:after="40"/>
              <w:rPr>
                <w:sz w:val="19"/>
              </w:rPr>
            </w:pPr>
            <w:r>
              <w:rPr>
                <w:sz w:val="19"/>
              </w:rPr>
              <w:t>23 Nov 2004</w:t>
            </w:r>
          </w:p>
        </w:tc>
        <w:tc>
          <w:tcPr>
            <w:tcW w:w="2551" w:type="dxa"/>
            <w:tcBorders>
              <w:bottom w:val="single" w:sz="4" w:space="0" w:color="auto"/>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C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EC1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BE59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468E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D212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8C1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A852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84C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105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AC4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78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16AF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58"/>
    <w:docVar w:name="WAFER_20151209115358" w:val="RemoveTrackChanges"/>
    <w:docVar w:name="WAFER_20151209115358_GUID" w:val="44a6b896-fb4f-42fc-badb-3545a0145c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4085</Words>
  <Characters>19365</Characters>
  <Application>Microsoft Office Word</Application>
  <DocSecurity>0</DocSecurity>
  <Lines>484</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1856 - 02-b0-04</dc:title>
  <dc:subject/>
  <dc:creator/>
  <cp:keywords/>
  <dc:description/>
  <cp:lastModifiedBy>svcMRProcess</cp:lastModifiedBy>
  <cp:revision>4</cp:revision>
  <cp:lastPrinted>2004-04-07T02:04:00Z</cp:lastPrinted>
  <dcterms:created xsi:type="dcterms:W3CDTF">2015-12-15T03:21:00Z</dcterms:created>
  <dcterms:modified xsi:type="dcterms:W3CDTF">2015-12-15T03:22:00Z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682</vt:i4>
  </property>
  <property fmtid="{D5CDD505-2E9C-101B-9397-08002B2CF9AE}" pid="6" name="AsAtDate">
    <vt:lpwstr>01 May 2005</vt:lpwstr>
  </property>
  <property fmtid="{D5CDD505-2E9C-101B-9397-08002B2CF9AE}" pid="7" name="Suffix">
    <vt:lpwstr>02-b0-04</vt:lpwstr>
  </property>
</Properties>
</file>