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Professional Standards Act 1997</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Act as at </w:t>
      </w:r>
      <w:r>
        <w:fldChar w:fldCharType="begin"/>
      </w:r>
      <w:r>
        <w:instrText xml:space="preserve"> DOCPROPERTY "ReprintedAsAt" \@ "d MMMM yyyy" </w:instrText>
      </w:r>
      <w:r>
        <w:fldChar w:fldCharType="separate"/>
      </w:r>
      <w:r>
        <w:t>11 June 2010</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bookmarkStart w:id="2" w:name="_MON_1148802185"/>
    <w:bookmarkEnd w:id="2"/>
    <w:bookmarkStart w:id="3" w:name="_MON_1333271787"/>
    <w:bookmarkEnd w:id="3"/>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3539976"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ind w:left="1200"/>
        <w:rPr>
          <w:sz w:val="20"/>
        </w:rPr>
      </w:pPr>
      <w:r>
        <w:rPr>
          <w:sz w:val="20"/>
        </w:rPr>
        <w:t>removed (because it was repealed or deleted from the law); or</w:t>
      </w:r>
    </w:p>
    <w:p>
      <w:pPr>
        <w:numPr>
          <w:ilvl w:val="0"/>
          <w:numId w:val="13"/>
        </w:numPr>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11 June 2010</w:t>
            </w:r>
            <w:r>
              <w:rPr>
                <w:b/>
                <w:sz w:val="22"/>
              </w:rPr>
              <w:fldChar w:fldCharType="end"/>
            </w:r>
          </w:p>
        </w:tc>
      </w:tr>
    </w:tbl>
    <w:p>
      <w:pPr>
        <w:pStyle w:val="WA"/>
        <w:spacing w:before="120"/>
      </w:pPr>
      <w:r>
        <w:t>Western Australia</w:t>
      </w:r>
    </w:p>
    <w:p>
      <w:pPr>
        <w:pStyle w:val="NameofActRegPage1"/>
        <w:spacing w:after="600"/>
      </w:pPr>
      <w:r>
        <w:fldChar w:fldCharType="begin"/>
      </w:r>
      <w:r>
        <w:instrText xml:space="preserve"> STYLEREF "Name Of Act/Reg"</w:instrText>
      </w:r>
      <w:r>
        <w:fldChar w:fldCharType="separate"/>
      </w:r>
      <w:r>
        <w:rPr>
          <w:noProof/>
        </w:rPr>
        <w:t>Professional Standards Act 1997</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_Toc263856430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_Toc263856431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this Act</w:t>
      </w:r>
      <w:r>
        <w:tab/>
      </w:r>
      <w:r>
        <w:fldChar w:fldCharType="begin"/>
      </w:r>
      <w:r>
        <w:instrText xml:space="preserve"> PAGEREF _Toc263856432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_Toc263856433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Matters to which Act does not apply</w:t>
      </w:r>
      <w:r>
        <w:tab/>
      </w:r>
      <w:r>
        <w:fldChar w:fldCharType="begin"/>
      </w:r>
      <w:r>
        <w:instrText xml:space="preserve"> PAGEREF _Toc263856434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Relationship between this Act and other written laws</w:t>
      </w:r>
      <w:r>
        <w:tab/>
      </w:r>
      <w:r>
        <w:fldChar w:fldCharType="begin"/>
      </w:r>
      <w:r>
        <w:instrText xml:space="preserve"> PAGEREF _Toc263856435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_Toc263856436 \h </w:instrText>
      </w:r>
      <w:r>
        <w:fldChar w:fldCharType="separate"/>
      </w:r>
      <w:r>
        <w:t>5</w:t>
      </w:r>
      <w:r>
        <w:fldChar w:fldCharType="end"/>
      </w:r>
    </w:p>
    <w:p>
      <w:pPr>
        <w:pStyle w:val="TOC2"/>
        <w:tabs>
          <w:tab w:val="right" w:leader="dot" w:pos="7086"/>
        </w:tabs>
        <w:rPr>
          <w:b w:val="0"/>
          <w:sz w:val="24"/>
          <w:szCs w:val="24"/>
        </w:rPr>
      </w:pPr>
      <w:r>
        <w:rPr>
          <w:szCs w:val="30"/>
        </w:rPr>
        <w:t>Part 2 — Professional Standards Council</w:t>
      </w:r>
    </w:p>
    <w:p>
      <w:pPr>
        <w:pStyle w:val="TOC4"/>
        <w:tabs>
          <w:tab w:val="right" w:leader="dot" w:pos="7086"/>
        </w:tabs>
        <w:rPr>
          <w:b w:val="0"/>
          <w:sz w:val="24"/>
          <w:szCs w:val="24"/>
        </w:rPr>
      </w:pPr>
      <w:r>
        <w:rPr>
          <w:szCs w:val="26"/>
        </w:rPr>
        <w:t>Division 1</w:t>
      </w:r>
      <w:r>
        <w:rPr>
          <w:snapToGrid w:val="0"/>
          <w:szCs w:val="26"/>
        </w:rPr>
        <w:t> — </w:t>
      </w:r>
      <w:r>
        <w:rPr>
          <w:szCs w:val="26"/>
        </w:rPr>
        <w:t>Establishment of the Council</w:t>
      </w:r>
    </w:p>
    <w:p>
      <w:pPr>
        <w:pStyle w:val="TOC8"/>
        <w:rPr>
          <w:sz w:val="24"/>
          <w:szCs w:val="24"/>
        </w:rPr>
      </w:pPr>
      <w:r>
        <w:rPr>
          <w:szCs w:val="24"/>
        </w:rPr>
        <w:t>8</w:t>
      </w:r>
      <w:r>
        <w:rPr>
          <w:snapToGrid w:val="0"/>
          <w:szCs w:val="24"/>
        </w:rPr>
        <w:t>.</w:t>
      </w:r>
      <w:r>
        <w:rPr>
          <w:snapToGrid w:val="0"/>
          <w:szCs w:val="24"/>
        </w:rPr>
        <w:tab/>
        <w:t>Council established</w:t>
      </w:r>
      <w:r>
        <w:tab/>
      </w:r>
      <w:r>
        <w:fldChar w:fldCharType="begin"/>
      </w:r>
      <w:r>
        <w:instrText xml:space="preserve"> PAGEREF _Toc263856439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Membership and procedure of the Council</w:t>
      </w:r>
    </w:p>
    <w:p>
      <w:pPr>
        <w:pStyle w:val="TOC8"/>
        <w:rPr>
          <w:sz w:val="24"/>
          <w:szCs w:val="24"/>
        </w:rPr>
      </w:pPr>
      <w:r>
        <w:rPr>
          <w:szCs w:val="24"/>
        </w:rPr>
        <w:t>9</w:t>
      </w:r>
      <w:r>
        <w:rPr>
          <w:snapToGrid w:val="0"/>
          <w:szCs w:val="24"/>
        </w:rPr>
        <w:t>.</w:t>
      </w:r>
      <w:r>
        <w:rPr>
          <w:snapToGrid w:val="0"/>
          <w:szCs w:val="24"/>
        </w:rPr>
        <w:tab/>
        <w:t>Membership of Council</w:t>
      </w:r>
      <w:r>
        <w:tab/>
      </w:r>
      <w:r>
        <w:fldChar w:fldCharType="begin"/>
      </w:r>
      <w:r>
        <w:instrText xml:space="preserve"> PAGEREF _Toc263856441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Provisions relating to members of Council</w:t>
      </w:r>
      <w:r>
        <w:tab/>
      </w:r>
      <w:r>
        <w:fldChar w:fldCharType="begin"/>
      </w:r>
      <w:r>
        <w:instrText xml:space="preserve"> PAGEREF _Toc263856442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Provisions relating to procedure of Council</w:t>
      </w:r>
      <w:r>
        <w:tab/>
      </w:r>
      <w:r>
        <w:fldChar w:fldCharType="begin"/>
      </w:r>
      <w:r>
        <w:instrText xml:space="preserve"> PAGEREF _Toc263856443 \h </w:instrText>
      </w:r>
      <w:r>
        <w:fldChar w:fldCharType="separate"/>
      </w:r>
      <w:r>
        <w:t>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Functions of the Council</w:t>
      </w:r>
    </w:p>
    <w:p>
      <w:pPr>
        <w:pStyle w:val="TOC8"/>
        <w:rPr>
          <w:sz w:val="24"/>
          <w:szCs w:val="24"/>
        </w:rPr>
      </w:pPr>
      <w:r>
        <w:rPr>
          <w:szCs w:val="24"/>
        </w:rPr>
        <w:t>12</w:t>
      </w:r>
      <w:r>
        <w:rPr>
          <w:snapToGrid w:val="0"/>
          <w:szCs w:val="24"/>
        </w:rPr>
        <w:t>.</w:t>
      </w:r>
      <w:r>
        <w:rPr>
          <w:snapToGrid w:val="0"/>
          <w:szCs w:val="24"/>
        </w:rPr>
        <w:tab/>
        <w:t>Functions of Council</w:t>
      </w:r>
      <w:r>
        <w:tab/>
      </w:r>
      <w:r>
        <w:fldChar w:fldCharType="begin"/>
      </w:r>
      <w:r>
        <w:instrText xml:space="preserve"> PAGEREF _Toc263856445 \h </w:instrText>
      </w:r>
      <w:r>
        <w:fldChar w:fldCharType="separate"/>
      </w:r>
      <w:r>
        <w:t>6</w:t>
      </w:r>
      <w:r>
        <w:fldChar w:fldCharType="end"/>
      </w:r>
    </w:p>
    <w:p>
      <w:pPr>
        <w:pStyle w:val="TOC8"/>
        <w:rPr>
          <w:sz w:val="24"/>
          <w:szCs w:val="24"/>
        </w:rPr>
      </w:pPr>
      <w:r>
        <w:rPr>
          <w:szCs w:val="24"/>
        </w:rPr>
        <w:t>12A.</w:t>
      </w:r>
      <w:r>
        <w:rPr>
          <w:szCs w:val="24"/>
        </w:rPr>
        <w:tab/>
        <w:t>Cooperation with authorities in other jurisdictions</w:t>
      </w:r>
      <w:r>
        <w:tab/>
      </w:r>
      <w:r>
        <w:fldChar w:fldCharType="begin"/>
      </w:r>
      <w:r>
        <w:instrText xml:space="preserve"> PAGEREF _Toc263856446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Requirement to supply information</w:t>
      </w:r>
      <w:r>
        <w:tab/>
      </w:r>
      <w:r>
        <w:fldChar w:fldCharType="begin"/>
      </w:r>
      <w:r>
        <w:instrText xml:space="preserve"> PAGEREF _Toc263856447 \h </w:instrText>
      </w:r>
      <w:r>
        <w:fldChar w:fldCharType="separate"/>
      </w:r>
      <w:r>
        <w:t>9</w:t>
      </w:r>
      <w:r>
        <w:fldChar w:fldCharType="end"/>
      </w:r>
    </w:p>
    <w:p>
      <w:pPr>
        <w:pStyle w:val="TOC8"/>
        <w:rPr>
          <w:sz w:val="24"/>
          <w:szCs w:val="24"/>
        </w:rPr>
      </w:pPr>
      <w:r>
        <w:rPr>
          <w:szCs w:val="24"/>
        </w:rPr>
        <w:t>13A.</w:t>
      </w:r>
      <w:r>
        <w:rPr>
          <w:szCs w:val="24"/>
        </w:rPr>
        <w:tab/>
        <w:t>Referral of complaints</w:t>
      </w:r>
      <w:r>
        <w:tab/>
      </w:r>
      <w:r>
        <w:fldChar w:fldCharType="begin"/>
      </w:r>
      <w:r>
        <w:instrText xml:space="preserve"> PAGEREF _Toc263856448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Committees of Council</w:t>
      </w:r>
      <w:r>
        <w:tab/>
      </w:r>
      <w:r>
        <w:fldChar w:fldCharType="begin"/>
      </w:r>
      <w:r>
        <w:instrText xml:space="preserve"> PAGEREF _Toc263856449 \h </w:instrText>
      </w:r>
      <w:r>
        <w:fldChar w:fldCharType="separate"/>
      </w:r>
      <w:r>
        <w:t>10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Administrative provisions</w:t>
      </w:r>
    </w:p>
    <w:p>
      <w:pPr>
        <w:pStyle w:val="TOC8"/>
        <w:rPr>
          <w:sz w:val="24"/>
          <w:szCs w:val="24"/>
        </w:rPr>
      </w:pPr>
      <w:r>
        <w:rPr>
          <w:szCs w:val="24"/>
        </w:rPr>
        <w:t>15</w:t>
      </w:r>
      <w:r>
        <w:rPr>
          <w:snapToGrid w:val="0"/>
          <w:szCs w:val="24"/>
        </w:rPr>
        <w:t>.</w:t>
      </w:r>
      <w:r>
        <w:rPr>
          <w:snapToGrid w:val="0"/>
          <w:szCs w:val="24"/>
        </w:rPr>
        <w:tab/>
        <w:t>Use of outside staff and facilities</w:t>
      </w:r>
      <w:r>
        <w:tab/>
      </w:r>
      <w:r>
        <w:fldChar w:fldCharType="begin"/>
      </w:r>
      <w:r>
        <w:instrText xml:space="preserve"> PAGEREF _Toc263856451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Funds</w:t>
      </w:r>
      <w:r>
        <w:tab/>
      </w:r>
      <w:r>
        <w:fldChar w:fldCharType="begin"/>
      </w:r>
      <w:r>
        <w:instrText xml:space="preserve"> PAGEREF _Toc263856452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_Toc263856453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Minister to have access to information</w:t>
      </w:r>
      <w:r>
        <w:tab/>
      </w:r>
      <w:r>
        <w:fldChar w:fldCharType="begin"/>
      </w:r>
      <w:r>
        <w:instrText xml:space="preserve"> PAGEREF _Toc263856454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Minister may give directions</w:t>
      </w:r>
      <w:r>
        <w:tab/>
      </w:r>
      <w:r>
        <w:fldChar w:fldCharType="begin"/>
      </w:r>
      <w:r>
        <w:instrText xml:space="preserve"> PAGEREF _Toc263856455 \h </w:instrText>
      </w:r>
      <w:r>
        <w:fldChar w:fldCharType="separate"/>
      </w:r>
      <w:r>
        <w:t>12</w:t>
      </w:r>
      <w:r>
        <w:fldChar w:fldCharType="end"/>
      </w:r>
    </w:p>
    <w:p>
      <w:pPr>
        <w:pStyle w:val="TOC2"/>
        <w:tabs>
          <w:tab w:val="right" w:leader="dot" w:pos="7086"/>
        </w:tabs>
        <w:rPr>
          <w:b w:val="0"/>
          <w:sz w:val="24"/>
          <w:szCs w:val="24"/>
        </w:rPr>
      </w:pPr>
      <w:r>
        <w:rPr>
          <w:szCs w:val="30"/>
        </w:rPr>
        <w:t>Part 3 — Limitation of liability</w:t>
      </w:r>
    </w:p>
    <w:p>
      <w:pPr>
        <w:pStyle w:val="TOC4"/>
        <w:tabs>
          <w:tab w:val="right" w:leader="dot" w:pos="7086"/>
        </w:tabs>
        <w:rPr>
          <w:b w:val="0"/>
          <w:sz w:val="24"/>
          <w:szCs w:val="24"/>
        </w:rPr>
      </w:pPr>
      <w:r>
        <w:rPr>
          <w:szCs w:val="26"/>
        </w:rPr>
        <w:t>Division 1</w:t>
      </w:r>
      <w:r>
        <w:rPr>
          <w:snapToGrid w:val="0"/>
          <w:szCs w:val="26"/>
        </w:rPr>
        <w:t> — </w:t>
      </w:r>
      <w:r>
        <w:rPr>
          <w:szCs w:val="26"/>
        </w:rPr>
        <w:t>Making, amending and revoking schemes</w:t>
      </w:r>
    </w:p>
    <w:p>
      <w:pPr>
        <w:pStyle w:val="TOC8"/>
        <w:rPr>
          <w:sz w:val="24"/>
          <w:szCs w:val="24"/>
        </w:rPr>
      </w:pPr>
      <w:r>
        <w:rPr>
          <w:szCs w:val="24"/>
        </w:rPr>
        <w:t>20</w:t>
      </w:r>
      <w:r>
        <w:rPr>
          <w:snapToGrid w:val="0"/>
          <w:szCs w:val="24"/>
        </w:rPr>
        <w:t>.</w:t>
      </w:r>
      <w:r>
        <w:rPr>
          <w:snapToGrid w:val="0"/>
          <w:szCs w:val="24"/>
        </w:rPr>
        <w:tab/>
        <w:t>Preparation and approval</w:t>
      </w:r>
      <w:r>
        <w:tab/>
      </w:r>
      <w:r>
        <w:fldChar w:fldCharType="begin"/>
      </w:r>
      <w:r>
        <w:instrText xml:space="preserve"> PAGEREF _Toc263856458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Notifying the public</w:t>
      </w:r>
      <w:r>
        <w:tab/>
      </w:r>
      <w:r>
        <w:fldChar w:fldCharType="begin"/>
      </w:r>
      <w:r>
        <w:instrText xml:space="preserve"> PAGEREF _Toc263856459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Public comments and submissions</w:t>
      </w:r>
      <w:r>
        <w:tab/>
      </w:r>
      <w:r>
        <w:fldChar w:fldCharType="begin"/>
      </w:r>
      <w:r>
        <w:instrText xml:space="preserve"> PAGEREF _Toc263856460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Matters to be considered by Council before approval</w:t>
      </w:r>
      <w:r>
        <w:tab/>
      </w:r>
      <w:r>
        <w:fldChar w:fldCharType="begin"/>
      </w:r>
      <w:r>
        <w:instrText xml:space="preserve"> PAGEREF _Toc263856461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Public hearings</w:t>
      </w:r>
      <w:r>
        <w:tab/>
      </w:r>
      <w:r>
        <w:fldChar w:fldCharType="begin"/>
      </w:r>
      <w:r>
        <w:instrText xml:space="preserve"> PAGEREF _Toc263856462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Council may submit approved schemes to Minister</w:t>
      </w:r>
      <w:r>
        <w:tab/>
      </w:r>
      <w:r>
        <w:fldChar w:fldCharType="begin"/>
      </w:r>
      <w:r>
        <w:instrText xml:space="preserve"> PAGEREF _Toc263856463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Minister may gazette schemes</w:t>
      </w:r>
      <w:r>
        <w:tab/>
      </w:r>
      <w:r>
        <w:fldChar w:fldCharType="begin"/>
      </w:r>
      <w:r>
        <w:instrText xml:space="preserve"> PAGEREF _Toc263856464 \h </w:instrText>
      </w:r>
      <w:r>
        <w:fldChar w:fldCharType="separate"/>
      </w:r>
      <w:r>
        <w:t>16</w:t>
      </w:r>
      <w:r>
        <w:fldChar w:fldCharType="end"/>
      </w:r>
    </w:p>
    <w:p>
      <w:pPr>
        <w:pStyle w:val="TOC8"/>
        <w:rPr>
          <w:sz w:val="24"/>
          <w:szCs w:val="24"/>
        </w:rPr>
      </w:pPr>
      <w:r>
        <w:rPr>
          <w:szCs w:val="24"/>
        </w:rPr>
        <w:t>27.</w:t>
      </w:r>
      <w:r>
        <w:rPr>
          <w:szCs w:val="24"/>
        </w:rPr>
        <w:tab/>
        <w:t>Commencement of schemes</w:t>
      </w:r>
      <w:r>
        <w:tab/>
      </w:r>
      <w:r>
        <w:fldChar w:fldCharType="begin"/>
      </w:r>
      <w:r>
        <w:instrText xml:space="preserve"> PAGEREF _Toc263856465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Challenges to schemes</w:t>
      </w:r>
      <w:r>
        <w:tab/>
      </w:r>
      <w:r>
        <w:fldChar w:fldCharType="begin"/>
      </w:r>
      <w:r>
        <w:instrText xml:space="preserve"> PAGEREF _Toc263856466 \h </w:instrText>
      </w:r>
      <w:r>
        <w:fldChar w:fldCharType="separate"/>
      </w:r>
      <w:r>
        <w:t>17</w:t>
      </w:r>
      <w:r>
        <w:fldChar w:fldCharType="end"/>
      </w:r>
    </w:p>
    <w:p>
      <w:pPr>
        <w:pStyle w:val="TOC8"/>
        <w:rPr>
          <w:sz w:val="24"/>
          <w:szCs w:val="24"/>
        </w:rPr>
      </w:pPr>
      <w:r>
        <w:rPr>
          <w:szCs w:val="24"/>
        </w:rPr>
        <w:t>29.</w:t>
      </w:r>
      <w:r>
        <w:rPr>
          <w:szCs w:val="24"/>
        </w:rPr>
        <w:tab/>
        <w:t>Review of schemes</w:t>
      </w:r>
      <w:r>
        <w:tab/>
      </w:r>
      <w:r>
        <w:fldChar w:fldCharType="begin"/>
      </w:r>
      <w:r>
        <w:instrText xml:space="preserve"> PAGEREF _Toc263856467 \h </w:instrText>
      </w:r>
      <w:r>
        <w:fldChar w:fldCharType="separate"/>
      </w:r>
      <w:r>
        <w:t>18</w:t>
      </w:r>
      <w:r>
        <w:fldChar w:fldCharType="end"/>
      </w:r>
    </w:p>
    <w:p>
      <w:pPr>
        <w:pStyle w:val="TOC8"/>
        <w:rPr>
          <w:sz w:val="24"/>
          <w:szCs w:val="24"/>
        </w:rPr>
      </w:pPr>
      <w:r>
        <w:rPr>
          <w:szCs w:val="24"/>
        </w:rPr>
        <w:t>29A.</w:t>
      </w:r>
      <w:r>
        <w:rPr>
          <w:szCs w:val="24"/>
        </w:rPr>
        <w:tab/>
        <w:t>Amendment and revocation of schemes</w:t>
      </w:r>
      <w:r>
        <w:tab/>
      </w:r>
      <w:r>
        <w:fldChar w:fldCharType="begin"/>
      </w:r>
      <w:r>
        <w:instrText xml:space="preserve"> PAGEREF _Toc263856468 \h </w:instrText>
      </w:r>
      <w:r>
        <w:fldChar w:fldCharType="separate"/>
      </w:r>
      <w:r>
        <w:t>19</w:t>
      </w:r>
      <w:r>
        <w:fldChar w:fldCharType="end"/>
      </w:r>
    </w:p>
    <w:p>
      <w:pPr>
        <w:pStyle w:val="TOC8"/>
        <w:rPr>
          <w:sz w:val="24"/>
          <w:szCs w:val="24"/>
        </w:rPr>
      </w:pPr>
      <w:r>
        <w:rPr>
          <w:szCs w:val="24"/>
        </w:rPr>
        <w:t>30A.</w:t>
      </w:r>
      <w:r>
        <w:rPr>
          <w:szCs w:val="24"/>
        </w:rPr>
        <w:tab/>
        <w:t>Notification of revocation of schemes</w:t>
      </w:r>
      <w:r>
        <w:tab/>
      </w:r>
      <w:r>
        <w:fldChar w:fldCharType="begin"/>
      </w:r>
      <w:r>
        <w:instrText xml:space="preserve"> PAGEREF _Toc263856469 \h </w:instrText>
      </w:r>
      <w:r>
        <w:fldChar w:fldCharType="separate"/>
      </w:r>
      <w:r>
        <w:t>20</w:t>
      </w:r>
      <w:r>
        <w:fldChar w:fldCharType="end"/>
      </w:r>
    </w:p>
    <w:p>
      <w:pPr>
        <w:pStyle w:val="TOC8"/>
        <w:rPr>
          <w:sz w:val="24"/>
          <w:szCs w:val="24"/>
        </w:rPr>
      </w:pPr>
      <w:r>
        <w:rPr>
          <w:szCs w:val="24"/>
        </w:rPr>
        <w:t>30B.</w:t>
      </w:r>
      <w:r>
        <w:rPr>
          <w:szCs w:val="24"/>
        </w:rPr>
        <w:tab/>
        <w:t>Termination of operation of interstate schemes in this jurisdiction</w:t>
      </w:r>
      <w:r>
        <w:tab/>
      </w:r>
      <w:r>
        <w:fldChar w:fldCharType="begin"/>
      </w:r>
      <w:r>
        <w:instrText xml:space="preserve"> PAGEREF _Toc263856470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Contents of schemes</w:t>
      </w:r>
    </w:p>
    <w:p>
      <w:pPr>
        <w:pStyle w:val="TOC8"/>
        <w:rPr>
          <w:sz w:val="24"/>
          <w:szCs w:val="24"/>
        </w:rPr>
      </w:pPr>
      <w:r>
        <w:rPr>
          <w:szCs w:val="24"/>
        </w:rPr>
        <w:t>30.</w:t>
      </w:r>
      <w:r>
        <w:rPr>
          <w:szCs w:val="24"/>
        </w:rPr>
        <w:tab/>
        <w:t>Persons to whom scheme applies</w:t>
      </w:r>
      <w:r>
        <w:tab/>
      </w:r>
      <w:r>
        <w:fldChar w:fldCharType="begin"/>
      </w:r>
      <w:r>
        <w:instrText xml:space="preserve"> PAGEREF _Toc263856472 \h </w:instrText>
      </w:r>
      <w:r>
        <w:fldChar w:fldCharType="separate"/>
      </w:r>
      <w:r>
        <w:t>21</w:t>
      </w:r>
      <w:r>
        <w:fldChar w:fldCharType="end"/>
      </w:r>
    </w:p>
    <w:p>
      <w:pPr>
        <w:pStyle w:val="TOC8"/>
        <w:rPr>
          <w:sz w:val="24"/>
          <w:szCs w:val="24"/>
        </w:rPr>
      </w:pPr>
      <w:r>
        <w:rPr>
          <w:szCs w:val="24"/>
        </w:rPr>
        <w:t>31.</w:t>
      </w:r>
      <w:r>
        <w:rPr>
          <w:szCs w:val="24"/>
        </w:rPr>
        <w:tab/>
        <w:t>Officers or partners of persons to whom scheme applies</w:t>
      </w:r>
      <w:r>
        <w:tab/>
      </w:r>
      <w:r>
        <w:fldChar w:fldCharType="begin"/>
      </w:r>
      <w:r>
        <w:instrText xml:space="preserve"> PAGEREF _Toc263856473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Employees of persons to whom scheme applies</w:t>
      </w:r>
      <w:r>
        <w:tab/>
      </w:r>
      <w:r>
        <w:fldChar w:fldCharType="begin"/>
      </w:r>
      <w:r>
        <w:instrText xml:space="preserve"> PAGEREF _Toc263856474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Other persons to whom scheme applies</w:t>
      </w:r>
      <w:r>
        <w:tab/>
      </w:r>
      <w:r>
        <w:fldChar w:fldCharType="begin"/>
      </w:r>
      <w:r>
        <w:instrText xml:space="preserve"> PAGEREF _Toc263856475 \h </w:instrText>
      </w:r>
      <w:r>
        <w:fldChar w:fldCharType="separate"/>
      </w:r>
      <w:r>
        <w:t>22</w:t>
      </w:r>
      <w:r>
        <w:fldChar w:fldCharType="end"/>
      </w:r>
    </w:p>
    <w:p>
      <w:pPr>
        <w:pStyle w:val="TOC8"/>
        <w:rPr>
          <w:sz w:val="24"/>
          <w:szCs w:val="24"/>
        </w:rPr>
      </w:pPr>
      <w:r>
        <w:rPr>
          <w:szCs w:val="24"/>
        </w:rPr>
        <w:t>34A.</w:t>
      </w:r>
      <w:r>
        <w:rPr>
          <w:szCs w:val="24"/>
        </w:rPr>
        <w:tab/>
        <w:t>Extension of liability limitation to other persons to whom scheme applies</w:t>
      </w:r>
      <w:r>
        <w:tab/>
      </w:r>
      <w:r>
        <w:fldChar w:fldCharType="begin"/>
      </w:r>
      <w:r>
        <w:instrText xml:space="preserve"> PAGEREF _Toc263856476 \h </w:instrText>
      </w:r>
      <w:r>
        <w:fldChar w:fldCharType="separate"/>
      </w:r>
      <w:r>
        <w:t>22</w:t>
      </w:r>
      <w:r>
        <w:fldChar w:fldCharType="end"/>
      </w:r>
    </w:p>
    <w:p>
      <w:pPr>
        <w:pStyle w:val="TOC8"/>
        <w:rPr>
          <w:sz w:val="24"/>
          <w:szCs w:val="24"/>
        </w:rPr>
      </w:pPr>
      <w:r>
        <w:rPr>
          <w:szCs w:val="24"/>
        </w:rPr>
        <w:t>34.</w:t>
      </w:r>
      <w:r>
        <w:rPr>
          <w:szCs w:val="24"/>
        </w:rPr>
        <w:tab/>
        <w:t>Limitation of liability by insurance arrangements</w:t>
      </w:r>
      <w:r>
        <w:tab/>
      </w:r>
      <w:r>
        <w:fldChar w:fldCharType="begin"/>
      </w:r>
      <w:r>
        <w:instrText xml:space="preserve"> PAGEREF _Toc263856477 \h </w:instrText>
      </w:r>
      <w:r>
        <w:fldChar w:fldCharType="separate"/>
      </w:r>
      <w:r>
        <w:t>24</w:t>
      </w:r>
      <w:r>
        <w:fldChar w:fldCharType="end"/>
      </w:r>
    </w:p>
    <w:p>
      <w:pPr>
        <w:pStyle w:val="TOC8"/>
        <w:rPr>
          <w:sz w:val="24"/>
          <w:szCs w:val="24"/>
        </w:rPr>
      </w:pPr>
      <w:r>
        <w:rPr>
          <w:szCs w:val="24"/>
        </w:rPr>
        <w:t>35</w:t>
      </w:r>
      <w:r>
        <w:rPr>
          <w:snapToGrid w:val="0"/>
          <w:szCs w:val="24"/>
        </w:rPr>
        <w:t>.</w:t>
      </w:r>
      <w:r>
        <w:rPr>
          <w:snapToGrid w:val="0"/>
          <w:szCs w:val="24"/>
        </w:rPr>
        <w:tab/>
        <w:t>Limitation of liability by reference to amounts of business assets</w:t>
      </w:r>
      <w:r>
        <w:tab/>
      </w:r>
      <w:r>
        <w:fldChar w:fldCharType="begin"/>
      </w:r>
      <w:r>
        <w:instrText xml:space="preserve"> PAGEREF _Toc263856478 \h </w:instrText>
      </w:r>
      <w:r>
        <w:fldChar w:fldCharType="separate"/>
      </w:r>
      <w:r>
        <w:t>24</w:t>
      </w:r>
      <w:r>
        <w:fldChar w:fldCharType="end"/>
      </w:r>
    </w:p>
    <w:p>
      <w:pPr>
        <w:pStyle w:val="TOC8"/>
        <w:rPr>
          <w:sz w:val="24"/>
          <w:szCs w:val="24"/>
        </w:rPr>
      </w:pPr>
      <w:r>
        <w:rPr>
          <w:szCs w:val="24"/>
        </w:rPr>
        <w:t>36</w:t>
      </w:r>
      <w:r>
        <w:rPr>
          <w:snapToGrid w:val="0"/>
          <w:szCs w:val="24"/>
        </w:rPr>
        <w:t>.</w:t>
      </w:r>
      <w:r>
        <w:rPr>
          <w:snapToGrid w:val="0"/>
          <w:szCs w:val="24"/>
        </w:rPr>
        <w:tab/>
        <w:t>Limitation of liability by multiple of charges</w:t>
      </w:r>
      <w:r>
        <w:tab/>
      </w:r>
      <w:r>
        <w:fldChar w:fldCharType="begin"/>
      </w:r>
      <w:r>
        <w:instrText xml:space="preserve"> PAGEREF _Toc263856479 \h </w:instrText>
      </w:r>
      <w:r>
        <w:fldChar w:fldCharType="separate"/>
      </w:r>
      <w:r>
        <w:t>25</w:t>
      </w:r>
      <w:r>
        <w:fldChar w:fldCharType="end"/>
      </w:r>
    </w:p>
    <w:p>
      <w:pPr>
        <w:pStyle w:val="TOC8"/>
        <w:rPr>
          <w:sz w:val="24"/>
          <w:szCs w:val="24"/>
        </w:rPr>
      </w:pPr>
      <w:r>
        <w:rPr>
          <w:szCs w:val="24"/>
        </w:rPr>
        <w:t>37.</w:t>
      </w:r>
      <w:r>
        <w:rPr>
          <w:szCs w:val="24"/>
        </w:rPr>
        <w:tab/>
        <w:t>Specification of limits of liability and multiples</w:t>
      </w:r>
      <w:r>
        <w:tab/>
      </w:r>
      <w:r>
        <w:fldChar w:fldCharType="begin"/>
      </w:r>
      <w:r>
        <w:instrText xml:space="preserve"> PAGEREF _Toc263856480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Combination of provisions under s. 34, 35 and 36</w:t>
      </w:r>
      <w:r>
        <w:tab/>
      </w:r>
      <w:r>
        <w:fldChar w:fldCharType="begin"/>
      </w:r>
      <w:r>
        <w:instrText xml:space="preserve"> PAGEREF _Toc263856481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Liability that cannot be limited by schemes</w:t>
      </w:r>
      <w:r>
        <w:tab/>
      </w:r>
      <w:r>
        <w:fldChar w:fldCharType="begin"/>
      </w:r>
      <w:r>
        <w:instrText xml:space="preserve"> PAGEREF _Toc263856482 \h </w:instrText>
      </w:r>
      <w:r>
        <w:fldChar w:fldCharType="separate"/>
      </w:r>
      <w:r>
        <w:t>27</w:t>
      </w:r>
      <w:r>
        <w:fldChar w:fldCharType="end"/>
      </w:r>
    </w:p>
    <w:p>
      <w:pPr>
        <w:pStyle w:val="TOC8"/>
        <w:rPr>
          <w:sz w:val="24"/>
          <w:szCs w:val="24"/>
        </w:rPr>
      </w:pPr>
      <w:r>
        <w:rPr>
          <w:szCs w:val="24"/>
        </w:rPr>
        <w:t>40A.</w:t>
      </w:r>
      <w:r>
        <w:rPr>
          <w:szCs w:val="24"/>
        </w:rPr>
        <w:tab/>
        <w:t>Liability in damages not reduced to below relevant limit</w:t>
      </w:r>
      <w:r>
        <w:tab/>
      </w:r>
      <w:r>
        <w:fldChar w:fldCharType="begin"/>
      </w:r>
      <w:r>
        <w:instrText xml:space="preserve"> PAGEREF _Toc263856483 \h </w:instrText>
      </w:r>
      <w:r>
        <w:fldChar w:fldCharType="separate"/>
      </w:r>
      <w:r>
        <w:t>28</w:t>
      </w:r>
      <w:r>
        <w:fldChar w:fldCharType="end"/>
      </w:r>
    </w:p>
    <w:p>
      <w:pPr>
        <w:pStyle w:val="TOC8"/>
        <w:rPr>
          <w:sz w:val="24"/>
          <w:szCs w:val="24"/>
        </w:rPr>
      </w:pPr>
      <w:r>
        <w:rPr>
          <w:szCs w:val="24"/>
        </w:rPr>
        <w:t>40</w:t>
      </w:r>
      <w:r>
        <w:rPr>
          <w:snapToGrid w:val="0"/>
          <w:szCs w:val="24"/>
        </w:rPr>
        <w:t>.</w:t>
      </w:r>
      <w:r>
        <w:rPr>
          <w:snapToGrid w:val="0"/>
          <w:szCs w:val="24"/>
        </w:rPr>
        <w:tab/>
        <w:t>Insurance to be of requisite standard</w:t>
      </w:r>
      <w:r>
        <w:tab/>
      </w:r>
      <w:r>
        <w:fldChar w:fldCharType="begin"/>
      </w:r>
      <w:r>
        <w:instrText xml:space="preserve"> PAGEREF _Toc263856484 \h </w:instrText>
      </w:r>
      <w:r>
        <w:fldChar w:fldCharType="separate"/>
      </w:r>
      <w:r>
        <w:t>28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Effect of schemes</w:t>
      </w:r>
    </w:p>
    <w:p>
      <w:pPr>
        <w:pStyle w:val="TOC8"/>
        <w:rPr>
          <w:sz w:val="24"/>
          <w:szCs w:val="24"/>
        </w:rPr>
      </w:pPr>
      <w:r>
        <w:rPr>
          <w:szCs w:val="24"/>
        </w:rPr>
        <w:t>41.</w:t>
      </w:r>
      <w:r>
        <w:rPr>
          <w:szCs w:val="24"/>
        </w:rPr>
        <w:tab/>
        <w:t>Limit of occupational liability by schemes</w:t>
      </w:r>
      <w:r>
        <w:tab/>
      </w:r>
      <w:r>
        <w:fldChar w:fldCharType="begin"/>
      </w:r>
      <w:r>
        <w:instrText xml:space="preserve"> PAGEREF _Toc263856486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Limitation of amount of damages</w:t>
      </w:r>
      <w:r>
        <w:tab/>
      </w:r>
      <w:r>
        <w:fldChar w:fldCharType="begin"/>
      </w:r>
      <w:r>
        <w:instrText xml:space="preserve"> PAGEREF _Toc263856487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Effect of schemes on other parties to proceedings</w:t>
      </w:r>
      <w:r>
        <w:tab/>
      </w:r>
      <w:r>
        <w:fldChar w:fldCharType="begin"/>
      </w:r>
      <w:r>
        <w:instrText xml:space="preserve"> PAGEREF _Toc263856488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Proceedings to which schemes apply</w:t>
      </w:r>
      <w:r>
        <w:tab/>
      </w:r>
      <w:r>
        <w:fldChar w:fldCharType="begin"/>
      </w:r>
      <w:r>
        <w:instrText xml:space="preserve"> PAGEREF _Toc263856489 \h </w:instrText>
      </w:r>
      <w:r>
        <w:fldChar w:fldCharType="separate"/>
      </w:r>
      <w:r>
        <w:t>30</w:t>
      </w:r>
      <w:r>
        <w:fldChar w:fldCharType="end"/>
      </w:r>
    </w:p>
    <w:p>
      <w:pPr>
        <w:pStyle w:val="TOC8"/>
        <w:rPr>
          <w:sz w:val="24"/>
          <w:szCs w:val="24"/>
        </w:rPr>
      </w:pPr>
      <w:r>
        <w:rPr>
          <w:szCs w:val="24"/>
        </w:rPr>
        <w:t>44A.</w:t>
      </w:r>
      <w:r>
        <w:rPr>
          <w:szCs w:val="24"/>
        </w:rPr>
        <w:tab/>
        <w:t>Duration of schemes</w:t>
      </w:r>
      <w:r>
        <w:tab/>
      </w:r>
      <w:r>
        <w:fldChar w:fldCharType="begin"/>
      </w:r>
      <w:r>
        <w:instrText xml:space="preserve"> PAGEREF _Toc263856490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Notification of limitation of liability</w:t>
      </w:r>
      <w:r>
        <w:tab/>
      </w:r>
      <w:r>
        <w:fldChar w:fldCharType="begin"/>
      </w:r>
      <w:r>
        <w:instrText xml:space="preserve"> PAGEREF _Toc263856491 \h </w:instrText>
      </w:r>
      <w:r>
        <w:fldChar w:fldCharType="separate"/>
      </w:r>
      <w:r>
        <w:t>31</w:t>
      </w:r>
      <w:r>
        <w:fldChar w:fldCharType="end"/>
      </w:r>
    </w:p>
    <w:p>
      <w:pPr>
        <w:pStyle w:val="TOC2"/>
        <w:tabs>
          <w:tab w:val="right" w:leader="dot" w:pos="7086"/>
        </w:tabs>
        <w:rPr>
          <w:b w:val="0"/>
          <w:sz w:val="24"/>
          <w:szCs w:val="24"/>
        </w:rPr>
      </w:pPr>
      <w:r>
        <w:rPr>
          <w:szCs w:val="30"/>
        </w:rPr>
        <w:t>Part 4 — Compulsory insurance</w:t>
      </w:r>
    </w:p>
    <w:p>
      <w:pPr>
        <w:pStyle w:val="TOC8"/>
        <w:rPr>
          <w:sz w:val="24"/>
          <w:szCs w:val="24"/>
        </w:rPr>
      </w:pPr>
      <w:r>
        <w:rPr>
          <w:szCs w:val="24"/>
        </w:rPr>
        <w:t>46</w:t>
      </w:r>
      <w:r>
        <w:rPr>
          <w:snapToGrid w:val="0"/>
          <w:szCs w:val="24"/>
        </w:rPr>
        <w:t>.</w:t>
      </w:r>
      <w:r>
        <w:rPr>
          <w:snapToGrid w:val="0"/>
          <w:szCs w:val="24"/>
        </w:rPr>
        <w:tab/>
        <w:t>Occupational associations may compel their members to insure</w:t>
      </w:r>
      <w:r>
        <w:tab/>
      </w:r>
      <w:r>
        <w:fldChar w:fldCharType="begin"/>
      </w:r>
      <w:r>
        <w:instrText xml:space="preserve"> PAGEREF _Toc263856493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Monitoring claims</w:t>
      </w:r>
      <w:r>
        <w:tab/>
      </w:r>
      <w:r>
        <w:fldChar w:fldCharType="begin"/>
      </w:r>
      <w:r>
        <w:instrText xml:space="preserve"> PAGEREF _Toc263856494 \h </w:instrText>
      </w:r>
      <w:r>
        <w:fldChar w:fldCharType="separate"/>
      </w:r>
      <w:r>
        <w:t>33</w:t>
      </w:r>
      <w:r>
        <w:fldChar w:fldCharType="end"/>
      </w:r>
    </w:p>
    <w:p>
      <w:pPr>
        <w:pStyle w:val="TOC2"/>
        <w:tabs>
          <w:tab w:val="right" w:leader="dot" w:pos="7086"/>
        </w:tabs>
        <w:rPr>
          <w:b w:val="0"/>
          <w:sz w:val="24"/>
          <w:szCs w:val="24"/>
        </w:rPr>
      </w:pPr>
      <w:r>
        <w:rPr>
          <w:szCs w:val="30"/>
        </w:rPr>
        <w:t>Part 5 — Risk management</w:t>
      </w:r>
    </w:p>
    <w:p>
      <w:pPr>
        <w:pStyle w:val="TOC8"/>
        <w:rPr>
          <w:sz w:val="24"/>
          <w:szCs w:val="24"/>
        </w:rPr>
      </w:pPr>
      <w:r>
        <w:rPr>
          <w:szCs w:val="24"/>
        </w:rPr>
        <w:t>48</w:t>
      </w:r>
      <w:r>
        <w:rPr>
          <w:snapToGrid w:val="0"/>
          <w:szCs w:val="24"/>
        </w:rPr>
        <w:t>.</w:t>
      </w:r>
      <w:r>
        <w:rPr>
          <w:snapToGrid w:val="0"/>
          <w:szCs w:val="24"/>
        </w:rPr>
        <w:tab/>
        <w:t>Risk management strategies</w:t>
      </w:r>
      <w:r>
        <w:tab/>
      </w:r>
      <w:r>
        <w:fldChar w:fldCharType="begin"/>
      </w:r>
      <w:r>
        <w:instrText xml:space="preserve"> PAGEREF _Toc263856496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Reporting</w:t>
      </w:r>
      <w:r>
        <w:tab/>
      </w:r>
      <w:r>
        <w:fldChar w:fldCharType="begin"/>
      </w:r>
      <w:r>
        <w:instrText xml:space="preserve"> PAGEREF _Toc263856497 \h </w:instrText>
      </w:r>
      <w:r>
        <w:fldChar w:fldCharType="separate"/>
      </w:r>
      <w:r>
        <w:t>34</w:t>
      </w:r>
      <w:r>
        <w:fldChar w:fldCharType="end"/>
      </w:r>
    </w:p>
    <w:p>
      <w:pPr>
        <w:pStyle w:val="TOC2"/>
        <w:tabs>
          <w:tab w:val="right" w:leader="dot" w:pos="7086"/>
        </w:tabs>
        <w:rPr>
          <w:b w:val="0"/>
          <w:sz w:val="24"/>
          <w:szCs w:val="24"/>
        </w:rPr>
      </w:pPr>
      <w:r>
        <w:rPr>
          <w:szCs w:val="30"/>
        </w:rPr>
        <w:t>Part 6 — Complaints and disciplinary matters</w:t>
      </w:r>
    </w:p>
    <w:p>
      <w:pPr>
        <w:pStyle w:val="TOC8"/>
        <w:rPr>
          <w:sz w:val="24"/>
          <w:szCs w:val="24"/>
        </w:rPr>
      </w:pPr>
      <w:r>
        <w:rPr>
          <w:szCs w:val="24"/>
        </w:rPr>
        <w:t>50</w:t>
      </w:r>
      <w:r>
        <w:rPr>
          <w:snapToGrid w:val="0"/>
          <w:szCs w:val="24"/>
        </w:rPr>
        <w:t>.</w:t>
      </w:r>
      <w:r>
        <w:rPr>
          <w:snapToGrid w:val="0"/>
          <w:szCs w:val="24"/>
        </w:rPr>
        <w:tab/>
        <w:t>Occupational Associations (Complaints and Discipline) Code</w:t>
      </w:r>
      <w:r>
        <w:tab/>
      </w:r>
      <w:r>
        <w:fldChar w:fldCharType="begin"/>
      </w:r>
      <w:r>
        <w:instrText xml:space="preserve"> PAGEREF _Toc263856499 \h </w:instrText>
      </w:r>
      <w:r>
        <w:fldChar w:fldCharType="separate"/>
      </w:r>
      <w:r>
        <w:t>35</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51</w:t>
      </w:r>
      <w:r>
        <w:rPr>
          <w:snapToGrid w:val="0"/>
          <w:szCs w:val="24"/>
        </w:rPr>
        <w:t>.</w:t>
      </w:r>
      <w:r>
        <w:rPr>
          <w:snapToGrid w:val="0"/>
          <w:szCs w:val="24"/>
        </w:rPr>
        <w:tab/>
        <w:t>Characterisation of this Act</w:t>
      </w:r>
      <w:r>
        <w:tab/>
      </w:r>
      <w:r>
        <w:fldChar w:fldCharType="begin"/>
      </w:r>
      <w:r>
        <w:instrText xml:space="preserve"> PAGEREF _Toc263856501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No contracting out of this Act</w:t>
      </w:r>
      <w:r>
        <w:tab/>
      </w:r>
      <w:r>
        <w:fldChar w:fldCharType="begin"/>
      </w:r>
      <w:r>
        <w:instrText xml:space="preserve"> PAGEREF _Toc263856502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No limitation on other insurance</w:t>
      </w:r>
      <w:r>
        <w:tab/>
      </w:r>
      <w:r>
        <w:fldChar w:fldCharType="begin"/>
      </w:r>
      <w:r>
        <w:instrText xml:space="preserve"> PAGEREF _Toc263856503 \h </w:instrText>
      </w:r>
      <w:r>
        <w:fldChar w:fldCharType="separate"/>
      </w:r>
      <w:r>
        <w:t>36</w:t>
      </w:r>
      <w:r>
        <w:fldChar w:fldCharType="end"/>
      </w:r>
    </w:p>
    <w:p>
      <w:pPr>
        <w:pStyle w:val="TOC8"/>
        <w:rPr>
          <w:sz w:val="24"/>
          <w:szCs w:val="24"/>
        </w:rPr>
      </w:pPr>
      <w:r>
        <w:rPr>
          <w:szCs w:val="24"/>
        </w:rPr>
        <w:t>54</w:t>
      </w:r>
      <w:r>
        <w:rPr>
          <w:snapToGrid w:val="0"/>
          <w:szCs w:val="24"/>
        </w:rPr>
        <w:t>.</w:t>
      </w:r>
      <w:r>
        <w:rPr>
          <w:snapToGrid w:val="0"/>
          <w:szCs w:val="24"/>
        </w:rPr>
        <w:tab/>
        <w:t>Offences to be dealt with by magistrate</w:t>
      </w:r>
      <w:r>
        <w:tab/>
      </w:r>
      <w:r>
        <w:fldChar w:fldCharType="begin"/>
      </w:r>
      <w:r>
        <w:instrText xml:space="preserve"> PAGEREF _Toc263856504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Regulations</w:t>
      </w:r>
      <w:r>
        <w:tab/>
      </w:r>
      <w:r>
        <w:fldChar w:fldCharType="begin"/>
      </w:r>
      <w:r>
        <w:instrText xml:space="preserve"> PAGEREF _Toc263856505 \h </w:instrText>
      </w:r>
      <w:r>
        <w:fldChar w:fldCharType="separate"/>
      </w:r>
      <w:r>
        <w:t>36</w:t>
      </w:r>
      <w:r>
        <w:fldChar w:fldCharType="end"/>
      </w:r>
    </w:p>
    <w:p>
      <w:pPr>
        <w:pStyle w:val="TOC8"/>
        <w:rPr>
          <w:sz w:val="24"/>
          <w:szCs w:val="24"/>
        </w:rPr>
      </w:pPr>
      <w:r>
        <w:rPr>
          <w:szCs w:val="24"/>
        </w:rPr>
        <w:t>56</w:t>
      </w:r>
      <w:r>
        <w:rPr>
          <w:snapToGrid w:val="0"/>
          <w:szCs w:val="24"/>
        </w:rPr>
        <w:t>.</w:t>
      </w:r>
      <w:r>
        <w:rPr>
          <w:snapToGrid w:val="0"/>
          <w:szCs w:val="24"/>
        </w:rPr>
        <w:tab/>
        <w:t>Rules of court</w:t>
      </w:r>
      <w:r>
        <w:tab/>
      </w:r>
      <w:r>
        <w:fldChar w:fldCharType="begin"/>
      </w:r>
      <w:r>
        <w:instrText xml:space="preserve"> PAGEREF _Toc263856506 \h </w:instrText>
      </w:r>
      <w:r>
        <w:fldChar w:fldCharType="separate"/>
      </w:r>
      <w:r>
        <w:t>37</w:t>
      </w:r>
      <w:r>
        <w:fldChar w:fldCharType="end"/>
      </w:r>
    </w:p>
    <w:p>
      <w:pPr>
        <w:pStyle w:val="TOC8"/>
        <w:rPr>
          <w:sz w:val="24"/>
          <w:szCs w:val="24"/>
        </w:rPr>
      </w:pPr>
      <w:r>
        <w:rPr>
          <w:szCs w:val="24"/>
        </w:rPr>
        <w:t>57</w:t>
      </w:r>
      <w:r>
        <w:rPr>
          <w:snapToGrid w:val="0"/>
          <w:szCs w:val="24"/>
        </w:rPr>
        <w:t>.</w:t>
      </w:r>
      <w:r>
        <w:rPr>
          <w:snapToGrid w:val="0"/>
          <w:szCs w:val="24"/>
        </w:rPr>
        <w:tab/>
        <w:t>Review of Act</w:t>
      </w:r>
      <w:r>
        <w:tab/>
      </w:r>
      <w:r>
        <w:fldChar w:fldCharType="begin"/>
      </w:r>
      <w:r>
        <w:instrText xml:space="preserve"> PAGEREF _Toc263856507 \h </w:instrText>
      </w:r>
      <w:r>
        <w:fldChar w:fldCharType="separate"/>
      </w:r>
      <w:r>
        <w:t>37</w:t>
      </w:r>
      <w:r>
        <w:fldChar w:fldCharType="end"/>
      </w:r>
    </w:p>
    <w:p>
      <w:pPr>
        <w:pStyle w:val="TOC8"/>
        <w:rPr>
          <w:sz w:val="24"/>
          <w:szCs w:val="24"/>
        </w:rPr>
      </w:pPr>
      <w:r>
        <w:rPr>
          <w:szCs w:val="24"/>
        </w:rPr>
        <w:t>58.</w:t>
      </w:r>
      <w:r>
        <w:rPr>
          <w:szCs w:val="24"/>
        </w:rPr>
        <w:tab/>
        <w:t>Savings, transitional and other provisions</w:t>
      </w:r>
      <w:r>
        <w:tab/>
      </w:r>
      <w:r>
        <w:fldChar w:fldCharType="begin"/>
      </w:r>
      <w:r>
        <w:instrText xml:space="preserve"> PAGEREF _Toc263856508 \h </w:instrText>
      </w:r>
      <w:r>
        <w:fldChar w:fldCharType="separate"/>
      </w:r>
      <w:r>
        <w:t>38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Provisions relating to members of the Council</w:t>
      </w:r>
    </w:p>
    <w:p>
      <w:pPr>
        <w:pStyle w:val="TOC8"/>
        <w:rPr>
          <w:sz w:val="24"/>
          <w:szCs w:val="24"/>
        </w:rPr>
      </w:pPr>
      <w:r>
        <w:rPr>
          <w:szCs w:val="22"/>
        </w:rPr>
        <w:t>1</w:t>
      </w:r>
      <w:r>
        <w:rPr>
          <w:snapToGrid w:val="0"/>
          <w:szCs w:val="22"/>
        </w:rPr>
        <w:t>.</w:t>
      </w:r>
      <w:r>
        <w:rPr>
          <w:snapToGrid w:val="0"/>
          <w:szCs w:val="22"/>
        </w:rPr>
        <w:tab/>
        <w:t>Chairperson and deputy chairperson of Council</w:t>
      </w:r>
      <w:r>
        <w:tab/>
      </w:r>
      <w:r>
        <w:fldChar w:fldCharType="begin"/>
      </w:r>
      <w:r>
        <w:instrText xml:space="preserve"> PAGEREF _Toc263856510 \h </w:instrText>
      </w:r>
      <w:r>
        <w:fldChar w:fldCharType="separate"/>
      </w:r>
      <w:r>
        <w:t>39</w:t>
      </w:r>
      <w:r>
        <w:fldChar w:fldCharType="end"/>
      </w:r>
    </w:p>
    <w:p>
      <w:pPr>
        <w:pStyle w:val="TOC8"/>
        <w:rPr>
          <w:sz w:val="24"/>
          <w:szCs w:val="24"/>
        </w:rPr>
      </w:pPr>
      <w:r>
        <w:rPr>
          <w:szCs w:val="22"/>
        </w:rPr>
        <w:t>2</w:t>
      </w:r>
      <w:r>
        <w:rPr>
          <w:snapToGrid w:val="0"/>
          <w:szCs w:val="22"/>
        </w:rPr>
        <w:t>.</w:t>
      </w:r>
      <w:r>
        <w:rPr>
          <w:snapToGrid w:val="0"/>
          <w:szCs w:val="22"/>
        </w:rPr>
        <w:tab/>
        <w:t>Deputies of members</w:t>
      </w:r>
      <w:r>
        <w:tab/>
      </w:r>
      <w:r>
        <w:fldChar w:fldCharType="begin"/>
      </w:r>
      <w:r>
        <w:instrText xml:space="preserve"> PAGEREF _Toc263856511 \h </w:instrText>
      </w:r>
      <w:r>
        <w:fldChar w:fldCharType="separate"/>
      </w:r>
      <w:r>
        <w:t>39</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_Toc263856512 \h </w:instrText>
      </w:r>
      <w:r>
        <w:fldChar w:fldCharType="separate"/>
      </w:r>
      <w:r>
        <w:t>40</w:t>
      </w:r>
      <w:r>
        <w:fldChar w:fldCharType="end"/>
      </w:r>
    </w:p>
    <w:p>
      <w:pPr>
        <w:pStyle w:val="TOC8"/>
        <w:rPr>
          <w:sz w:val="24"/>
          <w:szCs w:val="24"/>
        </w:rPr>
      </w:pPr>
      <w:r>
        <w:rPr>
          <w:szCs w:val="22"/>
        </w:rPr>
        <w:t>4</w:t>
      </w:r>
      <w:r>
        <w:rPr>
          <w:snapToGrid w:val="0"/>
          <w:szCs w:val="22"/>
        </w:rPr>
        <w:t>.</w:t>
      </w:r>
      <w:r>
        <w:rPr>
          <w:snapToGrid w:val="0"/>
          <w:szCs w:val="22"/>
        </w:rPr>
        <w:tab/>
        <w:t>Remuneration and allowances</w:t>
      </w:r>
      <w:r>
        <w:tab/>
      </w:r>
      <w:r>
        <w:fldChar w:fldCharType="begin"/>
      </w:r>
      <w:r>
        <w:instrText xml:space="preserve"> PAGEREF _Toc263856513 \h </w:instrText>
      </w:r>
      <w:r>
        <w:fldChar w:fldCharType="separate"/>
      </w:r>
      <w:r>
        <w:t>40</w:t>
      </w:r>
      <w:r>
        <w:fldChar w:fldCharType="end"/>
      </w:r>
    </w:p>
    <w:p>
      <w:pPr>
        <w:pStyle w:val="TOC8"/>
        <w:rPr>
          <w:sz w:val="24"/>
          <w:szCs w:val="24"/>
        </w:rPr>
      </w:pPr>
      <w:r>
        <w:rPr>
          <w:szCs w:val="22"/>
        </w:rPr>
        <w:t>5</w:t>
      </w:r>
      <w:r>
        <w:rPr>
          <w:snapToGrid w:val="0"/>
          <w:szCs w:val="22"/>
        </w:rPr>
        <w:t>.</w:t>
      </w:r>
      <w:r>
        <w:rPr>
          <w:snapToGrid w:val="0"/>
          <w:szCs w:val="22"/>
        </w:rPr>
        <w:tab/>
        <w:t>Vacancy in office of member</w:t>
      </w:r>
      <w:r>
        <w:tab/>
      </w:r>
      <w:r>
        <w:fldChar w:fldCharType="begin"/>
      </w:r>
      <w:r>
        <w:instrText xml:space="preserve"> PAGEREF _Toc263856514 \h </w:instrText>
      </w:r>
      <w:r>
        <w:fldChar w:fldCharType="separate"/>
      </w:r>
      <w:r>
        <w:t>40</w:t>
      </w:r>
      <w:r>
        <w:fldChar w:fldCharType="end"/>
      </w:r>
    </w:p>
    <w:p>
      <w:pPr>
        <w:pStyle w:val="TOC8"/>
        <w:rPr>
          <w:sz w:val="24"/>
          <w:szCs w:val="24"/>
        </w:rPr>
      </w:pPr>
      <w:r>
        <w:rPr>
          <w:szCs w:val="22"/>
        </w:rPr>
        <w:t>6</w:t>
      </w:r>
      <w:r>
        <w:rPr>
          <w:snapToGrid w:val="0"/>
          <w:szCs w:val="22"/>
        </w:rPr>
        <w:t>.</w:t>
      </w:r>
      <w:r>
        <w:rPr>
          <w:snapToGrid w:val="0"/>
          <w:szCs w:val="22"/>
        </w:rPr>
        <w:tab/>
        <w:t>Filling of vacancy in office of member</w:t>
      </w:r>
      <w:r>
        <w:tab/>
      </w:r>
      <w:r>
        <w:fldChar w:fldCharType="begin"/>
      </w:r>
      <w:r>
        <w:instrText xml:space="preserve"> PAGEREF _Toc263856515 \h </w:instrText>
      </w:r>
      <w:r>
        <w:fldChar w:fldCharType="separate"/>
      </w:r>
      <w:r>
        <w:t>41</w:t>
      </w:r>
      <w:r>
        <w:fldChar w:fldCharType="end"/>
      </w:r>
    </w:p>
    <w:p>
      <w:pPr>
        <w:pStyle w:val="TOC8"/>
        <w:rPr>
          <w:sz w:val="24"/>
          <w:szCs w:val="24"/>
        </w:rPr>
      </w:pPr>
      <w:r>
        <w:rPr>
          <w:szCs w:val="22"/>
        </w:rPr>
        <w:t>7</w:t>
      </w:r>
      <w:r>
        <w:rPr>
          <w:snapToGrid w:val="0"/>
          <w:szCs w:val="22"/>
        </w:rPr>
        <w:t>.</w:t>
      </w:r>
      <w:r>
        <w:rPr>
          <w:snapToGrid w:val="0"/>
          <w:szCs w:val="22"/>
        </w:rPr>
        <w:tab/>
        <w:t>Member not to be public service officer</w:t>
      </w:r>
      <w:r>
        <w:tab/>
      </w:r>
      <w:r>
        <w:fldChar w:fldCharType="begin"/>
      </w:r>
      <w:r>
        <w:instrText xml:space="preserve"> PAGEREF _Toc263856516 \h </w:instrText>
      </w:r>
      <w:r>
        <w:fldChar w:fldCharType="separate"/>
      </w:r>
      <w:r>
        <w:t>41</w:t>
      </w:r>
      <w:r>
        <w:fldChar w:fldCharType="end"/>
      </w:r>
    </w:p>
    <w:p>
      <w:pPr>
        <w:pStyle w:val="TOC8"/>
        <w:rPr>
          <w:sz w:val="24"/>
          <w:szCs w:val="24"/>
        </w:rPr>
      </w:pPr>
      <w:r>
        <w:rPr>
          <w:szCs w:val="22"/>
        </w:rPr>
        <w:t>8</w:t>
      </w:r>
      <w:r>
        <w:rPr>
          <w:snapToGrid w:val="0"/>
          <w:szCs w:val="22"/>
        </w:rPr>
        <w:t>.</w:t>
      </w:r>
      <w:r>
        <w:rPr>
          <w:snapToGrid w:val="0"/>
          <w:szCs w:val="22"/>
        </w:rPr>
        <w:tab/>
        <w:t>Personal liability of members</w:t>
      </w:r>
      <w:r>
        <w:tab/>
      </w:r>
      <w:r>
        <w:fldChar w:fldCharType="begin"/>
      </w:r>
      <w:r>
        <w:instrText xml:space="preserve"> PAGEREF _Toc263856517 \h </w:instrText>
      </w:r>
      <w:r>
        <w:fldChar w:fldCharType="separate"/>
      </w:r>
      <w:r>
        <w:t>41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Provisions relating to procedure of the Council</w:t>
      </w:r>
    </w:p>
    <w:p>
      <w:pPr>
        <w:pStyle w:val="TOC8"/>
        <w:rPr>
          <w:sz w:val="24"/>
          <w:szCs w:val="24"/>
        </w:rPr>
      </w:pPr>
      <w:r>
        <w:rPr>
          <w:szCs w:val="22"/>
        </w:rPr>
        <w:t>1</w:t>
      </w:r>
      <w:r>
        <w:rPr>
          <w:snapToGrid w:val="0"/>
          <w:szCs w:val="22"/>
        </w:rPr>
        <w:t>.</w:t>
      </w:r>
      <w:r>
        <w:rPr>
          <w:snapToGrid w:val="0"/>
          <w:szCs w:val="22"/>
        </w:rPr>
        <w:tab/>
        <w:t>General procedure</w:t>
      </w:r>
      <w:r>
        <w:tab/>
      </w:r>
      <w:r>
        <w:fldChar w:fldCharType="begin"/>
      </w:r>
      <w:r>
        <w:instrText xml:space="preserve"> PAGEREF _Toc263856519 \h </w:instrText>
      </w:r>
      <w:r>
        <w:fldChar w:fldCharType="separate"/>
      </w:r>
      <w:r>
        <w:t>42</w:t>
      </w:r>
      <w:r>
        <w:fldChar w:fldCharType="end"/>
      </w:r>
    </w:p>
    <w:p>
      <w:pPr>
        <w:pStyle w:val="TOC8"/>
        <w:rPr>
          <w:sz w:val="24"/>
          <w:szCs w:val="24"/>
        </w:rPr>
      </w:pPr>
      <w:r>
        <w:rPr>
          <w:szCs w:val="22"/>
        </w:rPr>
        <w:t>2</w:t>
      </w:r>
      <w:r>
        <w:rPr>
          <w:snapToGrid w:val="0"/>
          <w:szCs w:val="22"/>
        </w:rPr>
        <w:t>.</w:t>
      </w:r>
      <w:r>
        <w:rPr>
          <w:snapToGrid w:val="0"/>
          <w:szCs w:val="22"/>
        </w:rPr>
        <w:tab/>
        <w:t>Quorum</w:t>
      </w:r>
      <w:r>
        <w:tab/>
      </w:r>
      <w:r>
        <w:fldChar w:fldCharType="begin"/>
      </w:r>
      <w:r>
        <w:instrText xml:space="preserve"> PAGEREF _Toc263856520 \h </w:instrText>
      </w:r>
      <w:r>
        <w:fldChar w:fldCharType="separate"/>
      </w:r>
      <w:r>
        <w:t>42</w:t>
      </w:r>
      <w:r>
        <w:fldChar w:fldCharType="end"/>
      </w:r>
    </w:p>
    <w:p>
      <w:pPr>
        <w:pStyle w:val="TOC8"/>
        <w:rPr>
          <w:sz w:val="24"/>
          <w:szCs w:val="24"/>
        </w:rPr>
      </w:pPr>
      <w:r>
        <w:rPr>
          <w:szCs w:val="22"/>
        </w:rPr>
        <w:t>3</w:t>
      </w:r>
      <w:r>
        <w:rPr>
          <w:snapToGrid w:val="0"/>
          <w:szCs w:val="22"/>
        </w:rPr>
        <w:t>.</w:t>
      </w:r>
      <w:r>
        <w:rPr>
          <w:snapToGrid w:val="0"/>
          <w:szCs w:val="22"/>
        </w:rPr>
        <w:tab/>
        <w:t>Presiding member</w:t>
      </w:r>
      <w:r>
        <w:tab/>
      </w:r>
      <w:r>
        <w:fldChar w:fldCharType="begin"/>
      </w:r>
      <w:r>
        <w:instrText xml:space="preserve"> PAGEREF _Toc263856521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First meeting</w:t>
      </w:r>
      <w:r>
        <w:tab/>
      </w:r>
      <w:r>
        <w:fldChar w:fldCharType="begin"/>
      </w:r>
      <w:r>
        <w:instrText xml:space="preserve"> PAGEREF _Toc263856522 \h </w:instrText>
      </w:r>
      <w:r>
        <w:fldChar w:fldCharType="separate"/>
      </w:r>
      <w:r>
        <w:t>42</w:t>
      </w:r>
      <w:r>
        <w:fldChar w:fldCharType="end"/>
      </w:r>
    </w:p>
    <w:p>
      <w:pPr>
        <w:pStyle w:val="TOC2"/>
        <w:tabs>
          <w:tab w:val="right" w:leader="dot" w:pos="7086"/>
        </w:tabs>
        <w:rPr>
          <w:b w:val="0"/>
          <w:sz w:val="24"/>
          <w:szCs w:val="24"/>
        </w:rPr>
      </w:pPr>
      <w:r>
        <w:rPr>
          <w:szCs w:val="28"/>
        </w:rPr>
        <w:t>Schedule 3 — Model Code</w:t>
      </w:r>
    </w:p>
    <w:p>
      <w:pPr>
        <w:pStyle w:val="TOC8"/>
        <w:rPr>
          <w:sz w:val="24"/>
          <w:szCs w:val="24"/>
        </w:rPr>
      </w:pPr>
      <w:r>
        <w:rPr>
          <w:szCs w:val="22"/>
        </w:rPr>
        <w:t>1</w:t>
      </w:r>
      <w:r>
        <w:rPr>
          <w:snapToGrid w:val="0"/>
          <w:szCs w:val="22"/>
        </w:rPr>
        <w:t>.</w:t>
      </w:r>
      <w:r>
        <w:rPr>
          <w:snapToGrid w:val="0"/>
          <w:szCs w:val="22"/>
        </w:rPr>
        <w:tab/>
        <w:t>Citation</w:t>
      </w:r>
      <w:r>
        <w:tab/>
      </w:r>
      <w:r>
        <w:fldChar w:fldCharType="begin"/>
      </w:r>
      <w:r>
        <w:instrText xml:space="preserve"> PAGEREF _Toc263856524 \h </w:instrText>
      </w:r>
      <w:r>
        <w:fldChar w:fldCharType="separate"/>
      </w:r>
      <w:r>
        <w:t>43</w:t>
      </w:r>
      <w:r>
        <w:fldChar w:fldCharType="end"/>
      </w:r>
    </w:p>
    <w:p>
      <w:pPr>
        <w:pStyle w:val="TOC8"/>
        <w:rPr>
          <w:sz w:val="24"/>
          <w:szCs w:val="24"/>
        </w:rPr>
      </w:pPr>
      <w:r>
        <w:rPr>
          <w:szCs w:val="22"/>
        </w:rPr>
        <w:t>2</w:t>
      </w:r>
      <w:r>
        <w:rPr>
          <w:snapToGrid w:val="0"/>
          <w:szCs w:val="22"/>
        </w:rPr>
        <w:t>.</w:t>
      </w:r>
      <w:r>
        <w:rPr>
          <w:snapToGrid w:val="0"/>
          <w:szCs w:val="22"/>
        </w:rPr>
        <w:tab/>
        <w:t>Term used: Council</w:t>
      </w:r>
      <w:r>
        <w:tab/>
      </w:r>
      <w:r>
        <w:fldChar w:fldCharType="begin"/>
      </w:r>
      <w:r>
        <w:instrText xml:space="preserve"> PAGEREF _Toc263856525 \h </w:instrText>
      </w:r>
      <w:r>
        <w:fldChar w:fldCharType="separate"/>
      </w:r>
      <w:r>
        <w:t>43</w:t>
      </w:r>
      <w:r>
        <w:fldChar w:fldCharType="end"/>
      </w:r>
    </w:p>
    <w:p>
      <w:pPr>
        <w:pStyle w:val="TOC8"/>
        <w:rPr>
          <w:sz w:val="24"/>
          <w:szCs w:val="24"/>
        </w:rPr>
      </w:pPr>
      <w:r>
        <w:rPr>
          <w:szCs w:val="22"/>
        </w:rPr>
        <w:t>3</w:t>
      </w:r>
      <w:r>
        <w:rPr>
          <w:snapToGrid w:val="0"/>
          <w:szCs w:val="22"/>
        </w:rPr>
        <w:t>.</w:t>
      </w:r>
      <w:r>
        <w:rPr>
          <w:snapToGrid w:val="0"/>
          <w:szCs w:val="22"/>
        </w:rPr>
        <w:tab/>
        <w:t>Actions that may be the subject of complaint</w:t>
      </w:r>
      <w:r>
        <w:tab/>
      </w:r>
      <w:r>
        <w:fldChar w:fldCharType="begin"/>
      </w:r>
      <w:r>
        <w:instrText xml:space="preserve"> PAGEREF _Toc263856526 \h </w:instrText>
      </w:r>
      <w:r>
        <w:fldChar w:fldCharType="separate"/>
      </w:r>
      <w:r>
        <w:t>43</w:t>
      </w:r>
      <w:r>
        <w:fldChar w:fldCharType="end"/>
      </w:r>
    </w:p>
    <w:p>
      <w:pPr>
        <w:pStyle w:val="TOC8"/>
        <w:rPr>
          <w:sz w:val="24"/>
          <w:szCs w:val="24"/>
        </w:rPr>
      </w:pPr>
      <w:r>
        <w:rPr>
          <w:szCs w:val="22"/>
        </w:rPr>
        <w:t>4</w:t>
      </w:r>
      <w:r>
        <w:rPr>
          <w:snapToGrid w:val="0"/>
          <w:szCs w:val="22"/>
        </w:rPr>
        <w:t>.</w:t>
      </w:r>
      <w:r>
        <w:rPr>
          <w:snapToGrid w:val="0"/>
          <w:szCs w:val="22"/>
        </w:rPr>
        <w:tab/>
        <w:t>Who can make complaint</w:t>
      </w:r>
      <w:r>
        <w:tab/>
      </w:r>
      <w:r>
        <w:fldChar w:fldCharType="begin"/>
      </w:r>
      <w:r>
        <w:instrText xml:space="preserve"> PAGEREF _Toc263856527 \h </w:instrText>
      </w:r>
      <w:r>
        <w:fldChar w:fldCharType="separate"/>
      </w:r>
      <w:r>
        <w:t>43</w:t>
      </w:r>
      <w:r>
        <w:fldChar w:fldCharType="end"/>
      </w:r>
    </w:p>
    <w:p>
      <w:pPr>
        <w:pStyle w:val="TOC8"/>
        <w:rPr>
          <w:sz w:val="24"/>
          <w:szCs w:val="24"/>
        </w:rPr>
      </w:pPr>
      <w:r>
        <w:rPr>
          <w:szCs w:val="22"/>
        </w:rPr>
        <w:t>5</w:t>
      </w:r>
      <w:r>
        <w:rPr>
          <w:snapToGrid w:val="0"/>
          <w:szCs w:val="22"/>
        </w:rPr>
        <w:t>.</w:t>
      </w:r>
      <w:r>
        <w:rPr>
          <w:snapToGrid w:val="0"/>
          <w:szCs w:val="22"/>
        </w:rPr>
        <w:tab/>
        <w:t>How complaint is made</w:t>
      </w:r>
      <w:r>
        <w:tab/>
      </w:r>
      <w:r>
        <w:fldChar w:fldCharType="begin"/>
      </w:r>
      <w:r>
        <w:instrText xml:space="preserve"> PAGEREF _Toc263856528 \h </w:instrText>
      </w:r>
      <w:r>
        <w:fldChar w:fldCharType="separate"/>
      </w:r>
      <w:r>
        <w:t>43</w:t>
      </w:r>
      <w:r>
        <w:fldChar w:fldCharType="end"/>
      </w:r>
    </w:p>
    <w:p>
      <w:pPr>
        <w:pStyle w:val="TOC8"/>
        <w:rPr>
          <w:sz w:val="24"/>
          <w:szCs w:val="24"/>
        </w:rPr>
      </w:pPr>
      <w:r>
        <w:rPr>
          <w:szCs w:val="22"/>
        </w:rPr>
        <w:t>6</w:t>
      </w:r>
      <w:r>
        <w:rPr>
          <w:snapToGrid w:val="0"/>
          <w:szCs w:val="22"/>
        </w:rPr>
        <w:t>.</w:t>
      </w:r>
      <w:r>
        <w:rPr>
          <w:snapToGrid w:val="0"/>
          <w:szCs w:val="22"/>
        </w:rPr>
        <w:tab/>
        <w:t>What happens after complaint is made</w:t>
      </w:r>
      <w:r>
        <w:tab/>
      </w:r>
      <w:r>
        <w:fldChar w:fldCharType="begin"/>
      </w:r>
      <w:r>
        <w:instrText xml:space="preserve"> PAGEREF _Toc263856529 \h </w:instrText>
      </w:r>
      <w:r>
        <w:fldChar w:fldCharType="separate"/>
      </w:r>
      <w:r>
        <w:t>43</w:t>
      </w:r>
      <w:r>
        <w:fldChar w:fldCharType="end"/>
      </w:r>
    </w:p>
    <w:p>
      <w:pPr>
        <w:pStyle w:val="TOC8"/>
        <w:rPr>
          <w:sz w:val="24"/>
          <w:szCs w:val="24"/>
        </w:rPr>
      </w:pPr>
      <w:r>
        <w:rPr>
          <w:szCs w:val="22"/>
        </w:rPr>
        <w:t>7</w:t>
      </w:r>
      <w:r>
        <w:rPr>
          <w:snapToGrid w:val="0"/>
          <w:szCs w:val="22"/>
        </w:rPr>
        <w:t>.</w:t>
      </w:r>
      <w:r>
        <w:rPr>
          <w:snapToGrid w:val="0"/>
          <w:szCs w:val="22"/>
        </w:rPr>
        <w:tab/>
        <w:t>What action may be taken after a hearing into complaint</w:t>
      </w:r>
      <w:r>
        <w:tab/>
      </w:r>
      <w:r>
        <w:fldChar w:fldCharType="begin"/>
      </w:r>
      <w:r>
        <w:instrText xml:space="preserve"> PAGEREF _Toc263856530 \h </w:instrText>
      </w:r>
      <w:r>
        <w:fldChar w:fldCharType="separate"/>
      </w:r>
      <w:r>
        <w:t>44</w:t>
      </w:r>
      <w:r>
        <w:fldChar w:fldCharType="end"/>
      </w:r>
    </w:p>
    <w:p>
      <w:pPr>
        <w:pStyle w:val="TOC8"/>
        <w:rPr>
          <w:sz w:val="24"/>
          <w:szCs w:val="24"/>
        </w:rPr>
      </w:pPr>
      <w:r>
        <w:rPr>
          <w:szCs w:val="22"/>
        </w:rPr>
        <w:t>8</w:t>
      </w:r>
      <w:r>
        <w:rPr>
          <w:snapToGrid w:val="0"/>
          <w:szCs w:val="22"/>
        </w:rPr>
        <w:t>.</w:t>
      </w:r>
      <w:r>
        <w:rPr>
          <w:snapToGrid w:val="0"/>
          <w:szCs w:val="22"/>
        </w:rPr>
        <w:tab/>
        <w:t>Notices of decisions</w:t>
      </w:r>
      <w:r>
        <w:tab/>
      </w:r>
      <w:r>
        <w:fldChar w:fldCharType="begin"/>
      </w:r>
      <w:r>
        <w:instrText xml:space="preserve"> PAGEREF _Toc263856531 \h </w:instrText>
      </w:r>
      <w:r>
        <w:fldChar w:fldCharType="separate"/>
      </w:r>
      <w:r>
        <w:t>44</w:t>
      </w:r>
      <w:r>
        <w:fldChar w:fldCharType="end"/>
      </w:r>
    </w:p>
    <w:p>
      <w:pPr>
        <w:pStyle w:val="TOC8"/>
        <w:rPr>
          <w:sz w:val="24"/>
          <w:szCs w:val="24"/>
        </w:rPr>
      </w:pPr>
      <w:r>
        <w:rPr>
          <w:szCs w:val="22"/>
        </w:rPr>
        <w:t>9</w:t>
      </w:r>
      <w:r>
        <w:rPr>
          <w:snapToGrid w:val="0"/>
          <w:szCs w:val="22"/>
        </w:rPr>
        <w:t>.</w:t>
      </w:r>
      <w:r>
        <w:rPr>
          <w:snapToGrid w:val="0"/>
          <w:szCs w:val="22"/>
        </w:rPr>
        <w:tab/>
        <w:t>Rights of representation of parties to complaint</w:t>
      </w:r>
      <w:r>
        <w:tab/>
      </w:r>
      <w:r>
        <w:fldChar w:fldCharType="begin"/>
      </w:r>
      <w:r>
        <w:instrText xml:space="preserve"> PAGEREF _Toc263856532 \h </w:instrText>
      </w:r>
      <w:r>
        <w:fldChar w:fldCharType="separate"/>
      </w:r>
      <w:r>
        <w:t>45</w:t>
      </w:r>
      <w:r>
        <w:fldChar w:fldCharType="end"/>
      </w:r>
    </w:p>
    <w:p>
      <w:pPr>
        <w:pStyle w:val="TOC8"/>
        <w:rPr>
          <w:sz w:val="24"/>
          <w:szCs w:val="24"/>
        </w:rPr>
      </w:pPr>
      <w:r>
        <w:rPr>
          <w:szCs w:val="22"/>
        </w:rPr>
        <w:t>10</w:t>
      </w:r>
      <w:r>
        <w:rPr>
          <w:snapToGrid w:val="0"/>
          <w:szCs w:val="22"/>
        </w:rPr>
        <w:t>.</w:t>
      </w:r>
      <w:r>
        <w:rPr>
          <w:snapToGrid w:val="0"/>
          <w:szCs w:val="22"/>
        </w:rPr>
        <w:tab/>
        <w:t>How occupational association performs functions under this Code</w:t>
      </w:r>
      <w:r>
        <w:tab/>
      </w:r>
      <w:r>
        <w:fldChar w:fldCharType="begin"/>
      </w:r>
      <w:r>
        <w:instrText xml:space="preserve"> PAGEREF _Toc263856533 \h </w:instrText>
      </w:r>
      <w:r>
        <w:fldChar w:fldCharType="separate"/>
      </w:r>
      <w:r>
        <w:t>45</w:t>
      </w:r>
      <w:r>
        <w:fldChar w:fldCharType="end"/>
      </w:r>
    </w:p>
    <w:p>
      <w:pPr>
        <w:pStyle w:val="TOC8"/>
        <w:rPr>
          <w:sz w:val="24"/>
          <w:szCs w:val="24"/>
        </w:rPr>
      </w:pPr>
      <w:r>
        <w:rPr>
          <w:szCs w:val="22"/>
        </w:rPr>
        <w:t>11.</w:t>
      </w:r>
      <w:r>
        <w:rPr>
          <w:szCs w:val="22"/>
        </w:rPr>
        <w:tab/>
        <w:t>Protection from liability</w:t>
      </w:r>
      <w:r>
        <w:tab/>
      </w:r>
      <w:r>
        <w:fldChar w:fldCharType="begin"/>
      </w:r>
      <w:r>
        <w:instrText xml:space="preserve"> PAGEREF _Toc263856534 \h </w:instrText>
      </w:r>
      <w:r>
        <w:fldChar w:fldCharType="separate"/>
      </w:r>
      <w:r>
        <w:t>45</w:t>
      </w:r>
      <w:r>
        <w:fldChar w:fldCharType="end"/>
      </w:r>
    </w:p>
    <w:p>
      <w:pPr>
        <w:pStyle w:val="TOC2"/>
        <w:tabs>
          <w:tab w:val="right" w:leader="dot" w:pos="7086"/>
        </w:tabs>
        <w:rPr>
          <w:b w:val="0"/>
          <w:sz w:val="24"/>
          <w:szCs w:val="24"/>
        </w:rPr>
      </w:pPr>
      <w:r>
        <w:rPr>
          <w:szCs w:val="28"/>
        </w:rPr>
        <w:t>Schedule 4 — Savings, transitional and other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relating to the </w:t>
      </w:r>
      <w:r>
        <w:rPr>
          <w:i/>
          <w:iCs/>
          <w:szCs w:val="24"/>
        </w:rPr>
        <w:t>Professional Standards Amendment Act 2004</w:t>
      </w:r>
    </w:p>
    <w:p>
      <w:pPr>
        <w:pStyle w:val="TOC8"/>
        <w:rPr>
          <w:sz w:val="24"/>
          <w:szCs w:val="24"/>
        </w:rPr>
      </w:pPr>
      <w:r>
        <w:rPr>
          <w:szCs w:val="22"/>
        </w:rPr>
        <w:t>1.</w:t>
      </w:r>
      <w:r>
        <w:rPr>
          <w:szCs w:val="22"/>
        </w:rPr>
        <w:tab/>
        <w:t>Terms used</w:t>
      </w:r>
      <w:r>
        <w:tab/>
      </w:r>
      <w:r>
        <w:fldChar w:fldCharType="begin"/>
      </w:r>
      <w:r>
        <w:instrText xml:space="preserve"> PAGEREF _Toc263856537 \h </w:instrText>
      </w:r>
      <w:r>
        <w:fldChar w:fldCharType="separate"/>
      </w:r>
      <w:r>
        <w:t>46</w:t>
      </w:r>
      <w:r>
        <w:fldChar w:fldCharType="end"/>
      </w:r>
    </w:p>
    <w:p>
      <w:pPr>
        <w:pStyle w:val="TOC8"/>
        <w:rPr>
          <w:sz w:val="24"/>
          <w:szCs w:val="24"/>
        </w:rPr>
      </w:pPr>
      <w:r>
        <w:rPr>
          <w:szCs w:val="22"/>
        </w:rPr>
        <w:t>2.</w:t>
      </w:r>
      <w:r>
        <w:rPr>
          <w:szCs w:val="22"/>
        </w:rPr>
        <w:tab/>
        <w:t>Review of schemes</w:t>
      </w:r>
      <w:r>
        <w:tab/>
      </w:r>
      <w:r>
        <w:fldChar w:fldCharType="begin"/>
      </w:r>
      <w:r>
        <w:instrText xml:space="preserve"> PAGEREF _Toc263856538 \h </w:instrText>
      </w:r>
      <w:r>
        <w:fldChar w:fldCharType="separate"/>
      </w:r>
      <w:r>
        <w:t>46</w:t>
      </w:r>
      <w:r>
        <w:fldChar w:fldCharType="end"/>
      </w:r>
    </w:p>
    <w:p>
      <w:pPr>
        <w:pStyle w:val="TOC8"/>
        <w:rPr>
          <w:sz w:val="24"/>
          <w:szCs w:val="24"/>
        </w:rPr>
      </w:pPr>
      <w:r>
        <w:rPr>
          <w:szCs w:val="22"/>
        </w:rPr>
        <w:t>3.</w:t>
      </w:r>
      <w:r>
        <w:rPr>
          <w:szCs w:val="22"/>
        </w:rPr>
        <w:tab/>
        <w:t>Limitation of damages in respect of subsisting causes of action</w:t>
      </w:r>
      <w:r>
        <w:tab/>
      </w:r>
      <w:r>
        <w:fldChar w:fldCharType="begin"/>
      </w:r>
      <w:r>
        <w:instrText xml:space="preserve"> PAGEREF _Toc263856539 \h </w:instrText>
      </w:r>
      <w:r>
        <w:fldChar w:fldCharType="separate"/>
      </w:r>
      <w:r>
        <w:t>46</w:t>
      </w:r>
      <w:r>
        <w:fldChar w:fldCharType="end"/>
      </w:r>
    </w:p>
    <w:p>
      <w:pPr>
        <w:pStyle w:val="TOC8"/>
        <w:rPr>
          <w:sz w:val="24"/>
          <w:szCs w:val="24"/>
        </w:rPr>
      </w:pPr>
      <w:r>
        <w:rPr>
          <w:szCs w:val="22"/>
        </w:rPr>
        <w:t>4.</w:t>
      </w:r>
      <w:r>
        <w:rPr>
          <w:szCs w:val="22"/>
        </w:rPr>
        <w:tab/>
        <w:t>Determination of extent of limitation of damages</w:t>
      </w:r>
      <w:r>
        <w:tab/>
      </w:r>
      <w:r>
        <w:fldChar w:fldCharType="begin"/>
      </w:r>
      <w:r>
        <w:instrText xml:space="preserve"> PAGEREF _Toc263856540 \h </w:instrText>
      </w:r>
      <w:r>
        <w:fldChar w:fldCharType="separate"/>
      </w:r>
      <w:r>
        <w:t>47</w:t>
      </w:r>
      <w:r>
        <w:fldChar w:fldCharType="end"/>
      </w:r>
    </w:p>
    <w:p>
      <w:pPr>
        <w:pStyle w:val="TOC8"/>
        <w:rPr>
          <w:sz w:val="24"/>
          <w:szCs w:val="24"/>
        </w:rPr>
      </w:pPr>
      <w:r>
        <w:rPr>
          <w:szCs w:val="22"/>
        </w:rPr>
        <w:t>5.</w:t>
      </w:r>
      <w:r>
        <w:rPr>
          <w:szCs w:val="22"/>
        </w:rPr>
        <w:tab/>
        <w:t>Fees for applications for approval of amendment to or revocation of scheme</w:t>
      </w:r>
      <w:r>
        <w:tab/>
      </w:r>
      <w:r>
        <w:fldChar w:fldCharType="begin"/>
      </w:r>
      <w:r>
        <w:instrText xml:space="preserve"> PAGEREF _Toc263856541 \h </w:instrText>
      </w:r>
      <w:r>
        <w:fldChar w:fldCharType="separate"/>
      </w:r>
      <w:r>
        <w:t>47</w:t>
      </w:r>
      <w:r>
        <w:fldChar w:fldCharType="end"/>
      </w:r>
    </w:p>
    <w:p>
      <w:pPr>
        <w:pStyle w:val="TOC8"/>
        <w:rPr>
          <w:sz w:val="24"/>
          <w:szCs w:val="24"/>
        </w:rPr>
      </w:pPr>
      <w:r>
        <w:rPr>
          <w:szCs w:val="22"/>
        </w:rPr>
        <w:t>6.</w:t>
      </w:r>
      <w:r>
        <w:rPr>
          <w:szCs w:val="22"/>
        </w:rPr>
        <w:tab/>
        <w:t>Regulations for savings or transitional purposes</w:t>
      </w:r>
      <w:r>
        <w:tab/>
      </w:r>
      <w:r>
        <w:fldChar w:fldCharType="begin"/>
      </w:r>
      <w:r>
        <w:instrText xml:space="preserve"> PAGEREF _Toc263856542 \h </w:instrText>
      </w:r>
      <w:r>
        <w:fldChar w:fldCharType="separate"/>
      </w:r>
      <w:r>
        <w:t>47</w:t>
      </w:r>
      <w:r>
        <w:fldChar w:fldCharType="end"/>
      </w:r>
    </w:p>
    <w:p>
      <w:pPr>
        <w:pStyle w:val="TOC4"/>
        <w:tabs>
          <w:tab w:val="right" w:leader="dot" w:pos="7086"/>
        </w:tabs>
        <w:rPr>
          <w:b w:val="0"/>
          <w:sz w:val="24"/>
          <w:szCs w:val="24"/>
        </w:rPr>
      </w:pPr>
      <w:r>
        <w:rPr>
          <w:szCs w:val="24"/>
        </w:rPr>
        <w:t>Division 2</w:t>
      </w:r>
      <w:r>
        <w:rPr>
          <w:b w:val="0"/>
          <w:szCs w:val="24"/>
        </w:rPr>
        <w:t> — </w:t>
      </w:r>
      <w:r>
        <w:rPr>
          <w:szCs w:val="24"/>
        </w:rPr>
        <w:t xml:space="preserve">Provisions relating to the </w:t>
      </w:r>
      <w:r>
        <w:rPr>
          <w:i/>
          <w:iCs/>
          <w:szCs w:val="24"/>
        </w:rPr>
        <w:t>Professional Standards Amendment Act 2010</w:t>
      </w:r>
    </w:p>
    <w:p>
      <w:pPr>
        <w:pStyle w:val="TOC8"/>
        <w:rPr>
          <w:sz w:val="24"/>
          <w:szCs w:val="24"/>
        </w:rPr>
      </w:pPr>
      <w:r>
        <w:rPr>
          <w:szCs w:val="22"/>
        </w:rPr>
        <w:t>7.</w:t>
      </w:r>
      <w:r>
        <w:rPr>
          <w:szCs w:val="22"/>
        </w:rPr>
        <w:tab/>
        <w:t>Terms used</w:t>
      </w:r>
      <w:r>
        <w:tab/>
      </w:r>
      <w:r>
        <w:fldChar w:fldCharType="begin"/>
      </w:r>
      <w:r>
        <w:instrText xml:space="preserve"> PAGEREF _Toc263856544 \h </w:instrText>
      </w:r>
      <w:r>
        <w:fldChar w:fldCharType="separate"/>
      </w:r>
      <w:r>
        <w:t>48</w:t>
      </w:r>
      <w:r>
        <w:fldChar w:fldCharType="end"/>
      </w:r>
    </w:p>
    <w:p>
      <w:pPr>
        <w:pStyle w:val="TOC8"/>
        <w:rPr>
          <w:sz w:val="24"/>
          <w:szCs w:val="24"/>
        </w:rPr>
      </w:pPr>
      <w:r>
        <w:rPr>
          <w:szCs w:val="22"/>
        </w:rPr>
        <w:t>8.</w:t>
      </w:r>
      <w:r>
        <w:rPr>
          <w:szCs w:val="22"/>
        </w:rPr>
        <w:tab/>
        <w:t>Personal injury claims</w:t>
      </w:r>
      <w:r>
        <w:tab/>
      </w:r>
      <w:r>
        <w:fldChar w:fldCharType="begin"/>
      </w:r>
      <w:r>
        <w:instrText xml:space="preserve"> PAGEREF _Toc263856545 \h </w:instrText>
      </w:r>
      <w:r>
        <w:fldChar w:fldCharType="separate"/>
      </w:r>
      <w:r>
        <w:t>48</w:t>
      </w:r>
      <w:r>
        <w:fldChar w:fldCharType="end"/>
      </w:r>
    </w:p>
    <w:p>
      <w:pPr>
        <w:pStyle w:val="TOC8"/>
        <w:rPr>
          <w:sz w:val="24"/>
          <w:szCs w:val="24"/>
        </w:rPr>
      </w:pPr>
      <w:r>
        <w:rPr>
          <w:szCs w:val="22"/>
        </w:rPr>
        <w:t>9.</w:t>
      </w:r>
      <w:r>
        <w:rPr>
          <w:szCs w:val="22"/>
        </w:rPr>
        <w:tab/>
        <w:t>Application of schemes to officers, partners, employees and associates</w:t>
      </w:r>
      <w:r>
        <w:tab/>
      </w:r>
      <w:r>
        <w:fldChar w:fldCharType="begin"/>
      </w:r>
      <w:r>
        <w:instrText xml:space="preserve"> PAGEREF _Toc263856546 \h </w:instrText>
      </w:r>
      <w:r>
        <w:fldChar w:fldCharType="separate"/>
      </w:r>
      <w:r>
        <w:t>48</w:t>
      </w:r>
      <w:r>
        <w:fldChar w:fldCharType="end"/>
      </w:r>
    </w:p>
    <w:p>
      <w:pPr>
        <w:pStyle w:val="TOC8"/>
        <w:rPr>
          <w:sz w:val="24"/>
          <w:szCs w:val="24"/>
        </w:rPr>
      </w:pPr>
      <w:r>
        <w:rPr>
          <w:szCs w:val="22"/>
        </w:rPr>
        <w:t>10.</w:t>
      </w:r>
      <w:r>
        <w:rPr>
          <w:szCs w:val="22"/>
        </w:rPr>
        <w:tab/>
        <w:t>Associated defendants</w:t>
      </w:r>
      <w:r>
        <w:tab/>
      </w:r>
      <w:r>
        <w:fldChar w:fldCharType="begin"/>
      </w:r>
      <w:r>
        <w:instrText xml:space="preserve"> PAGEREF _Toc263856547 \h </w:instrText>
      </w:r>
      <w:r>
        <w:fldChar w:fldCharType="separate"/>
      </w:r>
      <w:r>
        <w:t>48</w:t>
      </w:r>
      <w:r>
        <w:fldChar w:fldCharType="end"/>
      </w:r>
    </w:p>
    <w:p>
      <w:pPr>
        <w:pStyle w:val="TOC8"/>
        <w:rPr>
          <w:sz w:val="24"/>
          <w:szCs w:val="24"/>
        </w:rPr>
      </w:pPr>
      <w:r>
        <w:rPr>
          <w:szCs w:val="22"/>
        </w:rPr>
        <w:t>11.</w:t>
      </w:r>
      <w:r>
        <w:rPr>
          <w:szCs w:val="22"/>
        </w:rPr>
        <w:tab/>
        <w:t>Expiry date of existing schemes</w:t>
      </w:r>
      <w:r>
        <w:tab/>
      </w:r>
      <w:r>
        <w:fldChar w:fldCharType="begin"/>
      </w:r>
      <w:r>
        <w:instrText xml:space="preserve"> PAGEREF _Toc263856548 \h </w:instrText>
      </w:r>
      <w:r>
        <w:fldChar w:fldCharType="separate"/>
      </w:r>
      <w:r>
        <w:t>48</w:t>
      </w:r>
      <w:r>
        <w:fldChar w:fldCharType="end"/>
      </w:r>
    </w:p>
    <w:p>
      <w:pPr>
        <w:pStyle w:val="TOC8"/>
        <w:rPr>
          <w:sz w:val="24"/>
          <w:szCs w:val="24"/>
        </w:rPr>
      </w:pPr>
      <w:r>
        <w:rPr>
          <w:szCs w:val="22"/>
        </w:rPr>
        <w:t>12.</w:t>
      </w:r>
      <w:r>
        <w:rPr>
          <w:szCs w:val="22"/>
        </w:rPr>
        <w:tab/>
        <w:t>Application of clause 6</w:t>
      </w:r>
      <w:r>
        <w:tab/>
      </w:r>
      <w:r>
        <w:fldChar w:fldCharType="begin"/>
      </w:r>
      <w:r>
        <w:instrText xml:space="preserve"> PAGEREF _Toc263856549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_Toc263856551 \h </w:instrText>
      </w:r>
      <w:r>
        <w:fldChar w:fldCharType="separate"/>
      </w:r>
      <w:r>
        <w:t>50</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11</w:t>
            </w:r>
            <w:r>
              <w:rPr>
                <w:b/>
                <w:snapToGrid w:val="0"/>
                <w:sz w:val="22"/>
              </w:rPr>
              <w:t xml:space="preserve"> June 2010</w:t>
            </w:r>
            <w:r>
              <w:rPr>
                <w:b/>
                <w:sz w:val="22"/>
              </w:rPr>
              <w:fldChar w:fldCharType="end"/>
            </w:r>
          </w:p>
        </w:tc>
      </w:tr>
    </w:tbl>
    <w:p>
      <w:pPr>
        <w:pStyle w:val="WA"/>
        <w:spacing w:before="120"/>
      </w:pPr>
      <w:r>
        <w:t>Western Australia</w:t>
      </w:r>
    </w:p>
    <w:p>
      <w:pPr>
        <w:pStyle w:val="NameofActReg"/>
      </w:pPr>
      <w:r>
        <w:t>Professional Standards Act 1997</w:t>
      </w:r>
    </w:p>
    <w:p>
      <w:pPr>
        <w:pStyle w:val="LongTitle"/>
        <w:rPr>
          <w:snapToGrid w:val="0"/>
        </w:rPr>
      </w:pPr>
      <w:r>
        <w:rPr>
          <w:snapToGrid w:val="0"/>
        </w:rPr>
        <w:t>An Act to provide for the limitation of liability of members of occupational associations in certain circumstances and to facilitate improvement in the standards of services provided by those members.</w:t>
      </w:r>
    </w:p>
    <w:p>
      <w:pPr>
        <w:pStyle w:val="Heading2"/>
      </w:pPr>
      <w:bookmarkStart w:id="4" w:name="_Toc84237310"/>
      <w:bookmarkStart w:id="5" w:name="_Toc84308741"/>
      <w:bookmarkStart w:id="6" w:name="_Toc89584247"/>
      <w:bookmarkStart w:id="7" w:name="_Toc89584436"/>
      <w:bookmarkStart w:id="8" w:name="_Toc94348648"/>
      <w:bookmarkStart w:id="9" w:name="_Toc94418912"/>
      <w:bookmarkStart w:id="10" w:name="_Toc95890564"/>
      <w:bookmarkStart w:id="11" w:name="_Toc95894089"/>
      <w:bookmarkStart w:id="12" w:name="_Toc97618169"/>
      <w:bookmarkStart w:id="13" w:name="_Toc97622541"/>
      <w:bookmarkStart w:id="14" w:name="_Toc98316096"/>
      <w:bookmarkStart w:id="15" w:name="_Toc98320694"/>
      <w:bookmarkStart w:id="16" w:name="_Toc98648012"/>
      <w:bookmarkStart w:id="17" w:name="_Toc101842661"/>
      <w:bookmarkStart w:id="18" w:name="_Toc102369278"/>
      <w:bookmarkStart w:id="19" w:name="_Toc102453094"/>
      <w:bookmarkStart w:id="20" w:name="_Toc102538295"/>
      <w:bookmarkStart w:id="21" w:name="_Toc139338609"/>
      <w:bookmarkStart w:id="22" w:name="_Toc139338719"/>
      <w:bookmarkStart w:id="23" w:name="_Toc139338832"/>
      <w:bookmarkStart w:id="24" w:name="_Toc139434191"/>
      <w:bookmarkStart w:id="25" w:name="_Toc139439144"/>
      <w:bookmarkStart w:id="26" w:name="_Toc139439254"/>
      <w:bookmarkStart w:id="27" w:name="_Toc139439212"/>
      <w:bookmarkStart w:id="28" w:name="_Toc157997482"/>
      <w:bookmarkStart w:id="29" w:name="_Toc158000428"/>
      <w:bookmarkStart w:id="30" w:name="_Toc241056387"/>
      <w:bookmarkStart w:id="31" w:name="_Toc258420311"/>
      <w:bookmarkStart w:id="32" w:name="_Toc258424782"/>
      <w:bookmarkStart w:id="33" w:name="_Toc259529927"/>
      <w:bookmarkStart w:id="34" w:name="_Toc259530050"/>
      <w:bookmarkStart w:id="35" w:name="_Toc263761816"/>
      <w:bookmarkStart w:id="36" w:name="_Toc263856305"/>
      <w:bookmarkStart w:id="37" w:name="_Toc26385642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18485425"/>
      <w:bookmarkStart w:id="39" w:name="_Toc139338610"/>
      <w:bookmarkStart w:id="40" w:name="_Toc263856430"/>
      <w:r>
        <w:rPr>
          <w:rStyle w:val="CharSectno"/>
        </w:rPr>
        <w:t>1</w:t>
      </w:r>
      <w:r>
        <w:rPr>
          <w:snapToGrid w:val="0"/>
        </w:rPr>
        <w:t>.</w:t>
      </w:r>
      <w:r>
        <w:rPr>
          <w:snapToGrid w:val="0"/>
        </w:rPr>
        <w:tab/>
        <w:t>Short title</w:t>
      </w:r>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41" w:name="_Toc418485426"/>
      <w:bookmarkStart w:id="42" w:name="_Toc139338611"/>
      <w:bookmarkStart w:id="43" w:name="_Toc263856431"/>
      <w:r>
        <w:rPr>
          <w:rStyle w:val="CharSectno"/>
        </w:rPr>
        <w:t>2</w:t>
      </w:r>
      <w:r>
        <w:rPr>
          <w:snapToGrid w:val="0"/>
        </w:rPr>
        <w:t>.</w:t>
      </w:r>
      <w:r>
        <w:rPr>
          <w:snapToGrid w:val="0"/>
        </w:rPr>
        <w:tab/>
        <w:t>Commencement</w:t>
      </w:r>
      <w:bookmarkEnd w:id="41"/>
      <w:bookmarkEnd w:id="42"/>
      <w:bookmarkEnd w:id="4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44" w:name="_Toc418485427"/>
      <w:bookmarkStart w:id="45" w:name="_Toc139338612"/>
      <w:bookmarkStart w:id="46" w:name="_Toc263856432"/>
      <w:r>
        <w:rPr>
          <w:rStyle w:val="CharSectno"/>
        </w:rPr>
        <w:t>3</w:t>
      </w:r>
      <w:r>
        <w:rPr>
          <w:snapToGrid w:val="0"/>
        </w:rPr>
        <w:t>.</w:t>
      </w:r>
      <w:r>
        <w:rPr>
          <w:snapToGrid w:val="0"/>
        </w:rPr>
        <w:tab/>
        <w:t>Objects of this Act</w:t>
      </w:r>
      <w:bookmarkEnd w:id="44"/>
      <w:bookmarkEnd w:id="45"/>
      <w:bookmarkEnd w:id="46"/>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47" w:name="_Toc418485428"/>
      <w:bookmarkStart w:id="48" w:name="_Toc139338613"/>
      <w:bookmarkStart w:id="49" w:name="_Toc263856433"/>
      <w:r>
        <w:rPr>
          <w:rStyle w:val="CharSectno"/>
        </w:rPr>
        <w:t>4</w:t>
      </w:r>
      <w:r>
        <w:rPr>
          <w:snapToGrid w:val="0"/>
        </w:rPr>
        <w:t>.</w:t>
      </w:r>
      <w:r>
        <w:rPr>
          <w:snapToGrid w:val="0"/>
        </w:rPr>
        <w:tab/>
      </w:r>
      <w:bookmarkEnd w:id="47"/>
      <w:bookmarkEnd w:id="48"/>
      <w:r>
        <w:rPr>
          <w:snapToGrid w:val="0"/>
        </w:rPr>
        <w:t>Terms used</w:t>
      </w:r>
      <w:bookmarkEnd w:id="4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another jurisdiction</w:t>
      </w:r>
      <w:r>
        <w:t xml:space="preserve"> means any State or Territory, other than this jurisdiction;</w:t>
      </w:r>
    </w:p>
    <w:p>
      <w:pPr>
        <w:pStyle w:val="Defstart"/>
      </w:pPr>
      <w:r>
        <w:rPr>
          <w:b/>
        </w:rPr>
        <w:tab/>
      </w:r>
      <w:r>
        <w:rPr>
          <w:rStyle w:val="CharDefText"/>
        </w:rPr>
        <w:t>appropriate Council</w:t>
      </w:r>
      <w:r>
        <w:t>, in relation to another jurisdiction, means the authority that, under the corresponding law of that jurisdiction, has functions that are substantially the same as the Council’s functions under this Act;</w:t>
      </w:r>
    </w:p>
    <w:p>
      <w:pPr>
        <w:pStyle w:val="Defstart"/>
      </w:pPr>
      <w:r>
        <w:rPr>
          <w:b/>
        </w:rPr>
        <w:tab/>
      </w:r>
      <w:r>
        <w:rPr>
          <w:rStyle w:val="CharDefText"/>
        </w:rPr>
        <w:t>business assets</w:t>
      </w:r>
      <w:r>
        <w:t xml:space="preserve"> means the property of a person that is used in the performance of the person’s occupation and that is able to be taken in proceedings to enforce a judgment of a court;</w:t>
      </w:r>
    </w:p>
    <w:p>
      <w:pPr>
        <w:pStyle w:val="Defstart"/>
      </w:pPr>
      <w:r>
        <w:rPr>
          <w:b/>
        </w:rPr>
        <w:tab/>
      </w:r>
      <w:r>
        <w:rPr>
          <w:rStyle w:val="CharDefText"/>
        </w:rPr>
        <w:t>corresponding law</w:t>
      </w:r>
      <w:r>
        <w:t xml:space="preserve"> means a law of another jurisdiction that corresponds to this Act, and includes a law of another jurisdiction that is declared by the regulations to be a corresponding law of that jurisdiction for the purposes of this Act;</w:t>
      </w:r>
    </w:p>
    <w:p>
      <w:pPr>
        <w:pStyle w:val="Defstart"/>
      </w:pPr>
      <w:r>
        <w:rPr>
          <w:b/>
        </w:rPr>
        <w:tab/>
      </w:r>
      <w:r>
        <w:rPr>
          <w:rStyle w:val="CharDefText"/>
        </w:rPr>
        <w:t>costs</w:t>
      </w:r>
      <w:r>
        <w:t xml:space="preserve"> includes fees, charges, disbursements and expenses;</w:t>
      </w:r>
    </w:p>
    <w:p>
      <w:pPr>
        <w:pStyle w:val="Defstart"/>
      </w:pPr>
      <w:r>
        <w:rPr>
          <w:b/>
        </w:rPr>
        <w:tab/>
      </w:r>
      <w:r>
        <w:rPr>
          <w:rStyle w:val="CharDefText"/>
        </w:rPr>
        <w:t>Council</w:t>
      </w:r>
      <w:r>
        <w:t xml:space="preserve"> means the Professional Standards Council established by section 8;</w:t>
      </w:r>
    </w:p>
    <w:p>
      <w:pPr>
        <w:pStyle w:val="Defstart"/>
      </w:pPr>
      <w:r>
        <w:rPr>
          <w:b/>
        </w:rPr>
        <w:tab/>
      </w:r>
      <w:r>
        <w:rPr>
          <w:rStyle w:val="CharDefText"/>
        </w:rPr>
        <w:t>court</w:t>
      </w:r>
      <w:r>
        <w:t xml:space="preserve"> includes an arbitrator;</w:t>
      </w:r>
    </w:p>
    <w:p>
      <w:pPr>
        <w:pStyle w:val="Defstart"/>
      </w:pPr>
      <w:r>
        <w:rPr>
          <w:b/>
        </w:rPr>
        <w:tab/>
      </w:r>
      <w:r>
        <w:rPr>
          <w:rStyle w:val="CharDefText"/>
        </w:rPr>
        <w:t>damages</w:t>
      </w:r>
      <w:r>
        <w:t xml:space="preserve"> means — </w:t>
      </w:r>
    </w:p>
    <w:p>
      <w:pPr>
        <w:pStyle w:val="Defpara"/>
      </w:pPr>
      <w:r>
        <w:tab/>
        <w:t>(a)</w:t>
      </w:r>
      <w:r>
        <w:tab/>
        <w:t>damages awarded in respect of a claim or counter</w:t>
      </w:r>
      <w:r>
        <w:noBreakHyphen/>
        <w:t>claim or claim by way of set</w:t>
      </w:r>
      <w:r>
        <w:noBreakHyphen/>
        <w:t>off; and</w:t>
      </w:r>
    </w:p>
    <w:p>
      <w:pPr>
        <w:pStyle w:val="Defpara"/>
      </w:pPr>
      <w:r>
        <w:tab/>
        <w:t>(b)</w:t>
      </w:r>
      <w:r>
        <w:tab/>
        <w:t>costs in or in relation to the proceedings ordered to be paid in connection with such an award (other than costs incurred in enforcing a judgment or incurred on an appeal made by the defendant); and</w:t>
      </w:r>
    </w:p>
    <w:p>
      <w:pPr>
        <w:pStyle w:val="Defpara"/>
      </w:pPr>
      <w:r>
        <w:tab/>
        <w:t>(c)</w:t>
      </w:r>
      <w:r>
        <w:tab/>
        <w:t>any interest payable on the amount of those damages or costs;</w:t>
      </w:r>
    </w:p>
    <w:p>
      <w:pPr>
        <w:pStyle w:val="Defstart"/>
      </w:pPr>
      <w:r>
        <w:rPr>
          <w:b/>
        </w:rPr>
        <w:tab/>
      </w:r>
      <w:r>
        <w:rPr>
          <w:rStyle w:val="CharDefText"/>
        </w:rPr>
        <w:t>interstate scheme</w:t>
      </w:r>
      <w:r>
        <w:t xml:space="preserve"> means a scheme — </w:t>
      </w:r>
    </w:p>
    <w:p>
      <w:pPr>
        <w:pStyle w:val="Defpara"/>
      </w:pPr>
      <w:r>
        <w:tab/>
        <w:t>(a)</w:t>
      </w:r>
      <w:r>
        <w:tab/>
        <w:t>that has been prepared under the corresponding law of another jurisdiction; and</w:t>
      </w:r>
    </w:p>
    <w:p>
      <w:pPr>
        <w:pStyle w:val="Defpara"/>
      </w:pPr>
      <w:r>
        <w:tab/>
        <w:t>(b)</w:t>
      </w:r>
      <w:r>
        <w:tab/>
        <w:t>that operates, or indicates an intention to operate, as a scheme of this jurisdiction;</w:t>
      </w:r>
    </w:p>
    <w:p>
      <w:pPr>
        <w:pStyle w:val="Defstart"/>
      </w:pPr>
      <w:r>
        <w:rPr>
          <w:b/>
        </w:rPr>
        <w:tab/>
      </w:r>
      <w:r>
        <w:rPr>
          <w:rStyle w:val="CharDefText"/>
        </w:rPr>
        <w:t>judgment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r>
      <w:r>
        <w:rPr>
          <w:rStyle w:val="CharDefText"/>
        </w:rPr>
        <w:t>occupational association</w:t>
      </w:r>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tab/>
        <w:t>(b)</w:t>
      </w:r>
      <w:r>
        <w:tab/>
        <w:t>the membership of which is limited principally to members of that occupational group or those occupational groups;</w:t>
      </w:r>
    </w:p>
    <w:p>
      <w:pPr>
        <w:pStyle w:val="Defstart"/>
      </w:pPr>
      <w:r>
        <w:rPr>
          <w:b/>
        </w:rPr>
        <w:tab/>
      </w:r>
      <w:r>
        <w:rPr>
          <w:rStyle w:val="CharDefText"/>
        </w:rPr>
        <w:t>occupational group</w:t>
      </w:r>
      <w:r>
        <w:t xml:space="preserve"> includes a professional group and a trade group;</w:t>
      </w:r>
    </w:p>
    <w:p>
      <w:pPr>
        <w:pStyle w:val="Defstart"/>
      </w:pPr>
      <w:r>
        <w:rPr>
          <w:b/>
        </w:rPr>
        <w:tab/>
      </w:r>
      <w:r>
        <w:rPr>
          <w:rStyle w:val="CharDefText"/>
        </w:rPr>
        <w:t>occupational liability</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r>
      <w:r>
        <w:rPr>
          <w:rStyle w:val="CharDefText"/>
        </w:rPr>
        <w:t>partner</w:t>
      </w:r>
      <w:r>
        <w:t xml:space="preserve"> has the same meaning as it has in the </w:t>
      </w:r>
      <w:r>
        <w:rPr>
          <w:i/>
        </w:rPr>
        <w:t>Partnership Act 1895</w:t>
      </w:r>
      <w:r>
        <w:t>;</w:t>
      </w:r>
    </w:p>
    <w:p>
      <w:pPr>
        <w:pStyle w:val="Defstart"/>
      </w:pPr>
      <w:r>
        <w:rPr>
          <w:b/>
        </w:rPr>
        <w:tab/>
      </w:r>
      <w:r>
        <w:rPr>
          <w:rStyle w:val="CharDefText"/>
        </w:rPr>
        <w:t>scheme</w:t>
      </w:r>
      <w:r>
        <w:t xml:space="preserve"> means a scheme for limiting the occupational liability of members of an occupational association, and includes an interstate scheme;</w:t>
      </w:r>
    </w:p>
    <w:p>
      <w:pPr>
        <w:pStyle w:val="Defstart"/>
      </w:pPr>
      <w:r>
        <w:rPr>
          <w:b/>
        </w:rPr>
        <w:tab/>
      </w:r>
      <w:r>
        <w:rPr>
          <w:rStyle w:val="CharDefText"/>
        </w:rPr>
        <w:t>this jurisdiction</w:t>
      </w:r>
      <w:r>
        <w:t xml:space="preserve"> means Western Australia.</w:t>
      </w:r>
    </w:p>
    <w:p>
      <w:pPr>
        <w:pStyle w:val="Subsection"/>
      </w:pPr>
      <w:r>
        <w:tab/>
        <w:t>(2)</w:t>
      </w:r>
      <w:r>
        <w:tab/>
        <w:t xml:space="preserve">When this Act refers to the </w:t>
      </w:r>
      <w:r>
        <w:rPr>
          <w:b/>
          <w:bCs/>
          <w:i/>
          <w:iCs/>
        </w:rPr>
        <w:t>amount payable</w:t>
      </w:r>
      <w:r>
        <w:t xml:space="preserve"> under an insurance policy in respect of an occupational liability it includes — </w:t>
      </w:r>
    </w:p>
    <w:p>
      <w:pPr>
        <w:pStyle w:val="Indenta"/>
      </w:pPr>
      <w:r>
        <w:tab/>
        <w:t>(a)</w:t>
      </w:r>
      <w:r>
        <w:tab/>
        <w:t>defence costs payable in respect of a claim, or notification that may lead to a claim (other than reimbursement of the defendant for time spent in relation to the claim), but only if those costs are payable out of the one sum insured under the policy in respect of the occupational liability; and</w:t>
      </w:r>
    </w:p>
    <w:p>
      <w:pPr>
        <w:pStyle w:val="Indenta"/>
      </w:pPr>
      <w:r>
        <w:tab/>
        <w:t>(b)</w:t>
      </w:r>
      <w:r>
        <w:tab/>
        <w:t>the amount payable under or in relation to the policy by way of excess.</w:t>
      </w:r>
    </w:p>
    <w:p>
      <w:pPr>
        <w:pStyle w:val="Footnotesection"/>
      </w:pPr>
      <w:r>
        <w:tab/>
        <w:t>[Section 4 amended by No. 74 of 2003 s. 144(2); No. 25 of 2004 s. 4; No. 3 of 2010 s. 4 and 10.]</w:t>
      </w:r>
    </w:p>
    <w:p>
      <w:pPr>
        <w:pStyle w:val="Heading5"/>
        <w:rPr>
          <w:snapToGrid w:val="0"/>
        </w:rPr>
      </w:pPr>
      <w:bookmarkStart w:id="50" w:name="_Toc418485429"/>
      <w:bookmarkStart w:id="51" w:name="_Toc139338614"/>
      <w:bookmarkStart w:id="52" w:name="_Toc263856434"/>
      <w:r>
        <w:rPr>
          <w:rStyle w:val="CharSectno"/>
        </w:rPr>
        <w:t>5</w:t>
      </w:r>
      <w:r>
        <w:rPr>
          <w:snapToGrid w:val="0"/>
        </w:rPr>
        <w:t>.</w:t>
      </w:r>
      <w:r>
        <w:rPr>
          <w:snapToGrid w:val="0"/>
        </w:rPr>
        <w:tab/>
        <w:t>Matters to which Act does not apply</w:t>
      </w:r>
      <w:bookmarkEnd w:id="50"/>
      <w:bookmarkEnd w:id="51"/>
      <w:bookmarkEnd w:id="52"/>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tab/>
        <w:t>(a)</w:t>
      </w:r>
      <w:r>
        <w:rPr>
          <w:snapToGrid w:val="0"/>
        </w:rPr>
        <w:tab/>
        <w:t>the death of, or personal injury to, a person;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Subsection"/>
      </w:pPr>
      <w:bookmarkStart w:id="53" w:name="_Toc418485430"/>
      <w:bookmarkStart w:id="54" w:name="_Toc139338615"/>
      <w:r>
        <w:tab/>
        <w:t>(3)</w:t>
      </w:r>
      <w:r>
        <w:tab/>
        <w:t>Subsection (1)(a) does not operate to exclude from the operation of this Act liability for damages arising out of any negligence or other fault of a legal practitioner in acting for a client in a personal injury claim.</w:t>
      </w:r>
    </w:p>
    <w:p>
      <w:pPr>
        <w:pStyle w:val="Footnotesection"/>
      </w:pPr>
      <w:r>
        <w:tab/>
        <w:t>[Section 5 amended by No. 3 of 2010 s. 24.]</w:t>
      </w:r>
    </w:p>
    <w:p>
      <w:pPr>
        <w:pStyle w:val="Heading5"/>
        <w:rPr>
          <w:snapToGrid w:val="0"/>
        </w:rPr>
      </w:pPr>
      <w:bookmarkStart w:id="55" w:name="_Toc263856435"/>
      <w:r>
        <w:rPr>
          <w:rStyle w:val="CharSectno"/>
        </w:rPr>
        <w:t>6</w:t>
      </w:r>
      <w:r>
        <w:rPr>
          <w:snapToGrid w:val="0"/>
        </w:rPr>
        <w:t>.</w:t>
      </w:r>
      <w:r>
        <w:rPr>
          <w:snapToGrid w:val="0"/>
        </w:rPr>
        <w:tab/>
        <w:t>Relationship between this Act and other written laws</w:t>
      </w:r>
      <w:bookmarkEnd w:id="53"/>
      <w:bookmarkEnd w:id="54"/>
      <w:bookmarkEnd w:id="55"/>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56" w:name="_Toc418485431"/>
      <w:bookmarkStart w:id="57" w:name="_Toc139338616"/>
      <w:bookmarkStart w:id="58" w:name="_Toc263856436"/>
      <w:r>
        <w:rPr>
          <w:rStyle w:val="CharSectno"/>
        </w:rPr>
        <w:t>7</w:t>
      </w:r>
      <w:r>
        <w:rPr>
          <w:snapToGrid w:val="0"/>
        </w:rPr>
        <w:t>.</w:t>
      </w:r>
      <w:r>
        <w:rPr>
          <w:snapToGrid w:val="0"/>
        </w:rPr>
        <w:tab/>
        <w:t>Crown bound</w:t>
      </w:r>
      <w:bookmarkEnd w:id="56"/>
      <w:bookmarkEnd w:id="57"/>
      <w:bookmarkEnd w:id="58"/>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59" w:name="_Toc84237318"/>
      <w:bookmarkStart w:id="60" w:name="_Toc84308749"/>
      <w:bookmarkStart w:id="61" w:name="_Toc89584255"/>
      <w:bookmarkStart w:id="62" w:name="_Toc89584444"/>
      <w:bookmarkStart w:id="63" w:name="_Toc94348656"/>
      <w:bookmarkStart w:id="64" w:name="_Toc94418920"/>
      <w:bookmarkStart w:id="65" w:name="_Toc95890572"/>
      <w:bookmarkStart w:id="66" w:name="_Toc95894097"/>
      <w:bookmarkStart w:id="67" w:name="_Toc97618177"/>
      <w:bookmarkStart w:id="68" w:name="_Toc97622549"/>
      <w:bookmarkStart w:id="69" w:name="_Toc98316104"/>
      <w:bookmarkStart w:id="70" w:name="_Toc98320702"/>
      <w:bookmarkStart w:id="71" w:name="_Toc98648020"/>
      <w:bookmarkStart w:id="72" w:name="_Toc101842669"/>
      <w:bookmarkStart w:id="73" w:name="_Toc102369286"/>
      <w:bookmarkStart w:id="74" w:name="_Toc102453102"/>
      <w:bookmarkStart w:id="75" w:name="_Toc102538303"/>
      <w:bookmarkStart w:id="76" w:name="_Toc139338617"/>
      <w:bookmarkStart w:id="77" w:name="_Toc139338727"/>
      <w:bookmarkStart w:id="78" w:name="_Toc139338840"/>
      <w:bookmarkStart w:id="79" w:name="_Toc139434199"/>
      <w:bookmarkStart w:id="80" w:name="_Toc139439152"/>
      <w:bookmarkStart w:id="81" w:name="_Toc139439262"/>
      <w:bookmarkStart w:id="82" w:name="_Toc139439221"/>
      <w:bookmarkStart w:id="83" w:name="_Toc157997490"/>
      <w:bookmarkStart w:id="84" w:name="_Toc158000436"/>
      <w:bookmarkStart w:id="85" w:name="_Toc241056395"/>
      <w:bookmarkStart w:id="86" w:name="_Toc258420319"/>
      <w:bookmarkStart w:id="87" w:name="_Toc258424790"/>
      <w:bookmarkStart w:id="88" w:name="_Toc259529935"/>
      <w:bookmarkStart w:id="89" w:name="_Toc259530058"/>
      <w:bookmarkStart w:id="90" w:name="_Toc263761824"/>
      <w:bookmarkStart w:id="91" w:name="_Toc263856313"/>
      <w:bookmarkStart w:id="92" w:name="_Toc263856437"/>
      <w:r>
        <w:rPr>
          <w:rStyle w:val="CharPartNo"/>
        </w:rPr>
        <w:t>Part 2</w:t>
      </w:r>
      <w:r>
        <w:t> — </w:t>
      </w:r>
      <w:r>
        <w:rPr>
          <w:rStyle w:val="CharPartText"/>
        </w:rPr>
        <w:t>Professional Standards Council</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3"/>
        <w:rPr>
          <w:snapToGrid w:val="0"/>
        </w:rPr>
      </w:pPr>
      <w:bookmarkStart w:id="93" w:name="_Toc84237319"/>
      <w:bookmarkStart w:id="94" w:name="_Toc84308750"/>
      <w:bookmarkStart w:id="95" w:name="_Toc89584256"/>
      <w:bookmarkStart w:id="96" w:name="_Toc89584445"/>
      <w:bookmarkStart w:id="97" w:name="_Toc94348657"/>
      <w:bookmarkStart w:id="98" w:name="_Toc94418921"/>
      <w:bookmarkStart w:id="99" w:name="_Toc95890573"/>
      <w:bookmarkStart w:id="100" w:name="_Toc95894098"/>
      <w:bookmarkStart w:id="101" w:name="_Toc97618178"/>
      <w:bookmarkStart w:id="102" w:name="_Toc97622550"/>
      <w:bookmarkStart w:id="103" w:name="_Toc98316105"/>
      <w:bookmarkStart w:id="104" w:name="_Toc98320703"/>
      <w:bookmarkStart w:id="105" w:name="_Toc98648021"/>
      <w:bookmarkStart w:id="106" w:name="_Toc101842670"/>
      <w:bookmarkStart w:id="107" w:name="_Toc102369287"/>
      <w:bookmarkStart w:id="108" w:name="_Toc102453103"/>
      <w:bookmarkStart w:id="109" w:name="_Toc102538304"/>
      <w:bookmarkStart w:id="110" w:name="_Toc139338618"/>
      <w:bookmarkStart w:id="111" w:name="_Toc139338728"/>
      <w:bookmarkStart w:id="112" w:name="_Toc139338841"/>
      <w:bookmarkStart w:id="113" w:name="_Toc139434200"/>
      <w:bookmarkStart w:id="114" w:name="_Toc139439153"/>
      <w:bookmarkStart w:id="115" w:name="_Toc139439263"/>
      <w:bookmarkStart w:id="116" w:name="_Toc139439222"/>
      <w:bookmarkStart w:id="117" w:name="_Toc157997491"/>
      <w:bookmarkStart w:id="118" w:name="_Toc158000437"/>
      <w:bookmarkStart w:id="119" w:name="_Toc241056396"/>
      <w:bookmarkStart w:id="120" w:name="_Toc258420320"/>
      <w:bookmarkStart w:id="121" w:name="_Toc258424791"/>
      <w:bookmarkStart w:id="122" w:name="_Toc259529936"/>
      <w:bookmarkStart w:id="123" w:name="_Toc259530059"/>
      <w:bookmarkStart w:id="124" w:name="_Toc263761825"/>
      <w:bookmarkStart w:id="125" w:name="_Toc263856314"/>
      <w:bookmarkStart w:id="126" w:name="_Toc263856438"/>
      <w:r>
        <w:rPr>
          <w:rStyle w:val="CharDivNo"/>
        </w:rPr>
        <w:t>Division 1</w:t>
      </w:r>
      <w:r>
        <w:rPr>
          <w:snapToGrid w:val="0"/>
        </w:rPr>
        <w:t> — </w:t>
      </w:r>
      <w:r>
        <w:rPr>
          <w:rStyle w:val="CharDivText"/>
        </w:rPr>
        <w:t>Establishment of the Council</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418485432"/>
      <w:bookmarkStart w:id="128" w:name="_Toc139338619"/>
      <w:bookmarkStart w:id="129" w:name="_Toc263856439"/>
      <w:r>
        <w:rPr>
          <w:rStyle w:val="CharSectno"/>
        </w:rPr>
        <w:t>8</w:t>
      </w:r>
      <w:r>
        <w:rPr>
          <w:snapToGrid w:val="0"/>
        </w:rPr>
        <w:t>.</w:t>
      </w:r>
      <w:r>
        <w:rPr>
          <w:snapToGrid w:val="0"/>
        </w:rPr>
        <w:tab/>
        <w:t>Council established</w:t>
      </w:r>
      <w:bookmarkEnd w:id="127"/>
      <w:bookmarkEnd w:id="128"/>
      <w:bookmarkEnd w:id="129"/>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130" w:name="_Toc84237321"/>
      <w:bookmarkStart w:id="131" w:name="_Toc84308752"/>
      <w:bookmarkStart w:id="132" w:name="_Toc89584258"/>
      <w:bookmarkStart w:id="133" w:name="_Toc89584447"/>
      <w:bookmarkStart w:id="134" w:name="_Toc94348659"/>
      <w:bookmarkStart w:id="135" w:name="_Toc94418923"/>
      <w:bookmarkStart w:id="136" w:name="_Toc95890575"/>
      <w:bookmarkStart w:id="137" w:name="_Toc95894100"/>
      <w:bookmarkStart w:id="138" w:name="_Toc97618180"/>
      <w:bookmarkStart w:id="139" w:name="_Toc97622552"/>
      <w:bookmarkStart w:id="140" w:name="_Toc98316107"/>
      <w:bookmarkStart w:id="141" w:name="_Toc98320705"/>
      <w:bookmarkStart w:id="142" w:name="_Toc98648023"/>
      <w:bookmarkStart w:id="143" w:name="_Toc101842672"/>
      <w:bookmarkStart w:id="144" w:name="_Toc102369289"/>
      <w:bookmarkStart w:id="145" w:name="_Toc102453105"/>
      <w:bookmarkStart w:id="146" w:name="_Toc102538306"/>
      <w:bookmarkStart w:id="147" w:name="_Toc139338620"/>
      <w:bookmarkStart w:id="148" w:name="_Toc139338730"/>
      <w:bookmarkStart w:id="149" w:name="_Toc139338843"/>
      <w:bookmarkStart w:id="150" w:name="_Toc139434202"/>
      <w:bookmarkStart w:id="151" w:name="_Toc139439155"/>
      <w:bookmarkStart w:id="152" w:name="_Toc139439265"/>
      <w:bookmarkStart w:id="153" w:name="_Toc139439224"/>
      <w:bookmarkStart w:id="154" w:name="_Toc157997493"/>
      <w:bookmarkStart w:id="155" w:name="_Toc158000439"/>
      <w:bookmarkStart w:id="156" w:name="_Toc241056398"/>
      <w:bookmarkStart w:id="157" w:name="_Toc258420322"/>
      <w:bookmarkStart w:id="158" w:name="_Toc258424793"/>
      <w:bookmarkStart w:id="159" w:name="_Toc259529938"/>
      <w:bookmarkStart w:id="160" w:name="_Toc259530061"/>
      <w:bookmarkStart w:id="161" w:name="_Toc263761827"/>
      <w:bookmarkStart w:id="162" w:name="_Toc263856316"/>
      <w:bookmarkStart w:id="163" w:name="_Toc263856440"/>
      <w:r>
        <w:rPr>
          <w:rStyle w:val="CharDivNo"/>
        </w:rPr>
        <w:t>Division 2</w:t>
      </w:r>
      <w:r>
        <w:rPr>
          <w:snapToGrid w:val="0"/>
        </w:rPr>
        <w:t> — </w:t>
      </w:r>
      <w:r>
        <w:rPr>
          <w:rStyle w:val="CharDivText"/>
        </w:rPr>
        <w:t>Membership and procedure of the Council</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DivText"/>
        </w:rPr>
        <w:t xml:space="preserve"> </w:t>
      </w:r>
    </w:p>
    <w:p>
      <w:pPr>
        <w:pStyle w:val="Heading5"/>
        <w:rPr>
          <w:snapToGrid w:val="0"/>
        </w:rPr>
      </w:pPr>
      <w:bookmarkStart w:id="164" w:name="_Toc418485433"/>
      <w:bookmarkStart w:id="165" w:name="_Toc139338621"/>
      <w:bookmarkStart w:id="166" w:name="_Toc263856441"/>
      <w:r>
        <w:rPr>
          <w:rStyle w:val="CharSectno"/>
        </w:rPr>
        <w:t>9</w:t>
      </w:r>
      <w:r>
        <w:rPr>
          <w:snapToGrid w:val="0"/>
        </w:rPr>
        <w:t>.</w:t>
      </w:r>
      <w:r>
        <w:rPr>
          <w:snapToGrid w:val="0"/>
        </w:rPr>
        <w:tab/>
        <w:t>Membership of Council</w:t>
      </w:r>
      <w:bookmarkEnd w:id="164"/>
      <w:bookmarkEnd w:id="165"/>
      <w:bookmarkEnd w:id="166"/>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167" w:name="_Toc418485434"/>
      <w:bookmarkStart w:id="168" w:name="_Toc139338622"/>
      <w:bookmarkStart w:id="169" w:name="_Toc263856442"/>
      <w:r>
        <w:rPr>
          <w:rStyle w:val="CharSectno"/>
        </w:rPr>
        <w:t>10</w:t>
      </w:r>
      <w:r>
        <w:rPr>
          <w:snapToGrid w:val="0"/>
        </w:rPr>
        <w:t>.</w:t>
      </w:r>
      <w:r>
        <w:rPr>
          <w:snapToGrid w:val="0"/>
        </w:rPr>
        <w:tab/>
        <w:t>Provisions relating to members of Council</w:t>
      </w:r>
      <w:bookmarkEnd w:id="167"/>
      <w:bookmarkEnd w:id="168"/>
      <w:bookmarkEnd w:id="169"/>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spacing w:before="180"/>
        <w:rPr>
          <w:snapToGrid w:val="0"/>
        </w:rPr>
      </w:pPr>
      <w:bookmarkStart w:id="170" w:name="_Toc418485435"/>
      <w:bookmarkStart w:id="171" w:name="_Toc139338623"/>
      <w:bookmarkStart w:id="172" w:name="_Toc263856443"/>
      <w:r>
        <w:rPr>
          <w:rStyle w:val="CharSectno"/>
        </w:rPr>
        <w:t>11</w:t>
      </w:r>
      <w:r>
        <w:rPr>
          <w:snapToGrid w:val="0"/>
        </w:rPr>
        <w:t>.</w:t>
      </w:r>
      <w:r>
        <w:rPr>
          <w:snapToGrid w:val="0"/>
        </w:rPr>
        <w:tab/>
        <w:t>Provisions relating to procedure of Council</w:t>
      </w:r>
      <w:bookmarkEnd w:id="170"/>
      <w:bookmarkEnd w:id="171"/>
      <w:bookmarkEnd w:id="172"/>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173" w:name="_Toc84237325"/>
      <w:bookmarkStart w:id="174" w:name="_Toc84308756"/>
      <w:bookmarkStart w:id="175" w:name="_Toc89584262"/>
      <w:bookmarkStart w:id="176" w:name="_Toc89584451"/>
      <w:bookmarkStart w:id="177" w:name="_Toc94348663"/>
      <w:bookmarkStart w:id="178" w:name="_Toc94418927"/>
      <w:bookmarkStart w:id="179" w:name="_Toc95890579"/>
      <w:bookmarkStart w:id="180" w:name="_Toc95894104"/>
      <w:bookmarkStart w:id="181" w:name="_Toc97618184"/>
      <w:bookmarkStart w:id="182" w:name="_Toc97622556"/>
      <w:bookmarkStart w:id="183" w:name="_Toc98316111"/>
      <w:bookmarkStart w:id="184" w:name="_Toc98320709"/>
      <w:bookmarkStart w:id="185" w:name="_Toc98648027"/>
      <w:bookmarkStart w:id="186" w:name="_Toc101842676"/>
      <w:bookmarkStart w:id="187" w:name="_Toc102369293"/>
      <w:bookmarkStart w:id="188" w:name="_Toc102453109"/>
      <w:bookmarkStart w:id="189" w:name="_Toc102538310"/>
      <w:bookmarkStart w:id="190" w:name="_Toc139338624"/>
      <w:bookmarkStart w:id="191" w:name="_Toc139338734"/>
      <w:bookmarkStart w:id="192" w:name="_Toc139338847"/>
      <w:bookmarkStart w:id="193" w:name="_Toc139434206"/>
      <w:bookmarkStart w:id="194" w:name="_Toc139439159"/>
      <w:bookmarkStart w:id="195" w:name="_Toc139439269"/>
      <w:bookmarkStart w:id="196" w:name="_Toc139439229"/>
      <w:bookmarkStart w:id="197" w:name="_Toc157997497"/>
      <w:bookmarkStart w:id="198" w:name="_Toc158000443"/>
      <w:bookmarkStart w:id="199" w:name="_Toc241056402"/>
      <w:bookmarkStart w:id="200" w:name="_Toc258420326"/>
      <w:bookmarkStart w:id="201" w:name="_Toc258424797"/>
      <w:bookmarkStart w:id="202" w:name="_Toc259529942"/>
      <w:bookmarkStart w:id="203" w:name="_Toc259530065"/>
      <w:bookmarkStart w:id="204" w:name="_Toc263761831"/>
      <w:bookmarkStart w:id="205" w:name="_Toc263856320"/>
      <w:bookmarkStart w:id="206" w:name="_Toc263856444"/>
      <w:r>
        <w:rPr>
          <w:rStyle w:val="CharDivNo"/>
        </w:rPr>
        <w:t>Division 3</w:t>
      </w:r>
      <w:r>
        <w:rPr>
          <w:snapToGrid w:val="0"/>
        </w:rPr>
        <w:t> — </w:t>
      </w:r>
      <w:r>
        <w:rPr>
          <w:rStyle w:val="CharDivText"/>
        </w:rPr>
        <w:t>Functions of the Council</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spacing w:before="180"/>
        <w:rPr>
          <w:snapToGrid w:val="0"/>
        </w:rPr>
      </w:pPr>
      <w:bookmarkStart w:id="207" w:name="_Toc418485436"/>
      <w:bookmarkStart w:id="208" w:name="_Toc139338625"/>
      <w:bookmarkStart w:id="209" w:name="_Toc263856445"/>
      <w:r>
        <w:rPr>
          <w:rStyle w:val="CharSectno"/>
        </w:rPr>
        <w:t>12</w:t>
      </w:r>
      <w:r>
        <w:rPr>
          <w:snapToGrid w:val="0"/>
        </w:rPr>
        <w:t>.</w:t>
      </w:r>
      <w:r>
        <w:rPr>
          <w:snapToGrid w:val="0"/>
        </w:rPr>
        <w:tab/>
        <w:t>Functions of Council</w:t>
      </w:r>
      <w:bookmarkEnd w:id="207"/>
      <w:bookmarkEnd w:id="208"/>
      <w:bookmarkEnd w:id="209"/>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keepNext/>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w:t>
      </w:r>
      <w:r>
        <w:t xml:space="preserve"> Act or law.</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 by No. 25 of 2004 s. 5; No. 3 of 2010 s. 11.]</w:t>
      </w:r>
    </w:p>
    <w:p>
      <w:pPr>
        <w:pStyle w:val="Heading5"/>
      </w:pPr>
      <w:bookmarkStart w:id="210" w:name="_Toc257386412"/>
      <w:bookmarkStart w:id="211" w:name="_Toc258417973"/>
      <w:bookmarkStart w:id="212" w:name="_Toc263856446"/>
      <w:bookmarkStart w:id="213" w:name="_Toc418485437"/>
      <w:bookmarkStart w:id="214" w:name="_Toc139338626"/>
      <w:r>
        <w:rPr>
          <w:rStyle w:val="CharSectno"/>
        </w:rPr>
        <w:t>12A</w:t>
      </w:r>
      <w:r>
        <w:t>.</w:t>
      </w:r>
      <w:r>
        <w:tab/>
        <w:t>Cooperation with authorities in other jurisdictions</w:t>
      </w:r>
      <w:bookmarkEnd w:id="210"/>
      <w:bookmarkEnd w:id="211"/>
      <w:bookmarkEnd w:id="212"/>
    </w:p>
    <w:p>
      <w:pPr>
        <w:pStyle w:val="Subsection"/>
      </w:pPr>
      <w:r>
        <w:tab/>
      </w:r>
      <w:r>
        <w:tab/>
        <w:t xml:space="preserve">For the purpose of dealing with a scheme that operates, or indicates an intention to operate, as a scheme of both this jurisdiction and another jurisdiction, the Council — </w:t>
      </w:r>
    </w:p>
    <w:p>
      <w:pPr>
        <w:pStyle w:val="Indenta"/>
      </w:pPr>
      <w:r>
        <w:tab/>
        <w:t>(a)</w:t>
      </w:r>
      <w:r>
        <w:tab/>
        <w:t>may, in the exercise of its functions under this Act, act in conjunction with the appropriate Council for the other jurisdiction; and</w:t>
      </w:r>
    </w:p>
    <w:p>
      <w:pPr>
        <w:pStyle w:val="Indenta"/>
        <w:keepNext/>
        <w:keepLines/>
      </w:pPr>
      <w:r>
        <w:tab/>
        <w:t>(b)</w:t>
      </w:r>
      <w:r>
        <w:tab/>
        <w:t>may act in conjunction with the appropriate Council for the other jurisdiction in the exercise of that Council’s functions under the corresponding law of that jurisdiction.</w:t>
      </w:r>
    </w:p>
    <w:p>
      <w:pPr>
        <w:pStyle w:val="Footnotesection"/>
      </w:pPr>
      <w:r>
        <w:tab/>
        <w:t>[Section 12A inserted by No. 3 of 2010 s. 12.]</w:t>
      </w:r>
    </w:p>
    <w:p>
      <w:pPr>
        <w:pStyle w:val="Heading5"/>
        <w:rPr>
          <w:snapToGrid w:val="0"/>
        </w:rPr>
      </w:pPr>
      <w:bookmarkStart w:id="215" w:name="_Toc263856447"/>
      <w:r>
        <w:rPr>
          <w:rStyle w:val="CharSectno"/>
        </w:rPr>
        <w:t>13</w:t>
      </w:r>
      <w:r>
        <w:rPr>
          <w:snapToGrid w:val="0"/>
        </w:rPr>
        <w:t>.</w:t>
      </w:r>
      <w:r>
        <w:rPr>
          <w:snapToGrid w:val="0"/>
        </w:rPr>
        <w:tab/>
        <w:t>Requirement to supply information</w:t>
      </w:r>
      <w:bookmarkEnd w:id="213"/>
      <w:bookmarkEnd w:id="214"/>
      <w:bookmarkEnd w:id="215"/>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by No. 25 of 2004 s. 6.]</w:t>
      </w:r>
    </w:p>
    <w:p>
      <w:pPr>
        <w:pStyle w:val="Heading5"/>
      </w:pPr>
      <w:bookmarkStart w:id="216" w:name="_Toc139338627"/>
      <w:bookmarkStart w:id="217" w:name="_Toc263856448"/>
      <w:bookmarkStart w:id="218" w:name="_Toc418485438"/>
      <w:r>
        <w:rPr>
          <w:rStyle w:val="CharSectno"/>
        </w:rPr>
        <w:t>13A</w:t>
      </w:r>
      <w:r>
        <w:t>.</w:t>
      </w:r>
      <w:r>
        <w:tab/>
        <w:t>Referral of complaints</w:t>
      </w:r>
      <w:bookmarkEnd w:id="216"/>
      <w:bookmarkEnd w:id="217"/>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by No. 25 of 2004 s. 7.]</w:t>
      </w:r>
    </w:p>
    <w:p>
      <w:pPr>
        <w:pStyle w:val="Heading5"/>
        <w:rPr>
          <w:snapToGrid w:val="0"/>
        </w:rPr>
      </w:pPr>
      <w:bookmarkStart w:id="219" w:name="_Toc139338628"/>
      <w:bookmarkStart w:id="220" w:name="_Toc263856449"/>
      <w:r>
        <w:rPr>
          <w:rStyle w:val="CharSectno"/>
        </w:rPr>
        <w:t>14</w:t>
      </w:r>
      <w:r>
        <w:rPr>
          <w:snapToGrid w:val="0"/>
        </w:rPr>
        <w:t>.</w:t>
      </w:r>
      <w:r>
        <w:rPr>
          <w:snapToGrid w:val="0"/>
        </w:rPr>
        <w:tab/>
        <w:t>Committees of Council</w:t>
      </w:r>
      <w:bookmarkEnd w:id="218"/>
      <w:bookmarkEnd w:id="219"/>
      <w:bookmarkEnd w:id="220"/>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by No. 25 of 2004 s. 8.]</w:t>
      </w:r>
    </w:p>
    <w:p>
      <w:pPr>
        <w:pStyle w:val="Heading3"/>
        <w:rPr>
          <w:snapToGrid w:val="0"/>
        </w:rPr>
      </w:pPr>
      <w:bookmarkStart w:id="221" w:name="_Toc84237329"/>
      <w:bookmarkStart w:id="222" w:name="_Toc84308760"/>
      <w:bookmarkStart w:id="223" w:name="_Toc89584266"/>
      <w:bookmarkStart w:id="224" w:name="_Toc89584455"/>
      <w:bookmarkStart w:id="225" w:name="_Toc94348668"/>
      <w:bookmarkStart w:id="226" w:name="_Toc94418932"/>
      <w:bookmarkStart w:id="227" w:name="_Toc95890584"/>
      <w:bookmarkStart w:id="228" w:name="_Toc95894109"/>
      <w:bookmarkStart w:id="229" w:name="_Toc97618189"/>
      <w:bookmarkStart w:id="230" w:name="_Toc97622561"/>
      <w:bookmarkStart w:id="231" w:name="_Toc98316116"/>
      <w:bookmarkStart w:id="232" w:name="_Toc98320714"/>
      <w:bookmarkStart w:id="233" w:name="_Toc98648032"/>
      <w:bookmarkStart w:id="234" w:name="_Toc101842681"/>
      <w:bookmarkStart w:id="235" w:name="_Toc102369298"/>
      <w:bookmarkStart w:id="236" w:name="_Toc102453114"/>
      <w:bookmarkStart w:id="237" w:name="_Toc102538315"/>
      <w:bookmarkStart w:id="238" w:name="_Toc139338629"/>
      <w:bookmarkStart w:id="239" w:name="_Toc139338739"/>
      <w:bookmarkStart w:id="240" w:name="_Toc139338852"/>
      <w:bookmarkStart w:id="241" w:name="_Toc139434211"/>
      <w:bookmarkStart w:id="242" w:name="_Toc139439164"/>
      <w:bookmarkStart w:id="243" w:name="_Toc139439274"/>
      <w:bookmarkStart w:id="244" w:name="_Toc139439235"/>
      <w:bookmarkStart w:id="245" w:name="_Toc157997502"/>
      <w:bookmarkStart w:id="246" w:name="_Toc158000448"/>
      <w:bookmarkStart w:id="247" w:name="_Toc241056407"/>
      <w:bookmarkStart w:id="248" w:name="_Toc258420332"/>
      <w:bookmarkStart w:id="249" w:name="_Toc258424803"/>
      <w:bookmarkStart w:id="250" w:name="_Toc259529948"/>
      <w:bookmarkStart w:id="251" w:name="_Toc259530071"/>
      <w:bookmarkStart w:id="252" w:name="_Toc263761837"/>
      <w:bookmarkStart w:id="253" w:name="_Toc263856326"/>
      <w:bookmarkStart w:id="254" w:name="_Toc263856450"/>
      <w:r>
        <w:rPr>
          <w:rStyle w:val="CharDivNo"/>
        </w:rPr>
        <w:t>Division 4</w:t>
      </w:r>
      <w:r>
        <w:rPr>
          <w:snapToGrid w:val="0"/>
        </w:rPr>
        <w:t> — </w:t>
      </w:r>
      <w:r>
        <w:rPr>
          <w:rStyle w:val="CharDivText"/>
        </w:rPr>
        <w:t>Administrative provisions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418485439"/>
      <w:bookmarkStart w:id="256" w:name="_Toc139338630"/>
      <w:bookmarkStart w:id="257" w:name="_Toc263856451"/>
      <w:r>
        <w:rPr>
          <w:rStyle w:val="CharSectno"/>
        </w:rPr>
        <w:t>15</w:t>
      </w:r>
      <w:r>
        <w:rPr>
          <w:snapToGrid w:val="0"/>
        </w:rPr>
        <w:t>.</w:t>
      </w:r>
      <w:r>
        <w:rPr>
          <w:snapToGrid w:val="0"/>
        </w:rPr>
        <w:tab/>
        <w:t>Use of outside staff and facilities</w:t>
      </w:r>
      <w:bookmarkEnd w:id="255"/>
      <w:bookmarkEnd w:id="256"/>
      <w:bookmarkEnd w:id="257"/>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258" w:name="_Toc418485440"/>
      <w:bookmarkStart w:id="259" w:name="_Toc139338631"/>
      <w:bookmarkStart w:id="260" w:name="_Toc263856452"/>
      <w:r>
        <w:rPr>
          <w:rStyle w:val="CharSectno"/>
        </w:rPr>
        <w:t>16</w:t>
      </w:r>
      <w:r>
        <w:rPr>
          <w:snapToGrid w:val="0"/>
        </w:rPr>
        <w:t>.</w:t>
      </w:r>
      <w:r>
        <w:rPr>
          <w:snapToGrid w:val="0"/>
        </w:rPr>
        <w:tab/>
        <w:t>Funds</w:t>
      </w:r>
      <w:bookmarkEnd w:id="258"/>
      <w:bookmarkEnd w:id="259"/>
      <w:bookmarkEnd w:id="260"/>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keepNext/>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pPr>
      <w:r>
        <w:tab/>
        <w:t>(2)</w:t>
      </w:r>
      <w:r>
        <w:tab/>
        <w:t xml:space="preserve">An account called the Professional Standards Council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Account referred to in subsection (2) is to be charged with the cost of the administration of this Act.</w:t>
      </w:r>
    </w:p>
    <w:p>
      <w:pPr>
        <w:pStyle w:val="Footnotesection"/>
      </w:pPr>
      <w:r>
        <w:tab/>
        <w:t>[Section 16 amended by No. 28 of 2006 s. 41; No. 77 of 2006 Sch. 1 cl. 134(1) and (2).]</w:t>
      </w:r>
    </w:p>
    <w:p>
      <w:pPr>
        <w:pStyle w:val="Heading5"/>
        <w:rPr>
          <w:snapToGrid w:val="0"/>
        </w:rPr>
      </w:pPr>
      <w:bookmarkStart w:id="261" w:name="_Toc418485441"/>
      <w:bookmarkStart w:id="262" w:name="_Toc139338632"/>
      <w:bookmarkStart w:id="263" w:name="_Toc263856453"/>
      <w:r>
        <w:rPr>
          <w:rStyle w:val="CharSectno"/>
        </w:rPr>
        <w:t>17</w:t>
      </w:r>
      <w:r>
        <w:rPr>
          <w:snapToGrid w:val="0"/>
        </w:rPr>
        <w:t>.</w:t>
      </w:r>
      <w:r>
        <w:rPr>
          <w:snapToGrid w:val="0"/>
        </w:rPr>
        <w:tab/>
        <w:t xml:space="preserve">Application of </w:t>
      </w:r>
      <w:r>
        <w:rPr>
          <w:i/>
        </w:rPr>
        <w:t>Financial Management Act 2006</w:t>
      </w:r>
      <w:r>
        <w:t xml:space="preserve"> and </w:t>
      </w:r>
      <w:r>
        <w:rPr>
          <w:i/>
        </w:rPr>
        <w:t>Auditor General Act 2006</w:t>
      </w:r>
      <w:bookmarkEnd w:id="261"/>
      <w:bookmarkEnd w:id="262"/>
      <w:bookmarkEnd w:id="263"/>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Subsection"/>
      </w:pPr>
      <w:bookmarkStart w:id="264" w:name="_Toc418485442"/>
      <w:r>
        <w:tab/>
        <w:t>(2)</w:t>
      </w:r>
      <w:r>
        <w:tab/>
        <w:t xml:space="preserve">An annual report submitted by the accountable authority of the Council under the </w:t>
      </w:r>
      <w:r>
        <w:rPr>
          <w:i/>
          <w:iCs/>
        </w:rPr>
        <w:t xml:space="preserve">Financial Management Act 2006 </w:t>
      </w:r>
      <w:r>
        <w:t>Part 5 is to include details of any forums conducted by the Council under section 12(1)(h), and any committees established by the Council under section 14, during the financial year to which the report relates.</w:t>
      </w:r>
    </w:p>
    <w:p>
      <w:pPr>
        <w:pStyle w:val="Footnotesection"/>
      </w:pPr>
      <w:r>
        <w:tab/>
        <w:t>[Section 17 amended by No. 74 of 2003 s. 95; No. 77 of 2006 Sch. 1 cl. 134(3); No. 3 of 2010 s. 25.]</w:t>
      </w:r>
    </w:p>
    <w:p>
      <w:pPr>
        <w:pStyle w:val="Heading5"/>
        <w:rPr>
          <w:snapToGrid w:val="0"/>
        </w:rPr>
      </w:pPr>
      <w:bookmarkStart w:id="265" w:name="_Toc139338633"/>
      <w:bookmarkStart w:id="266" w:name="_Toc263856454"/>
      <w:r>
        <w:rPr>
          <w:rStyle w:val="CharSectno"/>
        </w:rPr>
        <w:t>18</w:t>
      </w:r>
      <w:r>
        <w:rPr>
          <w:snapToGrid w:val="0"/>
        </w:rPr>
        <w:t>.</w:t>
      </w:r>
      <w:r>
        <w:rPr>
          <w:snapToGrid w:val="0"/>
        </w:rPr>
        <w:tab/>
        <w:t>Minister to have access to information</w:t>
      </w:r>
      <w:bookmarkEnd w:id="264"/>
      <w:bookmarkEnd w:id="265"/>
      <w:bookmarkEnd w:id="26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Heading5"/>
        <w:rPr>
          <w:snapToGrid w:val="0"/>
        </w:rPr>
      </w:pPr>
      <w:bookmarkStart w:id="267" w:name="_Toc418485443"/>
      <w:bookmarkStart w:id="268" w:name="_Toc139338634"/>
      <w:bookmarkStart w:id="269" w:name="_Toc263856455"/>
      <w:r>
        <w:rPr>
          <w:rStyle w:val="CharSectno"/>
        </w:rPr>
        <w:t>19</w:t>
      </w:r>
      <w:r>
        <w:rPr>
          <w:snapToGrid w:val="0"/>
        </w:rPr>
        <w:t>.</w:t>
      </w:r>
      <w:r>
        <w:rPr>
          <w:snapToGrid w:val="0"/>
        </w:rPr>
        <w:tab/>
        <w:t>Minister may give directions</w:t>
      </w:r>
      <w:bookmarkEnd w:id="267"/>
      <w:bookmarkEnd w:id="268"/>
      <w:bookmarkEnd w:id="269"/>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keepLines/>
      </w:pPr>
      <w:r>
        <w:rPr>
          <w:snapToGrid w:val="0"/>
        </w:rPr>
        <w:tab/>
        <w:t>(2)</w:t>
      </w:r>
      <w:r>
        <w:rPr>
          <w:snapToGrid w:val="0"/>
        </w:rPr>
        <w:tab/>
        <w:t xml:space="preserve">The text of any direction given under subsection (1) shall be included in the annual report submitted by the accountable authority of the Council under </w:t>
      </w:r>
      <w:r>
        <w:t xml:space="preserve">Part 5 of the </w:t>
      </w:r>
      <w:r>
        <w:rPr>
          <w:i/>
        </w:rPr>
        <w:t>Financial Management Act 2006</w:t>
      </w:r>
      <w:r>
        <w:t>.</w:t>
      </w:r>
    </w:p>
    <w:p>
      <w:pPr>
        <w:pStyle w:val="Footnotesection"/>
      </w:pPr>
      <w:r>
        <w:tab/>
        <w:t>[Section 19 amended by No. 77 of 2006 Sch. 1 cl. 134(4).]</w:t>
      </w:r>
    </w:p>
    <w:p>
      <w:pPr>
        <w:pStyle w:val="Heading2"/>
      </w:pPr>
      <w:bookmarkStart w:id="270" w:name="_Toc84237335"/>
      <w:bookmarkStart w:id="271" w:name="_Toc84308766"/>
      <w:bookmarkStart w:id="272" w:name="_Toc89584272"/>
      <w:bookmarkStart w:id="273" w:name="_Toc89584461"/>
      <w:bookmarkStart w:id="274" w:name="_Toc94348674"/>
      <w:bookmarkStart w:id="275" w:name="_Toc94418938"/>
      <w:bookmarkStart w:id="276" w:name="_Toc95890590"/>
      <w:bookmarkStart w:id="277" w:name="_Toc95894115"/>
      <w:bookmarkStart w:id="278" w:name="_Toc97618195"/>
      <w:bookmarkStart w:id="279" w:name="_Toc97622567"/>
      <w:bookmarkStart w:id="280" w:name="_Toc98316122"/>
      <w:bookmarkStart w:id="281" w:name="_Toc98320720"/>
      <w:bookmarkStart w:id="282" w:name="_Toc98648038"/>
      <w:bookmarkStart w:id="283" w:name="_Toc101842687"/>
      <w:bookmarkStart w:id="284" w:name="_Toc102369304"/>
      <w:bookmarkStart w:id="285" w:name="_Toc102453120"/>
      <w:bookmarkStart w:id="286" w:name="_Toc102538321"/>
      <w:bookmarkStart w:id="287" w:name="_Toc139338635"/>
      <w:bookmarkStart w:id="288" w:name="_Toc139338745"/>
      <w:bookmarkStart w:id="289" w:name="_Toc139338858"/>
      <w:bookmarkStart w:id="290" w:name="_Toc139434217"/>
      <w:bookmarkStart w:id="291" w:name="_Toc139439170"/>
      <w:bookmarkStart w:id="292" w:name="_Toc139439280"/>
      <w:bookmarkStart w:id="293" w:name="_Toc139439241"/>
      <w:bookmarkStart w:id="294" w:name="_Toc157997508"/>
      <w:bookmarkStart w:id="295" w:name="_Toc158000454"/>
      <w:bookmarkStart w:id="296" w:name="_Toc241056413"/>
      <w:bookmarkStart w:id="297" w:name="_Toc258420338"/>
      <w:bookmarkStart w:id="298" w:name="_Toc258424809"/>
      <w:bookmarkStart w:id="299" w:name="_Toc259529954"/>
      <w:bookmarkStart w:id="300" w:name="_Toc259530077"/>
      <w:bookmarkStart w:id="301" w:name="_Toc263761843"/>
      <w:bookmarkStart w:id="302" w:name="_Toc263856332"/>
      <w:bookmarkStart w:id="303" w:name="_Toc263856456"/>
      <w:r>
        <w:rPr>
          <w:rStyle w:val="CharPartNo"/>
        </w:rPr>
        <w:t>Part 3</w:t>
      </w:r>
      <w:r>
        <w:t> — </w:t>
      </w:r>
      <w:r>
        <w:rPr>
          <w:rStyle w:val="CharPartText"/>
        </w:rPr>
        <w:t>Limitation of liability</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PartText"/>
        </w:rPr>
        <w:t xml:space="preserve"> </w:t>
      </w:r>
    </w:p>
    <w:p>
      <w:pPr>
        <w:pStyle w:val="Heading3"/>
        <w:rPr>
          <w:snapToGrid w:val="0"/>
        </w:rPr>
      </w:pPr>
      <w:bookmarkStart w:id="304" w:name="_Toc84237336"/>
      <w:bookmarkStart w:id="305" w:name="_Toc84308767"/>
      <w:bookmarkStart w:id="306" w:name="_Toc89584273"/>
      <w:bookmarkStart w:id="307" w:name="_Toc89584462"/>
      <w:bookmarkStart w:id="308" w:name="_Toc94348675"/>
      <w:bookmarkStart w:id="309" w:name="_Toc94418939"/>
      <w:bookmarkStart w:id="310" w:name="_Toc95890591"/>
      <w:bookmarkStart w:id="311" w:name="_Toc95894116"/>
      <w:bookmarkStart w:id="312" w:name="_Toc97618196"/>
      <w:bookmarkStart w:id="313" w:name="_Toc97622568"/>
      <w:bookmarkStart w:id="314" w:name="_Toc98316123"/>
      <w:bookmarkStart w:id="315" w:name="_Toc98320721"/>
      <w:bookmarkStart w:id="316" w:name="_Toc98648039"/>
      <w:bookmarkStart w:id="317" w:name="_Toc101842688"/>
      <w:bookmarkStart w:id="318" w:name="_Toc102369305"/>
      <w:bookmarkStart w:id="319" w:name="_Toc102453121"/>
      <w:bookmarkStart w:id="320" w:name="_Toc102538322"/>
      <w:bookmarkStart w:id="321" w:name="_Toc139338636"/>
      <w:bookmarkStart w:id="322" w:name="_Toc139338746"/>
      <w:bookmarkStart w:id="323" w:name="_Toc139338859"/>
      <w:bookmarkStart w:id="324" w:name="_Toc139434218"/>
      <w:bookmarkStart w:id="325" w:name="_Toc139439171"/>
      <w:bookmarkStart w:id="326" w:name="_Toc139439281"/>
      <w:bookmarkStart w:id="327" w:name="_Toc139439242"/>
      <w:bookmarkStart w:id="328" w:name="_Toc157997509"/>
      <w:bookmarkStart w:id="329" w:name="_Toc158000455"/>
      <w:bookmarkStart w:id="330" w:name="_Toc241056414"/>
      <w:bookmarkStart w:id="331" w:name="_Toc258420339"/>
      <w:bookmarkStart w:id="332" w:name="_Toc258424810"/>
      <w:bookmarkStart w:id="333" w:name="_Toc259529955"/>
      <w:bookmarkStart w:id="334" w:name="_Toc259530078"/>
      <w:bookmarkStart w:id="335" w:name="_Toc263761844"/>
      <w:bookmarkStart w:id="336" w:name="_Toc263856333"/>
      <w:bookmarkStart w:id="337" w:name="_Toc263856457"/>
      <w:r>
        <w:rPr>
          <w:rStyle w:val="CharDivNo"/>
        </w:rPr>
        <w:t>Division 1</w:t>
      </w:r>
      <w:r>
        <w:rPr>
          <w:snapToGrid w:val="0"/>
        </w:rPr>
        <w:t> — </w:t>
      </w:r>
      <w:r>
        <w:rPr>
          <w:rStyle w:val="CharDivText"/>
        </w:rPr>
        <w:t>Making, amending and revoking schemes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DivText"/>
        </w:rPr>
        <w:t xml:space="preserve"> </w:t>
      </w:r>
    </w:p>
    <w:p>
      <w:pPr>
        <w:pStyle w:val="Heading5"/>
        <w:rPr>
          <w:snapToGrid w:val="0"/>
        </w:rPr>
      </w:pPr>
      <w:bookmarkStart w:id="338" w:name="_Toc418485444"/>
      <w:bookmarkStart w:id="339" w:name="_Toc139338637"/>
      <w:bookmarkStart w:id="340" w:name="_Toc263856458"/>
      <w:r>
        <w:rPr>
          <w:rStyle w:val="CharSectno"/>
        </w:rPr>
        <w:t>20</w:t>
      </w:r>
      <w:r>
        <w:rPr>
          <w:snapToGrid w:val="0"/>
        </w:rPr>
        <w:t>.</w:t>
      </w:r>
      <w:r>
        <w:rPr>
          <w:snapToGrid w:val="0"/>
        </w:rPr>
        <w:tab/>
        <w:t>Preparation and approval</w:t>
      </w:r>
      <w:bookmarkEnd w:id="338"/>
      <w:bookmarkEnd w:id="339"/>
      <w:bookmarkEnd w:id="340"/>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Subsection"/>
      </w:pPr>
      <w:bookmarkStart w:id="341" w:name="_Toc418485445"/>
      <w:bookmarkStart w:id="342" w:name="_Toc139338638"/>
      <w:r>
        <w:tab/>
        <w:t>(4)</w:t>
      </w:r>
      <w:r>
        <w:tab/>
        <w:t>A scheme prepared under this section may indicate an intention to operate as a scheme of this jurisdiction only, or of this jurisdiction and another jurisdiction.</w:t>
      </w:r>
    </w:p>
    <w:p>
      <w:pPr>
        <w:pStyle w:val="Footnotesection"/>
      </w:pPr>
      <w:r>
        <w:tab/>
        <w:t>[Section 20 amended by No. 3 of 2010 s. 13.]</w:t>
      </w:r>
    </w:p>
    <w:p>
      <w:pPr>
        <w:pStyle w:val="Heading5"/>
        <w:rPr>
          <w:snapToGrid w:val="0"/>
        </w:rPr>
      </w:pPr>
      <w:bookmarkStart w:id="343" w:name="_Toc263856459"/>
      <w:r>
        <w:rPr>
          <w:rStyle w:val="CharSectno"/>
        </w:rPr>
        <w:t>21</w:t>
      </w:r>
      <w:r>
        <w:rPr>
          <w:snapToGrid w:val="0"/>
        </w:rPr>
        <w:t>.</w:t>
      </w:r>
      <w:r>
        <w:rPr>
          <w:snapToGrid w:val="0"/>
        </w:rPr>
        <w:tab/>
        <w:t>Notifying the public</w:t>
      </w:r>
      <w:bookmarkEnd w:id="341"/>
      <w:bookmarkEnd w:id="342"/>
      <w:bookmarkEnd w:id="343"/>
      <w:r>
        <w:rPr>
          <w:snapToGrid w:val="0"/>
        </w:rPr>
        <w:t xml:space="preserve"> </w:t>
      </w:r>
    </w:p>
    <w:p>
      <w:pPr>
        <w:pStyle w:val="Subsection"/>
        <w:rPr>
          <w:snapToGrid w:val="0"/>
        </w:rPr>
      </w:pPr>
      <w:r>
        <w:rPr>
          <w:snapToGrid w:val="0"/>
        </w:rPr>
        <w:tab/>
        <w:t>(1)</w:t>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Subsection"/>
      </w:pPr>
      <w:bookmarkStart w:id="344" w:name="_Toc418485446"/>
      <w:bookmarkStart w:id="345" w:name="_Toc139338639"/>
      <w:r>
        <w:tab/>
        <w:t>(2)</w:t>
      </w:r>
      <w:r>
        <w:tab/>
        <w:t>If the scheme indicates an intention to operate as a scheme of both this jurisdiction and another jurisdiction, the Council must also publish a similar notice in the other jurisdiction in accordance with the requirements of the corresponding law of that jurisdiction that relate to the approval of a scheme prepared in that jurisdiction.</w:t>
      </w:r>
    </w:p>
    <w:p>
      <w:pPr>
        <w:pStyle w:val="Footnotesection"/>
      </w:pPr>
      <w:r>
        <w:tab/>
        <w:t>[Section 21 amended by No. 3 of 2010 s. 14.]</w:t>
      </w:r>
    </w:p>
    <w:p>
      <w:pPr>
        <w:pStyle w:val="Heading5"/>
        <w:rPr>
          <w:snapToGrid w:val="0"/>
        </w:rPr>
      </w:pPr>
      <w:bookmarkStart w:id="346" w:name="_Toc263856460"/>
      <w:r>
        <w:rPr>
          <w:rStyle w:val="CharSectno"/>
        </w:rPr>
        <w:t>22</w:t>
      </w:r>
      <w:r>
        <w:rPr>
          <w:snapToGrid w:val="0"/>
        </w:rPr>
        <w:t>.</w:t>
      </w:r>
      <w:r>
        <w:rPr>
          <w:snapToGrid w:val="0"/>
        </w:rPr>
        <w:tab/>
        <w:t>Public comments and submissions</w:t>
      </w:r>
      <w:bookmarkEnd w:id="344"/>
      <w:bookmarkEnd w:id="345"/>
      <w:bookmarkEnd w:id="346"/>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347" w:name="_Toc418485447"/>
      <w:bookmarkStart w:id="348" w:name="_Toc139338640"/>
      <w:bookmarkStart w:id="349" w:name="_Toc263856461"/>
      <w:r>
        <w:rPr>
          <w:rStyle w:val="CharSectno"/>
        </w:rPr>
        <w:t>23</w:t>
      </w:r>
      <w:r>
        <w:rPr>
          <w:snapToGrid w:val="0"/>
        </w:rPr>
        <w:t>.</w:t>
      </w:r>
      <w:r>
        <w:rPr>
          <w:snapToGrid w:val="0"/>
        </w:rPr>
        <w:tab/>
        <w:t>Matters to be considered by Council before approval</w:t>
      </w:r>
      <w:bookmarkEnd w:id="347"/>
      <w:bookmarkEnd w:id="348"/>
      <w:bookmarkEnd w:id="349"/>
      <w:r>
        <w:rPr>
          <w:snapToGrid w:val="0"/>
        </w:rPr>
        <w:t xml:space="preserve"> </w:t>
      </w:r>
    </w:p>
    <w:p>
      <w:pPr>
        <w:pStyle w:val="Subsection"/>
        <w:keepNext/>
        <w:rPr>
          <w:snapToGrid w:val="0"/>
        </w:rPr>
      </w:pPr>
      <w:r>
        <w:rPr>
          <w:snapToGrid w:val="0"/>
        </w:rPr>
        <w:tab/>
        <w:t>(1)</w:t>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Subsection"/>
      </w:pPr>
      <w:bookmarkStart w:id="350" w:name="_Toc418485448"/>
      <w:bookmarkStart w:id="351" w:name="_Toc139338641"/>
      <w:r>
        <w:tab/>
        <w:t>(2)</w:t>
      </w:r>
      <w:r>
        <w:tab/>
        <w:t xml:space="preserve">If the scheme indicates an intention to operate as a scheme of both this jurisdiction and another jurisdiction — </w:t>
      </w:r>
    </w:p>
    <w:p>
      <w:pPr>
        <w:pStyle w:val="Indenta"/>
      </w:pPr>
      <w:r>
        <w:tab/>
        <w:t>(a)</w:t>
      </w:r>
      <w:r>
        <w:tab/>
        <w:t>the Council must also consider any matter that the appropriate Council for the other jurisdiction would have to consider under the provisions of the corresponding law of that jurisdiction that relate to the approval of a scheme prepared in that jurisdiction; and</w:t>
      </w:r>
    </w:p>
    <w:p>
      <w:pPr>
        <w:pStyle w:val="Indenta"/>
      </w:pPr>
      <w:r>
        <w:tab/>
        <w:t>(b)</w:t>
      </w:r>
      <w:r>
        <w:tab/>
        <w:t>the matters to be considered by the Council, whether under subsection (1) or paragraph (a), are to be considered in the context of each of the jurisdictions concerned.</w:t>
      </w:r>
    </w:p>
    <w:p>
      <w:pPr>
        <w:pStyle w:val="Footnotesection"/>
      </w:pPr>
      <w:r>
        <w:tab/>
        <w:t>[Section 23 amended by No. 3 of 2010 s. 15.]</w:t>
      </w:r>
    </w:p>
    <w:p>
      <w:pPr>
        <w:pStyle w:val="Heading5"/>
        <w:rPr>
          <w:snapToGrid w:val="0"/>
        </w:rPr>
      </w:pPr>
      <w:bookmarkStart w:id="352" w:name="_Toc263856462"/>
      <w:r>
        <w:rPr>
          <w:rStyle w:val="CharSectno"/>
        </w:rPr>
        <w:t>24</w:t>
      </w:r>
      <w:r>
        <w:rPr>
          <w:snapToGrid w:val="0"/>
        </w:rPr>
        <w:t>.</w:t>
      </w:r>
      <w:r>
        <w:rPr>
          <w:snapToGrid w:val="0"/>
        </w:rPr>
        <w:tab/>
        <w:t>Public hearings</w:t>
      </w:r>
      <w:bookmarkEnd w:id="350"/>
      <w:bookmarkEnd w:id="351"/>
      <w:bookmarkEnd w:id="352"/>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by No. 25 of 2004 s. 9.]</w:t>
      </w:r>
    </w:p>
    <w:p>
      <w:pPr>
        <w:pStyle w:val="Heading5"/>
        <w:rPr>
          <w:snapToGrid w:val="0"/>
        </w:rPr>
      </w:pPr>
      <w:bookmarkStart w:id="353" w:name="_Toc418485449"/>
      <w:bookmarkStart w:id="354" w:name="_Toc139338642"/>
      <w:bookmarkStart w:id="355" w:name="_Toc263856463"/>
      <w:r>
        <w:rPr>
          <w:rStyle w:val="CharSectno"/>
        </w:rPr>
        <w:t>25</w:t>
      </w:r>
      <w:r>
        <w:rPr>
          <w:snapToGrid w:val="0"/>
        </w:rPr>
        <w:t>.</w:t>
      </w:r>
      <w:r>
        <w:rPr>
          <w:snapToGrid w:val="0"/>
        </w:rPr>
        <w:tab/>
        <w:t>Council may submit approved schemes to Minister</w:t>
      </w:r>
      <w:bookmarkEnd w:id="353"/>
      <w:bookmarkEnd w:id="354"/>
      <w:bookmarkEnd w:id="355"/>
      <w:r>
        <w:rPr>
          <w:snapToGrid w:val="0"/>
        </w:rPr>
        <w:t xml:space="preserve"> </w:t>
      </w:r>
    </w:p>
    <w:p>
      <w:pPr>
        <w:pStyle w:val="Subsection"/>
        <w:rPr>
          <w:snapToGrid w:val="0"/>
        </w:rPr>
      </w:pPr>
      <w:r>
        <w:rPr>
          <w:snapToGrid w:val="0"/>
        </w:rPr>
        <w:tab/>
        <w:t>(1)</w:t>
      </w:r>
      <w:r>
        <w:rPr>
          <w:snapToGrid w:val="0"/>
        </w:rPr>
        <w:tab/>
        <w:t>The Council may submit a scheme approved by it to the Minister.</w:t>
      </w:r>
    </w:p>
    <w:p>
      <w:pPr>
        <w:pStyle w:val="Subsection"/>
      </w:pPr>
      <w:bookmarkStart w:id="356" w:name="_Toc418485450"/>
      <w:bookmarkStart w:id="357" w:name="_Toc139338643"/>
      <w:r>
        <w:tab/>
        <w:t>(2)</w:t>
      </w:r>
      <w:r>
        <w:tab/>
        <w:t>If the scheme indicates an intention to operate as a scheme of both this jurisdiction and another jurisdiction, the Council may also submit the scheme to the Minister administering the corresponding law of the other jurisdiction.</w:t>
      </w:r>
    </w:p>
    <w:p>
      <w:pPr>
        <w:pStyle w:val="Footnotesection"/>
      </w:pPr>
      <w:r>
        <w:tab/>
        <w:t>[Section 25 amended by No. 3 of 2010 s. 16.]</w:t>
      </w:r>
    </w:p>
    <w:p>
      <w:pPr>
        <w:pStyle w:val="Heading5"/>
        <w:rPr>
          <w:snapToGrid w:val="0"/>
        </w:rPr>
      </w:pPr>
      <w:bookmarkStart w:id="358" w:name="_Toc263856464"/>
      <w:r>
        <w:rPr>
          <w:rStyle w:val="CharSectno"/>
        </w:rPr>
        <w:t>26</w:t>
      </w:r>
      <w:r>
        <w:rPr>
          <w:snapToGrid w:val="0"/>
        </w:rPr>
        <w:t>.</w:t>
      </w:r>
      <w:r>
        <w:rPr>
          <w:snapToGrid w:val="0"/>
        </w:rPr>
        <w:tab/>
        <w:t>Minister may gazette scheme</w:t>
      </w:r>
      <w:bookmarkEnd w:id="356"/>
      <w:bookmarkEnd w:id="357"/>
      <w:r>
        <w:rPr>
          <w:snapToGrid w:val="0"/>
        </w:rPr>
        <w:t>s</w:t>
      </w:r>
      <w:bookmarkEnd w:id="358"/>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w:t>
      </w:r>
      <w:r>
        <w:t xml:space="preserve"> Council or, in the case of an interstate scheme, by the appropriate Council for the jurisdiction in which the scheme was prepared.</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Subsection"/>
      </w:pPr>
      <w:bookmarkStart w:id="359" w:name="_Toc139338644"/>
      <w:bookmarkStart w:id="360" w:name="_Toc418485452"/>
      <w:r>
        <w:tab/>
        <w:t>(3)</w:t>
      </w:r>
      <w:r>
        <w:tab/>
        <w:t>In this section, a reference to an interstate scheme includes a reference to an instrument amending an interstate scheme.</w:t>
      </w:r>
    </w:p>
    <w:p>
      <w:pPr>
        <w:pStyle w:val="Footnotesection"/>
      </w:pPr>
      <w:r>
        <w:tab/>
        <w:t>[Section 26 amended by No. 3 of 2010 s. 17.]</w:t>
      </w:r>
    </w:p>
    <w:p>
      <w:pPr>
        <w:pStyle w:val="Heading5"/>
      </w:pPr>
      <w:bookmarkStart w:id="361" w:name="_Toc263856465"/>
      <w:r>
        <w:rPr>
          <w:rStyle w:val="CharSectno"/>
        </w:rPr>
        <w:t>27</w:t>
      </w:r>
      <w:r>
        <w:t>.</w:t>
      </w:r>
      <w:r>
        <w:tab/>
        <w:t>Commencement of schemes</w:t>
      </w:r>
      <w:bookmarkEnd w:id="359"/>
      <w:bookmarkEnd w:id="361"/>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 and any order made by the Supreme Court of another jurisdiction under the corresponding law of that jurisdiction.</w:t>
      </w:r>
    </w:p>
    <w:p>
      <w:pPr>
        <w:pStyle w:val="Subsection"/>
      </w:pPr>
      <w:r>
        <w:tab/>
        <w:t>(3)</w:t>
      </w:r>
      <w:r>
        <w:tab/>
        <w:t>In this section, a reference to a scheme includes, in the case of an interstate scheme, a reference to an instrument amending that scheme.</w:t>
      </w:r>
    </w:p>
    <w:p>
      <w:pPr>
        <w:pStyle w:val="Footnotesection"/>
      </w:pPr>
      <w:r>
        <w:tab/>
        <w:t>[Section 27 inserted by No. 25 of 2004 s. 10; amended by No. 3 of 2010 s. 18.]</w:t>
      </w:r>
    </w:p>
    <w:p>
      <w:pPr>
        <w:pStyle w:val="Heading5"/>
        <w:rPr>
          <w:snapToGrid w:val="0"/>
        </w:rPr>
      </w:pPr>
      <w:bookmarkStart w:id="362" w:name="_Toc139338645"/>
      <w:bookmarkStart w:id="363" w:name="_Toc263856466"/>
      <w:r>
        <w:rPr>
          <w:rStyle w:val="CharSectno"/>
        </w:rPr>
        <w:t>28</w:t>
      </w:r>
      <w:r>
        <w:rPr>
          <w:snapToGrid w:val="0"/>
        </w:rPr>
        <w:t>.</w:t>
      </w:r>
      <w:r>
        <w:rPr>
          <w:snapToGrid w:val="0"/>
        </w:rPr>
        <w:tab/>
        <w:t>Challenges to schemes</w:t>
      </w:r>
      <w:bookmarkEnd w:id="360"/>
      <w:bookmarkEnd w:id="362"/>
      <w:bookmarkEnd w:id="363"/>
      <w:r>
        <w:rPr>
          <w:snapToGrid w:val="0"/>
        </w:rPr>
        <w:t xml:space="preserve"> </w:t>
      </w:r>
    </w:p>
    <w:p>
      <w:pPr>
        <w:pStyle w:val="Subsection"/>
      </w:pPr>
      <w:r>
        <w:tab/>
        <w:t>(1A)</w:t>
      </w:r>
      <w:r>
        <w:tab/>
        <w:t xml:space="preserve">In this section — </w:t>
      </w:r>
    </w:p>
    <w:p>
      <w:pPr>
        <w:pStyle w:val="Defstart"/>
      </w:pPr>
      <w:r>
        <w:tab/>
      </w:r>
      <w:r>
        <w:rPr>
          <w:rStyle w:val="CharDefText"/>
        </w:rPr>
        <w:t>scheme</w:t>
      </w:r>
      <w:r>
        <w:t>, in the case of an interstate scheme, includes an instrument amending that scheme.</w:t>
      </w:r>
    </w:p>
    <w:p>
      <w:pPr>
        <w:pStyle w:val="Subsection"/>
        <w:rPr>
          <w:snapToGrid w:val="0"/>
        </w:rPr>
      </w:pPr>
      <w:r>
        <w:rPr>
          <w:snapToGrid w:val="0"/>
        </w:rPr>
        <w:tab/>
        <w:t>(1)</w:t>
      </w:r>
      <w:r>
        <w:rPr>
          <w:snapToGrid w:val="0"/>
        </w:rPr>
        <w:tab/>
        <w:t xml:space="preserve">A person who is or is reasonably likely to be affected by a scheme published as referred to in section 26 </w:t>
      </w:r>
      <w:r>
        <w:t xml:space="preserve">(including a person who is or is reasonably likely to be affected by a scheme that operates as a scheme of another jurisdiction) </w:t>
      </w:r>
      <w:r>
        <w:rPr>
          <w:snapToGrid w:val="0"/>
        </w:rPr>
        <w:t>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Subsection"/>
      </w:pPr>
      <w:bookmarkStart w:id="364" w:name="_Toc139338646"/>
      <w:r>
        <w:tab/>
        <w:t>(4)</w:t>
      </w:r>
      <w:r>
        <w:tab/>
        <w:t>The Court may not make an order that an interstate scheme is void for want of compliance with this Act on the ground that the scheme fails to comply with Division 2, but may do so on the ground that the scheme fails to comply with the provisions of the corresponding law of the jurisdiction in which it was prepared that relate to the contents of schemes prepared in that jurisdiction.</w:t>
      </w:r>
    </w:p>
    <w:p>
      <w:pPr>
        <w:pStyle w:val="Subsection"/>
      </w:pPr>
      <w:r>
        <w:tab/>
        <w:t>(5)</w:t>
      </w:r>
      <w:r>
        <w:tab/>
        <w:t>This section does not prevent a scheme from being challenged or called into question otherwise than under this section.</w:t>
      </w:r>
    </w:p>
    <w:p>
      <w:pPr>
        <w:pStyle w:val="Footnotesection"/>
      </w:pPr>
      <w:r>
        <w:tab/>
        <w:t>[Section 28 amended by No. 3 of 2010 s. 19.]</w:t>
      </w:r>
    </w:p>
    <w:p>
      <w:pPr>
        <w:pStyle w:val="Heading5"/>
        <w:spacing w:before="180"/>
      </w:pPr>
      <w:bookmarkStart w:id="365" w:name="_Toc263856467"/>
      <w:r>
        <w:rPr>
          <w:rStyle w:val="CharSectno"/>
        </w:rPr>
        <w:t>29</w:t>
      </w:r>
      <w:r>
        <w:t>.</w:t>
      </w:r>
      <w:r>
        <w:tab/>
        <w:t>Review of schemes</w:t>
      </w:r>
      <w:bookmarkEnd w:id="364"/>
      <w:bookmarkEnd w:id="365"/>
    </w:p>
    <w:p>
      <w:pPr>
        <w:pStyle w:val="Subsection"/>
        <w:spacing w:before="120"/>
      </w:pPr>
      <w:r>
        <w:tab/>
        <w:t>(1)</w:t>
      </w:r>
      <w:r>
        <w:tab/>
        <w:t>The Minister may direct the Council to review the operation of a scheme.</w:t>
      </w:r>
    </w:p>
    <w:p>
      <w:pPr>
        <w:pStyle w:val="Subsection"/>
        <w:spacing w:before="120"/>
      </w:pPr>
      <w:r>
        <w:tab/>
        <w:t>(2)</w:t>
      </w:r>
      <w:r>
        <w:tab/>
        <w:t>The Council must comply with any direction under subsection (1) but may on its own initiative at any time (whether before or after the scheme ceases to have effect) review the operation of a scheme.</w:t>
      </w:r>
    </w:p>
    <w:p>
      <w:pPr>
        <w:pStyle w:val="Subsection"/>
        <w:spacing w:before="120"/>
      </w:pPr>
      <w:r>
        <w:tab/>
        <w:t>(3)</w:t>
      </w:r>
      <w:r>
        <w:tab/>
        <w:t xml:space="preserve">A review may, but need not, be conducted in order to decide — </w:t>
      </w:r>
    </w:p>
    <w:p>
      <w:pPr>
        <w:pStyle w:val="Indenta"/>
      </w:pPr>
      <w:r>
        <w:tab/>
        <w:t>(a)</w:t>
      </w:r>
      <w:r>
        <w:tab/>
        <w:t>in the case of a scheme prepared under this Act, whether the scheme should be amended or revoked or whether a new scheme should be made; or</w:t>
      </w:r>
    </w:p>
    <w:p>
      <w:pPr>
        <w:pStyle w:val="Indenta"/>
      </w:pPr>
      <w:r>
        <w:tab/>
        <w:t>(b)</w:t>
      </w:r>
      <w:r>
        <w:tab/>
        <w:t>in the case of an interstate scheme, whether the operation of the scheme should be terminated in relation to this jurisdiction.</w:t>
      </w:r>
    </w:p>
    <w:p>
      <w:pPr>
        <w:pStyle w:val="Footnotesection"/>
      </w:pPr>
      <w:r>
        <w:tab/>
        <w:t>[Section 29 inserted by No. 25 of 2004 s. 11; amended by No. 3 of 2010 s. 20.]</w:t>
      </w:r>
    </w:p>
    <w:p>
      <w:pPr>
        <w:pStyle w:val="Heading5"/>
      </w:pPr>
      <w:bookmarkStart w:id="366" w:name="_Toc139338647"/>
      <w:bookmarkStart w:id="367" w:name="_Toc263856468"/>
      <w:r>
        <w:rPr>
          <w:rStyle w:val="CharSectno"/>
        </w:rPr>
        <w:t>29A</w:t>
      </w:r>
      <w:r>
        <w:t>.</w:t>
      </w:r>
      <w:r>
        <w:tab/>
        <w:t>Amendment and revocation of schemes</w:t>
      </w:r>
      <w:bookmarkEnd w:id="366"/>
      <w:bookmarkEnd w:id="367"/>
    </w:p>
    <w:p>
      <w:pPr>
        <w:pStyle w:val="Subsection"/>
      </w:pPr>
      <w:r>
        <w:tab/>
        <w:t>(1)</w:t>
      </w:r>
      <w:r>
        <w:tab/>
        <w:t>An occupational association may prepare an instrument amending or revoking a scheme that relates to its members.</w:t>
      </w:r>
    </w:p>
    <w:p>
      <w:pPr>
        <w:pStyle w:val="Subsection"/>
      </w:pPr>
      <w:r>
        <w:tab/>
        <w:t>(2)</w:t>
      </w:r>
      <w:r>
        <w:tab/>
        <w:t>The Council may, on the application of an occupational association, prepare or approve an instrument amending or revoking a scheme that relates to the members of the association.</w:t>
      </w:r>
    </w:p>
    <w:p>
      <w:pPr>
        <w:pStyle w:val="Subsection"/>
      </w:pPr>
      <w:r>
        <w:tab/>
        <w:t>(3)</w:t>
      </w:r>
      <w:r>
        <w:tab/>
        <w:t>The Minister may direct the Council to prepare an instrument amending or revoking a scheme.</w:t>
      </w:r>
    </w:p>
    <w:p>
      <w:pPr>
        <w:pStyle w:val="Subsection"/>
      </w:pPr>
      <w:r>
        <w:tab/>
        <w:t>(4)</w:t>
      </w:r>
      <w:r>
        <w:tab/>
        <w:t>The Council must comply with any direction under subsection (3) but may on its own initiative, at any time while the scheme remains in force, prepare an instrument amending or revoking a scheme.</w:t>
      </w:r>
    </w:p>
    <w:p>
      <w:pPr>
        <w:pStyle w:val="Subsection"/>
      </w:pPr>
      <w:bookmarkStart w:id="368" w:name="_Toc84237347"/>
      <w:bookmarkStart w:id="369" w:name="_Toc84308778"/>
      <w:bookmarkStart w:id="370" w:name="_Toc89584284"/>
      <w:bookmarkStart w:id="371" w:name="_Toc89584473"/>
      <w:r>
        <w:tab/>
        <w:t>(5)</w:t>
      </w:r>
      <w:r>
        <w:tab/>
        <w:t>The provisions of sections 20 to 28 extend, with any necessary modifications, to the amendment of a scheme by an instrument under this section.</w:t>
      </w:r>
    </w:p>
    <w:p>
      <w:pPr>
        <w:pStyle w:val="Subsection"/>
      </w:pPr>
      <w:r>
        <w:tab/>
        <w:t>(6)</w:t>
      </w:r>
      <w:r>
        <w:tab/>
        <w:t>The provisions of sections 20 to 27 (other than section 25(2)) extend, with any necessary modifications, to the revocation of a scheme by an instrument under this section.</w:t>
      </w:r>
    </w:p>
    <w:p>
      <w:pPr>
        <w:pStyle w:val="Subsection"/>
      </w:pPr>
      <w:r>
        <w:tab/>
        <w:t>(7)</w:t>
      </w:r>
      <w:r>
        <w:tab/>
        <w:t>The amendment or revocation of a scheme does not affect a right or liability arising during the application of the scheme to members of an occupational association before the amendment or revocation.</w:t>
      </w:r>
    </w:p>
    <w:p>
      <w:pPr>
        <w:pStyle w:val="Subsection"/>
      </w:pPr>
      <w:r>
        <w:tab/>
        <w:t>(8)</w:t>
      </w:r>
      <w:r>
        <w:tab/>
        <w:t>This section does not apply to an interstate scheme.</w:t>
      </w:r>
    </w:p>
    <w:p>
      <w:pPr>
        <w:pStyle w:val="Footnotesection"/>
      </w:pPr>
      <w:r>
        <w:tab/>
        <w:t>[Section 29A inserted by No. 25 of 2004 s. 11; amended by No. 3 of 2010 s. 21.]</w:t>
      </w:r>
    </w:p>
    <w:p>
      <w:pPr>
        <w:pStyle w:val="Heading5"/>
      </w:pPr>
      <w:bookmarkStart w:id="372" w:name="_Toc257386423"/>
      <w:bookmarkStart w:id="373" w:name="_Toc258417984"/>
      <w:bookmarkStart w:id="374" w:name="_Toc263856469"/>
      <w:bookmarkStart w:id="375" w:name="_Toc94348689"/>
      <w:bookmarkStart w:id="376" w:name="_Toc94418951"/>
      <w:bookmarkStart w:id="377" w:name="_Toc95890603"/>
      <w:bookmarkStart w:id="378" w:name="_Toc95894128"/>
      <w:bookmarkStart w:id="379" w:name="_Toc97618208"/>
      <w:bookmarkStart w:id="380" w:name="_Toc97622580"/>
      <w:bookmarkStart w:id="381" w:name="_Toc98316135"/>
      <w:bookmarkStart w:id="382" w:name="_Toc98320733"/>
      <w:bookmarkStart w:id="383" w:name="_Toc98648051"/>
      <w:bookmarkStart w:id="384" w:name="_Toc101842700"/>
      <w:bookmarkStart w:id="385" w:name="_Toc102369317"/>
      <w:bookmarkStart w:id="386" w:name="_Toc102453133"/>
      <w:bookmarkStart w:id="387" w:name="_Toc102538334"/>
      <w:bookmarkStart w:id="388" w:name="_Toc139338648"/>
      <w:bookmarkStart w:id="389" w:name="_Toc139338758"/>
      <w:bookmarkStart w:id="390" w:name="_Toc139338871"/>
      <w:bookmarkStart w:id="391" w:name="_Toc139434230"/>
      <w:bookmarkStart w:id="392" w:name="_Toc139439183"/>
      <w:bookmarkStart w:id="393" w:name="_Toc139439293"/>
      <w:bookmarkStart w:id="394" w:name="_Toc139439366"/>
      <w:bookmarkStart w:id="395" w:name="_Toc157997521"/>
      <w:bookmarkStart w:id="396" w:name="_Toc158000467"/>
      <w:bookmarkStart w:id="397" w:name="_Toc241056426"/>
      <w:r>
        <w:rPr>
          <w:rStyle w:val="CharSectno"/>
        </w:rPr>
        <w:t>30A</w:t>
      </w:r>
      <w:r>
        <w:t>.</w:t>
      </w:r>
      <w:r>
        <w:tab/>
        <w:t>Notification of revocation of schemes</w:t>
      </w:r>
      <w:bookmarkEnd w:id="372"/>
      <w:bookmarkEnd w:id="373"/>
      <w:bookmarkEnd w:id="374"/>
    </w:p>
    <w:p>
      <w:pPr>
        <w:pStyle w:val="Subsection"/>
      </w:pPr>
      <w:r>
        <w:tab/>
        <w:t>(1)</w:t>
      </w:r>
      <w:r>
        <w:tab/>
        <w:t xml:space="preserve">On publication in the </w:t>
      </w:r>
      <w:r>
        <w:rPr>
          <w:i/>
          <w:iCs/>
        </w:rPr>
        <w:t>Gazette</w:t>
      </w:r>
      <w:r>
        <w:t xml:space="preserve"> of an instrument revoking a scheme (other than an interstate scheme) that operates as a scheme of another jurisdiction, the Minister must cause notice of that fact to be given to the Minister administering the corresponding law of that jurisdiction.</w:t>
      </w:r>
    </w:p>
    <w:p>
      <w:pPr>
        <w:pStyle w:val="Subsection"/>
      </w:pPr>
      <w:r>
        <w:tab/>
        <w:t>(2)</w:t>
      </w:r>
      <w:r>
        <w:tab/>
        <w:t xml:space="preserve">On receipt of notice that an interstate scheme has been revoked under the corresponding law of the jurisdiction in which it was prepared, the Minister must cause a statement to that effect to be published in the </w:t>
      </w:r>
      <w:r>
        <w:rPr>
          <w:i/>
          <w:iCs/>
        </w:rPr>
        <w:t>Gazette</w:t>
      </w:r>
      <w:r>
        <w:t>.</w:t>
      </w:r>
    </w:p>
    <w:p>
      <w:pPr>
        <w:pStyle w:val="Footnotesection"/>
      </w:pPr>
      <w:bookmarkStart w:id="398" w:name="_Toc257386424"/>
      <w:bookmarkStart w:id="399" w:name="_Toc258417985"/>
      <w:r>
        <w:tab/>
        <w:t>[Section 30A inserted by No. 3 of 2010 s. 22.]</w:t>
      </w:r>
    </w:p>
    <w:p>
      <w:pPr>
        <w:pStyle w:val="Heading5"/>
      </w:pPr>
      <w:bookmarkStart w:id="400" w:name="_Toc263856470"/>
      <w:r>
        <w:rPr>
          <w:rStyle w:val="CharSectno"/>
        </w:rPr>
        <w:t>30B</w:t>
      </w:r>
      <w:r>
        <w:t>.</w:t>
      </w:r>
      <w:r>
        <w:tab/>
        <w:t>Termination of operation of interstate schemes in this jurisdiction</w:t>
      </w:r>
      <w:bookmarkEnd w:id="398"/>
      <w:bookmarkEnd w:id="399"/>
      <w:bookmarkEnd w:id="400"/>
    </w:p>
    <w:p>
      <w:pPr>
        <w:pStyle w:val="Subsection"/>
      </w:pPr>
      <w:r>
        <w:tab/>
        <w:t>(1)</w:t>
      </w:r>
      <w:r>
        <w:tab/>
        <w:t>The Council may, on the application of an occupational association, prepare an instrument terminating, in relation to this jurisdiction, the operation of an interstate scheme that relates to members of the association.</w:t>
      </w:r>
    </w:p>
    <w:p>
      <w:pPr>
        <w:pStyle w:val="Subsection"/>
      </w:pPr>
      <w:r>
        <w:tab/>
        <w:t>(2)</w:t>
      </w:r>
      <w:r>
        <w:tab/>
        <w:t>The Minister may direct the Council to prepare an instrument terminating the operation of an interstate scheme in relation to this jurisdiction.</w:t>
      </w:r>
    </w:p>
    <w:p>
      <w:pPr>
        <w:pStyle w:val="Subsection"/>
      </w:pPr>
      <w:r>
        <w:tab/>
        <w:t>(3)</w:t>
      </w:r>
      <w:r>
        <w:tab/>
        <w:t>The Council must comply with any direction under subsection (2) but may on its own initiative, at any time while an interstate scheme remains in force, prepare an instrument terminating the operation of the scheme in relation to this jurisdiction.</w:t>
      </w:r>
    </w:p>
    <w:p>
      <w:pPr>
        <w:pStyle w:val="Subsection"/>
      </w:pPr>
      <w:r>
        <w:tab/>
        <w:t>(4)</w:t>
      </w:r>
      <w:r>
        <w:tab/>
        <w:t>The provisions of sections 21 to 26 (other than section 25(2)) extend, with any necessary modifications, to the termination of the operation of an interstate scheme under an instrument under this section.</w:t>
      </w:r>
    </w:p>
    <w:p>
      <w:pPr>
        <w:pStyle w:val="Subsection"/>
      </w:pPr>
      <w:r>
        <w:tab/>
        <w:t>(5)</w:t>
      </w:r>
      <w:r>
        <w:tab/>
        <w:t xml:space="preserve">The operation of an interstate scheme in respect of which an instrument under this section is published under section 26 (as applied by subsection (4)) is terminated, in relation to this jurisdiction, as from — </w:t>
      </w:r>
    </w:p>
    <w:p>
      <w:pPr>
        <w:pStyle w:val="Indenta"/>
      </w:pPr>
      <w:r>
        <w:tab/>
        <w:t>(a)</w:t>
      </w:r>
      <w:r>
        <w:tab/>
        <w:t>a day specified in the instrument, being a day that is later than the day of its publication; or</w:t>
      </w:r>
    </w:p>
    <w:p>
      <w:pPr>
        <w:pStyle w:val="Indenta"/>
      </w:pPr>
      <w:r>
        <w:tab/>
        <w:t>(b)</w:t>
      </w:r>
      <w:r>
        <w:tab/>
        <w:t>if no day is specified, 2 months after the day of its publication.</w:t>
      </w:r>
    </w:p>
    <w:p>
      <w:pPr>
        <w:pStyle w:val="Footnotesection"/>
      </w:pPr>
      <w:r>
        <w:tab/>
        <w:t>[Section 30B inserted by No. 3 of 2010 s. 22.]</w:t>
      </w:r>
    </w:p>
    <w:p>
      <w:pPr>
        <w:pStyle w:val="Heading3"/>
        <w:rPr>
          <w:snapToGrid w:val="0"/>
        </w:rPr>
      </w:pPr>
      <w:bookmarkStart w:id="401" w:name="_Toc258420353"/>
      <w:bookmarkStart w:id="402" w:name="_Toc258424824"/>
      <w:bookmarkStart w:id="403" w:name="_Toc259529969"/>
      <w:bookmarkStart w:id="404" w:name="_Toc259530092"/>
      <w:bookmarkStart w:id="405" w:name="_Toc263761858"/>
      <w:bookmarkStart w:id="406" w:name="_Toc263856347"/>
      <w:bookmarkStart w:id="407" w:name="_Toc263856471"/>
      <w:r>
        <w:rPr>
          <w:rStyle w:val="CharDivNo"/>
        </w:rPr>
        <w:t>Division 2</w:t>
      </w:r>
      <w:r>
        <w:rPr>
          <w:snapToGrid w:val="0"/>
        </w:rPr>
        <w:t> — </w:t>
      </w:r>
      <w:r>
        <w:rPr>
          <w:rStyle w:val="CharDivText"/>
        </w:rPr>
        <w:t>Contents of schemes</w:t>
      </w:r>
      <w:bookmarkEnd w:id="368"/>
      <w:bookmarkEnd w:id="369"/>
      <w:bookmarkEnd w:id="370"/>
      <w:bookmarkEnd w:id="371"/>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401"/>
      <w:bookmarkEnd w:id="402"/>
      <w:bookmarkEnd w:id="403"/>
      <w:bookmarkEnd w:id="404"/>
      <w:bookmarkEnd w:id="405"/>
      <w:bookmarkEnd w:id="406"/>
      <w:bookmarkEnd w:id="407"/>
      <w:r>
        <w:rPr>
          <w:rStyle w:val="CharDivText"/>
        </w:rPr>
        <w:t xml:space="preserve"> </w:t>
      </w:r>
    </w:p>
    <w:p>
      <w:pPr>
        <w:pStyle w:val="Heading5"/>
      </w:pPr>
      <w:bookmarkStart w:id="408" w:name="_Toc139338649"/>
      <w:bookmarkStart w:id="409" w:name="_Toc263856472"/>
      <w:bookmarkStart w:id="410" w:name="_Toc418485456"/>
      <w:r>
        <w:rPr>
          <w:rStyle w:val="CharSectno"/>
        </w:rPr>
        <w:t>30</w:t>
      </w:r>
      <w:r>
        <w:t>.</w:t>
      </w:r>
      <w:r>
        <w:tab/>
        <w:t>Persons to whom scheme applies</w:t>
      </w:r>
      <w:bookmarkEnd w:id="408"/>
      <w:bookmarkEnd w:id="409"/>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by No. 25 of 2004 s. 12.]</w:t>
      </w:r>
    </w:p>
    <w:p>
      <w:pPr>
        <w:pStyle w:val="Heading5"/>
      </w:pPr>
      <w:bookmarkStart w:id="411" w:name="_Toc139338650"/>
      <w:bookmarkStart w:id="412" w:name="_Toc263856473"/>
      <w:r>
        <w:rPr>
          <w:rStyle w:val="CharSectno"/>
        </w:rPr>
        <w:t>31</w:t>
      </w:r>
      <w:r>
        <w:t>.</w:t>
      </w:r>
      <w:r>
        <w:tab/>
        <w:t>Officers or partners of persons to whom scheme applies</w:t>
      </w:r>
      <w:bookmarkEnd w:id="411"/>
      <w:bookmarkEnd w:id="412"/>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r>
      <w:r>
        <w:rPr>
          <w:rStyle w:val="CharDefText"/>
        </w:rPr>
        <w:t>officer</w:t>
      </w:r>
      <w:r>
        <w:t xml:space="preserve"> — </w:t>
      </w:r>
    </w:p>
    <w:p>
      <w:pPr>
        <w:pStyle w:val="Defpara"/>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rPr>
          <w:lang w:val="en-US"/>
        </w:rPr>
      </w:pPr>
      <w:r>
        <w:rPr>
          <w:lang w:val="en-US"/>
        </w:rPr>
        <w:tab/>
        <w:t>(b)</w:t>
      </w:r>
      <w:r>
        <w:rPr>
          <w:lang w:val="en-US"/>
        </w:rPr>
        <w:tab/>
        <w:t>in relation to a body corporate that is not a corporation as so defined, means any person (by whatever name called) who is concerned in or takes part in the management of the body corporate.</w:t>
      </w:r>
    </w:p>
    <w:p>
      <w:pPr>
        <w:pStyle w:val="Footnotesection"/>
      </w:pPr>
      <w:r>
        <w:tab/>
        <w:t>[Section 31 inserted by No. 25 of 2004 s. 12; amended by No. 3 of 2010 s. 26.]</w:t>
      </w:r>
    </w:p>
    <w:p>
      <w:pPr>
        <w:pStyle w:val="Heading5"/>
        <w:rPr>
          <w:snapToGrid w:val="0"/>
        </w:rPr>
      </w:pPr>
      <w:bookmarkStart w:id="413" w:name="_Toc139338651"/>
      <w:bookmarkStart w:id="414" w:name="_Toc263856474"/>
      <w:r>
        <w:rPr>
          <w:rStyle w:val="CharSectno"/>
        </w:rPr>
        <w:t>32</w:t>
      </w:r>
      <w:r>
        <w:rPr>
          <w:snapToGrid w:val="0"/>
        </w:rPr>
        <w:t>.</w:t>
      </w:r>
      <w:r>
        <w:rPr>
          <w:snapToGrid w:val="0"/>
        </w:rPr>
        <w:tab/>
        <w:t>Employees of persons to whom scheme</w:t>
      </w:r>
      <w:bookmarkEnd w:id="410"/>
      <w:bookmarkEnd w:id="413"/>
      <w:r>
        <w:rPr>
          <w:snapToGrid w:val="0"/>
        </w:rPr>
        <w:t xml:space="preserve"> applies</w:t>
      </w:r>
      <w:bookmarkEnd w:id="414"/>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415" w:name="_Toc418485457"/>
      <w:bookmarkStart w:id="416" w:name="_Toc139338652"/>
      <w:bookmarkStart w:id="417" w:name="_Toc263856475"/>
      <w:r>
        <w:rPr>
          <w:rStyle w:val="CharSectno"/>
        </w:rPr>
        <w:t>33</w:t>
      </w:r>
      <w:r>
        <w:rPr>
          <w:snapToGrid w:val="0"/>
        </w:rPr>
        <w:t>.</w:t>
      </w:r>
      <w:r>
        <w:rPr>
          <w:snapToGrid w:val="0"/>
        </w:rPr>
        <w:tab/>
        <w:t>Other persons to whom scheme</w:t>
      </w:r>
      <w:bookmarkEnd w:id="415"/>
      <w:bookmarkEnd w:id="416"/>
      <w:r>
        <w:rPr>
          <w:snapToGrid w:val="0"/>
        </w:rPr>
        <w:t xml:space="preserve"> applies</w:t>
      </w:r>
      <w:bookmarkEnd w:id="417"/>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pPr>
      <w:bookmarkStart w:id="418" w:name="_Toc257386431"/>
      <w:bookmarkStart w:id="419" w:name="_Toc258417992"/>
      <w:bookmarkStart w:id="420" w:name="_Toc263856476"/>
      <w:bookmarkStart w:id="421" w:name="_Toc418485458"/>
      <w:bookmarkStart w:id="422" w:name="_Toc139338653"/>
      <w:r>
        <w:rPr>
          <w:rStyle w:val="CharSectno"/>
        </w:rPr>
        <w:t>34A</w:t>
      </w:r>
      <w:r>
        <w:t>.</w:t>
      </w:r>
      <w:r>
        <w:tab/>
        <w:t>Extension of liability limitation to other persons to whom scheme applies</w:t>
      </w:r>
      <w:bookmarkEnd w:id="418"/>
      <w:bookmarkEnd w:id="419"/>
      <w:bookmarkEnd w:id="420"/>
    </w:p>
    <w:p>
      <w:pPr>
        <w:pStyle w:val="Subsection"/>
      </w:pPr>
      <w:r>
        <w:tab/>
        <w:t>(1)</w:t>
      </w:r>
      <w:r>
        <w:tab/>
        <w:t xml:space="preserve">In this section — </w:t>
      </w:r>
    </w:p>
    <w:p>
      <w:pPr>
        <w:pStyle w:val="Defstart"/>
      </w:pPr>
      <w:r>
        <w:rPr>
          <w:b/>
        </w:rPr>
        <w:tab/>
      </w:r>
      <w:r>
        <w:rPr>
          <w:rStyle w:val="CharDefText"/>
        </w:rPr>
        <w:t>associate</w:t>
      </w:r>
      <w:r>
        <w:rPr>
          <w:bCs/>
        </w:rPr>
        <w:t xml:space="preserve">, </w:t>
      </w:r>
      <w:r>
        <w:t>of a person, means someone who is associated with the person under the regulations referred to in section 42(4)(b);</w:t>
      </w:r>
    </w:p>
    <w:p>
      <w:pPr>
        <w:pStyle w:val="Defstart"/>
        <w:rPr>
          <w:b/>
        </w:rPr>
      </w:pPr>
      <w:r>
        <w:rPr>
          <w:b/>
        </w:rPr>
        <w:tab/>
      </w:r>
      <w:r>
        <w:rPr>
          <w:rStyle w:val="CharDefText"/>
        </w:rPr>
        <w:t>officer</w:t>
      </w:r>
      <w:r>
        <w:rPr>
          <w:bCs/>
        </w:rPr>
        <w:t> —</w:t>
      </w:r>
      <w:r>
        <w:rPr>
          <w:b/>
        </w:rPr>
        <w:t xml:space="preserve"> </w:t>
      </w:r>
    </w:p>
    <w:p>
      <w:pPr>
        <w:pStyle w:val="Defpara"/>
        <w:spacing w:before="60"/>
      </w:pPr>
      <w:r>
        <w:tab/>
        <w:t>(a)</w:t>
      </w:r>
      <w:r>
        <w:tab/>
        <w:t xml:space="preserve">in relation to a body corporate that is a corporation as defined in the </w:t>
      </w:r>
      <w:r>
        <w:rPr>
          <w:i/>
          <w:iCs/>
        </w:rPr>
        <w:t xml:space="preserve">Corporations Act 2001 </w:t>
      </w:r>
      <w:r>
        <w:t>(Commonwealth) section 57A, has the meaning given in section 9 of that Act; and</w:t>
      </w:r>
    </w:p>
    <w:p>
      <w:pPr>
        <w:pStyle w:val="Defpara"/>
        <w:spacing w:before="60"/>
      </w:pPr>
      <w:r>
        <w:tab/>
        <w:t>(b)</w:t>
      </w:r>
      <w:r>
        <w:tab/>
        <w:t>in relation to a body corporate that is not a corporation as so defined, means any person (by whatever name called) who is concerned in or takes part in the management of the body corporate.</w:t>
      </w:r>
    </w:p>
    <w:p>
      <w:pPr>
        <w:pStyle w:val="Subsection"/>
        <w:spacing w:before="120"/>
      </w:pPr>
      <w:r>
        <w:tab/>
        <w:t>(2)</w:t>
      </w:r>
      <w:r>
        <w:tab/>
        <w:t xml:space="preserve">limitation that applies under this Act to the occupational liability of a person as a member of an occupational association in respect of a cause of action (the </w:t>
      </w:r>
      <w:r>
        <w:rPr>
          <w:rStyle w:val="CharDefText"/>
        </w:rPr>
        <w:t>principal cause of action</w:t>
      </w:r>
      <w:r>
        <w:t>) also applies, in respect of the principal cause of action and any related cause of action, to the liability of any other person to whom the scheme concerned applies as a partner, officer, employee or associate of the member (whether or not the other person’s liability is an occupational liability).</w:t>
      </w:r>
    </w:p>
    <w:p>
      <w:pPr>
        <w:pStyle w:val="Subsection"/>
        <w:spacing w:before="120"/>
      </w:pPr>
      <w:r>
        <w:tab/>
        <w:t>(3)</w:t>
      </w:r>
      <w:r>
        <w:tab/>
        <w:t xml:space="preserve">A </w:t>
      </w:r>
      <w:r>
        <w:rPr>
          <w:rStyle w:val="CharDefText"/>
        </w:rPr>
        <w:t>related cause of action</w:t>
      </w:r>
      <w:r>
        <w:t xml:space="preserve"> is a cause of action in respect of civil liability of the other person arising (in tort, contract or otherwise) directly or vicariously from anything done or omitted by that person that caused or contributed to the loss or damage with which the principal cause of action is concerned and that resulted from the same or substantially the same event as that from which the principal cause of action arose.</w:t>
      </w:r>
    </w:p>
    <w:p>
      <w:pPr>
        <w:pStyle w:val="Subsection"/>
        <w:spacing w:before="120"/>
      </w:pPr>
      <w:r>
        <w:tab/>
        <w:t>(4)</w:t>
      </w:r>
      <w:r>
        <w:tab/>
        <w:t xml:space="preserve">When this section refers to a person who is a </w:t>
      </w:r>
      <w:r>
        <w:rPr>
          <w:rStyle w:val="CharDefText"/>
        </w:rPr>
        <w:t>partner, officer, employee or associate of a member</w:t>
      </w:r>
      <w:r>
        <w:t xml:space="preserve"> of an occupational association it refers to a person who was such a partner, officer, employee or associate at the time of the event that gave rise to the principal cause of action.</w:t>
      </w:r>
    </w:p>
    <w:p>
      <w:pPr>
        <w:pStyle w:val="Subsection"/>
        <w:spacing w:before="120"/>
      </w:pPr>
      <w:r>
        <w:tab/>
        <w:t>(5)</w:t>
      </w:r>
      <w:r>
        <w:tab/>
        <w:t xml:space="preserve">When this section refers to a </w:t>
      </w:r>
      <w:r>
        <w:rPr>
          <w:rStyle w:val="CharDefText"/>
        </w:rPr>
        <w:t>limitation on liability</w:t>
      </w:r>
      <w:r>
        <w:t xml:space="preserve"> that applies to a person as a member of an occupational association it includes a limitation on liability that would apply to the person if a cause of action relating to the liability were brought against the person.</w:t>
      </w:r>
    </w:p>
    <w:p>
      <w:pPr>
        <w:pStyle w:val="Footnotesection"/>
        <w:spacing w:before="80"/>
        <w:ind w:left="890" w:hanging="890"/>
      </w:pPr>
      <w:r>
        <w:tab/>
        <w:t>[Section 34A inserted by No. 3 of 2010 s. 27.]</w:t>
      </w:r>
    </w:p>
    <w:p>
      <w:pPr>
        <w:pStyle w:val="Heading5"/>
      </w:pPr>
      <w:bookmarkStart w:id="423" w:name="_Toc257386402"/>
      <w:bookmarkStart w:id="424" w:name="_Toc258417963"/>
      <w:bookmarkStart w:id="425" w:name="_Toc263856477"/>
      <w:bookmarkStart w:id="426" w:name="_Toc418485459"/>
      <w:bookmarkStart w:id="427" w:name="_Toc139338654"/>
      <w:bookmarkEnd w:id="421"/>
      <w:bookmarkEnd w:id="422"/>
      <w:r>
        <w:rPr>
          <w:rStyle w:val="CharSectno"/>
        </w:rPr>
        <w:t>34</w:t>
      </w:r>
      <w:r>
        <w:t>.</w:t>
      </w:r>
      <w:r>
        <w:tab/>
        <w:t>Limitation of liability by insurance arrangements</w:t>
      </w:r>
      <w:bookmarkEnd w:id="423"/>
      <w:bookmarkEnd w:id="424"/>
      <w:bookmarkEnd w:id="425"/>
    </w:p>
    <w:p>
      <w:pPr>
        <w:pStyle w:val="Subsection"/>
      </w:pPr>
      <w:r>
        <w:tab/>
      </w:r>
      <w:r>
        <w:tab/>
        <w:t xml:space="preserve">A scheme may provide that if a person to whom the scheme applies and against whom a proceeding relating to occupational liability is brought is able to satisfy the court concerned that — </w:t>
      </w:r>
    </w:p>
    <w:p>
      <w:pPr>
        <w:pStyle w:val="Indenta"/>
      </w:pPr>
      <w:r>
        <w:tab/>
        <w:t>(a)</w:t>
      </w:r>
      <w:r>
        <w:tab/>
        <w:t>that person has the benefit of an insurance policy insuring that person against the occupational liability to which the cause of action relates; and</w:t>
      </w:r>
    </w:p>
    <w:p>
      <w:pPr>
        <w:pStyle w:val="Indenta"/>
      </w:pPr>
      <w:r>
        <w:tab/>
        <w:t>(b)</w:t>
      </w:r>
      <w:r>
        <w:tab/>
        <w:t>the amount payable under the policy in respect of that occupational liability is not less than the amount of the monetary ceiling specified in the scheme in relation to the class of person and the kind of work to which the cause of action relates,</w:t>
      </w:r>
    </w:p>
    <w:p>
      <w:pPr>
        <w:pStyle w:val="Subsection"/>
      </w:pPr>
      <w:r>
        <w:tab/>
      </w:r>
      <w:r>
        <w:tab/>
        <w:t>that person is not liable in damages in relation to that cause of action above the amount of the monetary ceiling so specified.</w:t>
      </w:r>
    </w:p>
    <w:p>
      <w:pPr>
        <w:pStyle w:val="Footnotesection"/>
      </w:pPr>
      <w:r>
        <w:tab/>
        <w:t>[Section 34 inserted by No. 3 of 2010 s. 5.]</w:t>
      </w:r>
    </w:p>
    <w:p>
      <w:pPr>
        <w:pStyle w:val="Heading5"/>
        <w:rPr>
          <w:snapToGrid w:val="0"/>
        </w:rPr>
      </w:pPr>
      <w:bookmarkStart w:id="428" w:name="_Toc263856478"/>
      <w:r>
        <w:rPr>
          <w:rStyle w:val="CharSectno"/>
        </w:rPr>
        <w:t>35</w:t>
      </w:r>
      <w:r>
        <w:rPr>
          <w:snapToGrid w:val="0"/>
        </w:rPr>
        <w:t>.</w:t>
      </w:r>
      <w:r>
        <w:rPr>
          <w:snapToGrid w:val="0"/>
        </w:rPr>
        <w:tab/>
        <w:t>Limitation of liability by reference to amounts of business assets</w:t>
      </w:r>
      <w:bookmarkEnd w:id="426"/>
      <w:bookmarkEnd w:id="427"/>
      <w:bookmarkEnd w:id="428"/>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the class of person and the kind of work to which the cause of action relates; 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amount of the monetary ceiling specified in the scheme in relation to the class of person and the kind of work to which the cause of action relates,</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by No. 25 of 2004 s. 14; No. 3 of 2010 s. 6.]</w:t>
      </w:r>
    </w:p>
    <w:p>
      <w:pPr>
        <w:pStyle w:val="Heading5"/>
        <w:rPr>
          <w:snapToGrid w:val="0"/>
        </w:rPr>
      </w:pPr>
      <w:bookmarkStart w:id="429" w:name="_Toc418485460"/>
      <w:bookmarkStart w:id="430" w:name="_Toc139338655"/>
      <w:bookmarkStart w:id="431" w:name="_Toc263856479"/>
      <w:r>
        <w:rPr>
          <w:rStyle w:val="CharSectno"/>
        </w:rPr>
        <w:t>36</w:t>
      </w:r>
      <w:r>
        <w:rPr>
          <w:snapToGrid w:val="0"/>
        </w:rPr>
        <w:t>.</w:t>
      </w:r>
      <w:r>
        <w:rPr>
          <w:snapToGrid w:val="0"/>
        </w:rPr>
        <w:tab/>
        <w:t>Limitation of liability by multiple of charges</w:t>
      </w:r>
      <w:bookmarkEnd w:id="429"/>
      <w:bookmarkEnd w:id="430"/>
      <w:bookmarkEnd w:id="431"/>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w:t>
      </w:r>
      <w:r>
        <w:t xml:space="preserve"> the occupational liability to which the cause of action relates; and</w:t>
      </w:r>
    </w:p>
    <w:p>
      <w:pPr>
        <w:pStyle w:val="Indenti"/>
      </w:pPr>
      <w:r>
        <w:tab/>
        <w:t>(ii)</w:t>
      </w:r>
      <w:r>
        <w:tab/>
        <w:t xml:space="preserve">under which the amount payable in respect of that occupational liability is not less than an amount (the </w:t>
      </w:r>
      <w:r>
        <w:rPr>
          <w:rStyle w:val="CharDefText"/>
        </w:rPr>
        <w:t>limitation amount</w:t>
      </w:r>
      <w:r>
        <w:t>), being a reasonable charge for the services which were provided by that person, or which that person failed to provide, and to which the cause of action relates, multiplied by the multiple specified in the scheme in relation to the class of person and the kind of work to which the cause of action relates;</w:t>
      </w:r>
    </w:p>
    <w:p>
      <w:pPr>
        <w:pStyle w:val="Indenta"/>
      </w:pPr>
      <w:r>
        <w:tab/>
      </w:r>
      <w:r>
        <w:tab/>
        <w:t>or</w:t>
      </w:r>
    </w:p>
    <w:p>
      <w:pPr>
        <w:pStyle w:val="Indenta"/>
        <w:rPr>
          <w:snapToGrid w:val="0"/>
        </w:rPr>
      </w:pPr>
      <w:r>
        <w:tab/>
        <w:t>(aa)</w:t>
      </w:r>
      <w:r>
        <w:tab/>
        <w:t>that that person</w:t>
      </w:r>
      <w:r>
        <w:rPr>
          <w:snapToGrid w:val="0"/>
        </w:rPr>
        <w:t xml:space="preserve">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w:t>
      </w:r>
      <w:r>
        <w:t xml:space="preserve"> the occupational liability to which the cause of action relates; and</w:t>
      </w:r>
    </w:p>
    <w:p>
      <w:pPr>
        <w:pStyle w:val="Indenti"/>
      </w:pPr>
      <w:r>
        <w:tab/>
        <w:t>(ii)</w:t>
      </w:r>
      <w:r>
        <w:tab/>
        <w:t>the net current market value of the business assets and the amount payable under the policy in respect of that occupational liability, if combined, would total an amount that is not less than the limitation amount,</w:t>
      </w:r>
    </w:p>
    <w:p>
      <w:pPr>
        <w:pStyle w:val="Subsection"/>
        <w:rPr>
          <w:snapToGrid w:val="0"/>
        </w:rPr>
      </w:pPr>
      <w:r>
        <w:rPr>
          <w:snapToGrid w:val="0"/>
        </w:rPr>
        <w:tab/>
      </w:r>
      <w:r>
        <w:rPr>
          <w:snapToGrid w:val="0"/>
        </w:rPr>
        <w:tab/>
        <w:t>the person is not liable in damages in relation to that cause of action above the limitation</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by No. 25 of 2004 s. 15; No. 3 of 2010 s. 7.]</w:t>
      </w:r>
    </w:p>
    <w:p>
      <w:pPr>
        <w:pStyle w:val="Heading5"/>
      </w:pPr>
      <w:bookmarkStart w:id="432" w:name="_Toc139338656"/>
      <w:bookmarkStart w:id="433" w:name="_Toc263856480"/>
      <w:bookmarkStart w:id="434" w:name="_Toc418485462"/>
      <w:r>
        <w:rPr>
          <w:rStyle w:val="CharSectno"/>
        </w:rPr>
        <w:t>37</w:t>
      </w:r>
      <w:r>
        <w:t>.</w:t>
      </w:r>
      <w:r>
        <w:tab/>
        <w:t>Specification of limits of liability and multiples</w:t>
      </w:r>
      <w:bookmarkEnd w:id="432"/>
      <w:bookmarkEnd w:id="433"/>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by No. 25 of 2004 s. 16.]</w:t>
      </w:r>
    </w:p>
    <w:p>
      <w:pPr>
        <w:pStyle w:val="Heading5"/>
        <w:rPr>
          <w:snapToGrid w:val="0"/>
        </w:rPr>
      </w:pPr>
      <w:bookmarkStart w:id="435" w:name="_Toc139338657"/>
      <w:bookmarkStart w:id="436" w:name="_Toc263856481"/>
      <w:r>
        <w:rPr>
          <w:rStyle w:val="CharSectno"/>
        </w:rPr>
        <w:t>38</w:t>
      </w:r>
      <w:r>
        <w:rPr>
          <w:snapToGrid w:val="0"/>
        </w:rPr>
        <w:t>.</w:t>
      </w:r>
      <w:r>
        <w:rPr>
          <w:snapToGrid w:val="0"/>
        </w:rPr>
        <w:tab/>
        <w:t>Combination of provisions under s. 34, 35 and 36</w:t>
      </w:r>
      <w:bookmarkEnd w:id="434"/>
      <w:bookmarkEnd w:id="435"/>
      <w:bookmarkEnd w:id="436"/>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by No. 25 of 2004 s. 17.]</w:t>
      </w:r>
    </w:p>
    <w:p>
      <w:pPr>
        <w:pStyle w:val="Heading5"/>
        <w:rPr>
          <w:snapToGrid w:val="0"/>
        </w:rPr>
      </w:pPr>
      <w:bookmarkStart w:id="437" w:name="_Toc418485463"/>
      <w:bookmarkStart w:id="438" w:name="_Toc139338658"/>
      <w:bookmarkStart w:id="439" w:name="_Toc263856482"/>
      <w:r>
        <w:rPr>
          <w:rStyle w:val="CharSectno"/>
        </w:rPr>
        <w:t>39</w:t>
      </w:r>
      <w:r>
        <w:rPr>
          <w:snapToGrid w:val="0"/>
        </w:rPr>
        <w:t>.</w:t>
      </w:r>
      <w:r>
        <w:rPr>
          <w:snapToGrid w:val="0"/>
        </w:rPr>
        <w:tab/>
        <w:t>Liability that cannot be limited by schemes</w:t>
      </w:r>
      <w:bookmarkEnd w:id="437"/>
      <w:bookmarkEnd w:id="438"/>
      <w:bookmarkEnd w:id="439"/>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by No. 25 of 2004 s. 18.]</w:t>
      </w:r>
    </w:p>
    <w:p>
      <w:pPr>
        <w:pStyle w:val="Heading5"/>
      </w:pPr>
      <w:bookmarkStart w:id="440" w:name="_Toc257386406"/>
      <w:bookmarkStart w:id="441" w:name="_Toc258417967"/>
      <w:bookmarkStart w:id="442" w:name="_Toc263856483"/>
      <w:bookmarkStart w:id="443" w:name="_Toc418485464"/>
      <w:bookmarkStart w:id="444" w:name="_Toc139338659"/>
      <w:r>
        <w:rPr>
          <w:rStyle w:val="CharSectno"/>
        </w:rPr>
        <w:t>40A</w:t>
      </w:r>
      <w:r>
        <w:t>.</w:t>
      </w:r>
      <w:r>
        <w:tab/>
        <w:t>Liability in damages not reduced to below relevant limit</w:t>
      </w:r>
      <w:bookmarkEnd w:id="440"/>
      <w:bookmarkEnd w:id="441"/>
      <w:bookmarkEnd w:id="442"/>
    </w:p>
    <w:p>
      <w:pPr>
        <w:pStyle w:val="Subsection"/>
      </w:pPr>
      <w:r>
        <w:tab/>
      </w:r>
      <w:r>
        <w:tab/>
        <w:t>The liability in damages of a person to whom a scheme applies is not reduced below the relevant limitation imposed by a scheme in force under this Act because the amount available to be paid to the claimant under the insurance policy required for the purposes of this Act in respect of that liability is less than the relevant limitation.</w:t>
      </w:r>
    </w:p>
    <w:p>
      <w:pPr>
        <w:pStyle w:val="Footnotesection"/>
      </w:pPr>
      <w:r>
        <w:tab/>
        <w:t>[Section 40A inserted by No. 3 of 2010 s. 8.]</w:t>
      </w:r>
    </w:p>
    <w:p>
      <w:pPr>
        <w:pStyle w:val="Heading5"/>
        <w:rPr>
          <w:snapToGrid w:val="0"/>
        </w:rPr>
      </w:pPr>
      <w:bookmarkStart w:id="445" w:name="_Toc263856484"/>
      <w:r>
        <w:rPr>
          <w:rStyle w:val="CharSectno"/>
        </w:rPr>
        <w:t>40</w:t>
      </w:r>
      <w:r>
        <w:rPr>
          <w:snapToGrid w:val="0"/>
        </w:rPr>
        <w:t>.</w:t>
      </w:r>
      <w:r>
        <w:rPr>
          <w:snapToGrid w:val="0"/>
        </w:rPr>
        <w:tab/>
        <w:t>Insurance to be of requisite standard</w:t>
      </w:r>
      <w:bookmarkEnd w:id="443"/>
      <w:bookmarkEnd w:id="444"/>
      <w:bookmarkEnd w:id="445"/>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446" w:name="_Toc84237359"/>
      <w:bookmarkStart w:id="447" w:name="_Toc84308790"/>
      <w:bookmarkStart w:id="448" w:name="_Toc89584296"/>
      <w:bookmarkStart w:id="449" w:name="_Toc89584485"/>
      <w:bookmarkStart w:id="450" w:name="_Toc94348704"/>
      <w:bookmarkStart w:id="451" w:name="_Toc94418963"/>
      <w:bookmarkStart w:id="452" w:name="_Toc95890615"/>
      <w:bookmarkStart w:id="453" w:name="_Toc95894140"/>
      <w:bookmarkStart w:id="454" w:name="_Toc97618220"/>
      <w:bookmarkStart w:id="455" w:name="_Toc97622592"/>
      <w:bookmarkStart w:id="456" w:name="_Toc98316147"/>
      <w:bookmarkStart w:id="457" w:name="_Toc98320745"/>
      <w:bookmarkStart w:id="458" w:name="_Toc98648063"/>
      <w:bookmarkStart w:id="459" w:name="_Toc101842712"/>
      <w:bookmarkStart w:id="460" w:name="_Toc102369329"/>
      <w:bookmarkStart w:id="461" w:name="_Toc102453145"/>
      <w:bookmarkStart w:id="462" w:name="_Toc102538346"/>
      <w:bookmarkStart w:id="463" w:name="_Toc139338660"/>
      <w:bookmarkStart w:id="464" w:name="_Toc139338770"/>
      <w:bookmarkStart w:id="465" w:name="_Toc139338883"/>
      <w:bookmarkStart w:id="466" w:name="_Toc139434242"/>
      <w:bookmarkStart w:id="467" w:name="_Toc139439195"/>
      <w:bookmarkStart w:id="468" w:name="_Toc139439305"/>
      <w:bookmarkStart w:id="469" w:name="_Toc139439378"/>
      <w:bookmarkStart w:id="470" w:name="_Toc157997533"/>
      <w:bookmarkStart w:id="471" w:name="_Toc158000479"/>
      <w:bookmarkStart w:id="472" w:name="_Toc241056438"/>
      <w:bookmarkStart w:id="473" w:name="_Toc258420368"/>
      <w:bookmarkStart w:id="474" w:name="_Toc258424838"/>
      <w:bookmarkStart w:id="475" w:name="_Toc259529983"/>
      <w:bookmarkStart w:id="476" w:name="_Toc259530106"/>
      <w:bookmarkStart w:id="477" w:name="_Toc263761872"/>
      <w:bookmarkStart w:id="478" w:name="_Toc263856361"/>
      <w:bookmarkStart w:id="479" w:name="_Toc263856485"/>
      <w:r>
        <w:rPr>
          <w:rStyle w:val="CharDivNo"/>
        </w:rPr>
        <w:t>Division 3</w:t>
      </w:r>
      <w:r>
        <w:rPr>
          <w:snapToGrid w:val="0"/>
        </w:rPr>
        <w:t> — </w:t>
      </w:r>
      <w:r>
        <w:rPr>
          <w:rStyle w:val="CharDivText"/>
        </w:rPr>
        <w:t>Effect of schemes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DivText"/>
        </w:rPr>
        <w:t xml:space="preserve"> </w:t>
      </w:r>
    </w:p>
    <w:p>
      <w:pPr>
        <w:pStyle w:val="Heading5"/>
      </w:pPr>
      <w:bookmarkStart w:id="480" w:name="_Toc139338661"/>
      <w:bookmarkStart w:id="481" w:name="_Toc263856486"/>
      <w:bookmarkStart w:id="482" w:name="_Toc418485466"/>
      <w:r>
        <w:rPr>
          <w:rStyle w:val="CharSectno"/>
        </w:rPr>
        <w:t>41</w:t>
      </w:r>
      <w:r>
        <w:t>.</w:t>
      </w:r>
      <w:r>
        <w:tab/>
        <w:t>Limit of occupational liability by schemes</w:t>
      </w:r>
      <w:bookmarkEnd w:id="480"/>
      <w:bookmarkEnd w:id="481"/>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at which the act or omission giving rise to the cause of action concerned occurred.</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by No. 25 of 2004 s. 19; amended by No. 3 of 2010 s. 9.]</w:t>
      </w:r>
    </w:p>
    <w:p>
      <w:pPr>
        <w:pStyle w:val="Heading5"/>
        <w:rPr>
          <w:snapToGrid w:val="0"/>
        </w:rPr>
      </w:pPr>
      <w:bookmarkStart w:id="483" w:name="_Toc139338662"/>
      <w:bookmarkStart w:id="484" w:name="_Toc263856487"/>
      <w:r>
        <w:rPr>
          <w:rStyle w:val="CharSectno"/>
        </w:rPr>
        <w:t>42</w:t>
      </w:r>
      <w:r>
        <w:rPr>
          <w:snapToGrid w:val="0"/>
        </w:rPr>
        <w:t>.</w:t>
      </w:r>
      <w:r>
        <w:rPr>
          <w:snapToGrid w:val="0"/>
        </w:rPr>
        <w:tab/>
        <w:t>Limitation of amount of damages</w:t>
      </w:r>
      <w:bookmarkEnd w:id="482"/>
      <w:bookmarkEnd w:id="483"/>
      <w:bookmarkEnd w:id="484"/>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pPr>
      <w:r>
        <w:tab/>
        <w:t>(ba)</w:t>
      </w:r>
      <w:r>
        <w:tab/>
        <w:t xml:space="preserve">officers of the same body corporate or in the relationship of body corporate and officer of the body corporate (with </w:t>
      </w:r>
      <w:r>
        <w:rPr>
          <w:rStyle w:val="CharDefText"/>
        </w:rPr>
        <w:t>officer</w:t>
      </w:r>
      <w:r>
        <w:t xml:space="preserve"> having the meaning given in section 31); or</w:t>
      </w:r>
    </w:p>
    <w:p>
      <w:pPr>
        <w:pStyle w:val="Indenta"/>
        <w:rPr>
          <w:snapToGrid w:val="0"/>
        </w:rPr>
      </w:pPr>
      <w:r>
        <w:rPr>
          <w:snapToGrid w:val="0"/>
        </w:rPr>
        <w:tab/>
        <w:t>(b)</w:t>
      </w:r>
      <w:r>
        <w:rPr>
          <w:snapToGrid w:val="0"/>
        </w:rPr>
        <w:tab/>
        <w:t>persons who are prescribed by the regulations for the purposes of this subsection.</w:t>
      </w:r>
    </w:p>
    <w:p>
      <w:pPr>
        <w:pStyle w:val="Footnotesection"/>
      </w:pPr>
      <w:bookmarkStart w:id="485" w:name="_Toc418485467"/>
      <w:bookmarkStart w:id="486" w:name="_Toc139338663"/>
      <w:r>
        <w:tab/>
        <w:t>[Section 42 amended by No. 3 of 2010 s. 28.]</w:t>
      </w:r>
    </w:p>
    <w:p>
      <w:pPr>
        <w:pStyle w:val="Heading5"/>
        <w:rPr>
          <w:snapToGrid w:val="0"/>
        </w:rPr>
      </w:pPr>
      <w:bookmarkStart w:id="487" w:name="_Toc263856488"/>
      <w:r>
        <w:rPr>
          <w:rStyle w:val="CharSectno"/>
        </w:rPr>
        <w:t>43</w:t>
      </w:r>
      <w:r>
        <w:rPr>
          <w:snapToGrid w:val="0"/>
        </w:rPr>
        <w:t>.</w:t>
      </w:r>
      <w:r>
        <w:rPr>
          <w:snapToGrid w:val="0"/>
        </w:rPr>
        <w:tab/>
        <w:t>Effect of schemes on other parties to proceedings</w:t>
      </w:r>
      <w:bookmarkEnd w:id="485"/>
      <w:bookmarkEnd w:id="486"/>
      <w:bookmarkEnd w:id="487"/>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488" w:name="_Toc418485468"/>
      <w:bookmarkStart w:id="489" w:name="_Toc139338664"/>
      <w:bookmarkStart w:id="490" w:name="_Toc263856489"/>
      <w:r>
        <w:rPr>
          <w:rStyle w:val="CharSectno"/>
        </w:rPr>
        <w:t>44</w:t>
      </w:r>
      <w:r>
        <w:rPr>
          <w:snapToGrid w:val="0"/>
        </w:rPr>
        <w:t>.</w:t>
      </w:r>
      <w:r>
        <w:rPr>
          <w:snapToGrid w:val="0"/>
        </w:rPr>
        <w:tab/>
        <w:t>Proceedings to which schemes apply</w:t>
      </w:r>
      <w:bookmarkEnd w:id="488"/>
      <w:bookmarkEnd w:id="489"/>
      <w:bookmarkEnd w:id="490"/>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491" w:name="_Toc139338665"/>
      <w:bookmarkStart w:id="492" w:name="_Toc263856490"/>
      <w:bookmarkStart w:id="493" w:name="_Toc418485469"/>
      <w:r>
        <w:rPr>
          <w:rStyle w:val="CharSectno"/>
        </w:rPr>
        <w:t>44A</w:t>
      </w:r>
      <w:r>
        <w:t>.</w:t>
      </w:r>
      <w:r>
        <w:tab/>
        <w:t>Duration of scheme</w:t>
      </w:r>
      <w:bookmarkEnd w:id="491"/>
      <w:r>
        <w:t>s</w:t>
      </w:r>
      <w:bookmarkEnd w:id="492"/>
    </w:p>
    <w:p>
      <w:pPr>
        <w:pStyle w:val="Subsection"/>
      </w:pPr>
      <w:r>
        <w:tab/>
        <w:t>(1)</w:t>
      </w:r>
      <w:r>
        <w:tab/>
        <w:t>A scheme must specify the period (not exceeding 5 years) for which it is to remain in force after its commencement.</w:t>
      </w:r>
    </w:p>
    <w:p>
      <w:pPr>
        <w:pStyle w:val="Subsection"/>
      </w:pPr>
      <w:r>
        <w:tab/>
        <w:t>(2A)</w:t>
      </w:r>
      <w:r>
        <w:tab/>
        <w:t xml:space="preserve">Subject to subsection (2), a scheme (other than an interstate scheme) remains in force until — </w:t>
      </w:r>
    </w:p>
    <w:p>
      <w:pPr>
        <w:pStyle w:val="Indenta"/>
      </w:pPr>
      <w:r>
        <w:tab/>
        <w:t>(a)</w:t>
      </w:r>
      <w:r>
        <w:tab/>
        <w:t>the period specified under subsection (1) ends; or</w:t>
      </w:r>
    </w:p>
    <w:p>
      <w:pPr>
        <w:pStyle w:val="Indenta"/>
      </w:pPr>
      <w:r>
        <w:tab/>
        <w:t>(b)</w:t>
      </w:r>
      <w:r>
        <w:tab/>
        <w:t>the scheme is revoked; or</w:t>
      </w:r>
    </w:p>
    <w:p>
      <w:pPr>
        <w:pStyle w:val="Indenta"/>
      </w:pPr>
      <w:r>
        <w:tab/>
        <w:t>(c)</w:t>
      </w:r>
      <w:r>
        <w:tab/>
        <w:t>the scheme’s operation ceases because of the operation of another Act; or</w:t>
      </w:r>
    </w:p>
    <w:p>
      <w:pPr>
        <w:pStyle w:val="Indenta"/>
      </w:pPr>
      <w:r>
        <w:tab/>
        <w:t>(d)</w:t>
      </w:r>
      <w:r>
        <w:tab/>
        <w:t>the scheme is declared void, either by an order made by the Supreme Court under section 28 or by an order made by the Supreme Court of another jurisdiction under the corresponding law of that jurisdiction; or</w:t>
      </w:r>
    </w:p>
    <w:p>
      <w:pPr>
        <w:pStyle w:val="Indenta"/>
      </w:pPr>
      <w:r>
        <w:tab/>
        <w:t>(e)</w:t>
      </w:r>
      <w:r>
        <w:tab/>
        <w:t xml:space="preserve">the scheme is disallowed under the </w:t>
      </w:r>
      <w:r>
        <w:rPr>
          <w:i/>
          <w:iCs/>
        </w:rPr>
        <w:t>Interpretation Act 1984</w:t>
      </w:r>
      <w:r>
        <w:t xml:space="preserve"> section 42.</w:t>
      </w:r>
    </w:p>
    <w:p>
      <w:pPr>
        <w:pStyle w:val="Subsection"/>
      </w:pPr>
      <w:r>
        <w:tab/>
        <w:t>(2B)</w:t>
      </w:r>
      <w:r>
        <w:tab/>
        <w:t xml:space="preserve">Subject to subsection (2), an interstate scheme remains in force in this jurisdiction until — </w:t>
      </w:r>
    </w:p>
    <w:p>
      <w:pPr>
        <w:pStyle w:val="Indenta"/>
      </w:pPr>
      <w:r>
        <w:tab/>
        <w:t>(a)</w:t>
      </w:r>
      <w:r>
        <w:tab/>
        <w:t>the period specified under subsection (1) ends; or</w:t>
      </w:r>
    </w:p>
    <w:p>
      <w:pPr>
        <w:pStyle w:val="Indenta"/>
      </w:pPr>
      <w:r>
        <w:tab/>
        <w:t>(b)</w:t>
      </w:r>
      <w:r>
        <w:tab/>
        <w:t>the scheme’s operation in relation to this jurisdiction is terminated under section 30B; or</w:t>
      </w:r>
    </w:p>
    <w:p>
      <w:pPr>
        <w:pStyle w:val="Indenta"/>
      </w:pPr>
      <w:r>
        <w:tab/>
        <w:t>(c)</w:t>
      </w:r>
      <w:r>
        <w:tab/>
        <w:t>the scheme ceases to have effect in the jurisdiction in which it was prepared; or</w:t>
      </w:r>
    </w:p>
    <w:p>
      <w:pPr>
        <w:pStyle w:val="Indenta"/>
      </w:pPr>
      <w:r>
        <w:tab/>
        <w:t>(d)</w:t>
      </w:r>
      <w:r>
        <w:tab/>
        <w:t xml:space="preserve">the scheme is disallowed under the </w:t>
      </w:r>
      <w:r>
        <w:rPr>
          <w:i/>
          <w:iCs/>
        </w:rPr>
        <w:t>Interpretation Act 1984</w:t>
      </w:r>
      <w:r>
        <w:t xml:space="preserve"> section 42.</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by No. 25 of 2004 s. 20; amended by No. 3 of 2010 s. 23.]</w:t>
      </w:r>
    </w:p>
    <w:p>
      <w:pPr>
        <w:pStyle w:val="Heading5"/>
        <w:rPr>
          <w:snapToGrid w:val="0"/>
        </w:rPr>
      </w:pPr>
      <w:bookmarkStart w:id="494" w:name="_Toc139338666"/>
      <w:bookmarkStart w:id="495" w:name="_Toc263856491"/>
      <w:r>
        <w:rPr>
          <w:rStyle w:val="CharSectno"/>
        </w:rPr>
        <w:t>45</w:t>
      </w:r>
      <w:r>
        <w:rPr>
          <w:snapToGrid w:val="0"/>
        </w:rPr>
        <w:t>.</w:t>
      </w:r>
      <w:r>
        <w:rPr>
          <w:snapToGrid w:val="0"/>
        </w:rPr>
        <w:tab/>
        <w:t>Notification of limitation of liability</w:t>
      </w:r>
      <w:bookmarkEnd w:id="493"/>
      <w:bookmarkEnd w:id="494"/>
      <w:bookmarkEnd w:id="495"/>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by No. 25 of 2004 s. 21.]</w:t>
      </w:r>
    </w:p>
    <w:p>
      <w:pPr>
        <w:pStyle w:val="Heading2"/>
      </w:pPr>
      <w:bookmarkStart w:id="496" w:name="_Toc84237365"/>
      <w:bookmarkStart w:id="497" w:name="_Toc84308796"/>
      <w:bookmarkStart w:id="498" w:name="_Toc89584302"/>
      <w:bookmarkStart w:id="499" w:name="_Toc89584491"/>
      <w:bookmarkStart w:id="500" w:name="_Toc94348712"/>
      <w:bookmarkStart w:id="501" w:name="_Toc94418970"/>
      <w:bookmarkStart w:id="502" w:name="_Toc95890622"/>
      <w:bookmarkStart w:id="503" w:name="_Toc95894147"/>
      <w:bookmarkStart w:id="504" w:name="_Toc97618227"/>
      <w:bookmarkStart w:id="505" w:name="_Toc97622599"/>
      <w:bookmarkStart w:id="506" w:name="_Toc98316154"/>
      <w:bookmarkStart w:id="507" w:name="_Toc98320752"/>
      <w:bookmarkStart w:id="508" w:name="_Toc98648070"/>
      <w:bookmarkStart w:id="509" w:name="_Toc101842719"/>
      <w:bookmarkStart w:id="510" w:name="_Toc102369336"/>
      <w:bookmarkStart w:id="511" w:name="_Toc102453152"/>
      <w:bookmarkStart w:id="512" w:name="_Toc102538353"/>
      <w:bookmarkStart w:id="513" w:name="_Toc139338667"/>
      <w:bookmarkStart w:id="514" w:name="_Toc139338777"/>
      <w:bookmarkStart w:id="515" w:name="_Toc139338890"/>
      <w:bookmarkStart w:id="516" w:name="_Toc139434249"/>
      <w:bookmarkStart w:id="517" w:name="_Toc139439202"/>
      <w:bookmarkStart w:id="518" w:name="_Toc139439312"/>
      <w:bookmarkStart w:id="519" w:name="_Toc139439385"/>
      <w:bookmarkStart w:id="520" w:name="_Toc157997540"/>
      <w:bookmarkStart w:id="521" w:name="_Toc158000486"/>
      <w:bookmarkStart w:id="522" w:name="_Toc241056445"/>
      <w:bookmarkStart w:id="523" w:name="_Toc258420375"/>
      <w:bookmarkStart w:id="524" w:name="_Toc258424845"/>
      <w:bookmarkStart w:id="525" w:name="_Toc259529990"/>
      <w:bookmarkStart w:id="526" w:name="_Toc259530113"/>
      <w:bookmarkStart w:id="527" w:name="_Toc263761879"/>
      <w:bookmarkStart w:id="528" w:name="_Toc263856368"/>
      <w:bookmarkStart w:id="529" w:name="_Toc263856492"/>
      <w:r>
        <w:rPr>
          <w:rStyle w:val="CharPartNo"/>
        </w:rPr>
        <w:t>Part 4</w:t>
      </w:r>
      <w:r>
        <w:rPr>
          <w:rStyle w:val="CharDivNo"/>
        </w:rPr>
        <w:t> </w:t>
      </w:r>
      <w:r>
        <w:t>—</w:t>
      </w:r>
      <w:r>
        <w:rPr>
          <w:rStyle w:val="CharDivText"/>
        </w:rPr>
        <w:t> </w:t>
      </w:r>
      <w:r>
        <w:rPr>
          <w:rStyle w:val="CharPartText"/>
        </w:rPr>
        <w:t>Compulsory insurance</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PartText"/>
        </w:rPr>
        <w:t xml:space="preserve"> </w:t>
      </w:r>
    </w:p>
    <w:p>
      <w:pPr>
        <w:pStyle w:val="Heading5"/>
        <w:rPr>
          <w:snapToGrid w:val="0"/>
        </w:rPr>
      </w:pPr>
      <w:bookmarkStart w:id="530" w:name="_Toc418485470"/>
      <w:bookmarkStart w:id="531" w:name="_Toc139338668"/>
      <w:bookmarkStart w:id="532" w:name="_Toc263856493"/>
      <w:r>
        <w:rPr>
          <w:rStyle w:val="CharSectno"/>
        </w:rPr>
        <w:t>46</w:t>
      </w:r>
      <w:r>
        <w:rPr>
          <w:snapToGrid w:val="0"/>
        </w:rPr>
        <w:t>.</w:t>
      </w:r>
      <w:r>
        <w:rPr>
          <w:snapToGrid w:val="0"/>
        </w:rPr>
        <w:tab/>
        <w:t>Occupational associations may compel their members to insure</w:t>
      </w:r>
      <w:bookmarkEnd w:id="530"/>
      <w:bookmarkEnd w:id="531"/>
      <w:bookmarkEnd w:id="532"/>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by No. 25 of 2004 s. 22.]</w:t>
      </w:r>
    </w:p>
    <w:p>
      <w:pPr>
        <w:pStyle w:val="Heading5"/>
        <w:rPr>
          <w:snapToGrid w:val="0"/>
        </w:rPr>
      </w:pPr>
      <w:bookmarkStart w:id="533" w:name="_Toc418485471"/>
      <w:bookmarkStart w:id="534" w:name="_Toc139338669"/>
      <w:bookmarkStart w:id="535" w:name="_Toc263856494"/>
      <w:r>
        <w:rPr>
          <w:rStyle w:val="CharSectno"/>
        </w:rPr>
        <w:t>47</w:t>
      </w:r>
      <w:r>
        <w:rPr>
          <w:snapToGrid w:val="0"/>
        </w:rPr>
        <w:t>.</w:t>
      </w:r>
      <w:r>
        <w:rPr>
          <w:snapToGrid w:val="0"/>
        </w:rPr>
        <w:tab/>
        <w:t>Monitoring claims</w:t>
      </w:r>
      <w:bookmarkEnd w:id="533"/>
      <w:bookmarkEnd w:id="534"/>
      <w:bookmarkEnd w:id="535"/>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536" w:name="_Toc84237368"/>
      <w:bookmarkStart w:id="537" w:name="_Toc84308799"/>
      <w:bookmarkStart w:id="538" w:name="_Toc89584305"/>
      <w:bookmarkStart w:id="539" w:name="_Toc89584494"/>
      <w:bookmarkStart w:id="540" w:name="_Toc94348715"/>
      <w:bookmarkStart w:id="541" w:name="_Toc94418973"/>
      <w:bookmarkStart w:id="542" w:name="_Toc95890625"/>
      <w:bookmarkStart w:id="543" w:name="_Toc95894150"/>
      <w:bookmarkStart w:id="544" w:name="_Toc97618230"/>
      <w:bookmarkStart w:id="545" w:name="_Toc97622602"/>
      <w:bookmarkStart w:id="546" w:name="_Toc98316157"/>
      <w:bookmarkStart w:id="547" w:name="_Toc98320755"/>
      <w:bookmarkStart w:id="548" w:name="_Toc98648073"/>
      <w:bookmarkStart w:id="549" w:name="_Toc101842722"/>
      <w:bookmarkStart w:id="550" w:name="_Toc102369339"/>
      <w:bookmarkStart w:id="551" w:name="_Toc102453155"/>
      <w:bookmarkStart w:id="552" w:name="_Toc102538356"/>
      <w:bookmarkStart w:id="553" w:name="_Toc139338670"/>
      <w:bookmarkStart w:id="554" w:name="_Toc139338780"/>
      <w:bookmarkStart w:id="555" w:name="_Toc139338893"/>
      <w:bookmarkStart w:id="556" w:name="_Toc139434252"/>
      <w:bookmarkStart w:id="557" w:name="_Toc139439205"/>
      <w:bookmarkStart w:id="558" w:name="_Toc139439315"/>
      <w:bookmarkStart w:id="559" w:name="_Toc139439388"/>
      <w:bookmarkStart w:id="560" w:name="_Toc157997543"/>
      <w:bookmarkStart w:id="561" w:name="_Toc158000489"/>
      <w:bookmarkStart w:id="562" w:name="_Toc241056448"/>
      <w:bookmarkStart w:id="563" w:name="_Toc258420378"/>
      <w:bookmarkStart w:id="564" w:name="_Toc258424848"/>
      <w:bookmarkStart w:id="565" w:name="_Toc259529993"/>
      <w:bookmarkStart w:id="566" w:name="_Toc259530116"/>
      <w:bookmarkStart w:id="567" w:name="_Toc263761882"/>
      <w:bookmarkStart w:id="568" w:name="_Toc263856371"/>
      <w:bookmarkStart w:id="569" w:name="_Toc263856495"/>
      <w:r>
        <w:rPr>
          <w:rStyle w:val="CharPartNo"/>
        </w:rPr>
        <w:t>Part 5</w:t>
      </w:r>
      <w:r>
        <w:rPr>
          <w:rStyle w:val="CharDivNo"/>
        </w:rPr>
        <w:t> </w:t>
      </w:r>
      <w:r>
        <w:t>—</w:t>
      </w:r>
      <w:r>
        <w:rPr>
          <w:rStyle w:val="CharDivText"/>
        </w:rPr>
        <w:t> </w:t>
      </w:r>
      <w:r>
        <w:rPr>
          <w:rStyle w:val="CharPartText"/>
        </w:rPr>
        <w:t>Risk management</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Pr>
          <w:rStyle w:val="CharPartText"/>
        </w:rPr>
        <w:t xml:space="preserve"> </w:t>
      </w:r>
    </w:p>
    <w:p>
      <w:pPr>
        <w:pStyle w:val="Heading5"/>
        <w:rPr>
          <w:snapToGrid w:val="0"/>
        </w:rPr>
      </w:pPr>
      <w:bookmarkStart w:id="570" w:name="_Toc418485472"/>
      <w:bookmarkStart w:id="571" w:name="_Toc139338671"/>
      <w:bookmarkStart w:id="572" w:name="_Toc263856496"/>
      <w:r>
        <w:rPr>
          <w:rStyle w:val="CharSectno"/>
        </w:rPr>
        <w:t>48</w:t>
      </w:r>
      <w:r>
        <w:rPr>
          <w:snapToGrid w:val="0"/>
        </w:rPr>
        <w:t>.</w:t>
      </w:r>
      <w:r>
        <w:rPr>
          <w:snapToGrid w:val="0"/>
        </w:rPr>
        <w:tab/>
        <w:t>Risk management strategies</w:t>
      </w:r>
      <w:bookmarkEnd w:id="570"/>
      <w:bookmarkEnd w:id="571"/>
      <w:bookmarkEnd w:id="572"/>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573" w:name="_Toc418485473"/>
      <w:bookmarkStart w:id="574" w:name="_Toc139338672"/>
      <w:bookmarkStart w:id="575" w:name="_Toc263856497"/>
      <w:r>
        <w:rPr>
          <w:rStyle w:val="CharSectno"/>
        </w:rPr>
        <w:t>49</w:t>
      </w:r>
      <w:r>
        <w:rPr>
          <w:snapToGrid w:val="0"/>
        </w:rPr>
        <w:t>.</w:t>
      </w:r>
      <w:r>
        <w:rPr>
          <w:snapToGrid w:val="0"/>
        </w:rPr>
        <w:tab/>
        <w:t>Reporting</w:t>
      </w:r>
      <w:bookmarkEnd w:id="573"/>
      <w:bookmarkEnd w:id="574"/>
      <w:bookmarkEnd w:id="575"/>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576" w:name="_Toc84237371"/>
      <w:bookmarkStart w:id="577" w:name="_Toc84308802"/>
      <w:bookmarkStart w:id="578" w:name="_Toc89584308"/>
      <w:bookmarkStart w:id="579" w:name="_Toc89584497"/>
      <w:bookmarkStart w:id="580" w:name="_Toc94348718"/>
      <w:bookmarkStart w:id="581" w:name="_Toc94418976"/>
      <w:bookmarkStart w:id="582" w:name="_Toc95890628"/>
      <w:bookmarkStart w:id="583" w:name="_Toc95894153"/>
      <w:bookmarkStart w:id="584" w:name="_Toc97618233"/>
      <w:bookmarkStart w:id="585" w:name="_Toc97622605"/>
      <w:bookmarkStart w:id="586" w:name="_Toc98316160"/>
      <w:bookmarkStart w:id="587" w:name="_Toc98320758"/>
      <w:bookmarkStart w:id="588" w:name="_Toc98648076"/>
      <w:bookmarkStart w:id="589" w:name="_Toc101842725"/>
      <w:bookmarkStart w:id="590" w:name="_Toc102369342"/>
      <w:bookmarkStart w:id="591" w:name="_Toc102453158"/>
      <w:bookmarkStart w:id="592" w:name="_Toc102538359"/>
      <w:bookmarkStart w:id="593" w:name="_Toc139338673"/>
      <w:bookmarkStart w:id="594" w:name="_Toc139338783"/>
      <w:bookmarkStart w:id="595" w:name="_Toc139338896"/>
      <w:bookmarkStart w:id="596" w:name="_Toc139434255"/>
      <w:bookmarkStart w:id="597" w:name="_Toc139439208"/>
      <w:bookmarkStart w:id="598" w:name="_Toc139439318"/>
      <w:bookmarkStart w:id="599" w:name="_Toc139439391"/>
      <w:bookmarkStart w:id="600" w:name="_Toc157997546"/>
      <w:bookmarkStart w:id="601" w:name="_Toc158000492"/>
      <w:bookmarkStart w:id="602" w:name="_Toc241056451"/>
      <w:bookmarkStart w:id="603" w:name="_Toc258420381"/>
      <w:bookmarkStart w:id="604" w:name="_Toc258424851"/>
      <w:bookmarkStart w:id="605" w:name="_Toc259529996"/>
      <w:bookmarkStart w:id="606" w:name="_Toc259530119"/>
      <w:bookmarkStart w:id="607" w:name="_Toc263761885"/>
      <w:bookmarkStart w:id="608" w:name="_Toc263856374"/>
      <w:bookmarkStart w:id="609" w:name="_Toc263856498"/>
      <w:r>
        <w:rPr>
          <w:rStyle w:val="CharPartNo"/>
        </w:rPr>
        <w:t>Part 6</w:t>
      </w:r>
      <w:r>
        <w:rPr>
          <w:rStyle w:val="CharDivNo"/>
        </w:rPr>
        <w:t> </w:t>
      </w:r>
      <w:r>
        <w:t>—</w:t>
      </w:r>
      <w:r>
        <w:rPr>
          <w:rStyle w:val="CharDivText"/>
        </w:rPr>
        <w:t> </w:t>
      </w:r>
      <w:r>
        <w:rPr>
          <w:rStyle w:val="CharPartText"/>
        </w:rPr>
        <w:t>Complaints and disciplinary matters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PartText"/>
        </w:rPr>
        <w:t xml:space="preserve"> </w:t>
      </w:r>
    </w:p>
    <w:p>
      <w:pPr>
        <w:pStyle w:val="Heading5"/>
        <w:rPr>
          <w:snapToGrid w:val="0"/>
        </w:rPr>
      </w:pPr>
      <w:bookmarkStart w:id="610" w:name="_Toc418485474"/>
      <w:bookmarkStart w:id="611" w:name="_Toc139338674"/>
      <w:bookmarkStart w:id="612" w:name="_Toc263856499"/>
      <w:r>
        <w:rPr>
          <w:rStyle w:val="CharSectno"/>
        </w:rPr>
        <w:t>50</w:t>
      </w:r>
      <w:r>
        <w:rPr>
          <w:snapToGrid w:val="0"/>
        </w:rPr>
        <w:t>.</w:t>
      </w:r>
      <w:r>
        <w:rPr>
          <w:snapToGrid w:val="0"/>
        </w:rPr>
        <w:tab/>
        <w:t>Occupational Associations (Complaints and Discipline) Code</w:t>
      </w:r>
      <w:bookmarkEnd w:id="610"/>
      <w:bookmarkEnd w:id="611"/>
      <w:bookmarkEnd w:id="612"/>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613" w:name="_Toc84237373"/>
      <w:bookmarkStart w:id="614" w:name="_Toc84308804"/>
      <w:bookmarkStart w:id="615" w:name="_Toc89584310"/>
      <w:bookmarkStart w:id="616" w:name="_Toc89584499"/>
      <w:bookmarkStart w:id="617" w:name="_Toc94348720"/>
      <w:bookmarkStart w:id="618" w:name="_Toc94418978"/>
      <w:bookmarkStart w:id="619" w:name="_Toc95890630"/>
      <w:bookmarkStart w:id="620" w:name="_Toc95894155"/>
      <w:bookmarkStart w:id="621" w:name="_Toc97618235"/>
      <w:bookmarkStart w:id="622" w:name="_Toc97622607"/>
      <w:bookmarkStart w:id="623" w:name="_Toc98316162"/>
      <w:bookmarkStart w:id="624" w:name="_Toc98320760"/>
      <w:bookmarkStart w:id="625" w:name="_Toc98648078"/>
      <w:bookmarkStart w:id="626" w:name="_Toc101842727"/>
      <w:bookmarkStart w:id="627" w:name="_Toc102369344"/>
      <w:bookmarkStart w:id="628" w:name="_Toc102453160"/>
      <w:bookmarkStart w:id="629" w:name="_Toc102538361"/>
      <w:bookmarkStart w:id="630" w:name="_Toc139338675"/>
      <w:bookmarkStart w:id="631" w:name="_Toc139338785"/>
      <w:bookmarkStart w:id="632" w:name="_Toc139338898"/>
      <w:bookmarkStart w:id="633" w:name="_Toc139434257"/>
      <w:bookmarkStart w:id="634" w:name="_Toc139439210"/>
      <w:bookmarkStart w:id="635" w:name="_Toc139439320"/>
      <w:bookmarkStart w:id="636" w:name="_Toc139439393"/>
      <w:bookmarkStart w:id="637" w:name="_Toc157997548"/>
      <w:bookmarkStart w:id="638" w:name="_Toc158000494"/>
      <w:bookmarkStart w:id="639" w:name="_Toc241056453"/>
      <w:bookmarkStart w:id="640" w:name="_Toc258420383"/>
      <w:bookmarkStart w:id="641" w:name="_Toc258424853"/>
      <w:bookmarkStart w:id="642" w:name="_Toc259529998"/>
      <w:bookmarkStart w:id="643" w:name="_Toc259530121"/>
      <w:bookmarkStart w:id="644" w:name="_Toc263761887"/>
      <w:bookmarkStart w:id="645" w:name="_Toc263856376"/>
      <w:bookmarkStart w:id="646" w:name="_Toc263856500"/>
      <w:r>
        <w:rPr>
          <w:rStyle w:val="CharPartNo"/>
        </w:rPr>
        <w:t>Part 7</w:t>
      </w:r>
      <w:r>
        <w:rPr>
          <w:rStyle w:val="CharDivNo"/>
        </w:rPr>
        <w:t> </w:t>
      </w:r>
      <w:r>
        <w:t>—</w:t>
      </w:r>
      <w:r>
        <w:rPr>
          <w:rStyle w:val="CharDivText"/>
        </w:rPr>
        <w:t> </w:t>
      </w:r>
      <w:r>
        <w:rPr>
          <w:rStyle w:val="CharPartText"/>
        </w:rPr>
        <w:t>Miscellaneous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PartText"/>
        </w:rPr>
        <w:t xml:space="preserve"> </w:t>
      </w:r>
    </w:p>
    <w:p>
      <w:pPr>
        <w:pStyle w:val="Heading5"/>
        <w:rPr>
          <w:snapToGrid w:val="0"/>
        </w:rPr>
      </w:pPr>
      <w:bookmarkStart w:id="647" w:name="_Toc418485475"/>
      <w:bookmarkStart w:id="648" w:name="_Toc139338676"/>
      <w:bookmarkStart w:id="649" w:name="_Toc263856501"/>
      <w:r>
        <w:rPr>
          <w:rStyle w:val="CharSectno"/>
        </w:rPr>
        <w:t>51</w:t>
      </w:r>
      <w:r>
        <w:rPr>
          <w:snapToGrid w:val="0"/>
        </w:rPr>
        <w:t>.</w:t>
      </w:r>
      <w:r>
        <w:rPr>
          <w:snapToGrid w:val="0"/>
        </w:rPr>
        <w:tab/>
        <w:t>Characterisation of this Act</w:t>
      </w:r>
      <w:bookmarkEnd w:id="647"/>
      <w:bookmarkEnd w:id="648"/>
      <w:bookmarkEnd w:id="649"/>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650" w:name="_Toc418485476"/>
      <w:bookmarkStart w:id="651" w:name="_Toc139338677"/>
      <w:bookmarkStart w:id="652" w:name="_Toc263856502"/>
      <w:r>
        <w:rPr>
          <w:rStyle w:val="CharSectno"/>
        </w:rPr>
        <w:t>52</w:t>
      </w:r>
      <w:r>
        <w:rPr>
          <w:snapToGrid w:val="0"/>
        </w:rPr>
        <w:t>.</w:t>
      </w:r>
      <w:r>
        <w:rPr>
          <w:snapToGrid w:val="0"/>
        </w:rPr>
        <w:tab/>
        <w:t>No contracting out of this Act</w:t>
      </w:r>
      <w:bookmarkEnd w:id="650"/>
      <w:bookmarkEnd w:id="651"/>
      <w:bookmarkEnd w:id="652"/>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653" w:name="_Toc418485477"/>
      <w:bookmarkStart w:id="654" w:name="_Toc139338678"/>
      <w:bookmarkStart w:id="655" w:name="_Toc263856503"/>
      <w:r>
        <w:rPr>
          <w:rStyle w:val="CharSectno"/>
        </w:rPr>
        <w:t>53</w:t>
      </w:r>
      <w:r>
        <w:rPr>
          <w:snapToGrid w:val="0"/>
        </w:rPr>
        <w:t>.</w:t>
      </w:r>
      <w:r>
        <w:rPr>
          <w:snapToGrid w:val="0"/>
        </w:rPr>
        <w:tab/>
        <w:t>No limitation on other insurance</w:t>
      </w:r>
      <w:bookmarkEnd w:id="653"/>
      <w:bookmarkEnd w:id="654"/>
      <w:bookmarkEnd w:id="655"/>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656" w:name="_Toc139338679"/>
      <w:bookmarkStart w:id="657" w:name="_Toc263856504"/>
      <w:bookmarkStart w:id="658" w:name="_Toc418485479"/>
      <w:r>
        <w:rPr>
          <w:rStyle w:val="CharSectno"/>
        </w:rPr>
        <w:t>54</w:t>
      </w:r>
      <w:r>
        <w:rPr>
          <w:snapToGrid w:val="0"/>
        </w:rPr>
        <w:t>.</w:t>
      </w:r>
      <w:r>
        <w:rPr>
          <w:snapToGrid w:val="0"/>
        </w:rPr>
        <w:tab/>
        <w:t>Offences to be dealt with by magistrate</w:t>
      </w:r>
      <w:bookmarkEnd w:id="656"/>
      <w:bookmarkEnd w:id="657"/>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 xml:space="preserve">[Section 54 inserted by No. 59 of 2004 s. 141.] </w:t>
      </w:r>
    </w:p>
    <w:p>
      <w:pPr>
        <w:pStyle w:val="Heading5"/>
        <w:rPr>
          <w:snapToGrid w:val="0"/>
        </w:rPr>
      </w:pPr>
      <w:bookmarkStart w:id="659" w:name="_Toc139338680"/>
      <w:bookmarkStart w:id="660" w:name="_Toc263856505"/>
      <w:r>
        <w:rPr>
          <w:rStyle w:val="CharSectno"/>
        </w:rPr>
        <w:t>55</w:t>
      </w:r>
      <w:r>
        <w:rPr>
          <w:snapToGrid w:val="0"/>
        </w:rPr>
        <w:t>.</w:t>
      </w:r>
      <w:r>
        <w:rPr>
          <w:snapToGrid w:val="0"/>
        </w:rPr>
        <w:tab/>
        <w:t>Regulations</w:t>
      </w:r>
      <w:bookmarkEnd w:id="658"/>
      <w:bookmarkEnd w:id="659"/>
      <w:bookmarkEnd w:id="66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by No. 25 of 2004 s. 23.]</w:t>
      </w:r>
    </w:p>
    <w:p>
      <w:pPr>
        <w:pStyle w:val="Heading5"/>
        <w:rPr>
          <w:snapToGrid w:val="0"/>
        </w:rPr>
      </w:pPr>
      <w:bookmarkStart w:id="661" w:name="_Toc418485480"/>
      <w:bookmarkStart w:id="662" w:name="_Toc139338681"/>
      <w:bookmarkStart w:id="663" w:name="_Toc263856506"/>
      <w:r>
        <w:rPr>
          <w:rStyle w:val="CharSectno"/>
        </w:rPr>
        <w:t>56</w:t>
      </w:r>
      <w:r>
        <w:rPr>
          <w:snapToGrid w:val="0"/>
        </w:rPr>
        <w:t>.</w:t>
      </w:r>
      <w:r>
        <w:rPr>
          <w:snapToGrid w:val="0"/>
        </w:rPr>
        <w:tab/>
        <w:t>Rules of court</w:t>
      </w:r>
      <w:bookmarkEnd w:id="661"/>
      <w:bookmarkEnd w:id="662"/>
      <w:bookmarkEnd w:id="663"/>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664" w:name="_Toc418485481"/>
      <w:bookmarkStart w:id="665" w:name="_Toc139338682"/>
      <w:bookmarkStart w:id="666" w:name="_Toc263856507"/>
      <w:r>
        <w:rPr>
          <w:rStyle w:val="CharSectno"/>
        </w:rPr>
        <w:t>57</w:t>
      </w:r>
      <w:r>
        <w:rPr>
          <w:snapToGrid w:val="0"/>
        </w:rPr>
        <w:t>.</w:t>
      </w:r>
      <w:r>
        <w:rPr>
          <w:snapToGrid w:val="0"/>
        </w:rPr>
        <w:tab/>
        <w:t>Review of Act</w:t>
      </w:r>
      <w:bookmarkEnd w:id="664"/>
      <w:bookmarkEnd w:id="665"/>
      <w:bookmarkEnd w:id="666"/>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667" w:name="_Toc139338683"/>
      <w:bookmarkStart w:id="668" w:name="_Toc263856508"/>
      <w:r>
        <w:rPr>
          <w:rStyle w:val="CharSectno"/>
        </w:rPr>
        <w:t>58</w:t>
      </w:r>
      <w:r>
        <w:t>.</w:t>
      </w:r>
      <w:r>
        <w:tab/>
        <w:t>Savings, transitional and other provisions</w:t>
      </w:r>
      <w:bookmarkEnd w:id="667"/>
      <w:bookmarkEnd w:id="668"/>
    </w:p>
    <w:p>
      <w:pPr>
        <w:pStyle w:val="Subsection"/>
        <w:keepNext/>
      </w:pPr>
      <w:r>
        <w:tab/>
      </w:r>
      <w:r>
        <w:tab/>
        <w:t>Schedule 4 has effect.</w:t>
      </w:r>
    </w:p>
    <w:p>
      <w:pPr>
        <w:pStyle w:val="Footnotesection"/>
      </w:pPr>
      <w:r>
        <w:tab/>
        <w:t>[Section 58 inserted by No. 25 of 2004 s. 24.]</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669" w:name="_Toc98648087"/>
      <w:bookmarkStart w:id="670" w:name="_Toc101842736"/>
      <w:bookmarkStart w:id="671" w:name="_Toc139338684"/>
      <w:bookmarkStart w:id="672" w:name="_Toc139338794"/>
      <w:bookmarkStart w:id="673" w:name="_Toc139338907"/>
      <w:bookmarkStart w:id="674" w:name="_Toc139434266"/>
      <w:bookmarkStart w:id="675" w:name="_Toc139439219"/>
      <w:bookmarkStart w:id="676" w:name="_Toc139439329"/>
      <w:bookmarkStart w:id="677" w:name="_Toc139439402"/>
      <w:bookmarkStart w:id="678" w:name="_Toc157997557"/>
      <w:bookmarkStart w:id="679" w:name="_Toc158000503"/>
      <w:bookmarkStart w:id="680" w:name="_Toc241056462"/>
      <w:bookmarkStart w:id="681" w:name="_Toc258420392"/>
      <w:bookmarkStart w:id="682" w:name="_Toc258424862"/>
      <w:bookmarkStart w:id="683" w:name="_Toc259530007"/>
      <w:bookmarkStart w:id="684" w:name="_Toc259530130"/>
      <w:bookmarkStart w:id="685" w:name="_Toc263761896"/>
      <w:bookmarkStart w:id="686" w:name="_Toc263856385"/>
      <w:bookmarkStart w:id="687" w:name="_Toc263856509"/>
      <w:r>
        <w:rPr>
          <w:rStyle w:val="CharSchNo"/>
        </w:rPr>
        <w:t>Schedule 1</w:t>
      </w:r>
      <w:r>
        <w:rPr>
          <w:rStyle w:val="CharSDivNo"/>
        </w:rPr>
        <w:t> </w:t>
      </w:r>
      <w:r>
        <w:t>—</w:t>
      </w:r>
      <w:r>
        <w:rPr>
          <w:rStyle w:val="CharSDivText"/>
        </w:rPr>
        <w:t> </w:t>
      </w:r>
      <w:r>
        <w:rPr>
          <w:rStyle w:val="CharSchText"/>
        </w:rPr>
        <w:t>Provisions relating to members of the Council</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yShoulderClause"/>
        <w:rPr>
          <w:snapToGrid w:val="0"/>
        </w:rPr>
      </w:pPr>
      <w:r>
        <w:rPr>
          <w:snapToGrid w:val="0"/>
        </w:rPr>
        <w:t>[Section 10]</w:t>
      </w:r>
    </w:p>
    <w:p>
      <w:pPr>
        <w:pStyle w:val="yHeading5"/>
        <w:outlineLvl w:val="9"/>
        <w:rPr>
          <w:snapToGrid w:val="0"/>
        </w:rPr>
      </w:pPr>
      <w:bookmarkStart w:id="688" w:name="_Toc139338685"/>
      <w:bookmarkStart w:id="689" w:name="_Toc263856510"/>
      <w:r>
        <w:rPr>
          <w:rStyle w:val="CharSClsNo"/>
        </w:rPr>
        <w:t>1</w:t>
      </w:r>
      <w:r>
        <w:rPr>
          <w:snapToGrid w:val="0"/>
        </w:rPr>
        <w:t>.</w:t>
      </w:r>
      <w:r>
        <w:rPr>
          <w:snapToGrid w:val="0"/>
        </w:rPr>
        <w:tab/>
        <w:t>Chairperson and deputy chairperson of Council</w:t>
      </w:r>
      <w:bookmarkEnd w:id="688"/>
      <w:bookmarkEnd w:id="689"/>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690" w:name="_Toc139338686"/>
      <w:bookmarkStart w:id="691" w:name="_Toc263856511"/>
      <w:r>
        <w:rPr>
          <w:rStyle w:val="CharSClsNo"/>
        </w:rPr>
        <w:t>2</w:t>
      </w:r>
      <w:r>
        <w:rPr>
          <w:snapToGrid w:val="0"/>
        </w:rPr>
        <w:t>.</w:t>
      </w:r>
      <w:r>
        <w:rPr>
          <w:snapToGrid w:val="0"/>
        </w:rPr>
        <w:tab/>
        <w:t>Deputies of members</w:t>
      </w:r>
      <w:bookmarkEnd w:id="690"/>
      <w:bookmarkEnd w:id="691"/>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692" w:name="_Toc139338687"/>
      <w:bookmarkStart w:id="693" w:name="_Toc263856512"/>
      <w:r>
        <w:rPr>
          <w:rStyle w:val="CharSClsNo"/>
        </w:rPr>
        <w:t>3</w:t>
      </w:r>
      <w:r>
        <w:rPr>
          <w:snapToGrid w:val="0"/>
        </w:rPr>
        <w:t>.</w:t>
      </w:r>
      <w:r>
        <w:rPr>
          <w:snapToGrid w:val="0"/>
        </w:rPr>
        <w:tab/>
        <w:t>Term of office</w:t>
      </w:r>
      <w:bookmarkEnd w:id="692"/>
      <w:bookmarkEnd w:id="693"/>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694" w:name="_Toc139338688"/>
      <w:bookmarkStart w:id="695" w:name="_Toc263856513"/>
      <w:r>
        <w:rPr>
          <w:rStyle w:val="CharSClsNo"/>
        </w:rPr>
        <w:t>4</w:t>
      </w:r>
      <w:r>
        <w:rPr>
          <w:snapToGrid w:val="0"/>
        </w:rPr>
        <w:t>.</w:t>
      </w:r>
      <w:r>
        <w:rPr>
          <w:snapToGrid w:val="0"/>
        </w:rPr>
        <w:tab/>
        <w:t>Remuneration and allowances</w:t>
      </w:r>
      <w:bookmarkEnd w:id="694"/>
      <w:bookmarkEnd w:id="695"/>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 Minister for Public Sector Management.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 Minister for Public Sector Management.</w:t>
      </w:r>
    </w:p>
    <w:p>
      <w:pPr>
        <w:pStyle w:val="yHeading5"/>
        <w:outlineLvl w:val="9"/>
        <w:rPr>
          <w:snapToGrid w:val="0"/>
        </w:rPr>
      </w:pPr>
      <w:bookmarkStart w:id="696" w:name="_Toc139338689"/>
      <w:bookmarkStart w:id="697" w:name="_Toc263856514"/>
      <w:r>
        <w:rPr>
          <w:rStyle w:val="CharSClsNo"/>
        </w:rPr>
        <w:t>5</w:t>
      </w:r>
      <w:r>
        <w:rPr>
          <w:snapToGrid w:val="0"/>
        </w:rPr>
        <w:t>.</w:t>
      </w:r>
      <w:r>
        <w:rPr>
          <w:snapToGrid w:val="0"/>
        </w:rPr>
        <w:tab/>
        <w:t>Vacancy in office of member</w:t>
      </w:r>
      <w:bookmarkEnd w:id="696"/>
      <w:bookmarkEnd w:id="697"/>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completes a term of office and is not reappointed; or</w:t>
      </w:r>
    </w:p>
    <w:p>
      <w:pPr>
        <w:pStyle w:val="yIndenta"/>
        <w:rPr>
          <w:snapToGrid w:val="0"/>
        </w:rPr>
      </w:pPr>
      <w:r>
        <w:rPr>
          <w:snapToGrid w:val="0"/>
        </w:rPr>
        <w:tab/>
        <w:t>(c)</w:t>
      </w:r>
      <w:r>
        <w:rPr>
          <w:snapToGrid w:val="0"/>
        </w:rPr>
        <w:tab/>
        <w:t>resigns that office by instrument in writing addressed to the Minister; or</w:t>
      </w:r>
    </w:p>
    <w:p>
      <w:pPr>
        <w:pStyle w:val="yIndenta"/>
        <w:rPr>
          <w:snapToGrid w:val="0"/>
        </w:rPr>
      </w:pPr>
      <w:r>
        <w:rPr>
          <w:snapToGrid w:val="0"/>
        </w:rPr>
        <w:tab/>
        <w:t>(d)</w:t>
      </w:r>
      <w:r>
        <w:rPr>
          <w:snapToGrid w:val="0"/>
        </w:rPr>
        <w:tab/>
        <w:t>is removed from office by the Minister under this clause; or</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 xml:space="preserve">before the expiry of 4 weeks after the last of those meetings, the member is excused by the Council for having been absent from those meetings; </w:t>
      </w:r>
    </w:p>
    <w:p>
      <w:pPr>
        <w:pStyle w:val="yIndenta"/>
        <w:rPr>
          <w:snapToGrid w:val="0"/>
        </w:rPr>
      </w:pPr>
      <w:r>
        <w:rPr>
          <w:snapToGrid w:val="0"/>
        </w:rPr>
        <w:tab/>
        <w:t xml:space="preserve"> </w:t>
      </w:r>
      <w:r>
        <w:rPr>
          <w:snapToGrid w:val="0"/>
        </w:rPr>
        <w:tab/>
        <w:t>or</w:t>
      </w:r>
    </w:p>
    <w:p>
      <w:pPr>
        <w:pStyle w:val="yIndenta"/>
      </w:pPr>
      <w:r>
        <w:tab/>
        <w:t>(f)</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Footnotesection"/>
      </w:pPr>
      <w:r>
        <w:tab/>
        <w:t>[Clause 5 amended by No. 18 of 2009 s. 70.]</w:t>
      </w:r>
    </w:p>
    <w:p>
      <w:pPr>
        <w:pStyle w:val="yHeading5"/>
        <w:outlineLvl w:val="9"/>
        <w:rPr>
          <w:snapToGrid w:val="0"/>
        </w:rPr>
      </w:pPr>
      <w:bookmarkStart w:id="698" w:name="_Toc139338690"/>
      <w:bookmarkStart w:id="699" w:name="_Toc263856515"/>
      <w:r>
        <w:rPr>
          <w:rStyle w:val="CharSClsNo"/>
        </w:rPr>
        <w:t>6</w:t>
      </w:r>
      <w:r>
        <w:rPr>
          <w:snapToGrid w:val="0"/>
        </w:rPr>
        <w:t>.</w:t>
      </w:r>
      <w:r>
        <w:rPr>
          <w:snapToGrid w:val="0"/>
        </w:rPr>
        <w:tab/>
        <w:t>Filling of vacancy in office of member</w:t>
      </w:r>
      <w:bookmarkEnd w:id="698"/>
      <w:bookmarkEnd w:id="699"/>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700" w:name="_Toc139338691"/>
      <w:bookmarkStart w:id="701" w:name="_Toc263856516"/>
      <w:r>
        <w:rPr>
          <w:rStyle w:val="CharSClsNo"/>
        </w:rPr>
        <w:t>7</w:t>
      </w:r>
      <w:r>
        <w:rPr>
          <w:snapToGrid w:val="0"/>
        </w:rPr>
        <w:t>.</w:t>
      </w:r>
      <w:r>
        <w:rPr>
          <w:snapToGrid w:val="0"/>
        </w:rPr>
        <w:tab/>
        <w:t>Member not to be public service officer</w:t>
      </w:r>
      <w:bookmarkEnd w:id="700"/>
      <w:bookmarkEnd w:id="701"/>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702" w:name="_Toc139338692"/>
      <w:bookmarkStart w:id="703" w:name="_Toc263856517"/>
      <w:r>
        <w:rPr>
          <w:rStyle w:val="CharSClsNo"/>
        </w:rPr>
        <w:t>8</w:t>
      </w:r>
      <w:r>
        <w:rPr>
          <w:snapToGrid w:val="0"/>
        </w:rPr>
        <w:t>.</w:t>
      </w:r>
      <w:r>
        <w:rPr>
          <w:snapToGrid w:val="0"/>
        </w:rPr>
        <w:tab/>
        <w:t>Personal liability of members</w:t>
      </w:r>
      <w:bookmarkEnd w:id="702"/>
      <w:bookmarkEnd w:id="703"/>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704" w:name="_Toc98648096"/>
      <w:bookmarkStart w:id="705" w:name="_Toc101842745"/>
      <w:bookmarkStart w:id="706" w:name="_Toc139338693"/>
      <w:bookmarkStart w:id="707" w:name="_Toc139338803"/>
      <w:bookmarkStart w:id="708" w:name="_Toc139338916"/>
      <w:bookmarkStart w:id="709" w:name="_Toc139434275"/>
      <w:bookmarkStart w:id="710" w:name="_Toc139439228"/>
      <w:bookmarkStart w:id="711" w:name="_Toc139439338"/>
      <w:bookmarkStart w:id="712" w:name="_Toc139439411"/>
      <w:bookmarkStart w:id="713" w:name="_Toc157997566"/>
      <w:bookmarkStart w:id="714" w:name="_Toc158000512"/>
      <w:bookmarkStart w:id="715" w:name="_Toc241056471"/>
      <w:bookmarkStart w:id="716" w:name="_Toc258420401"/>
      <w:bookmarkStart w:id="717" w:name="_Toc258424871"/>
      <w:bookmarkStart w:id="718" w:name="_Toc259530016"/>
      <w:bookmarkStart w:id="719" w:name="_Toc259530139"/>
      <w:bookmarkStart w:id="720" w:name="_Toc263761905"/>
      <w:bookmarkStart w:id="721" w:name="_Toc263856394"/>
      <w:bookmarkStart w:id="722" w:name="_Toc263856518"/>
      <w:r>
        <w:rPr>
          <w:rStyle w:val="CharSchNo"/>
        </w:rPr>
        <w:t>Schedule 2</w:t>
      </w:r>
      <w:r>
        <w:rPr>
          <w:rStyle w:val="CharSDivNo"/>
        </w:rPr>
        <w:t> </w:t>
      </w:r>
      <w:r>
        <w:t>—</w:t>
      </w:r>
      <w:r>
        <w:rPr>
          <w:rStyle w:val="CharSDivText"/>
        </w:rPr>
        <w:t> </w:t>
      </w:r>
      <w:r>
        <w:rPr>
          <w:rStyle w:val="CharSchText"/>
        </w:rPr>
        <w:t>Provisions relating to procedure of the Council</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yShoulderClause"/>
        <w:rPr>
          <w:snapToGrid w:val="0"/>
        </w:rPr>
      </w:pPr>
      <w:r>
        <w:rPr>
          <w:snapToGrid w:val="0"/>
        </w:rPr>
        <w:t>[Section 11]</w:t>
      </w:r>
    </w:p>
    <w:p>
      <w:pPr>
        <w:pStyle w:val="yHeading5"/>
        <w:outlineLvl w:val="9"/>
        <w:rPr>
          <w:snapToGrid w:val="0"/>
        </w:rPr>
      </w:pPr>
      <w:bookmarkStart w:id="723" w:name="_Toc139338694"/>
      <w:bookmarkStart w:id="724" w:name="_Toc263856519"/>
      <w:r>
        <w:rPr>
          <w:rStyle w:val="CharSClsNo"/>
        </w:rPr>
        <w:t>1</w:t>
      </w:r>
      <w:r>
        <w:rPr>
          <w:snapToGrid w:val="0"/>
        </w:rPr>
        <w:t>.</w:t>
      </w:r>
      <w:r>
        <w:rPr>
          <w:snapToGrid w:val="0"/>
        </w:rPr>
        <w:tab/>
        <w:t>General procedure</w:t>
      </w:r>
      <w:bookmarkEnd w:id="723"/>
      <w:bookmarkEnd w:id="724"/>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725" w:name="_Toc139338695"/>
      <w:bookmarkStart w:id="726" w:name="_Toc263856520"/>
      <w:r>
        <w:rPr>
          <w:rStyle w:val="CharSClsNo"/>
        </w:rPr>
        <w:t>2</w:t>
      </w:r>
      <w:r>
        <w:rPr>
          <w:snapToGrid w:val="0"/>
        </w:rPr>
        <w:t>.</w:t>
      </w:r>
      <w:r>
        <w:rPr>
          <w:snapToGrid w:val="0"/>
        </w:rPr>
        <w:tab/>
        <w:t>Quorum</w:t>
      </w:r>
      <w:bookmarkEnd w:id="725"/>
      <w:bookmarkEnd w:id="726"/>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727" w:name="_Toc139338696"/>
      <w:bookmarkStart w:id="728" w:name="_Toc263856521"/>
      <w:r>
        <w:rPr>
          <w:rStyle w:val="CharSClsNo"/>
        </w:rPr>
        <w:t>3</w:t>
      </w:r>
      <w:r>
        <w:rPr>
          <w:snapToGrid w:val="0"/>
        </w:rPr>
        <w:t>.</w:t>
      </w:r>
      <w:r>
        <w:rPr>
          <w:snapToGrid w:val="0"/>
        </w:rPr>
        <w:tab/>
        <w:t>Presiding member</w:t>
      </w:r>
      <w:bookmarkEnd w:id="727"/>
      <w:bookmarkEnd w:id="728"/>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729" w:name="_Toc139338697"/>
      <w:bookmarkStart w:id="730" w:name="_Toc263856522"/>
      <w:r>
        <w:rPr>
          <w:rStyle w:val="CharSClsNo"/>
        </w:rPr>
        <w:t>4</w:t>
      </w:r>
      <w:r>
        <w:rPr>
          <w:snapToGrid w:val="0"/>
        </w:rPr>
        <w:t>.</w:t>
      </w:r>
      <w:r>
        <w:rPr>
          <w:snapToGrid w:val="0"/>
        </w:rPr>
        <w:tab/>
        <w:t>First meeting</w:t>
      </w:r>
      <w:bookmarkEnd w:id="729"/>
      <w:bookmarkEnd w:id="730"/>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731" w:name="_Toc98648101"/>
      <w:bookmarkStart w:id="732" w:name="_Toc101842750"/>
      <w:bookmarkStart w:id="733" w:name="_Toc139338698"/>
      <w:bookmarkStart w:id="734" w:name="_Toc139338808"/>
      <w:bookmarkStart w:id="735" w:name="_Toc139338921"/>
      <w:bookmarkStart w:id="736" w:name="_Toc139434280"/>
      <w:bookmarkStart w:id="737" w:name="_Toc139439233"/>
      <w:bookmarkStart w:id="738" w:name="_Toc139439343"/>
      <w:bookmarkStart w:id="739" w:name="_Toc139439416"/>
      <w:bookmarkStart w:id="740" w:name="_Toc157997571"/>
      <w:bookmarkStart w:id="741" w:name="_Toc158000517"/>
      <w:bookmarkStart w:id="742" w:name="_Toc241056476"/>
      <w:bookmarkStart w:id="743" w:name="_Toc258420406"/>
      <w:bookmarkStart w:id="744" w:name="_Toc258424876"/>
      <w:bookmarkStart w:id="745" w:name="_Toc259530021"/>
      <w:bookmarkStart w:id="746" w:name="_Toc259530144"/>
      <w:bookmarkStart w:id="747" w:name="_Toc263761910"/>
      <w:bookmarkStart w:id="748" w:name="_Toc263856399"/>
      <w:bookmarkStart w:id="749" w:name="_Toc263856523"/>
      <w:r>
        <w:rPr>
          <w:rStyle w:val="CharSchNo"/>
        </w:rPr>
        <w:t>Schedule 3</w:t>
      </w:r>
      <w:r>
        <w:t> — </w:t>
      </w:r>
      <w:r>
        <w:rPr>
          <w:rStyle w:val="CharSchText"/>
        </w:rPr>
        <w:t>Model Code</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yShoulderClause"/>
        <w:rPr>
          <w:snapToGrid w:val="0"/>
        </w:rPr>
      </w:pPr>
      <w:r>
        <w:rPr>
          <w:snapToGrid w:val="0"/>
        </w:rPr>
        <w:t>[Section 50]</w:t>
      </w:r>
    </w:p>
    <w:p>
      <w:pPr>
        <w:pStyle w:val="yHeading5"/>
        <w:outlineLvl w:val="9"/>
        <w:rPr>
          <w:snapToGrid w:val="0"/>
        </w:rPr>
      </w:pPr>
      <w:bookmarkStart w:id="750" w:name="_Toc139338699"/>
      <w:bookmarkStart w:id="751" w:name="_Toc263856524"/>
      <w:r>
        <w:rPr>
          <w:rStyle w:val="CharSClsNo"/>
        </w:rPr>
        <w:t>1</w:t>
      </w:r>
      <w:r>
        <w:rPr>
          <w:snapToGrid w:val="0"/>
        </w:rPr>
        <w:t>.</w:t>
      </w:r>
      <w:r>
        <w:rPr>
          <w:snapToGrid w:val="0"/>
        </w:rPr>
        <w:tab/>
        <w:t>Citation</w:t>
      </w:r>
      <w:bookmarkEnd w:id="750"/>
      <w:bookmarkEnd w:id="751"/>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752" w:name="_Toc139338700"/>
      <w:bookmarkStart w:id="753" w:name="_Toc263856525"/>
      <w:r>
        <w:rPr>
          <w:rStyle w:val="CharSClsNo"/>
        </w:rPr>
        <w:t>2</w:t>
      </w:r>
      <w:r>
        <w:rPr>
          <w:snapToGrid w:val="0"/>
        </w:rPr>
        <w:t>.</w:t>
      </w:r>
      <w:r>
        <w:rPr>
          <w:snapToGrid w:val="0"/>
        </w:rPr>
        <w:tab/>
      </w:r>
      <w:bookmarkEnd w:id="752"/>
      <w:r>
        <w:rPr>
          <w:snapToGrid w:val="0"/>
        </w:rPr>
        <w:t>Term used: Council</w:t>
      </w:r>
      <w:bookmarkEnd w:id="753"/>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r>
      <w:r>
        <w:rPr>
          <w:rStyle w:val="CharDefText"/>
        </w:rPr>
        <w:t>Council</w:t>
      </w:r>
      <w:r>
        <w:t xml:space="preserve"> means the Professional Standards Council established by the </w:t>
      </w:r>
      <w:r>
        <w:rPr>
          <w:i/>
        </w:rPr>
        <w:t>Professional Standards Act 1997</w:t>
      </w:r>
      <w:r>
        <w:t>.</w:t>
      </w:r>
    </w:p>
    <w:p>
      <w:pPr>
        <w:pStyle w:val="yHeading5"/>
        <w:outlineLvl w:val="9"/>
        <w:rPr>
          <w:snapToGrid w:val="0"/>
        </w:rPr>
      </w:pPr>
      <w:bookmarkStart w:id="754" w:name="_Toc139338701"/>
      <w:bookmarkStart w:id="755" w:name="_Toc263856526"/>
      <w:r>
        <w:rPr>
          <w:rStyle w:val="CharSClsNo"/>
        </w:rPr>
        <w:t>3</w:t>
      </w:r>
      <w:r>
        <w:rPr>
          <w:snapToGrid w:val="0"/>
        </w:rPr>
        <w:t>.</w:t>
      </w:r>
      <w:r>
        <w:rPr>
          <w:snapToGrid w:val="0"/>
        </w:rPr>
        <w:tab/>
        <w:t>Actions that may be the subject of complaint</w:t>
      </w:r>
      <w:bookmarkEnd w:id="754"/>
      <w:bookmarkEnd w:id="755"/>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756" w:name="_Toc139338702"/>
      <w:bookmarkStart w:id="757" w:name="_Toc263856527"/>
      <w:r>
        <w:rPr>
          <w:rStyle w:val="CharSClsNo"/>
        </w:rPr>
        <w:t>4</w:t>
      </w:r>
      <w:r>
        <w:rPr>
          <w:snapToGrid w:val="0"/>
        </w:rPr>
        <w:t>.</w:t>
      </w:r>
      <w:r>
        <w:rPr>
          <w:snapToGrid w:val="0"/>
        </w:rPr>
        <w:tab/>
        <w:t>Who can make complaint</w:t>
      </w:r>
      <w:bookmarkEnd w:id="756"/>
      <w:bookmarkEnd w:id="757"/>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758" w:name="_Toc139338703"/>
      <w:bookmarkStart w:id="759" w:name="_Toc263856528"/>
      <w:r>
        <w:rPr>
          <w:rStyle w:val="CharSClsNo"/>
        </w:rPr>
        <w:t>5</w:t>
      </w:r>
      <w:r>
        <w:rPr>
          <w:snapToGrid w:val="0"/>
        </w:rPr>
        <w:t>.</w:t>
      </w:r>
      <w:r>
        <w:rPr>
          <w:snapToGrid w:val="0"/>
        </w:rPr>
        <w:tab/>
        <w:t>How complaint is made</w:t>
      </w:r>
      <w:bookmarkEnd w:id="758"/>
      <w:bookmarkEnd w:id="759"/>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760" w:name="_Toc139338704"/>
      <w:bookmarkStart w:id="761" w:name="_Toc263856529"/>
      <w:r>
        <w:rPr>
          <w:rStyle w:val="CharSClsNo"/>
        </w:rPr>
        <w:t>6</w:t>
      </w:r>
      <w:r>
        <w:rPr>
          <w:snapToGrid w:val="0"/>
        </w:rPr>
        <w:t>.</w:t>
      </w:r>
      <w:r>
        <w:rPr>
          <w:snapToGrid w:val="0"/>
        </w:rPr>
        <w:tab/>
        <w:t>What happens after complaint is made</w:t>
      </w:r>
      <w:bookmarkEnd w:id="760"/>
      <w:bookmarkEnd w:id="761"/>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762" w:name="_Toc139338705"/>
      <w:bookmarkStart w:id="763" w:name="_Toc263856530"/>
      <w:r>
        <w:rPr>
          <w:rStyle w:val="CharSClsNo"/>
        </w:rPr>
        <w:t>7</w:t>
      </w:r>
      <w:r>
        <w:rPr>
          <w:snapToGrid w:val="0"/>
        </w:rPr>
        <w:t>.</w:t>
      </w:r>
      <w:r>
        <w:rPr>
          <w:snapToGrid w:val="0"/>
        </w:rPr>
        <w:tab/>
        <w:t>What action may be taken after a hearing into complaint</w:t>
      </w:r>
      <w:bookmarkEnd w:id="762"/>
      <w:bookmarkEnd w:id="763"/>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764" w:name="_Toc139338706"/>
      <w:bookmarkStart w:id="765" w:name="_Toc263856531"/>
      <w:r>
        <w:rPr>
          <w:rStyle w:val="CharSClsNo"/>
        </w:rPr>
        <w:t>8</w:t>
      </w:r>
      <w:r>
        <w:rPr>
          <w:snapToGrid w:val="0"/>
        </w:rPr>
        <w:t>.</w:t>
      </w:r>
      <w:r>
        <w:rPr>
          <w:snapToGrid w:val="0"/>
        </w:rPr>
        <w:tab/>
        <w:t>Notices of decisions</w:t>
      </w:r>
      <w:bookmarkEnd w:id="764"/>
      <w:bookmarkEnd w:id="765"/>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766" w:name="_Toc139338707"/>
      <w:bookmarkStart w:id="767" w:name="_Toc263856532"/>
      <w:r>
        <w:rPr>
          <w:rStyle w:val="CharSClsNo"/>
        </w:rPr>
        <w:t>9</w:t>
      </w:r>
      <w:r>
        <w:rPr>
          <w:snapToGrid w:val="0"/>
        </w:rPr>
        <w:t>.</w:t>
      </w:r>
      <w:r>
        <w:rPr>
          <w:snapToGrid w:val="0"/>
        </w:rPr>
        <w:tab/>
        <w:t>Rights of representation of parties to complaint</w:t>
      </w:r>
      <w:bookmarkEnd w:id="766"/>
      <w:bookmarkEnd w:id="767"/>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768" w:name="_Toc139338708"/>
      <w:bookmarkStart w:id="769" w:name="_Toc263856533"/>
      <w:r>
        <w:rPr>
          <w:rStyle w:val="CharSClsNo"/>
        </w:rPr>
        <w:t>10</w:t>
      </w:r>
      <w:r>
        <w:rPr>
          <w:snapToGrid w:val="0"/>
        </w:rPr>
        <w:t>.</w:t>
      </w:r>
      <w:r>
        <w:rPr>
          <w:snapToGrid w:val="0"/>
        </w:rPr>
        <w:tab/>
        <w:t>How occupational association performs functions under this Code</w:t>
      </w:r>
      <w:bookmarkEnd w:id="768"/>
      <w:bookmarkEnd w:id="769"/>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pPr>
      <w:bookmarkStart w:id="770" w:name="_Toc139338709"/>
      <w:bookmarkStart w:id="771" w:name="_Toc263856534"/>
      <w:r>
        <w:rPr>
          <w:rStyle w:val="CharSClsNo"/>
        </w:rPr>
        <w:t>11</w:t>
      </w:r>
      <w:r>
        <w:t>.</w:t>
      </w:r>
      <w:r>
        <w:tab/>
        <w:t>Protection from liability</w:t>
      </w:r>
      <w:bookmarkEnd w:id="770"/>
      <w:bookmarkEnd w:id="771"/>
      <w: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by No. 25 of 2004 s. 25.]</w:t>
      </w:r>
    </w:p>
    <w:p>
      <w:pPr>
        <w:pStyle w:val="yScheduleHeading"/>
      </w:pPr>
      <w:bookmarkStart w:id="772" w:name="_Toc98648113"/>
      <w:bookmarkStart w:id="773" w:name="_Toc101842762"/>
      <w:bookmarkStart w:id="774" w:name="_Toc139338710"/>
      <w:bookmarkStart w:id="775" w:name="_Toc139338820"/>
      <w:bookmarkStart w:id="776" w:name="_Toc139338933"/>
      <w:bookmarkStart w:id="777" w:name="_Toc139434292"/>
      <w:bookmarkStart w:id="778" w:name="_Toc139439245"/>
      <w:bookmarkStart w:id="779" w:name="_Toc139439355"/>
      <w:bookmarkStart w:id="780" w:name="_Toc139439428"/>
      <w:bookmarkStart w:id="781" w:name="_Toc157997583"/>
      <w:bookmarkStart w:id="782" w:name="_Toc158000529"/>
      <w:bookmarkStart w:id="783" w:name="_Toc241056488"/>
      <w:bookmarkStart w:id="784" w:name="_Toc258420418"/>
      <w:bookmarkStart w:id="785" w:name="_Toc258424888"/>
      <w:bookmarkStart w:id="786" w:name="_Toc259530033"/>
      <w:bookmarkStart w:id="787" w:name="_Toc259530156"/>
      <w:bookmarkStart w:id="788" w:name="_Toc263761922"/>
      <w:bookmarkStart w:id="789" w:name="_Toc263856411"/>
      <w:bookmarkStart w:id="790" w:name="_Toc263856535"/>
      <w:r>
        <w:rPr>
          <w:rStyle w:val="CharSchNo"/>
        </w:rPr>
        <w:t>Schedule 4</w:t>
      </w:r>
      <w:r>
        <w:t> — </w:t>
      </w:r>
      <w:r>
        <w:rPr>
          <w:rStyle w:val="CharSchText"/>
        </w:rPr>
        <w:t>Savings, transitional and other provisions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yShoulderClause"/>
      </w:pPr>
      <w:r>
        <w:t>[s. 58]</w:t>
      </w:r>
    </w:p>
    <w:p>
      <w:pPr>
        <w:pStyle w:val="yFootnoteheading"/>
      </w:pPr>
      <w:r>
        <w:tab/>
        <w:t>[Heading inserted by No. 25 of 2004 s. 26.]</w:t>
      </w:r>
    </w:p>
    <w:p>
      <w:pPr>
        <w:pStyle w:val="yHeading3"/>
      </w:pPr>
      <w:bookmarkStart w:id="791" w:name="_Toc229299181"/>
      <w:bookmarkStart w:id="792" w:name="_Toc229456496"/>
      <w:bookmarkStart w:id="793" w:name="_Toc229561217"/>
      <w:bookmarkStart w:id="794" w:name="_Toc229561312"/>
      <w:bookmarkStart w:id="795" w:name="_Toc257386435"/>
      <w:bookmarkStart w:id="796" w:name="_Toc258417996"/>
      <w:bookmarkStart w:id="797" w:name="_Toc258420419"/>
      <w:bookmarkStart w:id="798" w:name="_Toc258424889"/>
      <w:bookmarkStart w:id="799" w:name="_Toc259530034"/>
      <w:bookmarkStart w:id="800" w:name="_Toc259530157"/>
      <w:bookmarkStart w:id="801" w:name="_Toc263761923"/>
      <w:bookmarkStart w:id="802" w:name="_Toc263856412"/>
      <w:bookmarkStart w:id="803" w:name="_Toc263856536"/>
      <w:bookmarkStart w:id="804" w:name="_Toc139338711"/>
      <w:r>
        <w:rPr>
          <w:rStyle w:val="CharSDivNo"/>
        </w:rPr>
        <w:t>Division 1</w:t>
      </w:r>
      <w:r>
        <w:rPr>
          <w:b w:val="0"/>
        </w:rPr>
        <w:t> — </w:t>
      </w:r>
      <w:r>
        <w:rPr>
          <w:rStyle w:val="CharSDivText"/>
        </w:rPr>
        <w:t xml:space="preserve">Provisions relating to the </w:t>
      </w:r>
      <w:r>
        <w:rPr>
          <w:rStyle w:val="CharSDivText"/>
          <w:i/>
          <w:iCs/>
        </w:rPr>
        <w:t>Professional Standards Amendment Act 20</w:t>
      </w:r>
      <w:bookmarkEnd w:id="791"/>
      <w:bookmarkEnd w:id="792"/>
      <w:bookmarkEnd w:id="793"/>
      <w:bookmarkEnd w:id="794"/>
      <w:bookmarkEnd w:id="795"/>
      <w:r>
        <w:rPr>
          <w:rStyle w:val="CharSDivText"/>
          <w:i/>
          <w:iCs/>
        </w:rPr>
        <w:t>04</w:t>
      </w:r>
      <w:bookmarkEnd w:id="796"/>
      <w:bookmarkEnd w:id="797"/>
      <w:bookmarkEnd w:id="798"/>
      <w:bookmarkEnd w:id="799"/>
      <w:bookmarkEnd w:id="800"/>
      <w:bookmarkEnd w:id="801"/>
      <w:bookmarkEnd w:id="802"/>
      <w:bookmarkEnd w:id="803"/>
    </w:p>
    <w:p>
      <w:pPr>
        <w:pStyle w:val="yFootnoteheading"/>
      </w:pPr>
      <w:r>
        <w:tab/>
        <w:t>[Heading inserted by No. 3 of 2010 s. 29(2).]</w:t>
      </w:r>
    </w:p>
    <w:p>
      <w:pPr>
        <w:pStyle w:val="yHeading5"/>
        <w:outlineLvl w:val="9"/>
      </w:pPr>
      <w:bookmarkStart w:id="805" w:name="_Toc263856537"/>
      <w:r>
        <w:rPr>
          <w:rStyle w:val="CharSClsNo"/>
        </w:rPr>
        <w:t>1</w:t>
      </w:r>
      <w:r>
        <w:t>.</w:t>
      </w:r>
      <w:r>
        <w:tab/>
        <w:t>Terms used</w:t>
      </w:r>
      <w:bookmarkEnd w:id="804"/>
      <w:bookmarkEnd w:id="805"/>
    </w:p>
    <w:p>
      <w:pPr>
        <w:pStyle w:val="ySubsection"/>
        <w:spacing w:before="120"/>
      </w:pPr>
      <w:r>
        <w:tab/>
      </w:r>
      <w:r>
        <w:tab/>
        <w:t>In this Division —</w:t>
      </w:r>
    </w:p>
    <w:p>
      <w:pPr>
        <w:pStyle w:val="yDefstart"/>
      </w:pPr>
      <w:r>
        <w:tab/>
      </w:r>
      <w:r>
        <w:rPr>
          <w:rStyle w:val="CharDefText"/>
        </w:rPr>
        <w:t>amending Act</w:t>
      </w:r>
      <w:r>
        <w:t xml:space="preserve"> means the </w:t>
      </w:r>
      <w:r>
        <w:rPr>
          <w:i/>
        </w:rPr>
        <w:t>Professional Standards Amendment Act 2004</w:t>
      </w:r>
      <w:r>
        <w:t>;</w:t>
      </w:r>
    </w:p>
    <w:p>
      <w:pPr>
        <w:pStyle w:val="yDefstart"/>
      </w:pPr>
      <w:r>
        <w:tab/>
      </w:r>
      <w:r>
        <w:rPr>
          <w:rStyle w:val="CharDefText"/>
        </w:rPr>
        <w:t>commencement</w:t>
      </w:r>
      <w:r>
        <w:t xml:space="preserve"> means the commencement of the amending Act</w:t>
      </w:r>
      <w:r>
        <w:rPr>
          <w:vertAlign w:val="superscript"/>
        </w:rPr>
        <w:t> 1</w:t>
      </w:r>
      <w:r>
        <w:t>.</w:t>
      </w:r>
    </w:p>
    <w:p>
      <w:pPr>
        <w:pStyle w:val="yFootnotesection"/>
      </w:pPr>
      <w:r>
        <w:tab/>
        <w:t>[Clause 1 inserted by No. 25 of 2004 s. 26; amended by No. 3 of 2010 s. 29(3).]</w:t>
      </w:r>
    </w:p>
    <w:p>
      <w:pPr>
        <w:pStyle w:val="yHeading5"/>
        <w:outlineLvl w:val="9"/>
      </w:pPr>
      <w:bookmarkStart w:id="806" w:name="_Toc139338712"/>
      <w:bookmarkStart w:id="807" w:name="_Toc263856538"/>
      <w:r>
        <w:rPr>
          <w:rStyle w:val="CharSClsNo"/>
        </w:rPr>
        <w:t>2</w:t>
      </w:r>
      <w:r>
        <w:t>.</w:t>
      </w:r>
      <w:r>
        <w:tab/>
        <w:t>Review of schemes</w:t>
      </w:r>
      <w:bookmarkEnd w:id="806"/>
      <w:bookmarkEnd w:id="807"/>
    </w:p>
    <w:p>
      <w:pPr>
        <w:pStyle w:val="ySubsection"/>
        <w:spacing w:before="120"/>
      </w:pPr>
      <w:r>
        <w:tab/>
      </w:r>
      <w:r>
        <w:tab/>
        <w:t>Section 29, as inserted by the amending Act, extends to apply in respect of schemes in force at the commencement.</w:t>
      </w:r>
    </w:p>
    <w:p>
      <w:pPr>
        <w:pStyle w:val="yFootnotesection"/>
      </w:pPr>
      <w:r>
        <w:tab/>
        <w:t>[Clause 2 inserted by No. 25 of 2004 s. 26.]</w:t>
      </w:r>
    </w:p>
    <w:p>
      <w:pPr>
        <w:pStyle w:val="yHeading5"/>
        <w:outlineLvl w:val="9"/>
      </w:pPr>
      <w:bookmarkStart w:id="808" w:name="_Toc139338713"/>
      <w:bookmarkStart w:id="809" w:name="_Toc263856539"/>
      <w:r>
        <w:rPr>
          <w:rStyle w:val="CharSClsNo"/>
        </w:rPr>
        <w:t>3</w:t>
      </w:r>
      <w:r>
        <w:t>.</w:t>
      </w:r>
      <w:r>
        <w:tab/>
        <w:t>Limitation of damages in respect of subsisting causes of action</w:t>
      </w:r>
      <w:bookmarkEnd w:id="808"/>
      <w:bookmarkEnd w:id="809"/>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 by No. 25 of 2004 s. 26.]</w:t>
      </w:r>
    </w:p>
    <w:p>
      <w:pPr>
        <w:pStyle w:val="yHeading5"/>
        <w:outlineLvl w:val="9"/>
      </w:pPr>
      <w:bookmarkStart w:id="810" w:name="_Toc139338714"/>
      <w:bookmarkStart w:id="811" w:name="_Toc263856540"/>
      <w:r>
        <w:rPr>
          <w:rStyle w:val="CharSClsNo"/>
        </w:rPr>
        <w:t>4</w:t>
      </w:r>
      <w:r>
        <w:t>.</w:t>
      </w:r>
      <w:r>
        <w:tab/>
        <w:t>Determination of extent of limitation of damages</w:t>
      </w:r>
      <w:bookmarkEnd w:id="810"/>
      <w:bookmarkEnd w:id="811"/>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 by No. 25 of 2004 s. 26.]</w:t>
      </w:r>
    </w:p>
    <w:p>
      <w:pPr>
        <w:pStyle w:val="yHeading5"/>
        <w:outlineLvl w:val="9"/>
      </w:pPr>
      <w:bookmarkStart w:id="812" w:name="_Toc139338715"/>
      <w:bookmarkStart w:id="813" w:name="_Toc263856541"/>
      <w:r>
        <w:rPr>
          <w:rStyle w:val="CharSClsNo"/>
        </w:rPr>
        <w:t>5</w:t>
      </w:r>
      <w:r>
        <w:t>.</w:t>
      </w:r>
      <w:r>
        <w:tab/>
        <w:t>Fees for applications for approval of amendment to or revocation of scheme</w:t>
      </w:r>
      <w:bookmarkEnd w:id="812"/>
      <w:bookmarkEnd w:id="813"/>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 by No. 25 of 2004 s. 26.]</w:t>
      </w:r>
    </w:p>
    <w:p>
      <w:pPr>
        <w:pStyle w:val="yHeading5"/>
        <w:outlineLvl w:val="9"/>
      </w:pPr>
      <w:bookmarkStart w:id="814" w:name="_Toc139338716"/>
      <w:bookmarkStart w:id="815" w:name="_Toc263856542"/>
      <w:r>
        <w:rPr>
          <w:rStyle w:val="CharSClsNo"/>
        </w:rPr>
        <w:t>6</w:t>
      </w:r>
      <w:r>
        <w:t>.</w:t>
      </w:r>
      <w:r>
        <w:tab/>
        <w:t>Regulations for savings or transitional purposes</w:t>
      </w:r>
      <w:bookmarkEnd w:id="814"/>
      <w:bookmarkEnd w:id="815"/>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subclause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subclause (2),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by No. 25 of 2004 s. 26; amended by No. 3 of 2010 s. 29(4).]</w:t>
      </w:r>
    </w:p>
    <w:p>
      <w:pPr>
        <w:pStyle w:val="yHeading3"/>
      </w:pPr>
      <w:bookmarkStart w:id="816" w:name="_Toc229299182"/>
      <w:bookmarkStart w:id="817" w:name="_Toc229456497"/>
      <w:bookmarkStart w:id="818" w:name="_Toc229561218"/>
      <w:bookmarkStart w:id="819" w:name="_Toc229561313"/>
      <w:bookmarkStart w:id="820" w:name="_Toc257386436"/>
      <w:bookmarkStart w:id="821" w:name="_Toc258417997"/>
      <w:bookmarkStart w:id="822" w:name="_Toc258420426"/>
      <w:bookmarkStart w:id="823" w:name="_Toc258424896"/>
      <w:bookmarkStart w:id="824" w:name="_Toc259530041"/>
      <w:bookmarkStart w:id="825" w:name="_Toc259530164"/>
      <w:bookmarkStart w:id="826" w:name="_Toc263761930"/>
      <w:bookmarkStart w:id="827" w:name="_Toc263856419"/>
      <w:bookmarkStart w:id="828" w:name="_Toc263856543"/>
      <w:r>
        <w:rPr>
          <w:rStyle w:val="CharSDivNo"/>
        </w:rPr>
        <w:t>Division 2</w:t>
      </w:r>
      <w:r>
        <w:rPr>
          <w:b w:val="0"/>
        </w:rPr>
        <w:t> — </w:t>
      </w:r>
      <w:r>
        <w:rPr>
          <w:rStyle w:val="CharSDivText"/>
        </w:rPr>
        <w:t xml:space="preserve">Provisions relating to the </w:t>
      </w:r>
      <w:r>
        <w:rPr>
          <w:rStyle w:val="CharSDivText"/>
          <w:i/>
          <w:iCs/>
        </w:rPr>
        <w:t>Professional Standards Amendment Act 20</w:t>
      </w:r>
      <w:bookmarkEnd w:id="816"/>
      <w:bookmarkEnd w:id="817"/>
      <w:bookmarkEnd w:id="818"/>
      <w:bookmarkEnd w:id="819"/>
      <w:bookmarkEnd w:id="820"/>
      <w:r>
        <w:rPr>
          <w:rStyle w:val="CharSDivText"/>
          <w:i/>
          <w:iCs/>
        </w:rPr>
        <w:t>10</w:t>
      </w:r>
      <w:bookmarkEnd w:id="821"/>
      <w:bookmarkEnd w:id="822"/>
      <w:bookmarkEnd w:id="823"/>
      <w:bookmarkEnd w:id="824"/>
      <w:bookmarkEnd w:id="825"/>
      <w:bookmarkEnd w:id="826"/>
      <w:bookmarkEnd w:id="827"/>
      <w:bookmarkEnd w:id="828"/>
    </w:p>
    <w:p>
      <w:pPr>
        <w:pStyle w:val="yFootnoteheading"/>
      </w:pPr>
      <w:bookmarkStart w:id="829" w:name="_Toc257386437"/>
      <w:bookmarkStart w:id="830" w:name="_Toc258417998"/>
      <w:r>
        <w:tab/>
        <w:t>[Heading inserted by No. 3 of 2010 s. 29(5).]</w:t>
      </w:r>
    </w:p>
    <w:p>
      <w:pPr>
        <w:pStyle w:val="yHeading5"/>
      </w:pPr>
      <w:bookmarkStart w:id="831" w:name="_Toc263856544"/>
      <w:r>
        <w:rPr>
          <w:rStyle w:val="CharSClsNo"/>
        </w:rPr>
        <w:t>7</w:t>
      </w:r>
      <w:r>
        <w:t>.</w:t>
      </w:r>
      <w:r>
        <w:rPr>
          <w:b w:val="0"/>
        </w:rPr>
        <w:tab/>
      </w:r>
      <w:r>
        <w:t>Terms used</w:t>
      </w:r>
      <w:bookmarkEnd w:id="829"/>
      <w:bookmarkEnd w:id="830"/>
      <w:bookmarkEnd w:id="831"/>
    </w:p>
    <w:p>
      <w:pPr>
        <w:pStyle w:val="ySubsection"/>
        <w:spacing w:before="120"/>
      </w:pPr>
      <w:r>
        <w:tab/>
      </w:r>
      <w:r>
        <w:tab/>
        <w:t xml:space="preserve">In this Division — </w:t>
      </w:r>
    </w:p>
    <w:p>
      <w:pPr>
        <w:pStyle w:val="yDefstart"/>
      </w:pPr>
      <w:r>
        <w:tab/>
      </w:r>
      <w:r>
        <w:rPr>
          <w:rStyle w:val="CharDefText"/>
        </w:rPr>
        <w:t>amending Act</w:t>
      </w:r>
      <w:r>
        <w:t xml:space="preserve"> means the </w:t>
      </w:r>
      <w:r>
        <w:rPr>
          <w:i/>
          <w:iCs/>
        </w:rPr>
        <w:t>Professional Standards Amendment Act 2010</w:t>
      </w:r>
      <w:r>
        <w:t>;</w:t>
      </w:r>
    </w:p>
    <w:p>
      <w:pPr>
        <w:pStyle w:val="yDefstart"/>
        <w:rPr>
          <w:b/>
          <w:bCs/>
          <w:i/>
          <w:iCs/>
        </w:rPr>
      </w:pPr>
      <w:r>
        <w:tab/>
      </w:r>
      <w:r>
        <w:rPr>
          <w:rStyle w:val="CharDefText"/>
        </w:rPr>
        <w:t>commencement day</w:t>
      </w:r>
      <w:r>
        <w:t xml:space="preserve"> means the day mentioned in the amending Act section 2(b)</w:t>
      </w:r>
      <w:r>
        <w:rPr>
          <w:vertAlign w:val="superscript"/>
        </w:rPr>
        <w:t> 1</w:t>
      </w:r>
      <w:r>
        <w:t>.</w:t>
      </w:r>
    </w:p>
    <w:p>
      <w:pPr>
        <w:pStyle w:val="yFootnotesection"/>
      </w:pPr>
      <w:bookmarkStart w:id="832" w:name="_Toc257386438"/>
      <w:bookmarkStart w:id="833" w:name="_Toc258417999"/>
      <w:r>
        <w:tab/>
        <w:t>[Clause 7 inserted by No. 3 of 2010 s. 29(5).]</w:t>
      </w:r>
    </w:p>
    <w:p>
      <w:pPr>
        <w:pStyle w:val="yHeading5"/>
        <w:spacing w:before="180"/>
      </w:pPr>
      <w:bookmarkStart w:id="834" w:name="_Toc263856545"/>
      <w:r>
        <w:rPr>
          <w:rStyle w:val="CharSClsNo"/>
        </w:rPr>
        <w:t>8</w:t>
      </w:r>
      <w:r>
        <w:t>.</w:t>
      </w:r>
      <w:r>
        <w:rPr>
          <w:b w:val="0"/>
        </w:rPr>
        <w:tab/>
      </w:r>
      <w:r>
        <w:t>Personal injury claims</w:t>
      </w:r>
      <w:bookmarkEnd w:id="832"/>
      <w:bookmarkEnd w:id="833"/>
      <w:bookmarkEnd w:id="834"/>
    </w:p>
    <w:p>
      <w:pPr>
        <w:pStyle w:val="ySubsection"/>
        <w:spacing w:before="120"/>
      </w:pPr>
      <w:r>
        <w:tab/>
      </w:r>
      <w:r>
        <w:tab/>
        <w:t>Section 5, as in force immediately before commencement day, continues to apply to a cause of action that arose before commencement day.</w:t>
      </w:r>
    </w:p>
    <w:p>
      <w:pPr>
        <w:pStyle w:val="yFootnotesection"/>
      </w:pPr>
      <w:bookmarkStart w:id="835" w:name="_Toc257386439"/>
      <w:bookmarkStart w:id="836" w:name="_Toc258418000"/>
      <w:r>
        <w:tab/>
        <w:t>[Clause 8 inserted by No. 3 of 2010 s. 29(5).]</w:t>
      </w:r>
    </w:p>
    <w:p>
      <w:pPr>
        <w:pStyle w:val="yHeading5"/>
        <w:spacing w:before="180"/>
      </w:pPr>
      <w:bookmarkStart w:id="837" w:name="_Toc263856546"/>
      <w:r>
        <w:rPr>
          <w:rStyle w:val="CharSClsNo"/>
        </w:rPr>
        <w:t>9</w:t>
      </w:r>
      <w:r>
        <w:t>.</w:t>
      </w:r>
      <w:r>
        <w:rPr>
          <w:b w:val="0"/>
        </w:rPr>
        <w:tab/>
      </w:r>
      <w:r>
        <w:t>Application of schemes to officers, partners, employees and associates</w:t>
      </w:r>
      <w:bookmarkEnd w:id="835"/>
      <w:bookmarkEnd w:id="836"/>
      <w:bookmarkEnd w:id="837"/>
    </w:p>
    <w:p>
      <w:pPr>
        <w:pStyle w:val="ySubsection"/>
        <w:spacing w:before="120"/>
      </w:pPr>
      <w:r>
        <w:tab/>
      </w:r>
      <w:r>
        <w:tab/>
        <w:t>Section 34A, as in force on and from commencement day, does not apply to a cause of action that arose before commencement day.</w:t>
      </w:r>
    </w:p>
    <w:p>
      <w:pPr>
        <w:pStyle w:val="yFootnotesection"/>
      </w:pPr>
      <w:bookmarkStart w:id="838" w:name="_Toc257386440"/>
      <w:bookmarkStart w:id="839" w:name="_Toc258418001"/>
      <w:r>
        <w:tab/>
        <w:t>[Clause 9 inserted by No. 3 of 2010 s. 29(5).]</w:t>
      </w:r>
    </w:p>
    <w:p>
      <w:pPr>
        <w:pStyle w:val="yHeading5"/>
        <w:spacing w:before="180"/>
      </w:pPr>
      <w:bookmarkStart w:id="840" w:name="_Toc263856547"/>
      <w:r>
        <w:rPr>
          <w:rStyle w:val="CharSClsNo"/>
        </w:rPr>
        <w:t>10</w:t>
      </w:r>
      <w:r>
        <w:t>.</w:t>
      </w:r>
      <w:r>
        <w:rPr>
          <w:b w:val="0"/>
        </w:rPr>
        <w:tab/>
      </w:r>
      <w:r>
        <w:t>Associated defendants</w:t>
      </w:r>
      <w:bookmarkEnd w:id="838"/>
      <w:bookmarkEnd w:id="839"/>
      <w:bookmarkEnd w:id="840"/>
    </w:p>
    <w:p>
      <w:pPr>
        <w:pStyle w:val="ySubsection"/>
        <w:spacing w:before="120"/>
      </w:pPr>
      <w:r>
        <w:tab/>
      </w:r>
      <w:r>
        <w:tab/>
        <w:t>The application of section 42, as in force on and from commencement day, extends to a cause of action that arose before commencement day but not so as to affect any decision of a court, or any compromise or settlement made before commencement day.</w:t>
      </w:r>
    </w:p>
    <w:p>
      <w:pPr>
        <w:pStyle w:val="yFootnotesection"/>
      </w:pPr>
      <w:bookmarkStart w:id="841" w:name="_Toc257386441"/>
      <w:bookmarkStart w:id="842" w:name="_Toc258418002"/>
      <w:r>
        <w:tab/>
        <w:t>[Clause 10 inserted by No. 3 of 2010 s. 29(5).]</w:t>
      </w:r>
    </w:p>
    <w:p>
      <w:pPr>
        <w:pStyle w:val="yHeading5"/>
        <w:spacing w:before="180"/>
      </w:pPr>
      <w:bookmarkStart w:id="843" w:name="_Toc263856548"/>
      <w:r>
        <w:rPr>
          <w:rStyle w:val="CharSClsNo"/>
        </w:rPr>
        <w:t>11</w:t>
      </w:r>
      <w:r>
        <w:t>.</w:t>
      </w:r>
      <w:r>
        <w:rPr>
          <w:b w:val="0"/>
        </w:rPr>
        <w:tab/>
      </w:r>
      <w:r>
        <w:t>Expiry date of existing schemes</w:t>
      </w:r>
      <w:bookmarkEnd w:id="841"/>
      <w:bookmarkEnd w:id="842"/>
      <w:bookmarkEnd w:id="843"/>
    </w:p>
    <w:p>
      <w:pPr>
        <w:pStyle w:val="ySubsection"/>
        <w:spacing w:before="120"/>
      </w:pPr>
      <w:r>
        <w:tab/>
      </w:r>
      <w:r>
        <w:tab/>
        <w:t>Any period determined by the Council under section 44A(1), as in force before commencement day, as the period for which a scheme is to remain in force is to be taken to be specified in the scheme.</w:t>
      </w:r>
    </w:p>
    <w:p>
      <w:pPr>
        <w:pStyle w:val="yFootnotesection"/>
      </w:pPr>
      <w:bookmarkStart w:id="844" w:name="_Toc257386442"/>
      <w:bookmarkStart w:id="845" w:name="_Toc258418003"/>
      <w:r>
        <w:tab/>
        <w:t>[Clause 11 inserted by No. 3 of 2010 s. 29(5).]</w:t>
      </w:r>
    </w:p>
    <w:p>
      <w:pPr>
        <w:pStyle w:val="yHeading5"/>
      </w:pPr>
      <w:bookmarkStart w:id="846" w:name="_Toc263856549"/>
      <w:r>
        <w:rPr>
          <w:rStyle w:val="CharSClsNo"/>
        </w:rPr>
        <w:t>12</w:t>
      </w:r>
      <w:r>
        <w:t>.</w:t>
      </w:r>
      <w:r>
        <w:rPr>
          <w:b w:val="0"/>
        </w:rPr>
        <w:tab/>
      </w:r>
      <w:r>
        <w:t>Application of clause 6</w:t>
      </w:r>
      <w:bookmarkEnd w:id="844"/>
      <w:bookmarkEnd w:id="845"/>
      <w:bookmarkEnd w:id="846"/>
    </w:p>
    <w:p>
      <w:pPr>
        <w:pStyle w:val="ySubsection"/>
      </w:pPr>
      <w:r>
        <w:tab/>
      </w:r>
      <w:r>
        <w:tab/>
        <w:t>The provisions of clause 6 apply in relation to the amending Act as if those provisions were part of this Division.</w:t>
      </w:r>
    </w:p>
    <w:p>
      <w:pPr>
        <w:pStyle w:val="yFootnotesection"/>
      </w:pPr>
      <w:r>
        <w:tab/>
        <w:t>[Clause 12 inserted by No. 3 of 2010 s. 29(5).]</w:t>
      </w:r>
    </w:p>
    <w:p/>
    <w:p>
      <w:pPr>
        <w:pStyle w:val="CentredBaseLine"/>
        <w:jc w:val="center"/>
      </w:pPr>
      <w:r>
        <w:rPr>
          <w:noProof/>
          <w:lang w:eastAsia="en-AU"/>
        </w:rPr>
        <w:drawing>
          <wp:inline distT="0" distB="0" distL="0" distR="0">
            <wp:extent cx="936625" cy="168275"/>
            <wp:effectExtent l="0" t="0" r="0" b="3175"/>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847" w:name="_Toc84237412"/>
      <w:bookmarkStart w:id="848" w:name="_Toc84308843"/>
      <w:bookmarkStart w:id="849" w:name="_Toc89584349"/>
      <w:bookmarkStart w:id="850" w:name="_Toc89584538"/>
      <w:bookmarkStart w:id="851" w:name="_Toc94348767"/>
      <w:bookmarkStart w:id="852" w:name="_Toc94419020"/>
      <w:bookmarkStart w:id="853" w:name="_Toc95890672"/>
      <w:bookmarkStart w:id="854" w:name="_Toc95894197"/>
      <w:bookmarkStart w:id="855" w:name="_Toc97618277"/>
      <w:bookmarkStart w:id="856" w:name="_Toc97622649"/>
      <w:bookmarkStart w:id="857" w:name="_Toc98316204"/>
      <w:bookmarkStart w:id="858" w:name="_Toc98320802"/>
      <w:bookmarkStart w:id="859" w:name="_Toc98648120"/>
      <w:bookmarkStart w:id="860" w:name="_Toc101842769"/>
      <w:bookmarkStart w:id="861" w:name="_Toc102369386"/>
      <w:bookmarkStart w:id="862" w:name="_Toc102453203"/>
      <w:bookmarkStart w:id="863" w:name="_Toc102538403"/>
      <w:bookmarkStart w:id="864" w:name="_Toc139338717"/>
      <w:bookmarkStart w:id="865" w:name="_Toc139338827"/>
      <w:bookmarkStart w:id="866" w:name="_Toc139338940"/>
      <w:bookmarkStart w:id="867" w:name="_Toc139434299"/>
      <w:bookmarkStart w:id="868" w:name="_Toc139439252"/>
      <w:bookmarkStart w:id="869" w:name="_Toc139439362"/>
      <w:bookmarkStart w:id="870" w:name="_Toc139439435"/>
      <w:bookmarkStart w:id="871" w:name="_Toc157997590"/>
      <w:bookmarkStart w:id="872" w:name="_Toc158000536"/>
      <w:bookmarkStart w:id="873" w:name="_Toc241056495"/>
      <w:bookmarkStart w:id="874" w:name="_Toc258420433"/>
      <w:bookmarkStart w:id="875" w:name="_Toc258424903"/>
      <w:bookmarkStart w:id="876" w:name="_Toc259530048"/>
      <w:bookmarkStart w:id="877" w:name="_Toc259530171"/>
      <w:bookmarkStart w:id="878" w:name="_Toc263761937"/>
      <w:bookmarkStart w:id="879" w:name="_Toc263856426"/>
      <w:bookmarkStart w:id="880" w:name="_Toc263856550"/>
      <w:r>
        <w:t>Notes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nSubsection"/>
        <w:rPr>
          <w:snapToGrid w:val="0"/>
        </w:rPr>
      </w:pPr>
      <w:r>
        <w:rPr>
          <w:snapToGrid w:val="0"/>
          <w:vertAlign w:val="superscript"/>
        </w:rPr>
        <w:t>1</w:t>
      </w:r>
      <w:r>
        <w:rPr>
          <w:snapToGrid w:val="0"/>
        </w:rPr>
        <w:tab/>
        <w:t xml:space="preserve">This reprint is a compilation as at 11 June 2010 of the </w:t>
      </w:r>
      <w:r>
        <w:rPr>
          <w:i/>
        </w:rPr>
        <w:t>Professional Standards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1" w:name="_Toc139338718"/>
      <w:bookmarkStart w:id="882" w:name="_Toc263856551"/>
      <w:r>
        <w:rPr>
          <w:snapToGrid w:val="0"/>
        </w:rPr>
        <w:t>Compilation table</w:t>
      </w:r>
      <w:bookmarkEnd w:id="881"/>
      <w:bookmarkEnd w:id="88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sz w:val="19"/>
              </w:rPr>
              <w:t>Professional Standards Act 1997</w:t>
            </w:r>
          </w:p>
        </w:tc>
        <w:tc>
          <w:tcPr>
            <w:tcW w:w="1134" w:type="dxa"/>
            <w:tcBorders>
              <w:top w:val="single" w:sz="8" w:space="0" w:color="auto"/>
            </w:tcBorders>
          </w:tcPr>
          <w:p>
            <w:pPr>
              <w:pStyle w:val="nTable"/>
              <w:spacing w:after="40"/>
              <w:rPr>
                <w:sz w:val="19"/>
              </w:rPr>
            </w:pPr>
            <w:r>
              <w:rPr>
                <w:sz w:val="19"/>
              </w:rPr>
              <w:t>22 of 1997</w:t>
            </w:r>
          </w:p>
        </w:tc>
        <w:tc>
          <w:tcPr>
            <w:tcW w:w="1134" w:type="dxa"/>
            <w:tcBorders>
              <w:top w:val="single" w:sz="8" w:space="0" w:color="auto"/>
            </w:tcBorders>
          </w:tcPr>
          <w:p>
            <w:pPr>
              <w:pStyle w:val="nTable"/>
              <w:spacing w:after="40"/>
              <w:rPr>
                <w:sz w:val="19"/>
              </w:rPr>
            </w:pPr>
            <w:r>
              <w:rPr>
                <w:sz w:val="19"/>
              </w:rPr>
              <w:t>18 Sep 1997</w:t>
            </w:r>
          </w:p>
        </w:tc>
        <w:tc>
          <w:tcPr>
            <w:tcW w:w="2552" w:type="dxa"/>
            <w:tcBorders>
              <w:top w:val="single" w:sz="8" w:space="0" w:color="auto"/>
            </w:tcBorders>
          </w:tcPr>
          <w:p>
            <w:pPr>
              <w:pStyle w:val="nTable"/>
              <w:spacing w:after="40"/>
              <w:rPr>
                <w:sz w:val="19"/>
              </w:rPr>
            </w:pPr>
            <w:r>
              <w:rPr>
                <w:sz w:val="19"/>
              </w:rPr>
              <w:t>s. 1 and 2: 18 Sep 1997;</w:t>
            </w:r>
            <w:r>
              <w:rPr>
                <w:sz w:val="19"/>
              </w:rPr>
              <w:br/>
              <w:t xml:space="preserve">Act other than s. 1 and 2: 18 Apr 1998 (see s. 2 and </w:t>
            </w:r>
            <w:r>
              <w:rPr>
                <w:i/>
                <w:sz w:val="19"/>
              </w:rPr>
              <w:t>Gazette</w:t>
            </w:r>
            <w:r>
              <w:rPr>
                <w:sz w:val="19"/>
              </w:rPr>
              <w:t xml:space="preserve"> 17 Apr 1998 p. 2045)</w:t>
            </w:r>
          </w:p>
        </w:tc>
      </w:tr>
      <w:tr>
        <w:tc>
          <w:tcPr>
            <w:tcW w:w="2269" w:type="dxa"/>
          </w:tcPr>
          <w:p>
            <w:pPr>
              <w:pStyle w:val="nTable"/>
              <w:spacing w:after="40"/>
              <w:rPr>
                <w:sz w:val="19"/>
              </w:rPr>
            </w:pPr>
            <w:r>
              <w:rPr>
                <w:i/>
                <w:sz w:val="19"/>
              </w:rPr>
              <w:t>Statutes (Repeals and Minor Amendments) Act 2003</w:t>
            </w:r>
            <w:r>
              <w:rPr>
                <w:sz w:val="19"/>
              </w:rPr>
              <w:t xml:space="preserve"> s. 95 and 144(2)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9" w:type="dxa"/>
          </w:tcPr>
          <w:p>
            <w:pPr>
              <w:pStyle w:val="nTable"/>
              <w:spacing w:after="40"/>
              <w:rPr>
                <w:sz w:val="19"/>
                <w:vertAlign w:val="superscript"/>
              </w:rPr>
            </w:pPr>
            <w:r>
              <w:rPr>
                <w:i/>
                <w:sz w:val="19"/>
              </w:rPr>
              <w:t>Professional Standards Amendment Act 2004</w:t>
            </w:r>
            <w:r>
              <w:rPr>
                <w:sz w:val="19"/>
              </w:rPr>
              <w:t xml:space="preserve"> </w:t>
            </w:r>
          </w:p>
        </w:tc>
        <w:tc>
          <w:tcPr>
            <w:tcW w:w="1134" w:type="dxa"/>
          </w:tcPr>
          <w:p>
            <w:pPr>
              <w:pStyle w:val="nTable"/>
              <w:spacing w:after="40"/>
              <w:rPr>
                <w:sz w:val="19"/>
              </w:rPr>
            </w:pPr>
            <w:r>
              <w:rPr>
                <w:sz w:val="19"/>
              </w:rPr>
              <w:t>25 of 2004</w:t>
            </w:r>
          </w:p>
        </w:tc>
        <w:tc>
          <w:tcPr>
            <w:tcW w:w="1134" w:type="dxa"/>
          </w:tcPr>
          <w:p>
            <w:pPr>
              <w:pStyle w:val="nTable"/>
              <w:spacing w:after="40"/>
              <w:rPr>
                <w:sz w:val="19"/>
              </w:rPr>
            </w:pPr>
            <w:r>
              <w:rPr>
                <w:sz w:val="19"/>
              </w:rPr>
              <w:t>28 Sep 2004</w:t>
            </w:r>
          </w:p>
        </w:tc>
        <w:tc>
          <w:tcPr>
            <w:tcW w:w="2552" w:type="dxa"/>
          </w:tcPr>
          <w:p>
            <w:pPr>
              <w:pStyle w:val="nTable"/>
              <w:spacing w:after="40"/>
              <w:rPr>
                <w:sz w:val="19"/>
              </w:rPr>
            </w:pPr>
            <w:r>
              <w:rPr>
                <w:sz w:val="19"/>
              </w:rPr>
              <w:t>s. 1 and 2: 28 Sep 2004;</w:t>
            </w:r>
            <w:r>
              <w:rPr>
                <w:sz w:val="19"/>
              </w:rPr>
              <w:br/>
              <w:t xml:space="preserve">Act other than s. 1 and 2: 26 Jan 2005 (see s. 2 and </w:t>
            </w:r>
            <w:r>
              <w:rPr>
                <w:i/>
                <w:sz w:val="19"/>
              </w:rPr>
              <w:t>Gazette</w:t>
            </w:r>
            <w:r>
              <w:rPr>
                <w:sz w:val="19"/>
              </w:rPr>
              <w:t xml:space="preserve"> 25 Jan 2005 p. 339)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7089" w:type="dxa"/>
            <w:gridSpan w:val="4"/>
          </w:tcPr>
          <w:p>
            <w:pPr>
              <w:pStyle w:val="nTable"/>
              <w:spacing w:after="40"/>
              <w:rPr>
                <w:sz w:val="19"/>
              </w:rPr>
            </w:pPr>
            <w:r>
              <w:rPr>
                <w:b/>
                <w:sz w:val="19"/>
              </w:rPr>
              <w:t xml:space="preserve">Reprint 1: The </w:t>
            </w:r>
            <w:r>
              <w:rPr>
                <w:b/>
                <w:i/>
                <w:sz w:val="19"/>
              </w:rPr>
              <w:t xml:space="preserve">Professional Standards Act 1997 </w:t>
            </w:r>
            <w:r>
              <w:rPr>
                <w:b/>
                <w:sz w:val="19"/>
              </w:rPr>
              <w:t>as at 18 Mar 2005</w:t>
            </w:r>
            <w:r>
              <w:rPr>
                <w:sz w:val="19"/>
              </w:rPr>
              <w:t xml:space="preserve"> (includes amendments listed above except those in the </w:t>
            </w:r>
            <w:r>
              <w:rPr>
                <w:i/>
                <w:sz w:val="19"/>
              </w:rPr>
              <w:t>Courts Legislation Amendment and Repeal Act 2004</w:t>
            </w:r>
            <w:r>
              <w:rPr>
                <w:sz w:val="19"/>
              </w:rPr>
              <w:t>)</w:t>
            </w:r>
          </w:p>
        </w:tc>
      </w:tr>
      <w:tr>
        <w:tc>
          <w:tcPr>
            <w:tcW w:w="2269" w:type="dxa"/>
          </w:tcPr>
          <w:p>
            <w:pPr>
              <w:pStyle w:val="nTable"/>
              <w:spacing w:after="40"/>
              <w:rPr>
                <w:i/>
                <w:sz w:val="19"/>
              </w:rPr>
            </w:pPr>
            <w:r>
              <w:rPr>
                <w:i/>
                <w:sz w:val="19"/>
              </w:rPr>
              <w:t xml:space="preserve">Machinery of Government (Miscellaneous Amendments) Act 2006 </w:t>
            </w:r>
            <w:r>
              <w:rPr>
                <w:sz w:val="19"/>
              </w:rPr>
              <w:t>Pt. 3 Div. 4</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9"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Sch. 1 cl. 134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Professional Standards Amendment Act 2010</w:t>
            </w:r>
          </w:p>
        </w:tc>
        <w:tc>
          <w:tcPr>
            <w:tcW w:w="1134" w:type="dxa"/>
          </w:tcPr>
          <w:p>
            <w:pPr>
              <w:pStyle w:val="nTable"/>
              <w:spacing w:after="40"/>
              <w:rPr>
                <w:sz w:val="19"/>
              </w:rPr>
            </w:pPr>
            <w:r>
              <w:rPr>
                <w:sz w:val="19"/>
              </w:rPr>
              <w:t>3 of 2010</w:t>
            </w:r>
          </w:p>
        </w:tc>
        <w:tc>
          <w:tcPr>
            <w:tcW w:w="1134" w:type="dxa"/>
          </w:tcPr>
          <w:p>
            <w:pPr>
              <w:pStyle w:val="nTable"/>
              <w:spacing w:after="40"/>
              <w:rPr>
                <w:sz w:val="19"/>
              </w:rPr>
            </w:pPr>
            <w:r>
              <w:rPr>
                <w:sz w:val="19"/>
              </w:rPr>
              <w:t>7 Apr 2010</w:t>
            </w:r>
          </w:p>
        </w:tc>
        <w:tc>
          <w:tcPr>
            <w:tcW w:w="2552" w:type="dxa"/>
          </w:tcPr>
          <w:p>
            <w:pPr>
              <w:pStyle w:val="nTable"/>
              <w:spacing w:after="40"/>
              <w:rPr>
                <w:sz w:val="19"/>
              </w:rPr>
            </w:pPr>
            <w:r>
              <w:rPr>
                <w:sz w:val="19"/>
              </w:rPr>
              <w:t>Pt. 1: 7 Apr 2010 (see s. 2(a));</w:t>
            </w:r>
            <w:r>
              <w:rPr>
                <w:sz w:val="19"/>
              </w:rPr>
              <w:br/>
              <w:t>Act other than Pt. 1: 8 Apr 2010 (see s. 2(b))</w:t>
            </w:r>
          </w:p>
        </w:tc>
      </w:tr>
      <w:tr>
        <w:trPr>
          <w:cantSplit/>
        </w:trPr>
        <w:tc>
          <w:tcPr>
            <w:tcW w:w="7089" w:type="dxa"/>
            <w:gridSpan w:val="4"/>
            <w:tcBorders>
              <w:bottom w:val="single" w:sz="4" w:space="0" w:color="auto"/>
            </w:tcBorders>
          </w:tcPr>
          <w:p>
            <w:pPr>
              <w:pStyle w:val="nTable"/>
              <w:spacing w:after="40"/>
              <w:rPr>
                <w:sz w:val="19"/>
              </w:rPr>
            </w:pPr>
            <w:r>
              <w:rPr>
                <w:b/>
                <w:sz w:val="19"/>
              </w:rPr>
              <w:t xml:space="preserve">Reprint 2: The </w:t>
            </w:r>
            <w:r>
              <w:rPr>
                <w:b/>
                <w:i/>
                <w:sz w:val="19"/>
              </w:rPr>
              <w:t xml:space="preserve">Professional Standards Act 1997 </w:t>
            </w:r>
            <w:r>
              <w:rPr>
                <w:b/>
                <w:sz w:val="19"/>
              </w:rPr>
              <w:t>as at 11 Jun 2010</w:t>
            </w:r>
            <w:r>
              <w:rPr>
                <w:sz w:val="19"/>
              </w:rPr>
              <w:t xml:space="preserve"> (includes amendments listed above) </w:t>
            </w:r>
          </w:p>
        </w:tc>
      </w:tr>
    </w:tbl>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Corporations Act 2001</w:t>
      </w:r>
      <w:r>
        <w:rPr>
          <w:snapToGrid w:val="0"/>
          <w:sz w:val="20"/>
        </w:rPr>
        <w:t xml:space="preserve"> of the Commonwealth, see Part 2 of the </w:t>
      </w:r>
      <w:r>
        <w:rPr>
          <w:i/>
          <w:snapToGrid w:val="0"/>
          <w:sz w:val="20"/>
        </w:rPr>
        <w:t>Corporations (Ancillary Provisions) Act 2001</w:t>
      </w:r>
      <w:r>
        <w:rPr>
          <w:snapToGrid w:val="0"/>
          <w:sz w:val="20"/>
        </w:rPr>
        <w:t>.</w:t>
      </w: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883" w:name="_Toc259530173"/>
      <w:bookmarkStart w:id="884" w:name="_Toc263761939"/>
      <w:bookmarkStart w:id="885" w:name="_Toc263856428"/>
      <w:bookmarkStart w:id="886" w:name="_Toc263856552"/>
      <w:r>
        <w:rPr>
          <w:sz w:val="28"/>
        </w:rPr>
        <w:t>Defined Terms</w:t>
      </w:r>
      <w:bookmarkEnd w:id="883"/>
      <w:bookmarkEnd w:id="884"/>
      <w:bookmarkEnd w:id="885"/>
      <w:bookmarkEnd w:id="8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7" w:name="DefinedTerms"/>
      <w:bookmarkEnd w:id="887"/>
      <w:r>
        <w:t>amending Act</w:t>
      </w:r>
      <w:r>
        <w:tab/>
        <w:t>Sch. 4 cl. 1 and 7</w:t>
      </w:r>
    </w:p>
    <w:p>
      <w:pPr>
        <w:pStyle w:val="DefinedTerms"/>
      </w:pPr>
      <w:r>
        <w:t>another jurisdiction</w:t>
      </w:r>
      <w:r>
        <w:tab/>
        <w:t>4(1)</w:t>
      </w:r>
    </w:p>
    <w:p>
      <w:pPr>
        <w:pStyle w:val="DefinedTerms"/>
      </w:pPr>
      <w:r>
        <w:t>appropriate Council</w:t>
      </w:r>
      <w:r>
        <w:tab/>
        <w:t>4(1)</w:t>
      </w:r>
    </w:p>
    <w:p>
      <w:pPr>
        <w:pStyle w:val="DefinedTerms"/>
      </w:pPr>
      <w:r>
        <w:t>associate</w:t>
      </w:r>
      <w:r>
        <w:tab/>
        <w:t>34A(1)</w:t>
      </w:r>
    </w:p>
    <w:p>
      <w:pPr>
        <w:pStyle w:val="DefinedTerms"/>
      </w:pPr>
      <w:r>
        <w:t>business assets</w:t>
      </w:r>
      <w:r>
        <w:tab/>
        <w:t>4(1)</w:t>
      </w:r>
    </w:p>
    <w:p>
      <w:pPr>
        <w:pStyle w:val="DefinedTerms"/>
      </w:pPr>
      <w:r>
        <w:t>commencement</w:t>
      </w:r>
      <w:r>
        <w:tab/>
        <w:t>Sch. 4 cl. 1</w:t>
      </w:r>
    </w:p>
    <w:p>
      <w:pPr>
        <w:pStyle w:val="DefinedTerms"/>
      </w:pPr>
      <w:r>
        <w:t>commencement day</w:t>
      </w:r>
      <w:r>
        <w:tab/>
        <w:t>Sch. 4 cl. 7</w:t>
      </w:r>
    </w:p>
    <w:p>
      <w:pPr>
        <w:pStyle w:val="DefinedTerms"/>
      </w:pPr>
      <w:r>
        <w:t>corresponding law</w:t>
      </w:r>
      <w:r>
        <w:tab/>
        <w:t>4(1)</w:t>
      </w:r>
    </w:p>
    <w:p>
      <w:pPr>
        <w:pStyle w:val="DefinedTerms"/>
      </w:pPr>
      <w:r>
        <w:t>costs</w:t>
      </w:r>
      <w:r>
        <w:tab/>
        <w:t>4(1)</w:t>
      </w:r>
    </w:p>
    <w:p>
      <w:pPr>
        <w:pStyle w:val="DefinedTerms"/>
      </w:pPr>
      <w:r>
        <w:t>Council</w:t>
      </w:r>
      <w:r>
        <w:tab/>
        <w:t>4(1), Sch. 3 cl. 2</w:t>
      </w:r>
    </w:p>
    <w:p>
      <w:pPr>
        <w:pStyle w:val="DefinedTerms"/>
      </w:pPr>
      <w:r>
        <w:t>court</w:t>
      </w:r>
      <w:r>
        <w:tab/>
        <w:t>4(1)</w:t>
      </w:r>
    </w:p>
    <w:p>
      <w:pPr>
        <w:pStyle w:val="DefinedTerms"/>
      </w:pPr>
      <w:r>
        <w:t>damages</w:t>
      </w:r>
      <w:r>
        <w:tab/>
        <w:t>4(1)</w:t>
      </w:r>
    </w:p>
    <w:p>
      <w:pPr>
        <w:pStyle w:val="DefinedTerms"/>
      </w:pPr>
      <w:r>
        <w:t>document</w:t>
      </w:r>
      <w:r>
        <w:tab/>
        <w:t>18(4)</w:t>
      </w:r>
    </w:p>
    <w:p>
      <w:pPr>
        <w:pStyle w:val="DefinedTerms"/>
      </w:pPr>
      <w:r>
        <w:t>information</w:t>
      </w:r>
      <w:r>
        <w:tab/>
        <w:t>18(4)</w:t>
      </w:r>
    </w:p>
    <w:p>
      <w:pPr>
        <w:pStyle w:val="DefinedTerms"/>
      </w:pPr>
      <w:r>
        <w:t>interstate scheme</w:t>
      </w:r>
      <w:r>
        <w:tab/>
        <w:t>4(1)</w:t>
      </w:r>
    </w:p>
    <w:p>
      <w:pPr>
        <w:pStyle w:val="DefinedTerms"/>
      </w:pPr>
      <w:r>
        <w:t>judgment</w:t>
      </w:r>
      <w:r>
        <w:tab/>
        <w:t>4(1)</w:t>
      </w:r>
    </w:p>
    <w:p>
      <w:pPr>
        <w:pStyle w:val="DefinedTerms"/>
      </w:pPr>
      <w:r>
        <w:t>limitation amount</w:t>
      </w:r>
      <w:r>
        <w:tab/>
        <w:t>36(1)(a)(ii)</w:t>
      </w:r>
    </w:p>
    <w:p>
      <w:pPr>
        <w:pStyle w:val="DefinedTerms"/>
      </w:pPr>
      <w:r>
        <w:t>limitation on liability</w:t>
      </w:r>
      <w:r>
        <w:tab/>
        <w:t>34A(5)</w:t>
      </w:r>
    </w:p>
    <w:p>
      <w:pPr>
        <w:pStyle w:val="DefinedTerms"/>
      </w:pPr>
      <w:r>
        <w:t>occupational association</w:t>
      </w:r>
      <w:r>
        <w:tab/>
        <w:t>4(1)</w:t>
      </w:r>
    </w:p>
    <w:p>
      <w:pPr>
        <w:pStyle w:val="DefinedTerms"/>
      </w:pPr>
      <w:r>
        <w:t>occupational group</w:t>
      </w:r>
      <w:r>
        <w:tab/>
        <w:t>4(1)</w:t>
      </w:r>
    </w:p>
    <w:p>
      <w:pPr>
        <w:pStyle w:val="DefinedTerms"/>
      </w:pPr>
      <w:r>
        <w:t>occupational liability</w:t>
      </w:r>
      <w:r>
        <w:tab/>
        <w:t>4(1)</w:t>
      </w:r>
    </w:p>
    <w:p>
      <w:pPr>
        <w:pStyle w:val="DefinedTerms"/>
      </w:pPr>
      <w:r>
        <w:t>officer</w:t>
      </w:r>
      <w:r>
        <w:tab/>
        <w:t>31(4), 34A(1), 42(4)</w:t>
      </w:r>
    </w:p>
    <w:p>
      <w:pPr>
        <w:pStyle w:val="DefinedTerms"/>
      </w:pPr>
      <w:r>
        <w:t>partner</w:t>
      </w:r>
      <w:r>
        <w:tab/>
        <w:t>4(1)</w:t>
      </w:r>
    </w:p>
    <w:p>
      <w:pPr>
        <w:pStyle w:val="DefinedTerms"/>
      </w:pPr>
      <w:r>
        <w:t>partner, officer, employee or associate of a member</w:t>
      </w:r>
      <w:r>
        <w:tab/>
        <w:t>34A(4)</w:t>
      </w:r>
    </w:p>
    <w:p>
      <w:pPr>
        <w:pStyle w:val="DefinedTerms"/>
      </w:pPr>
      <w:r>
        <w:t>principal cause of action</w:t>
      </w:r>
      <w:r>
        <w:tab/>
        <w:t>34A(2)</w:t>
      </w:r>
    </w:p>
    <w:p>
      <w:pPr>
        <w:pStyle w:val="DefinedTerms"/>
      </w:pPr>
      <w:r>
        <w:t>related cause of action</w:t>
      </w:r>
      <w:r>
        <w:tab/>
        <w:t>34A(3)</w:t>
      </w:r>
    </w:p>
    <w:p>
      <w:pPr>
        <w:pStyle w:val="DefinedTerms"/>
      </w:pPr>
      <w:r>
        <w:t>scheme</w:t>
      </w:r>
      <w:r>
        <w:tab/>
        <w:t>4(1), 28(1A)</w:t>
      </w:r>
    </w:p>
    <w:p>
      <w:pPr>
        <w:pStyle w:val="DefinedTerms"/>
      </w:pPr>
      <w:r>
        <w:t>this jurisdiction</w:t>
      </w:r>
      <w:r>
        <w:tab/>
        <w:t>4(1)</w:t>
      </w:r>
    </w:p>
    <w:p>
      <w:pPr>
        <w:pStyle w:val="DefinedTerms"/>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4" w:bottom="3544" w:left="2404" w:header="720" w:footer="3380" w:gutter="0"/>
          <w:cols w:space="720"/>
          <w:noEndnote/>
          <w:docGrid w:linePitch="326"/>
        </w:sectPr>
      </w:pPr>
    </w:p>
    <w:p/>
    <w:p/>
    <w:p/>
    <w:p/>
    <w:p/>
    <w:p/>
    <w:p/>
    <w:p/>
    <w:p>
      <w:pPr>
        <w:pBdr>
          <w:top w:val="double" w:sz="4" w:space="0" w:color="auto"/>
        </w:pBdr>
        <w:jc w:val="center"/>
        <w:rPr>
          <w:rFonts w:ascii="Arial" w:hAnsi="Arial"/>
          <w:sz w:val="12"/>
        </w:rPr>
      </w:pPr>
      <w:r>
        <w:rPr>
          <w:rFonts w:ascii="Arial" w:hAnsi="Arial"/>
          <w:sz w:val="12"/>
        </w:rPr>
        <w:t>By Authority: JOHN A. STRIJK, Government Printer</w:t>
      </w:r>
    </w:p>
    <w:p>
      <w:pPr>
        <w:pStyle w:val="FootnoteText"/>
      </w:pPr>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1</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Professional Standards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Provisions relating to members of the Council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Professional Standards Act 1997</w:t>
            </w:r>
          </w:fldSimple>
        </w:p>
      </w:tc>
    </w:tr>
    <w:tr>
      <w:tc>
        <w:tcPr>
          <w:tcW w:w="5715" w:type="dxa"/>
          <w:vAlign w:val="bottom"/>
        </w:tcPr>
        <w:p>
          <w:pPr>
            <w:pStyle w:val="HeaderTextRight"/>
          </w:pPr>
          <w:fldSimple w:instr=" styleref CharSchText ">
            <w:r>
              <w:rPr>
                <w:noProof/>
              </w:rPr>
              <w:t>Provisions relating to members of the Council</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B6D3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8ECC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1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4.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13422</Words>
  <Characters>64162</Characters>
  <Application>Microsoft Office Word</Application>
  <DocSecurity>0</DocSecurity>
  <Lines>1734</Lines>
  <Paragraphs>1062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76522</CharactersWithSpaces>
  <SharedDoc>false</SharedDoc>
  <HLinks>
    <vt:vector size="18" baseType="variant">
      <vt:variant>
        <vt:i4>3014716</vt:i4>
      </vt:variant>
      <vt:variant>
        <vt:i4>13473</vt:i4>
      </vt:variant>
      <vt:variant>
        <vt:i4>1025</vt:i4>
      </vt:variant>
      <vt:variant>
        <vt:i4>1</vt:i4>
      </vt:variant>
      <vt:variant>
        <vt:lpwstr>C:\Program Files\PCO DLL\Support\Crest.wpg</vt:lpwstr>
      </vt:variant>
      <vt:variant>
        <vt:lpwstr/>
      </vt:variant>
      <vt:variant>
        <vt:i4>5439608</vt:i4>
      </vt:variant>
      <vt:variant>
        <vt:i4>77014</vt:i4>
      </vt:variant>
      <vt:variant>
        <vt:i4>1026</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1997 - 02-a0-02</dc:title>
  <dc:subject/>
  <dc:creator/>
  <cp:keywords/>
  <dc:description/>
  <cp:lastModifiedBy>svcMRProcess</cp:lastModifiedBy>
  <cp:revision>4</cp:revision>
  <cp:lastPrinted>2010-06-08T04:03:00Z</cp:lastPrinted>
  <dcterms:created xsi:type="dcterms:W3CDTF">2020-02-18T06:06:00Z</dcterms:created>
  <dcterms:modified xsi:type="dcterms:W3CDTF">2020-02-18T06:06:00Z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20100611</vt:lpwstr>
  </property>
  <property fmtid="{D5CDD505-2E9C-101B-9397-08002B2CF9AE}" pid="4" name="DocumentType">
    <vt:lpwstr>Act</vt:lpwstr>
  </property>
  <property fmtid="{D5CDD505-2E9C-101B-9397-08002B2CF9AE}" pid="5" name="OwlsUID">
    <vt:i4>1820</vt:i4>
  </property>
  <property fmtid="{D5CDD505-2E9C-101B-9397-08002B2CF9AE}" pid="6" name="AsAtDate">
    <vt:lpwstr>11 Jun 2010</vt:lpwstr>
  </property>
  <property fmtid="{D5CDD505-2E9C-101B-9397-08002B2CF9AE}" pid="7" name="Suffix">
    <vt:lpwstr>02-a0-02</vt:lpwstr>
  </property>
  <property fmtid="{D5CDD505-2E9C-101B-9397-08002B2CF9AE}" pid="8" name="ReprintedAsAt">
    <vt:filetime>2010-06-10T16:00:00Z</vt:filetime>
  </property>
  <property fmtid="{D5CDD505-2E9C-101B-9397-08002B2CF9AE}" pid="9" name="ReprintNo">
    <vt:lpwstr>2</vt:lpwstr>
  </property>
</Properties>
</file>