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Pay</w:t>
      </w:r>
      <w:r>
        <w:noBreakHyphen/>
        <w:t>roll Tax Assessment Act 2002</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Pay-roll Tax Assessment Regulations 2003</w:t>
      </w:r>
      <w:r>
        <w:rPr>
          <w:sz w:val="48"/>
        </w:rPr>
        <w:fldChar w:fldCharType="end"/>
      </w:r>
      <w:bookmarkStart w:id="1" w:name="UpToHere"/>
      <w:bookmarkEnd w:id="1"/>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_Toc265571956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_Toc265571957 \h </w:instrText>
      </w:r>
      <w:r>
        <w:fldChar w:fldCharType="separate"/>
      </w:r>
      <w:r>
        <w:t>1</w:t>
      </w:r>
      <w:r>
        <w:fldChar w:fldCharType="end"/>
      </w:r>
    </w:p>
    <w:p>
      <w:pPr>
        <w:pStyle w:val="TOC8"/>
        <w:rPr>
          <w:sz w:val="24"/>
          <w:szCs w:val="24"/>
        </w:rPr>
      </w:pPr>
      <w:r>
        <w:rPr>
          <w:szCs w:val="24"/>
        </w:rPr>
        <w:t>3.</w:t>
      </w:r>
      <w:r>
        <w:rPr>
          <w:szCs w:val="24"/>
        </w:rPr>
        <w:tab/>
        <w:t>Meaning of terms used in these regulations</w:t>
      </w:r>
      <w:r>
        <w:tab/>
      </w:r>
      <w:r>
        <w:fldChar w:fldCharType="begin"/>
      </w:r>
      <w:r>
        <w:instrText xml:space="preserve"> PAGEREF _Toc265571958 \h </w:instrText>
      </w:r>
      <w:r>
        <w:fldChar w:fldCharType="separate"/>
      </w:r>
      <w:r>
        <w:t>1</w:t>
      </w:r>
      <w:r>
        <w:fldChar w:fldCharType="end"/>
      </w:r>
    </w:p>
    <w:p>
      <w:pPr>
        <w:pStyle w:val="TOC2"/>
        <w:tabs>
          <w:tab w:val="right" w:leader="dot" w:pos="7086"/>
        </w:tabs>
        <w:rPr>
          <w:b w:val="0"/>
          <w:sz w:val="24"/>
          <w:szCs w:val="24"/>
        </w:rPr>
      </w:pPr>
      <w:r>
        <w:rPr>
          <w:szCs w:val="30"/>
        </w:rPr>
        <w:t>Part 2 — Various exemptions and inclusions</w:t>
      </w:r>
    </w:p>
    <w:p>
      <w:pPr>
        <w:pStyle w:val="TOC4"/>
        <w:tabs>
          <w:tab w:val="right" w:leader="dot" w:pos="7086"/>
        </w:tabs>
        <w:rPr>
          <w:b w:val="0"/>
          <w:sz w:val="24"/>
          <w:szCs w:val="24"/>
        </w:rPr>
      </w:pPr>
      <w:r>
        <w:rPr>
          <w:szCs w:val="26"/>
        </w:rPr>
        <w:t>Division 1 — Miscellaneous</w:t>
      </w:r>
    </w:p>
    <w:p>
      <w:pPr>
        <w:pStyle w:val="TOC8"/>
        <w:rPr>
          <w:sz w:val="24"/>
          <w:szCs w:val="24"/>
        </w:rPr>
      </w:pPr>
      <w:r>
        <w:rPr>
          <w:szCs w:val="24"/>
        </w:rPr>
        <w:t>4.</w:t>
      </w:r>
      <w:r>
        <w:rPr>
          <w:szCs w:val="24"/>
        </w:rPr>
        <w:tab/>
        <w:t>Exempt expenditure by departments and others</w:t>
      </w:r>
      <w:r>
        <w:tab/>
      </w:r>
      <w:r>
        <w:fldChar w:fldCharType="begin"/>
      </w:r>
      <w:r>
        <w:instrText xml:space="preserve"> PAGEREF _Toc265571961 \h </w:instrText>
      </w:r>
      <w:r>
        <w:fldChar w:fldCharType="separate"/>
      </w:r>
      <w:r>
        <w:t>2</w:t>
      </w:r>
      <w:r>
        <w:fldChar w:fldCharType="end"/>
      </w:r>
    </w:p>
    <w:p>
      <w:pPr>
        <w:pStyle w:val="TOC8"/>
        <w:rPr>
          <w:sz w:val="24"/>
          <w:szCs w:val="24"/>
        </w:rPr>
      </w:pPr>
      <w:r>
        <w:rPr>
          <w:szCs w:val="24"/>
        </w:rPr>
        <w:t>5.</w:t>
      </w:r>
      <w:r>
        <w:rPr>
          <w:szCs w:val="24"/>
        </w:rPr>
        <w:tab/>
        <w:t>Contracts prescribed for the definition of wages</w:t>
      </w:r>
      <w:r>
        <w:tab/>
      </w:r>
      <w:r>
        <w:fldChar w:fldCharType="begin"/>
      </w:r>
      <w:r>
        <w:instrText xml:space="preserve"> PAGEREF _Toc265571962 \h </w:instrText>
      </w:r>
      <w:r>
        <w:fldChar w:fldCharType="separate"/>
      </w:r>
      <w:r>
        <w:t>2</w:t>
      </w:r>
      <w:r>
        <w:fldChar w:fldCharType="end"/>
      </w:r>
    </w:p>
    <w:p>
      <w:pPr>
        <w:pStyle w:val="TOC8"/>
        <w:rPr>
          <w:sz w:val="24"/>
          <w:szCs w:val="24"/>
        </w:rPr>
      </w:pPr>
      <w:r>
        <w:rPr>
          <w:szCs w:val="24"/>
        </w:rPr>
        <w:t>6.</w:t>
      </w:r>
      <w:r>
        <w:rPr>
          <w:szCs w:val="24"/>
        </w:rPr>
        <w:tab/>
        <w:t>Excluded contracts</w:t>
      </w:r>
      <w:r>
        <w:tab/>
      </w:r>
      <w:r>
        <w:fldChar w:fldCharType="begin"/>
      </w:r>
      <w:r>
        <w:instrText xml:space="preserve"> PAGEREF _Toc265571963 \h </w:instrText>
      </w:r>
      <w:r>
        <w:fldChar w:fldCharType="separate"/>
      </w:r>
      <w:r>
        <w:t>2</w:t>
      </w:r>
      <w:r>
        <w:fldChar w:fldCharType="end"/>
      </w:r>
    </w:p>
    <w:p>
      <w:pPr>
        <w:pStyle w:val="TOC4"/>
        <w:tabs>
          <w:tab w:val="right" w:leader="dot" w:pos="7086"/>
        </w:tabs>
        <w:rPr>
          <w:b w:val="0"/>
          <w:sz w:val="24"/>
          <w:szCs w:val="24"/>
        </w:rPr>
      </w:pPr>
      <w:r>
        <w:rPr>
          <w:szCs w:val="26"/>
        </w:rPr>
        <w:t>Division 2 — Remote location benefits</w:t>
      </w:r>
    </w:p>
    <w:p>
      <w:pPr>
        <w:pStyle w:val="TOC8"/>
        <w:rPr>
          <w:sz w:val="24"/>
          <w:szCs w:val="24"/>
        </w:rPr>
      </w:pPr>
      <w:r>
        <w:rPr>
          <w:szCs w:val="24"/>
        </w:rPr>
        <w:t>7.</w:t>
      </w:r>
      <w:r>
        <w:rPr>
          <w:szCs w:val="24"/>
        </w:rPr>
        <w:tab/>
        <w:t>Remote location wages prescribed</w:t>
      </w:r>
      <w:r>
        <w:tab/>
      </w:r>
      <w:r>
        <w:fldChar w:fldCharType="begin"/>
      </w:r>
      <w:r>
        <w:instrText xml:space="preserve"> PAGEREF _Toc265571965 \h </w:instrText>
      </w:r>
      <w:r>
        <w:fldChar w:fldCharType="separate"/>
      </w:r>
      <w:r>
        <w:t>3</w:t>
      </w:r>
      <w:r>
        <w:fldChar w:fldCharType="end"/>
      </w:r>
    </w:p>
    <w:p>
      <w:pPr>
        <w:pStyle w:val="TOC8"/>
        <w:rPr>
          <w:sz w:val="24"/>
          <w:szCs w:val="24"/>
        </w:rPr>
      </w:pPr>
      <w:r>
        <w:rPr>
          <w:szCs w:val="24"/>
        </w:rPr>
        <w:t>8.</w:t>
      </w:r>
      <w:r>
        <w:rPr>
          <w:szCs w:val="24"/>
        </w:rPr>
        <w:tab/>
        <w:t>Education costs</w:t>
      </w:r>
      <w:r>
        <w:tab/>
      </w:r>
      <w:r>
        <w:fldChar w:fldCharType="begin"/>
      </w:r>
      <w:r>
        <w:instrText xml:space="preserve"> PAGEREF _Toc265571966 \h </w:instrText>
      </w:r>
      <w:r>
        <w:fldChar w:fldCharType="separate"/>
      </w:r>
      <w:r>
        <w:t>3</w:t>
      </w:r>
      <w:r>
        <w:fldChar w:fldCharType="end"/>
      </w:r>
    </w:p>
    <w:p>
      <w:pPr>
        <w:pStyle w:val="TOC8"/>
        <w:rPr>
          <w:sz w:val="24"/>
          <w:szCs w:val="24"/>
        </w:rPr>
      </w:pPr>
      <w:r>
        <w:rPr>
          <w:szCs w:val="24"/>
        </w:rPr>
        <w:t>9.</w:t>
      </w:r>
      <w:r>
        <w:rPr>
          <w:szCs w:val="24"/>
        </w:rPr>
        <w:tab/>
        <w:t>Fringe benefits provided in remote locations</w:t>
      </w:r>
      <w:r>
        <w:tab/>
      </w:r>
      <w:r>
        <w:fldChar w:fldCharType="begin"/>
      </w:r>
      <w:r>
        <w:instrText xml:space="preserve"> PAGEREF _Toc265571967 \h </w:instrText>
      </w:r>
      <w:r>
        <w:fldChar w:fldCharType="separate"/>
      </w:r>
      <w:r>
        <w:t>3</w:t>
      </w:r>
      <w:r>
        <w:fldChar w:fldCharType="end"/>
      </w:r>
    </w:p>
    <w:p>
      <w:pPr>
        <w:pStyle w:val="TOC8"/>
        <w:rPr>
          <w:sz w:val="24"/>
          <w:szCs w:val="24"/>
        </w:rPr>
      </w:pPr>
      <w:r>
        <w:rPr>
          <w:szCs w:val="24"/>
        </w:rPr>
        <w:t>10.</w:t>
      </w:r>
      <w:r>
        <w:rPr>
          <w:szCs w:val="24"/>
        </w:rPr>
        <w:tab/>
        <w:t>Remote area housing benefits</w:t>
      </w:r>
      <w:r>
        <w:tab/>
      </w:r>
      <w:r>
        <w:fldChar w:fldCharType="begin"/>
      </w:r>
      <w:r>
        <w:instrText xml:space="preserve"> PAGEREF _Toc265571968 \h </w:instrText>
      </w:r>
      <w:r>
        <w:fldChar w:fldCharType="separate"/>
      </w:r>
      <w:r>
        <w:t>4</w:t>
      </w:r>
      <w:r>
        <w:fldChar w:fldCharType="end"/>
      </w:r>
    </w:p>
    <w:p>
      <w:pPr>
        <w:pStyle w:val="TOC4"/>
        <w:tabs>
          <w:tab w:val="right" w:leader="dot" w:pos="7086"/>
        </w:tabs>
        <w:rPr>
          <w:b w:val="0"/>
          <w:sz w:val="24"/>
          <w:szCs w:val="24"/>
        </w:rPr>
      </w:pPr>
      <w:r>
        <w:rPr>
          <w:szCs w:val="26"/>
        </w:rPr>
        <w:t>Division 3 — Specified taxable benefits</w:t>
      </w:r>
    </w:p>
    <w:p>
      <w:pPr>
        <w:pStyle w:val="TOC8"/>
        <w:rPr>
          <w:sz w:val="24"/>
          <w:szCs w:val="24"/>
        </w:rPr>
      </w:pPr>
      <w:r>
        <w:rPr>
          <w:szCs w:val="24"/>
        </w:rPr>
        <w:t>11.</w:t>
      </w:r>
      <w:r>
        <w:rPr>
          <w:szCs w:val="24"/>
        </w:rPr>
        <w:tab/>
        <w:t>Contributions to redundancy benefits schemes</w:t>
      </w:r>
      <w:r>
        <w:tab/>
      </w:r>
      <w:r>
        <w:fldChar w:fldCharType="begin"/>
      </w:r>
      <w:r>
        <w:instrText xml:space="preserve"> PAGEREF _Toc265571970 \h </w:instrText>
      </w:r>
      <w:r>
        <w:fldChar w:fldCharType="separate"/>
      </w:r>
      <w:r>
        <w:t>4</w:t>
      </w:r>
      <w:r>
        <w:fldChar w:fldCharType="end"/>
      </w:r>
    </w:p>
    <w:p>
      <w:pPr>
        <w:pStyle w:val="TOC8"/>
        <w:rPr>
          <w:sz w:val="24"/>
          <w:szCs w:val="24"/>
        </w:rPr>
      </w:pPr>
      <w:r>
        <w:rPr>
          <w:szCs w:val="24"/>
        </w:rPr>
        <w:t>12.</w:t>
      </w:r>
      <w:r>
        <w:rPr>
          <w:szCs w:val="24"/>
        </w:rPr>
        <w:tab/>
        <w:t>Value of redundancy benefits scheme contributions</w:t>
      </w:r>
      <w:r>
        <w:tab/>
      </w:r>
      <w:r>
        <w:fldChar w:fldCharType="begin"/>
      </w:r>
      <w:r>
        <w:instrText xml:space="preserve"> PAGEREF _Toc265571971 \h </w:instrText>
      </w:r>
      <w:r>
        <w:fldChar w:fldCharType="separate"/>
      </w:r>
      <w:r>
        <w:t>5</w:t>
      </w:r>
      <w:r>
        <w:fldChar w:fldCharType="end"/>
      </w:r>
    </w:p>
    <w:p>
      <w:pPr>
        <w:pStyle w:val="TOC8"/>
        <w:rPr>
          <w:sz w:val="24"/>
          <w:szCs w:val="24"/>
        </w:rPr>
      </w:pPr>
      <w:r>
        <w:rPr>
          <w:szCs w:val="24"/>
        </w:rPr>
        <w:t>13.</w:t>
      </w:r>
      <w:r>
        <w:rPr>
          <w:szCs w:val="24"/>
        </w:rPr>
        <w:tab/>
        <w:t>Portable paid long service leave</w:t>
      </w:r>
      <w:r>
        <w:tab/>
      </w:r>
      <w:r>
        <w:fldChar w:fldCharType="begin"/>
      </w:r>
      <w:r>
        <w:instrText xml:space="preserve"> PAGEREF _Toc265571972 \h </w:instrText>
      </w:r>
      <w:r>
        <w:fldChar w:fldCharType="separate"/>
      </w:r>
      <w:r>
        <w:t>5</w:t>
      </w:r>
      <w:r>
        <w:fldChar w:fldCharType="end"/>
      </w:r>
    </w:p>
    <w:p>
      <w:pPr>
        <w:pStyle w:val="TOC8"/>
        <w:rPr>
          <w:sz w:val="24"/>
          <w:szCs w:val="24"/>
        </w:rPr>
      </w:pPr>
      <w:r>
        <w:rPr>
          <w:szCs w:val="24"/>
        </w:rPr>
        <w:t>14.</w:t>
      </w:r>
      <w:r>
        <w:rPr>
          <w:szCs w:val="24"/>
        </w:rPr>
        <w:tab/>
        <w:t>Value of portable long service leave fund contributions</w:t>
      </w:r>
      <w:r>
        <w:tab/>
      </w:r>
      <w:r>
        <w:fldChar w:fldCharType="begin"/>
      </w:r>
      <w:r>
        <w:instrText xml:space="preserve"> PAGEREF _Toc265571973 \h </w:instrText>
      </w:r>
      <w:r>
        <w:fldChar w:fldCharType="separate"/>
      </w:r>
      <w:r>
        <w:t>5</w:t>
      </w:r>
      <w:r>
        <w:fldChar w:fldCharType="end"/>
      </w:r>
    </w:p>
    <w:p>
      <w:pPr>
        <w:pStyle w:val="TOC8"/>
        <w:rPr>
          <w:sz w:val="24"/>
          <w:szCs w:val="24"/>
        </w:rPr>
      </w:pPr>
      <w:r>
        <w:rPr>
          <w:szCs w:val="24"/>
        </w:rPr>
        <w:t>15.</w:t>
      </w:r>
      <w:r>
        <w:rPr>
          <w:szCs w:val="24"/>
        </w:rPr>
        <w:tab/>
        <w:t>Wages exemptions related to specified taxable benefits</w:t>
      </w:r>
      <w:r>
        <w:tab/>
      </w:r>
      <w:r>
        <w:fldChar w:fldCharType="begin"/>
      </w:r>
      <w:r>
        <w:instrText xml:space="preserve"> PAGEREF _Toc265571974 \h </w:instrText>
      </w:r>
      <w:r>
        <w:fldChar w:fldCharType="separate"/>
      </w:r>
      <w:r>
        <w:t>5</w:t>
      </w:r>
      <w:r>
        <w:fldChar w:fldCharType="end"/>
      </w:r>
    </w:p>
    <w:p>
      <w:pPr>
        <w:pStyle w:val="TOC4"/>
        <w:tabs>
          <w:tab w:val="right" w:leader="dot" w:pos="7086"/>
        </w:tabs>
        <w:rPr>
          <w:b w:val="0"/>
          <w:sz w:val="24"/>
          <w:szCs w:val="24"/>
        </w:rPr>
      </w:pPr>
      <w:r>
        <w:rPr>
          <w:szCs w:val="26"/>
        </w:rPr>
        <w:lastRenderedPageBreak/>
        <w:t>Division 4 — Fringe benefits</w:t>
      </w:r>
    </w:p>
    <w:p>
      <w:pPr>
        <w:pStyle w:val="TOC8"/>
        <w:rPr>
          <w:sz w:val="24"/>
          <w:szCs w:val="24"/>
        </w:rPr>
      </w:pPr>
      <w:r>
        <w:rPr>
          <w:szCs w:val="24"/>
        </w:rPr>
        <w:t>27.</w:t>
      </w:r>
      <w:r>
        <w:rPr>
          <w:szCs w:val="24"/>
        </w:rPr>
        <w:tab/>
        <w:t>Notice of amended FBT Act assessment</w:t>
      </w:r>
      <w:r>
        <w:tab/>
      </w:r>
      <w:r>
        <w:fldChar w:fldCharType="begin"/>
      </w:r>
      <w:r>
        <w:instrText xml:space="preserve"> PAGEREF _Toc265571976 \h </w:instrText>
      </w:r>
      <w:r>
        <w:fldChar w:fldCharType="separate"/>
      </w:r>
      <w:r>
        <w:t>6</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Allowances</w:t>
      </w:r>
    </w:p>
    <w:p>
      <w:pPr>
        <w:pStyle w:val="TOC4"/>
        <w:tabs>
          <w:tab w:val="right" w:leader="dot" w:pos="7086"/>
        </w:tabs>
        <w:rPr>
          <w:b w:val="0"/>
          <w:sz w:val="24"/>
          <w:szCs w:val="24"/>
        </w:rPr>
      </w:pPr>
      <w:r>
        <w:rPr>
          <w:szCs w:val="26"/>
        </w:rPr>
        <w:t>Division 1 — Motor vehicle allowances</w:t>
      </w:r>
    </w:p>
    <w:p>
      <w:pPr>
        <w:pStyle w:val="TOC8"/>
        <w:rPr>
          <w:sz w:val="24"/>
          <w:szCs w:val="24"/>
        </w:rPr>
      </w:pPr>
      <w:r>
        <w:rPr>
          <w:szCs w:val="24"/>
        </w:rPr>
        <w:t>30.</w:t>
      </w:r>
      <w:r>
        <w:rPr>
          <w:szCs w:val="24"/>
        </w:rPr>
        <w:tab/>
        <w:t>Business kilometres travelled in a return period</w:t>
      </w:r>
      <w:r>
        <w:tab/>
      </w:r>
      <w:r>
        <w:fldChar w:fldCharType="begin"/>
      </w:r>
      <w:r>
        <w:instrText xml:space="preserve"> PAGEREF _Toc265571979 \h </w:instrText>
      </w:r>
      <w:r>
        <w:fldChar w:fldCharType="separate"/>
      </w:r>
      <w:r>
        <w:t>7</w:t>
      </w:r>
      <w:r>
        <w:fldChar w:fldCharType="end"/>
      </w:r>
    </w:p>
    <w:p>
      <w:pPr>
        <w:pStyle w:val="TOC8"/>
        <w:rPr>
          <w:sz w:val="24"/>
          <w:szCs w:val="24"/>
        </w:rPr>
      </w:pPr>
      <w:r>
        <w:rPr>
          <w:szCs w:val="24"/>
        </w:rPr>
        <w:t>32.</w:t>
      </w:r>
      <w:r>
        <w:rPr>
          <w:szCs w:val="24"/>
        </w:rPr>
        <w:tab/>
        <w:t>Choosing a method for calculating business kilometres</w:t>
      </w:r>
      <w:r>
        <w:tab/>
      </w:r>
      <w:r>
        <w:fldChar w:fldCharType="begin"/>
      </w:r>
      <w:r>
        <w:instrText xml:space="preserve"> PAGEREF _Toc265571980 \h </w:instrText>
      </w:r>
      <w:r>
        <w:fldChar w:fldCharType="separate"/>
      </w:r>
      <w:r>
        <w:t>7</w:t>
      </w:r>
      <w:r>
        <w:fldChar w:fldCharType="end"/>
      </w:r>
    </w:p>
    <w:p>
      <w:pPr>
        <w:pStyle w:val="TOC8"/>
        <w:rPr>
          <w:sz w:val="24"/>
          <w:szCs w:val="24"/>
        </w:rPr>
      </w:pPr>
      <w:r>
        <w:rPr>
          <w:szCs w:val="24"/>
        </w:rPr>
        <w:t>33.</w:t>
      </w:r>
      <w:r>
        <w:rPr>
          <w:szCs w:val="24"/>
        </w:rPr>
        <w:tab/>
        <w:t>Changing the method of calculating business kilometres</w:t>
      </w:r>
      <w:r>
        <w:tab/>
      </w:r>
      <w:r>
        <w:fldChar w:fldCharType="begin"/>
      </w:r>
      <w:r>
        <w:instrText xml:space="preserve"> PAGEREF _Toc265571981 \h </w:instrText>
      </w:r>
      <w:r>
        <w:fldChar w:fldCharType="separate"/>
      </w:r>
      <w:r>
        <w:t>9</w:t>
      </w:r>
      <w:r>
        <w:fldChar w:fldCharType="end"/>
      </w:r>
    </w:p>
    <w:p>
      <w:pPr>
        <w:pStyle w:val="TOC8"/>
        <w:rPr>
          <w:sz w:val="24"/>
          <w:szCs w:val="24"/>
        </w:rPr>
      </w:pPr>
      <w:r>
        <w:rPr>
          <w:szCs w:val="24"/>
        </w:rPr>
        <w:t>34.</w:t>
      </w:r>
      <w:r>
        <w:rPr>
          <w:szCs w:val="24"/>
        </w:rPr>
        <w:tab/>
        <w:t>The continuous recording method</w:t>
      </w:r>
      <w:r>
        <w:tab/>
      </w:r>
      <w:r>
        <w:fldChar w:fldCharType="begin"/>
      </w:r>
      <w:r>
        <w:instrText xml:space="preserve"> PAGEREF _Toc265571982 \h </w:instrText>
      </w:r>
      <w:r>
        <w:fldChar w:fldCharType="separate"/>
      </w:r>
      <w:r>
        <w:t>9</w:t>
      </w:r>
      <w:r>
        <w:fldChar w:fldCharType="end"/>
      </w:r>
    </w:p>
    <w:p>
      <w:pPr>
        <w:pStyle w:val="TOC8"/>
        <w:rPr>
          <w:sz w:val="24"/>
          <w:szCs w:val="24"/>
        </w:rPr>
      </w:pPr>
      <w:r>
        <w:rPr>
          <w:szCs w:val="24"/>
        </w:rPr>
        <w:t>35.</w:t>
      </w:r>
      <w:r>
        <w:rPr>
          <w:szCs w:val="24"/>
        </w:rPr>
        <w:tab/>
        <w:t>The averaging method</w:t>
      </w:r>
      <w:r>
        <w:tab/>
      </w:r>
      <w:r>
        <w:fldChar w:fldCharType="begin"/>
      </w:r>
      <w:r>
        <w:instrText xml:space="preserve"> PAGEREF _Toc265571983 \h </w:instrText>
      </w:r>
      <w:r>
        <w:fldChar w:fldCharType="separate"/>
      </w:r>
      <w:r>
        <w:t>10</w:t>
      </w:r>
      <w:r>
        <w:fldChar w:fldCharType="end"/>
      </w:r>
    </w:p>
    <w:p>
      <w:pPr>
        <w:pStyle w:val="TOC8"/>
        <w:rPr>
          <w:sz w:val="24"/>
          <w:szCs w:val="24"/>
        </w:rPr>
      </w:pPr>
      <w:r>
        <w:rPr>
          <w:szCs w:val="24"/>
        </w:rPr>
        <w:t>36.</w:t>
      </w:r>
      <w:r>
        <w:rPr>
          <w:szCs w:val="24"/>
        </w:rPr>
        <w:tab/>
        <w:t>Selecting a continuous recording period</w:t>
      </w:r>
      <w:r>
        <w:tab/>
      </w:r>
      <w:r>
        <w:fldChar w:fldCharType="begin"/>
      </w:r>
      <w:r>
        <w:instrText xml:space="preserve"> PAGEREF _Toc265571984 \h </w:instrText>
      </w:r>
      <w:r>
        <w:fldChar w:fldCharType="separate"/>
      </w:r>
      <w:r>
        <w:t>11</w:t>
      </w:r>
      <w:r>
        <w:fldChar w:fldCharType="end"/>
      </w:r>
    </w:p>
    <w:p>
      <w:pPr>
        <w:pStyle w:val="TOC8"/>
        <w:rPr>
          <w:sz w:val="24"/>
          <w:szCs w:val="24"/>
        </w:rPr>
      </w:pPr>
      <w:r>
        <w:rPr>
          <w:szCs w:val="24"/>
        </w:rPr>
        <w:t>37.</w:t>
      </w:r>
      <w:r>
        <w:rPr>
          <w:szCs w:val="24"/>
        </w:rPr>
        <w:tab/>
        <w:t>Replacing one motor vehicle with another</w:t>
      </w:r>
      <w:r>
        <w:tab/>
      </w:r>
      <w:r>
        <w:fldChar w:fldCharType="begin"/>
      </w:r>
      <w:r>
        <w:instrText xml:space="preserve"> PAGEREF _Toc265571985 \h </w:instrText>
      </w:r>
      <w:r>
        <w:fldChar w:fldCharType="separate"/>
      </w:r>
      <w:r>
        <w:t>12</w:t>
      </w:r>
      <w:r>
        <w:fldChar w:fldCharType="end"/>
      </w:r>
    </w:p>
    <w:p>
      <w:pPr>
        <w:pStyle w:val="TOC8"/>
        <w:rPr>
          <w:sz w:val="24"/>
          <w:szCs w:val="24"/>
        </w:rPr>
      </w:pPr>
      <w:r>
        <w:rPr>
          <w:szCs w:val="24"/>
        </w:rPr>
        <w:t>38.</w:t>
      </w:r>
      <w:r>
        <w:rPr>
          <w:szCs w:val="24"/>
        </w:rPr>
        <w:tab/>
        <w:t>Replacement or recalibration of odometer</w:t>
      </w:r>
      <w:r>
        <w:tab/>
      </w:r>
      <w:r>
        <w:fldChar w:fldCharType="begin"/>
      </w:r>
      <w:r>
        <w:instrText xml:space="preserve"> PAGEREF _Toc265571986 \h </w:instrText>
      </w:r>
      <w:r>
        <w:fldChar w:fldCharType="separate"/>
      </w:r>
      <w:r>
        <w:t>12</w:t>
      </w:r>
      <w:r>
        <w:fldChar w:fldCharType="end"/>
      </w:r>
    </w:p>
    <w:p>
      <w:pPr>
        <w:pStyle w:val="TOC2"/>
        <w:tabs>
          <w:tab w:val="right" w:leader="dot" w:pos="7086"/>
        </w:tabs>
        <w:rPr>
          <w:b w:val="0"/>
          <w:sz w:val="24"/>
          <w:szCs w:val="24"/>
        </w:rPr>
      </w:pPr>
      <w:r>
        <w:rPr>
          <w:szCs w:val="30"/>
        </w:rPr>
        <w:t>Part 4 — Superannuation contributions</w:t>
      </w:r>
    </w:p>
    <w:p>
      <w:pPr>
        <w:pStyle w:val="TOC8"/>
        <w:rPr>
          <w:sz w:val="24"/>
          <w:szCs w:val="24"/>
        </w:rPr>
      </w:pPr>
      <w:r>
        <w:rPr>
          <w:szCs w:val="24"/>
        </w:rPr>
        <w:t>41.</w:t>
      </w:r>
      <w:r>
        <w:rPr>
          <w:szCs w:val="24"/>
        </w:rPr>
        <w:tab/>
        <w:t>Actuarial determinations for some superannuation contributions</w:t>
      </w:r>
      <w:r>
        <w:tab/>
      </w:r>
      <w:r>
        <w:fldChar w:fldCharType="begin"/>
      </w:r>
      <w:r>
        <w:instrText xml:space="preserve"> PAGEREF _Toc265571988 \h </w:instrText>
      </w:r>
      <w:r>
        <w:fldChar w:fldCharType="separate"/>
      </w:r>
      <w:r>
        <w:t>14</w:t>
      </w:r>
      <w:r>
        <w:fldChar w:fldCharType="end"/>
      </w:r>
    </w:p>
    <w:p>
      <w:pPr>
        <w:pStyle w:val="TOC8"/>
        <w:rPr>
          <w:sz w:val="24"/>
          <w:szCs w:val="24"/>
        </w:rPr>
      </w:pPr>
      <w:r>
        <w:rPr>
          <w:szCs w:val="24"/>
        </w:rPr>
        <w:t>42.</w:t>
      </w:r>
      <w:r>
        <w:rPr>
          <w:szCs w:val="24"/>
        </w:rPr>
        <w:tab/>
        <w:t>Categories of members</w:t>
      </w:r>
      <w:r>
        <w:tab/>
      </w:r>
      <w:r>
        <w:fldChar w:fldCharType="begin"/>
      </w:r>
      <w:r>
        <w:instrText xml:space="preserve"> PAGEREF _Toc265571989 \h </w:instrText>
      </w:r>
      <w:r>
        <w:fldChar w:fldCharType="separate"/>
      </w:r>
      <w:r>
        <w:t>14</w:t>
      </w:r>
      <w:r>
        <w:fldChar w:fldCharType="end"/>
      </w:r>
    </w:p>
    <w:p>
      <w:pPr>
        <w:pStyle w:val="TOC8"/>
        <w:rPr>
          <w:sz w:val="24"/>
          <w:szCs w:val="24"/>
        </w:rPr>
      </w:pPr>
      <w:r>
        <w:rPr>
          <w:szCs w:val="24"/>
        </w:rPr>
        <w:t>44.</w:t>
      </w:r>
      <w:r>
        <w:rPr>
          <w:szCs w:val="24"/>
        </w:rPr>
        <w:tab/>
        <w:t>Scope of actuarial determinations</w:t>
      </w:r>
      <w:r>
        <w:tab/>
      </w:r>
      <w:r>
        <w:fldChar w:fldCharType="begin"/>
      </w:r>
      <w:r>
        <w:instrText xml:space="preserve"> PAGEREF _Toc265571990 \h </w:instrText>
      </w:r>
      <w:r>
        <w:fldChar w:fldCharType="separate"/>
      </w:r>
      <w:r>
        <w:t>15</w:t>
      </w:r>
      <w:r>
        <w:fldChar w:fldCharType="end"/>
      </w:r>
    </w:p>
    <w:p>
      <w:pPr>
        <w:pStyle w:val="TOC8"/>
        <w:rPr>
          <w:sz w:val="24"/>
          <w:szCs w:val="24"/>
        </w:rPr>
      </w:pPr>
      <w:r>
        <w:rPr>
          <w:szCs w:val="24"/>
        </w:rPr>
        <w:t>45.</w:t>
      </w:r>
      <w:r>
        <w:rPr>
          <w:szCs w:val="24"/>
        </w:rPr>
        <w:tab/>
        <w:t>Duration of actuarial determination</w:t>
      </w:r>
      <w:r>
        <w:tab/>
      </w:r>
      <w:r>
        <w:fldChar w:fldCharType="begin"/>
      </w:r>
      <w:r>
        <w:instrText xml:space="preserve"> PAGEREF _Toc265571991 \h </w:instrText>
      </w:r>
      <w:r>
        <w:fldChar w:fldCharType="separate"/>
      </w:r>
      <w:r>
        <w:t>16</w:t>
      </w:r>
      <w:r>
        <w:fldChar w:fldCharType="end"/>
      </w:r>
    </w:p>
    <w:p>
      <w:pPr>
        <w:pStyle w:val="TOC2"/>
        <w:tabs>
          <w:tab w:val="right" w:leader="dot" w:pos="7086"/>
        </w:tabs>
        <w:rPr>
          <w:b w:val="0"/>
          <w:sz w:val="24"/>
          <w:szCs w:val="24"/>
        </w:rPr>
      </w:pPr>
      <w:r>
        <w:rPr>
          <w:szCs w:val="30"/>
        </w:rPr>
        <w:t>Part 5 — Keeping books and accounts</w:t>
      </w:r>
    </w:p>
    <w:p>
      <w:pPr>
        <w:pStyle w:val="TOC8"/>
        <w:rPr>
          <w:sz w:val="24"/>
          <w:szCs w:val="24"/>
        </w:rPr>
      </w:pPr>
      <w:r>
        <w:rPr>
          <w:szCs w:val="24"/>
        </w:rPr>
        <w:t>46.</w:t>
      </w:r>
      <w:r>
        <w:rPr>
          <w:szCs w:val="24"/>
        </w:rPr>
        <w:tab/>
        <w:t>Prescribed records (section 44)</w:t>
      </w:r>
      <w:r>
        <w:tab/>
      </w:r>
      <w:r>
        <w:fldChar w:fldCharType="begin"/>
      </w:r>
      <w:r>
        <w:instrText xml:space="preserve"> PAGEREF _Toc265571993 \h </w:instrText>
      </w:r>
      <w:r>
        <w:fldChar w:fldCharType="separate"/>
      </w:r>
      <w:r>
        <w:t>17</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Returns</w:t>
      </w:r>
    </w:p>
    <w:p>
      <w:pPr>
        <w:pStyle w:val="TOC8"/>
        <w:rPr>
          <w:sz w:val="24"/>
          <w:szCs w:val="24"/>
        </w:rPr>
      </w:pPr>
      <w:r>
        <w:rPr>
          <w:szCs w:val="24"/>
        </w:rPr>
        <w:t>47.</w:t>
      </w:r>
      <w:r>
        <w:rPr>
          <w:szCs w:val="24"/>
        </w:rPr>
        <w:tab/>
        <w:t>Manner of lodging and paying in certain circumstances</w:t>
      </w:r>
      <w:r>
        <w:tab/>
      </w:r>
      <w:r>
        <w:fldChar w:fldCharType="begin"/>
      </w:r>
      <w:r>
        <w:instrText xml:space="preserve"> PAGEREF _Toc265571995 \h </w:instrText>
      </w:r>
      <w:r>
        <w:fldChar w:fldCharType="separate"/>
      </w:r>
      <w:r>
        <w:t>19</w:t>
      </w:r>
      <w:r>
        <w:fldChar w:fldCharType="end"/>
      </w:r>
    </w:p>
    <w:p>
      <w:pPr>
        <w:pStyle w:val="TOC2"/>
        <w:tabs>
          <w:tab w:val="right" w:leader="dot" w:pos="7086"/>
        </w:tabs>
        <w:rPr>
          <w:b w:val="0"/>
          <w:sz w:val="24"/>
          <w:szCs w:val="24"/>
        </w:rPr>
      </w:pPr>
      <w:r>
        <w:rPr>
          <w:szCs w:val="28"/>
        </w:rPr>
        <w:t>Schedule 1 — Exempt departments and other organisations</w:t>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Terms used</w:t>
      </w:r>
      <w:r>
        <w:tab/>
      </w:r>
      <w:r>
        <w:fldChar w:fldCharType="begin"/>
      </w:r>
      <w:r>
        <w:instrText xml:space="preserve"> PAGEREF _Toc265571998 \h </w:instrText>
      </w:r>
      <w:r>
        <w:fldChar w:fldCharType="separate"/>
      </w:r>
      <w:r>
        <w:t>23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_Toc265572000 \h </w:instrText>
      </w:r>
      <w:r>
        <w:fldChar w:fldCharType="separate"/>
      </w:r>
      <w:r>
        <w:t>26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Pay</w:t>
      </w:r>
      <w:r>
        <w:noBreakHyphen/>
        <w:t>roll Tax Assessment Act 2002</w:t>
      </w:r>
    </w:p>
    <w:p>
      <w:pPr>
        <w:pStyle w:val="NameofActReg"/>
      </w:pPr>
      <w:r>
        <w:t>Pay</w:t>
      </w:r>
      <w:r>
        <w:noBreakHyphen/>
        <w:t>roll Tax Assessment Regulations 2003</w:t>
      </w:r>
    </w:p>
    <w:p>
      <w:pPr>
        <w:pStyle w:val="Heading2"/>
        <w:keepNext w:val="0"/>
        <w:pageBreakBefore w:val="0"/>
        <w:spacing w:before="240"/>
      </w:pPr>
      <w:bookmarkStart w:id="2" w:name="_Toc76540814"/>
      <w:bookmarkStart w:id="3" w:name="_Toc82249795"/>
      <w:bookmarkStart w:id="4" w:name="_Toc107648563"/>
      <w:bookmarkStart w:id="5" w:name="_Toc134327168"/>
      <w:bookmarkStart w:id="6" w:name="_Toc134328955"/>
      <w:bookmarkStart w:id="7" w:name="_Toc134334847"/>
      <w:bookmarkStart w:id="8" w:name="_Toc134336048"/>
      <w:bookmarkStart w:id="9" w:name="_Toc138580674"/>
      <w:bookmarkStart w:id="10" w:name="_Toc139259007"/>
      <w:bookmarkStart w:id="11" w:name="_Toc140368540"/>
      <w:bookmarkStart w:id="12" w:name="_Toc143925368"/>
      <w:bookmarkStart w:id="13" w:name="_Toc146419922"/>
      <w:bookmarkStart w:id="14" w:name="_Toc146426293"/>
      <w:bookmarkStart w:id="15" w:name="_Toc147802121"/>
      <w:bookmarkStart w:id="16" w:name="_Toc149965006"/>
      <w:bookmarkStart w:id="17" w:name="_Toc154987779"/>
      <w:bookmarkStart w:id="18" w:name="_Toc155070026"/>
      <w:bookmarkStart w:id="19" w:name="_Toc161116404"/>
      <w:bookmarkStart w:id="20" w:name="_Toc161569905"/>
      <w:bookmarkStart w:id="21" w:name="_Toc161634225"/>
      <w:bookmarkStart w:id="22" w:name="_Toc166924564"/>
      <w:bookmarkStart w:id="23" w:name="_Toc166995645"/>
      <w:bookmarkStart w:id="24" w:name="_Toc170200451"/>
      <w:bookmarkStart w:id="25" w:name="_Toc170708734"/>
      <w:bookmarkStart w:id="26" w:name="_Toc233605396"/>
      <w:bookmarkStart w:id="27" w:name="_Toc235613844"/>
      <w:bookmarkStart w:id="28" w:name="_Toc236025211"/>
      <w:bookmarkStart w:id="29" w:name="_Toc236025275"/>
      <w:bookmarkStart w:id="30" w:name="_Toc236034840"/>
      <w:bookmarkStart w:id="31" w:name="_Toc236034904"/>
      <w:bookmarkStart w:id="32" w:name="_Toc237832362"/>
      <w:bookmarkStart w:id="33" w:name="_Toc237841243"/>
      <w:bookmarkStart w:id="34" w:name="_Toc237843223"/>
      <w:bookmarkStart w:id="35" w:name="_Toc265571955"/>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pPr>
      <w:bookmarkStart w:id="36" w:name="_Toc423332722"/>
      <w:bookmarkStart w:id="37" w:name="_Toc425219441"/>
      <w:bookmarkStart w:id="38" w:name="_Toc426249308"/>
      <w:bookmarkStart w:id="39" w:name="_Toc449924704"/>
      <w:bookmarkStart w:id="40" w:name="_Toc449947722"/>
      <w:bookmarkStart w:id="41" w:name="_Toc454185713"/>
      <w:bookmarkStart w:id="42" w:name="_Toc43611913"/>
      <w:bookmarkStart w:id="43" w:name="_Toc107648564"/>
      <w:bookmarkStart w:id="44" w:name="_Toc265571956"/>
      <w:r>
        <w:rPr>
          <w:rStyle w:val="CharSectno"/>
        </w:rPr>
        <w:t>1</w:t>
      </w:r>
      <w:r>
        <w:t>.</w:t>
      </w:r>
      <w:r>
        <w:tab/>
        <w:t>Citation</w:t>
      </w:r>
      <w:bookmarkEnd w:id="36"/>
      <w:bookmarkEnd w:id="37"/>
      <w:bookmarkEnd w:id="38"/>
      <w:bookmarkEnd w:id="39"/>
      <w:bookmarkEnd w:id="40"/>
      <w:bookmarkEnd w:id="41"/>
      <w:bookmarkEnd w:id="42"/>
      <w:bookmarkEnd w:id="43"/>
      <w:bookmarkEnd w:id="44"/>
    </w:p>
    <w:p>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rPr>
          <w:iCs/>
          <w:vertAlign w:val="superscript"/>
        </w:rPr>
        <w:t> 1</w:t>
      </w:r>
      <w:r>
        <w:t>.</w:t>
      </w:r>
    </w:p>
    <w:p>
      <w:pPr>
        <w:pStyle w:val="Heading5"/>
        <w:rPr>
          <w:spacing w:val="-2"/>
        </w:rPr>
      </w:pPr>
      <w:bookmarkStart w:id="45" w:name="_Toc423332723"/>
      <w:bookmarkStart w:id="46" w:name="_Toc425219442"/>
      <w:bookmarkStart w:id="47" w:name="_Toc426249309"/>
      <w:bookmarkStart w:id="48" w:name="_Toc449924705"/>
      <w:bookmarkStart w:id="49" w:name="_Toc449947723"/>
      <w:bookmarkStart w:id="50" w:name="_Toc454185714"/>
      <w:bookmarkStart w:id="51" w:name="_Toc43611914"/>
      <w:bookmarkStart w:id="52" w:name="_Toc107648565"/>
      <w:bookmarkStart w:id="53" w:name="_Toc265571957"/>
      <w:r>
        <w:rPr>
          <w:rStyle w:val="CharSectno"/>
        </w:rPr>
        <w:t>2</w:t>
      </w:r>
      <w:r>
        <w:rPr>
          <w:spacing w:val="-2"/>
        </w:rPr>
        <w:t>.</w:t>
      </w:r>
      <w:r>
        <w:rPr>
          <w:spacing w:val="-2"/>
        </w:rPr>
        <w:tab/>
        <w:t>Commencement</w:t>
      </w:r>
      <w:bookmarkEnd w:id="45"/>
      <w:bookmarkEnd w:id="46"/>
      <w:bookmarkEnd w:id="47"/>
      <w:bookmarkEnd w:id="48"/>
      <w:bookmarkEnd w:id="49"/>
      <w:bookmarkEnd w:id="50"/>
      <w:bookmarkEnd w:id="51"/>
      <w:bookmarkEnd w:id="52"/>
      <w:bookmarkEnd w:id="53"/>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54" w:name="_Hlt43259345"/>
      <w:bookmarkStart w:id="55" w:name="_Toc43611915"/>
      <w:bookmarkStart w:id="56" w:name="_Toc107648566"/>
      <w:bookmarkStart w:id="57" w:name="_Toc265571958"/>
      <w:bookmarkEnd w:id="54"/>
      <w:r>
        <w:rPr>
          <w:rStyle w:val="CharSectno"/>
        </w:rPr>
        <w:t>3</w:t>
      </w:r>
      <w:r>
        <w:t>.</w:t>
      </w:r>
      <w:r>
        <w:tab/>
        <w:t>Meaning of terms used in these regulations</w:t>
      </w:r>
      <w:bookmarkEnd w:id="55"/>
      <w:bookmarkEnd w:id="56"/>
      <w:bookmarkEnd w:id="57"/>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58" w:name="_Toc76540818"/>
      <w:bookmarkStart w:id="59" w:name="_Toc82249799"/>
      <w:bookmarkStart w:id="60" w:name="_Toc107648567"/>
      <w:bookmarkStart w:id="61" w:name="_Toc134327172"/>
      <w:bookmarkStart w:id="62" w:name="_Toc134328959"/>
      <w:bookmarkStart w:id="63" w:name="_Toc134334851"/>
      <w:bookmarkStart w:id="64" w:name="_Toc134336052"/>
      <w:bookmarkStart w:id="65" w:name="_Toc138580678"/>
      <w:bookmarkStart w:id="66" w:name="_Toc139259011"/>
      <w:bookmarkStart w:id="67" w:name="_Toc140368544"/>
      <w:bookmarkStart w:id="68" w:name="_Toc143925372"/>
      <w:bookmarkStart w:id="69" w:name="_Toc146419926"/>
      <w:bookmarkStart w:id="70" w:name="_Toc146426297"/>
      <w:bookmarkStart w:id="71" w:name="_Toc147802125"/>
      <w:bookmarkStart w:id="72" w:name="_Toc149965010"/>
      <w:bookmarkStart w:id="73" w:name="_Toc154987783"/>
      <w:bookmarkStart w:id="74" w:name="_Toc155070030"/>
      <w:bookmarkStart w:id="75" w:name="_Toc161116408"/>
      <w:bookmarkStart w:id="76" w:name="_Toc161569909"/>
      <w:bookmarkStart w:id="77" w:name="_Toc161634229"/>
      <w:bookmarkStart w:id="78" w:name="_Toc166924568"/>
      <w:bookmarkStart w:id="79" w:name="_Toc166995649"/>
      <w:bookmarkStart w:id="80" w:name="_Toc170200455"/>
      <w:bookmarkStart w:id="81" w:name="_Toc170708738"/>
      <w:bookmarkStart w:id="82" w:name="_Toc233605400"/>
      <w:bookmarkStart w:id="83" w:name="_Toc235613848"/>
      <w:bookmarkStart w:id="84" w:name="_Toc236025215"/>
      <w:bookmarkStart w:id="85" w:name="_Toc236025279"/>
      <w:bookmarkStart w:id="86" w:name="_Toc236034844"/>
      <w:bookmarkStart w:id="87" w:name="_Toc236034908"/>
      <w:bookmarkStart w:id="88" w:name="_Toc237832366"/>
      <w:bookmarkStart w:id="89" w:name="_Toc237841247"/>
      <w:bookmarkStart w:id="90" w:name="_Toc237843227"/>
      <w:bookmarkStart w:id="91" w:name="_Toc265571959"/>
      <w:r>
        <w:rPr>
          <w:rStyle w:val="CharPartNo"/>
        </w:rPr>
        <w:t>Part 2</w:t>
      </w:r>
      <w:r>
        <w:t> — </w:t>
      </w:r>
      <w:r>
        <w:rPr>
          <w:rStyle w:val="CharPartText"/>
        </w:rPr>
        <w:t>Various exemptions and inclusions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3"/>
      </w:pPr>
      <w:bookmarkStart w:id="92" w:name="_Toc76540819"/>
      <w:bookmarkStart w:id="93" w:name="_Toc82249800"/>
      <w:bookmarkStart w:id="94" w:name="_Toc107648568"/>
      <w:bookmarkStart w:id="95" w:name="_Toc134327173"/>
      <w:bookmarkStart w:id="96" w:name="_Toc134328960"/>
      <w:bookmarkStart w:id="97" w:name="_Toc134334852"/>
      <w:bookmarkStart w:id="98" w:name="_Toc134336053"/>
      <w:bookmarkStart w:id="99" w:name="_Toc138580679"/>
      <w:bookmarkStart w:id="100" w:name="_Toc139259012"/>
      <w:bookmarkStart w:id="101" w:name="_Toc140368545"/>
      <w:bookmarkStart w:id="102" w:name="_Toc143925373"/>
      <w:bookmarkStart w:id="103" w:name="_Toc146419927"/>
      <w:bookmarkStart w:id="104" w:name="_Toc146426298"/>
      <w:bookmarkStart w:id="105" w:name="_Toc147802126"/>
      <w:bookmarkStart w:id="106" w:name="_Toc149965011"/>
      <w:bookmarkStart w:id="107" w:name="_Toc154987784"/>
      <w:bookmarkStart w:id="108" w:name="_Toc155070031"/>
      <w:bookmarkStart w:id="109" w:name="_Toc161116409"/>
      <w:bookmarkStart w:id="110" w:name="_Toc161569910"/>
      <w:bookmarkStart w:id="111" w:name="_Toc161634230"/>
      <w:bookmarkStart w:id="112" w:name="_Toc166924569"/>
      <w:bookmarkStart w:id="113" w:name="_Toc166995650"/>
      <w:bookmarkStart w:id="114" w:name="_Toc170200456"/>
      <w:bookmarkStart w:id="115" w:name="_Toc170708739"/>
      <w:bookmarkStart w:id="116" w:name="_Toc233605401"/>
      <w:bookmarkStart w:id="117" w:name="_Toc235613849"/>
      <w:bookmarkStart w:id="118" w:name="_Toc236025216"/>
      <w:bookmarkStart w:id="119" w:name="_Toc236025280"/>
      <w:bookmarkStart w:id="120" w:name="_Toc236034845"/>
      <w:bookmarkStart w:id="121" w:name="_Toc236034909"/>
      <w:bookmarkStart w:id="122" w:name="_Toc237832367"/>
      <w:bookmarkStart w:id="123" w:name="_Toc237841248"/>
      <w:bookmarkStart w:id="124" w:name="_Toc237843228"/>
      <w:bookmarkStart w:id="125" w:name="_Toc265571960"/>
      <w:r>
        <w:rPr>
          <w:rStyle w:val="CharDivNo"/>
        </w:rPr>
        <w:t>Division 1</w:t>
      </w:r>
      <w:r>
        <w:t> — </w:t>
      </w:r>
      <w:r>
        <w:rPr>
          <w:rStyle w:val="CharDivText"/>
        </w:rPr>
        <w:t>Miscellaneous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Hlt43267513"/>
      <w:bookmarkStart w:id="127" w:name="_Toc43611916"/>
      <w:bookmarkStart w:id="128" w:name="_Toc107648569"/>
      <w:bookmarkStart w:id="129" w:name="_Toc265571961"/>
      <w:bookmarkEnd w:id="126"/>
      <w:r>
        <w:rPr>
          <w:rStyle w:val="CharSectno"/>
        </w:rPr>
        <w:t>4</w:t>
      </w:r>
      <w:r>
        <w:t>.</w:t>
      </w:r>
      <w:r>
        <w:tab/>
        <w:t>Exempt expenditure by departments and others</w:t>
      </w:r>
      <w:bookmarkEnd w:id="127"/>
      <w:bookmarkEnd w:id="128"/>
      <w:bookmarkEnd w:id="129"/>
    </w:p>
    <w:p>
      <w:pPr>
        <w:pStyle w:val="Subsection"/>
      </w:pPr>
      <w:r>
        <w:tab/>
      </w:r>
      <w:r>
        <w:tab/>
        <w:t>The departments and other organisations listed in Schedule 1 are prescribed for the purposes of section 40(2)(q) of the Act.</w:t>
      </w:r>
    </w:p>
    <w:p>
      <w:pPr>
        <w:pStyle w:val="Heading5"/>
      </w:pPr>
      <w:bookmarkStart w:id="130" w:name="_Toc43611917"/>
      <w:bookmarkStart w:id="131" w:name="_Toc107648570"/>
      <w:bookmarkStart w:id="132" w:name="_Toc265571962"/>
      <w:r>
        <w:rPr>
          <w:rStyle w:val="CharSectno"/>
        </w:rPr>
        <w:t>5</w:t>
      </w:r>
      <w:r>
        <w:t>.</w:t>
      </w:r>
      <w:r>
        <w:tab/>
        <w:t>Contracts prescribed for the definition of wages</w:t>
      </w:r>
      <w:bookmarkEnd w:id="130"/>
      <w:bookmarkEnd w:id="131"/>
      <w:bookmarkEnd w:id="132"/>
    </w:p>
    <w:p>
      <w:pPr>
        <w:pStyle w:val="Subsection"/>
      </w:pPr>
      <w:r>
        <w:tab/>
      </w:r>
      <w:r>
        <w:tab/>
        <w:t>An amount is wages for the purposes of section 9AA(1)(c) of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Footnotesection"/>
      </w:pPr>
      <w:r>
        <w:tab/>
        <w:t>[Regulation 5 amended by No. 15 of 2010 s. 29.]</w:t>
      </w:r>
    </w:p>
    <w:p>
      <w:pPr>
        <w:pStyle w:val="Heading5"/>
      </w:pPr>
      <w:bookmarkStart w:id="133" w:name="_Toc43611918"/>
      <w:bookmarkStart w:id="134" w:name="_Toc107648571"/>
      <w:bookmarkStart w:id="135" w:name="_Toc265571963"/>
      <w:r>
        <w:rPr>
          <w:rStyle w:val="CharSectno"/>
        </w:rPr>
        <w:t>6</w:t>
      </w:r>
      <w:r>
        <w:t>.</w:t>
      </w:r>
      <w:r>
        <w:tab/>
        <w:t>Excluded contracts</w:t>
      </w:r>
      <w:bookmarkEnd w:id="133"/>
      <w:bookmarkEnd w:id="134"/>
      <w:bookmarkEnd w:id="135"/>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rPr>
          <w:vertAlign w:val="superscript"/>
        </w:rPr>
        <w:t> 2</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spacing w:before="180"/>
      </w:pPr>
      <w:bookmarkStart w:id="136" w:name="_Toc76540823"/>
      <w:bookmarkStart w:id="137" w:name="_Toc82249804"/>
      <w:bookmarkStart w:id="138" w:name="_Toc107648572"/>
      <w:bookmarkStart w:id="139" w:name="_Toc134327177"/>
      <w:bookmarkStart w:id="140" w:name="_Toc134328964"/>
      <w:bookmarkStart w:id="141" w:name="_Toc134334856"/>
      <w:bookmarkStart w:id="142" w:name="_Toc134336057"/>
      <w:bookmarkStart w:id="143" w:name="_Toc138580683"/>
      <w:bookmarkStart w:id="144" w:name="_Toc139259016"/>
      <w:bookmarkStart w:id="145" w:name="_Toc140368549"/>
      <w:bookmarkStart w:id="146" w:name="_Toc143925377"/>
      <w:bookmarkStart w:id="147" w:name="_Toc146419931"/>
      <w:bookmarkStart w:id="148" w:name="_Toc146426302"/>
      <w:bookmarkStart w:id="149" w:name="_Toc147802130"/>
      <w:bookmarkStart w:id="150" w:name="_Toc149965015"/>
      <w:bookmarkStart w:id="151" w:name="_Toc154987788"/>
      <w:bookmarkStart w:id="152" w:name="_Toc155070035"/>
      <w:bookmarkStart w:id="153" w:name="_Toc161116413"/>
      <w:bookmarkStart w:id="154" w:name="_Toc161569914"/>
      <w:bookmarkStart w:id="155" w:name="_Toc161634234"/>
      <w:bookmarkStart w:id="156" w:name="_Toc166924573"/>
      <w:bookmarkStart w:id="157" w:name="_Toc166995654"/>
      <w:bookmarkStart w:id="158" w:name="_Toc170200460"/>
      <w:bookmarkStart w:id="159" w:name="_Toc170708743"/>
      <w:bookmarkStart w:id="160" w:name="_Toc233605405"/>
      <w:bookmarkStart w:id="161" w:name="_Toc235613853"/>
      <w:bookmarkStart w:id="162" w:name="_Toc236025220"/>
      <w:bookmarkStart w:id="163" w:name="_Toc236025284"/>
      <w:bookmarkStart w:id="164" w:name="_Toc236034849"/>
      <w:bookmarkStart w:id="165" w:name="_Toc236034913"/>
      <w:bookmarkStart w:id="166" w:name="_Toc237832371"/>
      <w:bookmarkStart w:id="167" w:name="_Toc237841252"/>
      <w:bookmarkStart w:id="168" w:name="_Toc237843232"/>
      <w:bookmarkStart w:id="169" w:name="_Toc265571964"/>
      <w:r>
        <w:rPr>
          <w:rStyle w:val="CharDivNo"/>
        </w:rPr>
        <w:t>Division 2</w:t>
      </w:r>
      <w:r>
        <w:t> — </w:t>
      </w:r>
      <w:r>
        <w:rPr>
          <w:rStyle w:val="CharDivText"/>
        </w:rPr>
        <w:t>Remote location benefits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spacing w:before="180"/>
      </w:pPr>
      <w:bookmarkStart w:id="170" w:name="_Toc43611919"/>
      <w:bookmarkStart w:id="171" w:name="_Toc107648573"/>
      <w:bookmarkStart w:id="172" w:name="_Toc265571965"/>
      <w:r>
        <w:rPr>
          <w:rStyle w:val="CharSectno"/>
        </w:rPr>
        <w:t>7</w:t>
      </w:r>
      <w:r>
        <w:t>.</w:t>
      </w:r>
      <w:r>
        <w:tab/>
        <w:t>Remote location wages prescribed</w:t>
      </w:r>
      <w:bookmarkEnd w:id="170"/>
      <w:bookmarkEnd w:id="171"/>
      <w:bookmarkEnd w:id="172"/>
    </w:p>
    <w:p>
      <w:pPr>
        <w:pStyle w:val="Subsection"/>
        <w:spacing w:before="100"/>
      </w:pPr>
      <w:r>
        <w:tab/>
      </w:r>
      <w:r>
        <w:tab/>
        <w:t>Wages of a kind referred to in this Division are prescribed for the purposes of section 40(2)(r) of the Act to the extent specified in this Division.</w:t>
      </w:r>
    </w:p>
    <w:p>
      <w:pPr>
        <w:pStyle w:val="Heading5"/>
        <w:spacing w:before="180"/>
      </w:pPr>
      <w:bookmarkStart w:id="173" w:name="_Toc43611920"/>
      <w:bookmarkStart w:id="174" w:name="_Toc107648574"/>
      <w:bookmarkStart w:id="175" w:name="_Toc265571966"/>
      <w:r>
        <w:rPr>
          <w:rStyle w:val="CharSectno"/>
        </w:rPr>
        <w:t>8</w:t>
      </w:r>
      <w:r>
        <w:t>.</w:t>
      </w:r>
      <w:r>
        <w:tab/>
        <w:t>Education costs</w:t>
      </w:r>
      <w:bookmarkEnd w:id="173"/>
      <w:bookmarkEnd w:id="174"/>
      <w:bookmarkEnd w:id="175"/>
    </w:p>
    <w:p>
      <w:pPr>
        <w:pStyle w:val="Subsection"/>
        <w:spacing w:before="100"/>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spacing w:before="100"/>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spacing w:before="180"/>
      </w:pPr>
      <w:bookmarkStart w:id="176" w:name="_Toc43611921"/>
      <w:bookmarkStart w:id="177" w:name="_Toc107648575"/>
      <w:bookmarkStart w:id="178" w:name="_Toc265571967"/>
      <w:r>
        <w:rPr>
          <w:rStyle w:val="CharSectno"/>
        </w:rPr>
        <w:t>9</w:t>
      </w:r>
      <w:r>
        <w:t>.</w:t>
      </w:r>
      <w:r>
        <w:tab/>
        <w:t>Fringe benefits provided in remote locations</w:t>
      </w:r>
      <w:bookmarkEnd w:id="176"/>
      <w:bookmarkEnd w:id="177"/>
      <w:bookmarkEnd w:id="178"/>
    </w:p>
    <w:p>
      <w:pPr>
        <w:pStyle w:val="Subsection"/>
        <w:spacing w:before="100"/>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spacing w:before="100"/>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spacing w:before="60"/>
      </w:pPr>
      <w:r>
        <w:tab/>
        <w:t>(b)</w:t>
      </w:r>
      <w:r>
        <w:tab/>
        <w:t>its taxable value is reduced under section 59 of the FBTA Act.</w:t>
      </w:r>
    </w:p>
    <w:p>
      <w:pPr>
        <w:pStyle w:val="Heading5"/>
      </w:pPr>
      <w:bookmarkStart w:id="179" w:name="_Toc43611922"/>
      <w:bookmarkStart w:id="180" w:name="_Toc107648576"/>
      <w:bookmarkStart w:id="181" w:name="_Toc265571968"/>
      <w:r>
        <w:rPr>
          <w:rStyle w:val="CharSectno"/>
        </w:rPr>
        <w:t>10</w:t>
      </w:r>
      <w:r>
        <w:t>.</w:t>
      </w:r>
      <w:r>
        <w:tab/>
        <w:t>Remote area housing benefits</w:t>
      </w:r>
      <w:bookmarkEnd w:id="179"/>
      <w:bookmarkEnd w:id="180"/>
      <w:bookmarkEnd w:id="181"/>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182" w:name="_Toc76540828"/>
      <w:bookmarkStart w:id="183" w:name="_Toc82249809"/>
      <w:bookmarkStart w:id="184" w:name="_Toc107648577"/>
      <w:bookmarkStart w:id="185" w:name="_Toc134327182"/>
      <w:bookmarkStart w:id="186" w:name="_Toc134328969"/>
      <w:bookmarkStart w:id="187" w:name="_Toc134334861"/>
      <w:bookmarkStart w:id="188" w:name="_Toc134336062"/>
      <w:bookmarkStart w:id="189" w:name="_Toc138580688"/>
      <w:bookmarkStart w:id="190" w:name="_Toc139259021"/>
      <w:bookmarkStart w:id="191" w:name="_Toc140368554"/>
      <w:bookmarkStart w:id="192" w:name="_Toc143925382"/>
      <w:bookmarkStart w:id="193" w:name="_Toc146419936"/>
      <w:bookmarkStart w:id="194" w:name="_Toc146426307"/>
      <w:bookmarkStart w:id="195" w:name="_Toc147802135"/>
      <w:bookmarkStart w:id="196" w:name="_Toc149965020"/>
      <w:bookmarkStart w:id="197" w:name="_Toc154987793"/>
      <w:bookmarkStart w:id="198" w:name="_Toc155070040"/>
      <w:bookmarkStart w:id="199" w:name="_Toc161116418"/>
      <w:bookmarkStart w:id="200" w:name="_Toc161569919"/>
      <w:bookmarkStart w:id="201" w:name="_Toc161634239"/>
      <w:bookmarkStart w:id="202" w:name="_Toc166924578"/>
      <w:bookmarkStart w:id="203" w:name="_Toc166995659"/>
      <w:bookmarkStart w:id="204" w:name="_Toc170200465"/>
      <w:bookmarkStart w:id="205" w:name="_Toc170708748"/>
      <w:bookmarkStart w:id="206" w:name="_Toc233605410"/>
      <w:bookmarkStart w:id="207" w:name="_Toc235613858"/>
      <w:bookmarkStart w:id="208" w:name="_Toc236025225"/>
      <w:bookmarkStart w:id="209" w:name="_Toc236025289"/>
      <w:bookmarkStart w:id="210" w:name="_Toc236034854"/>
      <w:bookmarkStart w:id="211" w:name="_Toc236034918"/>
      <w:bookmarkStart w:id="212" w:name="_Toc237832376"/>
      <w:bookmarkStart w:id="213" w:name="_Toc237841257"/>
      <w:bookmarkStart w:id="214" w:name="_Toc237843237"/>
      <w:bookmarkStart w:id="215" w:name="_Toc265571969"/>
      <w:r>
        <w:rPr>
          <w:rStyle w:val="CharDivNo"/>
        </w:rPr>
        <w:t>Division 3</w:t>
      </w:r>
      <w:r>
        <w:t> — </w:t>
      </w:r>
      <w:r>
        <w:rPr>
          <w:rStyle w:val="CharDivText"/>
        </w:rPr>
        <w:t>Specified taxable benefits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43611923"/>
      <w:bookmarkStart w:id="217" w:name="_Toc107648578"/>
      <w:bookmarkStart w:id="218" w:name="_Toc265571970"/>
      <w:r>
        <w:rPr>
          <w:rStyle w:val="CharSectno"/>
        </w:rPr>
        <w:t>11</w:t>
      </w:r>
      <w:r>
        <w:t>.</w:t>
      </w:r>
      <w:r>
        <w:tab/>
        <w:t>Contributions to redundancy benefits schemes</w:t>
      </w:r>
      <w:bookmarkEnd w:id="216"/>
      <w:bookmarkEnd w:id="217"/>
      <w:bookmarkEnd w:id="218"/>
    </w:p>
    <w:p>
      <w:pPr>
        <w:pStyle w:val="Subsection"/>
      </w:pPr>
      <w:r>
        <w:tab/>
      </w:r>
      <w:r>
        <w:tab/>
        <w:t xml:space="preserve">A contribution to a redundancy benefits scheme is a specified taxable benefit for the purposes of section 45(2)(b) of the Act and the definition of </w:t>
      </w:r>
      <w:r>
        <w:rPr>
          <w:b/>
          <w:bCs/>
          <w:i/>
          <w:iCs/>
        </w:rPr>
        <w:t>specified taxable benefits</w:t>
      </w:r>
      <w:r>
        <w:t xml:space="preserve"> in the Glossary to the Act.</w:t>
      </w:r>
    </w:p>
    <w:p>
      <w:pPr>
        <w:pStyle w:val="Heading5"/>
      </w:pPr>
      <w:bookmarkStart w:id="219" w:name="_Toc43611924"/>
      <w:bookmarkStart w:id="220" w:name="_Toc107648579"/>
      <w:bookmarkStart w:id="221" w:name="_Toc265571971"/>
      <w:r>
        <w:rPr>
          <w:rStyle w:val="CharSectno"/>
        </w:rPr>
        <w:t>12</w:t>
      </w:r>
      <w:r>
        <w:t>.</w:t>
      </w:r>
      <w:r>
        <w:tab/>
        <w:t>Value of redundancy benefits scheme contributions</w:t>
      </w:r>
      <w:bookmarkEnd w:id="219"/>
      <w:bookmarkEnd w:id="220"/>
      <w:bookmarkEnd w:id="221"/>
    </w:p>
    <w:p>
      <w:pPr>
        <w:pStyle w:val="Subsection"/>
      </w:pPr>
      <w:r>
        <w:tab/>
      </w:r>
      <w:r>
        <w:tab/>
        <w:t>For the purposes of section 9BI of the Act, the value of a contribution to a redundancy benefits scheme is the amount equal to the amount of the contribution.</w:t>
      </w:r>
    </w:p>
    <w:p>
      <w:pPr>
        <w:pStyle w:val="Footnotesection"/>
      </w:pPr>
      <w:bookmarkStart w:id="222" w:name="_Toc43611925"/>
      <w:bookmarkStart w:id="223" w:name="_Toc107648580"/>
      <w:r>
        <w:tab/>
        <w:t>[Regulation 12 amended by No. 15 of 2010 s. 30.]</w:t>
      </w:r>
    </w:p>
    <w:p>
      <w:pPr>
        <w:pStyle w:val="Heading5"/>
      </w:pPr>
      <w:bookmarkStart w:id="224" w:name="_Toc265571972"/>
      <w:r>
        <w:rPr>
          <w:rStyle w:val="CharSectno"/>
        </w:rPr>
        <w:t>13</w:t>
      </w:r>
      <w:r>
        <w:t>.</w:t>
      </w:r>
      <w:r>
        <w:tab/>
        <w:t>Portable paid long service leave</w:t>
      </w:r>
      <w:bookmarkEnd w:id="222"/>
      <w:bookmarkEnd w:id="223"/>
      <w:bookmarkEnd w:id="224"/>
    </w:p>
    <w:p>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pPr>
        <w:pStyle w:val="Heading5"/>
      </w:pPr>
      <w:bookmarkStart w:id="225" w:name="_Toc43611926"/>
      <w:bookmarkStart w:id="226" w:name="_Toc107648581"/>
      <w:bookmarkStart w:id="227" w:name="_Toc265571973"/>
      <w:r>
        <w:rPr>
          <w:rStyle w:val="CharSectno"/>
        </w:rPr>
        <w:t>14</w:t>
      </w:r>
      <w:r>
        <w:t>.</w:t>
      </w:r>
      <w:r>
        <w:tab/>
        <w:t>Value of portable long service leave fund contributions</w:t>
      </w:r>
      <w:bookmarkEnd w:id="225"/>
      <w:bookmarkEnd w:id="226"/>
      <w:bookmarkEnd w:id="227"/>
    </w:p>
    <w:p>
      <w:pPr>
        <w:pStyle w:val="Subsection"/>
      </w:pPr>
      <w:r>
        <w:tab/>
      </w:r>
      <w:r>
        <w:tab/>
        <w:t>For the purposes of section 9BI of the Act, the value of a contribution to a portable long service leave fund is the amount equal to the amount of the contribution.</w:t>
      </w:r>
    </w:p>
    <w:p>
      <w:pPr>
        <w:pStyle w:val="Footnotesection"/>
      </w:pPr>
      <w:bookmarkStart w:id="228" w:name="_Toc43611927"/>
      <w:bookmarkStart w:id="229" w:name="_Toc107648582"/>
      <w:r>
        <w:tab/>
        <w:t>[Regulation 14 amended by No. 15 of 2010 s. 31.]</w:t>
      </w:r>
    </w:p>
    <w:p>
      <w:pPr>
        <w:pStyle w:val="Heading5"/>
      </w:pPr>
      <w:bookmarkStart w:id="230" w:name="_Toc265571974"/>
      <w:r>
        <w:rPr>
          <w:rStyle w:val="CharSectno"/>
        </w:rPr>
        <w:t>15</w:t>
      </w:r>
      <w:r>
        <w:t>.</w:t>
      </w:r>
      <w:r>
        <w:tab/>
        <w:t>Wages exemptions related to specified taxable benefits</w:t>
      </w:r>
      <w:bookmarkEnd w:id="228"/>
      <w:bookmarkEnd w:id="229"/>
      <w:bookmarkEnd w:id="230"/>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Ednotesection"/>
      </w:pPr>
      <w:bookmarkStart w:id="231" w:name="_Hlt43524449"/>
      <w:bookmarkStart w:id="232" w:name="_Toc76540837"/>
      <w:bookmarkStart w:id="233" w:name="_Toc82249818"/>
      <w:bookmarkStart w:id="234" w:name="_Toc107648586"/>
      <w:bookmarkStart w:id="235" w:name="_Toc134327191"/>
      <w:bookmarkStart w:id="236" w:name="_Toc134328978"/>
      <w:bookmarkStart w:id="237" w:name="_Toc134334870"/>
      <w:bookmarkStart w:id="238" w:name="_Toc134336071"/>
      <w:bookmarkStart w:id="239" w:name="_Toc138580697"/>
      <w:bookmarkStart w:id="240" w:name="_Toc139259030"/>
      <w:bookmarkStart w:id="241" w:name="_Toc140368563"/>
      <w:bookmarkStart w:id="242" w:name="_Toc143925391"/>
      <w:bookmarkStart w:id="243" w:name="_Toc146419945"/>
      <w:bookmarkStart w:id="244" w:name="_Toc146426316"/>
      <w:bookmarkStart w:id="245" w:name="_Toc147802144"/>
      <w:bookmarkStart w:id="246" w:name="_Toc149965029"/>
      <w:bookmarkStart w:id="247" w:name="_Toc154987802"/>
      <w:bookmarkStart w:id="248" w:name="_Toc155070049"/>
      <w:bookmarkStart w:id="249" w:name="_Toc161116427"/>
      <w:bookmarkStart w:id="250" w:name="_Toc161569928"/>
      <w:bookmarkStart w:id="251" w:name="_Toc161634248"/>
      <w:bookmarkStart w:id="252" w:name="_Toc166924587"/>
      <w:bookmarkStart w:id="253" w:name="_Toc166995668"/>
      <w:bookmarkStart w:id="254" w:name="_Toc170200474"/>
      <w:bookmarkStart w:id="255" w:name="_Toc170708757"/>
      <w:bookmarkStart w:id="256" w:name="_Toc233605419"/>
      <w:bookmarkStart w:id="257" w:name="_Toc235613867"/>
      <w:bookmarkStart w:id="258" w:name="_Toc236025234"/>
      <w:bookmarkStart w:id="259" w:name="_Toc236025298"/>
      <w:bookmarkStart w:id="260" w:name="_Toc236034863"/>
      <w:bookmarkStart w:id="261" w:name="_Toc236034927"/>
      <w:bookmarkStart w:id="262" w:name="_Toc237832385"/>
      <w:bookmarkStart w:id="263" w:name="_Toc237841266"/>
      <w:bookmarkStart w:id="264" w:name="_Toc237843246"/>
      <w:bookmarkEnd w:id="231"/>
      <w:r>
        <w:t>[</w:t>
      </w:r>
      <w:r>
        <w:rPr>
          <w:b/>
          <w:bCs/>
        </w:rPr>
        <w:t>16-18.</w:t>
      </w:r>
      <w:r>
        <w:tab/>
        <w:t>Deleted by No. 15 of 2010 s. 32.]</w:t>
      </w:r>
    </w:p>
    <w:p>
      <w:pPr>
        <w:pStyle w:val="Heading3"/>
        <w:spacing w:before="280"/>
      </w:pPr>
      <w:bookmarkStart w:id="265" w:name="_Toc265571975"/>
      <w:r>
        <w:rPr>
          <w:rStyle w:val="CharDivNo"/>
        </w:rPr>
        <w:t>Division 4</w:t>
      </w:r>
      <w:r>
        <w:t> — </w:t>
      </w:r>
      <w:r>
        <w:rPr>
          <w:rStyle w:val="CharDivText"/>
        </w:rPr>
        <w:t>Fringe benefits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Ednotesection"/>
      </w:pPr>
      <w:bookmarkStart w:id="266" w:name="_Hlt43264859"/>
      <w:bookmarkStart w:id="267" w:name="_Hlt43264849"/>
      <w:bookmarkStart w:id="268" w:name="_Toc43611939"/>
      <w:bookmarkStart w:id="269" w:name="_Toc107648595"/>
      <w:bookmarkEnd w:id="266"/>
      <w:bookmarkEnd w:id="267"/>
      <w:r>
        <w:t>[</w:t>
      </w:r>
      <w:r>
        <w:rPr>
          <w:b/>
          <w:bCs/>
        </w:rPr>
        <w:t>19-26.</w:t>
      </w:r>
      <w:r>
        <w:tab/>
        <w:t>Deleted by No. 15 of 2010 s. 33.]</w:t>
      </w:r>
    </w:p>
    <w:p>
      <w:pPr>
        <w:pStyle w:val="Heading5"/>
      </w:pPr>
      <w:bookmarkStart w:id="270" w:name="_Toc265571976"/>
      <w:r>
        <w:rPr>
          <w:rStyle w:val="CharSectno"/>
        </w:rPr>
        <w:t>27</w:t>
      </w:r>
      <w:r>
        <w:t>.</w:t>
      </w:r>
      <w:r>
        <w:tab/>
        <w:t>Notice of amended FBT Act assessment</w:t>
      </w:r>
      <w:bookmarkEnd w:id="268"/>
      <w:bookmarkEnd w:id="269"/>
      <w:bookmarkEnd w:id="270"/>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rPr>
          <w:rStyle w:val="CharPartText"/>
        </w:rPr>
      </w:pPr>
      <w:bookmarkStart w:id="271" w:name="_Toc253576429"/>
      <w:bookmarkStart w:id="272" w:name="_Toc253578394"/>
      <w:bookmarkStart w:id="273" w:name="_Toc264469748"/>
      <w:bookmarkStart w:id="274" w:name="_Toc265490571"/>
      <w:bookmarkStart w:id="275" w:name="_Toc265571977"/>
      <w:bookmarkStart w:id="276" w:name="_Toc76540848"/>
      <w:bookmarkStart w:id="277" w:name="_Toc82249829"/>
      <w:bookmarkStart w:id="278" w:name="_Toc107648597"/>
      <w:bookmarkStart w:id="279" w:name="_Toc134327202"/>
      <w:bookmarkStart w:id="280" w:name="_Toc134328989"/>
      <w:bookmarkStart w:id="281" w:name="_Toc134334881"/>
      <w:bookmarkStart w:id="282" w:name="_Toc134336082"/>
      <w:bookmarkStart w:id="283" w:name="_Toc138580708"/>
      <w:bookmarkStart w:id="284" w:name="_Toc139259041"/>
      <w:bookmarkStart w:id="285" w:name="_Toc140368574"/>
      <w:bookmarkStart w:id="286" w:name="_Toc143925402"/>
      <w:bookmarkStart w:id="287" w:name="_Toc146419956"/>
      <w:bookmarkStart w:id="288" w:name="_Toc146426327"/>
      <w:bookmarkStart w:id="289" w:name="_Toc147802155"/>
      <w:bookmarkStart w:id="290" w:name="_Toc149965040"/>
      <w:bookmarkStart w:id="291" w:name="_Toc154987813"/>
      <w:bookmarkStart w:id="292" w:name="_Toc155070060"/>
      <w:bookmarkStart w:id="293" w:name="_Toc161116438"/>
      <w:bookmarkStart w:id="294" w:name="_Toc161569939"/>
      <w:bookmarkStart w:id="295" w:name="_Toc161634259"/>
      <w:bookmarkStart w:id="296" w:name="_Toc166924598"/>
      <w:bookmarkStart w:id="297" w:name="_Toc166995679"/>
      <w:bookmarkStart w:id="298" w:name="_Toc170200485"/>
      <w:bookmarkStart w:id="299" w:name="_Toc170708768"/>
      <w:bookmarkStart w:id="300" w:name="_Toc233605430"/>
      <w:bookmarkStart w:id="301" w:name="_Toc235613878"/>
      <w:bookmarkStart w:id="302" w:name="_Toc236025245"/>
      <w:bookmarkStart w:id="303" w:name="_Toc236025309"/>
      <w:bookmarkStart w:id="304" w:name="_Toc236034874"/>
      <w:bookmarkStart w:id="305" w:name="_Toc236034938"/>
      <w:bookmarkStart w:id="306" w:name="_Toc237832396"/>
      <w:bookmarkStart w:id="307" w:name="_Toc237841277"/>
      <w:bookmarkStart w:id="308" w:name="_Toc237843257"/>
      <w:r>
        <w:rPr>
          <w:rStyle w:val="CharPartNo"/>
        </w:rPr>
        <w:t>Part 3</w:t>
      </w:r>
      <w:r>
        <w:rPr>
          <w:b w:val="0"/>
        </w:rPr>
        <w:t> </w:t>
      </w:r>
      <w:r>
        <w:t>—</w:t>
      </w:r>
      <w:r>
        <w:rPr>
          <w:b w:val="0"/>
        </w:rPr>
        <w:t> </w:t>
      </w:r>
      <w:r>
        <w:rPr>
          <w:rStyle w:val="CharPartText"/>
        </w:rPr>
        <w:t>Allowances</w:t>
      </w:r>
      <w:bookmarkEnd w:id="271"/>
      <w:bookmarkEnd w:id="272"/>
      <w:bookmarkEnd w:id="273"/>
      <w:bookmarkEnd w:id="274"/>
      <w:bookmarkEnd w:id="275"/>
    </w:p>
    <w:p>
      <w:pPr>
        <w:pStyle w:val="Footnoteheading"/>
      </w:pPr>
      <w:r>
        <w:tab/>
        <w:t>[Heading inserted by No. 15 of 2010 s. 34.]</w:t>
      </w:r>
    </w:p>
    <w:p>
      <w:pPr>
        <w:pStyle w:val="Heading3"/>
      </w:pPr>
      <w:bookmarkStart w:id="309" w:name="_Toc265571978"/>
      <w:r>
        <w:rPr>
          <w:rStyle w:val="CharDivNo"/>
        </w:rPr>
        <w:t>Division 1</w:t>
      </w:r>
      <w:r>
        <w:t> — </w:t>
      </w:r>
      <w:r>
        <w:rPr>
          <w:rStyle w:val="CharDivText"/>
        </w:rPr>
        <w:t>Motor vehicle allowances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Ednotesection"/>
      </w:pPr>
      <w:bookmarkStart w:id="310" w:name="_Hlt43264012"/>
      <w:bookmarkStart w:id="311" w:name="_Hlt43268968"/>
      <w:bookmarkStart w:id="312" w:name="_Toc43611942"/>
      <w:bookmarkStart w:id="313" w:name="_Toc107648600"/>
      <w:bookmarkEnd w:id="310"/>
      <w:bookmarkEnd w:id="311"/>
      <w:r>
        <w:t>[</w:t>
      </w:r>
      <w:r>
        <w:rPr>
          <w:b/>
          <w:bCs/>
        </w:rPr>
        <w:t>28-29.</w:t>
      </w:r>
      <w:r>
        <w:tab/>
        <w:t>Deleted by No. 15 of 2010 s. 35.]</w:t>
      </w:r>
    </w:p>
    <w:p>
      <w:pPr>
        <w:pStyle w:val="Heading5"/>
      </w:pPr>
      <w:bookmarkStart w:id="314" w:name="_Toc265571979"/>
      <w:r>
        <w:rPr>
          <w:rStyle w:val="CharSectno"/>
        </w:rPr>
        <w:t>30</w:t>
      </w:r>
      <w:r>
        <w:t>.</w:t>
      </w:r>
      <w:r>
        <w:tab/>
        <w:t>Business kilometres travelled in a return period</w:t>
      </w:r>
      <w:bookmarkEnd w:id="312"/>
      <w:bookmarkEnd w:id="313"/>
      <w:bookmarkEnd w:id="314"/>
    </w:p>
    <w:p>
      <w:pPr>
        <w:pStyle w:val="Subsection"/>
        <w:keepNext/>
        <w:keepLines/>
      </w:pPr>
      <w:r>
        <w:tab/>
      </w:r>
      <w:r>
        <w:tab/>
        <w:t xml:space="preserve">For the purposes of section 9FA(2) of the Act, 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Footnotesection"/>
      </w:pPr>
      <w:bookmarkStart w:id="315" w:name="_Hlt43264210"/>
      <w:bookmarkStart w:id="316" w:name="_Toc43611943"/>
      <w:bookmarkStart w:id="317" w:name="_Toc107648601"/>
      <w:bookmarkEnd w:id="315"/>
      <w:r>
        <w:tab/>
        <w:t>[Regulation 30 amended by No. 15 of 2010 s. 36.]</w:t>
      </w:r>
    </w:p>
    <w:p>
      <w:pPr>
        <w:pStyle w:val="Ednotesection"/>
      </w:pPr>
      <w:bookmarkStart w:id="318" w:name="_Hlt43524116"/>
      <w:bookmarkStart w:id="319" w:name="_Toc43611944"/>
      <w:bookmarkStart w:id="320" w:name="_Toc107648602"/>
      <w:bookmarkEnd w:id="316"/>
      <w:bookmarkEnd w:id="317"/>
      <w:bookmarkEnd w:id="318"/>
      <w:r>
        <w:t>[</w:t>
      </w:r>
      <w:r>
        <w:rPr>
          <w:b/>
          <w:bCs/>
        </w:rPr>
        <w:t>31.</w:t>
      </w:r>
      <w:r>
        <w:tab/>
        <w:t>Deleted by No. 15 of 2010 s. 37.]</w:t>
      </w:r>
    </w:p>
    <w:p>
      <w:pPr>
        <w:pStyle w:val="Heading5"/>
      </w:pPr>
      <w:bookmarkStart w:id="321" w:name="_Toc265571980"/>
      <w:r>
        <w:rPr>
          <w:rStyle w:val="CharSectno"/>
        </w:rPr>
        <w:t>32</w:t>
      </w:r>
      <w:r>
        <w:t>.</w:t>
      </w:r>
      <w:r>
        <w:tab/>
        <w:t>Choosing a method for calculating business kilometres</w:t>
      </w:r>
      <w:bookmarkEnd w:id="319"/>
      <w:bookmarkEnd w:id="320"/>
      <w:bookmarkEnd w:id="321"/>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322" w:name="_Hlt43269149"/>
      <w:bookmarkEnd w:id="322"/>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323" w:name="_Hlt43269048"/>
      <w:bookmarkEnd w:id="323"/>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324" w:name="_Hlt43524120"/>
      <w:bookmarkStart w:id="325" w:name="_Toc43611945"/>
      <w:bookmarkStart w:id="326" w:name="_Toc107648603"/>
      <w:bookmarkStart w:id="327" w:name="_Toc265571981"/>
      <w:bookmarkEnd w:id="324"/>
      <w:r>
        <w:rPr>
          <w:rStyle w:val="CharSectno"/>
        </w:rPr>
        <w:t>33</w:t>
      </w:r>
      <w:r>
        <w:t>.</w:t>
      </w:r>
      <w:r>
        <w:tab/>
        <w:t>Changing the method of calculating business kilometres</w:t>
      </w:r>
      <w:bookmarkEnd w:id="325"/>
      <w:bookmarkEnd w:id="326"/>
      <w:bookmarkEnd w:id="327"/>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328" w:name="_Toc43611946"/>
      <w:bookmarkStart w:id="329" w:name="_Toc107648604"/>
      <w:bookmarkStart w:id="330" w:name="_Toc265571982"/>
      <w:r>
        <w:rPr>
          <w:rStyle w:val="CharSectno"/>
        </w:rPr>
        <w:t>34</w:t>
      </w:r>
      <w:r>
        <w:t>.</w:t>
      </w:r>
      <w:r>
        <w:tab/>
        <w:t>The continuous recording method</w:t>
      </w:r>
      <w:bookmarkEnd w:id="328"/>
      <w:bookmarkEnd w:id="329"/>
      <w:bookmarkEnd w:id="330"/>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331" w:name="_Hlt43524124"/>
      <w:bookmarkStart w:id="332" w:name="_Toc43611947"/>
      <w:bookmarkStart w:id="333" w:name="_Toc107648605"/>
      <w:bookmarkStart w:id="334" w:name="_Toc265571983"/>
      <w:bookmarkEnd w:id="331"/>
      <w:r>
        <w:rPr>
          <w:rStyle w:val="CharSectno"/>
        </w:rPr>
        <w:t>35</w:t>
      </w:r>
      <w:r>
        <w:t>.</w:t>
      </w:r>
      <w:r>
        <w:tab/>
        <w:t>The averaging method</w:t>
      </w:r>
      <w:bookmarkEnd w:id="332"/>
      <w:bookmarkEnd w:id="333"/>
      <w:bookmarkEnd w:id="334"/>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335" w:name="_Hlt43267812"/>
      <w:bookmarkEnd w:id="335"/>
      <w:r>
        <w:t>(2)</w:t>
      </w:r>
      <w:r>
        <w:tab/>
        <w:t xml:space="preserve">To establish the BK percentage, the employer must — </w:t>
      </w:r>
    </w:p>
    <w:p>
      <w:pPr>
        <w:pStyle w:val="Indenta"/>
      </w:pPr>
      <w:r>
        <w:tab/>
        <w:t>(a)</w:t>
      </w:r>
      <w:r>
        <w:tab/>
        <w:t>select a recording period of at least 12 consecutive weeks under regulation </w:t>
      </w:r>
      <w:bookmarkStart w:id="336" w:name="_Hlt43269156"/>
      <w:r>
        <w:t>36</w:t>
      </w:r>
      <w:bookmarkEnd w:id="336"/>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object w:dxaOrig="2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75pt;height:30.75pt" o:ole="">
            <v:imagedata r:id="rId20" o:title=""/>
          </v:shape>
          <o:OLEObject Type="Embed" ProgID="Equation.3" ShapeID="_x0000_i1025" DrawAspect="Content" ObjectID="_1644223139" r:id="rId21"/>
        </w:obje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337" w:name="_Hlt43269041"/>
      <w:bookmarkEnd w:id="337"/>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object w:dxaOrig="2659" w:dyaOrig="620">
          <v:shape id="_x0000_i1026" type="#_x0000_t75" style="width:132.75pt;height:30.75pt" o:ole="">
            <v:imagedata r:id="rId22" o:title=""/>
          </v:shape>
          <o:OLEObject Type="Embed" ProgID="Equation.3" ShapeID="_x0000_i1026" DrawAspect="Content" ObjectID="_1644223140" r:id="rId23"/>
        </w:object>
      </w:r>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338" w:name="_Hlt43269070"/>
      <w:bookmarkStart w:id="339" w:name="_Toc43611948"/>
      <w:bookmarkStart w:id="340" w:name="_Toc107648606"/>
      <w:bookmarkStart w:id="341" w:name="_Toc265571984"/>
      <w:bookmarkEnd w:id="338"/>
      <w:r>
        <w:rPr>
          <w:rStyle w:val="CharSectno"/>
        </w:rPr>
        <w:t>36</w:t>
      </w:r>
      <w:r>
        <w:t>.</w:t>
      </w:r>
      <w:r>
        <w:tab/>
        <w:t>Selecting a continuous recording period</w:t>
      </w:r>
      <w:bookmarkEnd w:id="339"/>
      <w:bookmarkEnd w:id="340"/>
      <w:bookmarkEnd w:id="341"/>
    </w:p>
    <w:p>
      <w:pPr>
        <w:pStyle w:val="Subsection"/>
      </w:pPr>
      <w:r>
        <w:tab/>
      </w:r>
      <w:bookmarkStart w:id="342" w:name="_Hlt43267828"/>
      <w:bookmarkEnd w:id="342"/>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343" w:name="_Toc43611949"/>
      <w:bookmarkStart w:id="344" w:name="_Toc107648607"/>
      <w:bookmarkStart w:id="345" w:name="_Toc265571985"/>
      <w:r>
        <w:rPr>
          <w:rStyle w:val="CharSectno"/>
        </w:rPr>
        <w:t>37</w:t>
      </w:r>
      <w:r>
        <w:t>.</w:t>
      </w:r>
      <w:r>
        <w:tab/>
        <w:t>Replacing one motor vehicle with another</w:t>
      </w:r>
      <w:bookmarkEnd w:id="343"/>
      <w:bookmarkEnd w:id="344"/>
      <w:bookmarkEnd w:id="345"/>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346" w:name="_Toc43611950"/>
      <w:bookmarkStart w:id="347" w:name="_Toc107648608"/>
      <w:bookmarkStart w:id="348" w:name="_Toc265571986"/>
      <w:r>
        <w:rPr>
          <w:rStyle w:val="CharSectno"/>
        </w:rPr>
        <w:t>38</w:t>
      </w:r>
      <w:r>
        <w:t>.</w:t>
      </w:r>
      <w:r>
        <w:tab/>
        <w:t>Replacement or recalibration of odometer</w:t>
      </w:r>
      <w:bookmarkEnd w:id="346"/>
      <w:bookmarkEnd w:id="347"/>
      <w:bookmarkEnd w:id="348"/>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Ednotedivision"/>
      </w:pPr>
      <w:bookmarkStart w:id="349" w:name="_Hlt43269319"/>
      <w:bookmarkStart w:id="350" w:name="_Toc76540863"/>
      <w:bookmarkStart w:id="351" w:name="_Toc82249844"/>
      <w:bookmarkStart w:id="352" w:name="_Toc107648612"/>
      <w:bookmarkStart w:id="353" w:name="_Toc134327217"/>
      <w:bookmarkStart w:id="354" w:name="_Toc134329004"/>
      <w:bookmarkStart w:id="355" w:name="_Toc134334896"/>
      <w:bookmarkStart w:id="356" w:name="_Toc134336097"/>
      <w:bookmarkStart w:id="357" w:name="_Toc138580723"/>
      <w:bookmarkStart w:id="358" w:name="_Toc139259056"/>
      <w:bookmarkStart w:id="359" w:name="_Toc140368589"/>
      <w:bookmarkStart w:id="360" w:name="_Toc143925417"/>
      <w:bookmarkStart w:id="361" w:name="_Toc146419971"/>
      <w:bookmarkStart w:id="362" w:name="_Toc146426342"/>
      <w:bookmarkStart w:id="363" w:name="_Toc147802170"/>
      <w:bookmarkStart w:id="364" w:name="_Toc149965055"/>
      <w:bookmarkStart w:id="365" w:name="_Toc154987828"/>
      <w:bookmarkStart w:id="366" w:name="_Toc155070075"/>
      <w:bookmarkStart w:id="367" w:name="_Toc161116453"/>
      <w:bookmarkStart w:id="368" w:name="_Toc161569954"/>
      <w:bookmarkStart w:id="369" w:name="_Toc161634274"/>
      <w:bookmarkStart w:id="370" w:name="_Toc166924613"/>
      <w:bookmarkStart w:id="371" w:name="_Toc166995694"/>
      <w:bookmarkStart w:id="372" w:name="_Toc170200500"/>
      <w:bookmarkStart w:id="373" w:name="_Toc170708783"/>
      <w:bookmarkStart w:id="374" w:name="_Toc233605445"/>
      <w:bookmarkStart w:id="375" w:name="_Toc235613893"/>
      <w:bookmarkStart w:id="376" w:name="_Toc236025260"/>
      <w:bookmarkStart w:id="377" w:name="_Toc236025324"/>
      <w:bookmarkStart w:id="378" w:name="_Toc236034889"/>
      <w:bookmarkStart w:id="379" w:name="_Toc236034953"/>
      <w:bookmarkStart w:id="380" w:name="_Toc237832411"/>
      <w:bookmarkStart w:id="381" w:name="_Toc237841292"/>
      <w:bookmarkStart w:id="382" w:name="_Toc237843272"/>
      <w:bookmarkEnd w:id="349"/>
      <w:r>
        <w:t>[Division 2 (r. 39, 40) deleted by No. 15 of 2010 s. 38.]</w:t>
      </w:r>
    </w:p>
    <w:p>
      <w:pPr>
        <w:pStyle w:val="Heading2"/>
      </w:pPr>
      <w:bookmarkStart w:id="383" w:name="_Toc265571987"/>
      <w:r>
        <w:rPr>
          <w:rStyle w:val="CharPartNo"/>
        </w:rPr>
        <w:t>Part 4</w:t>
      </w:r>
      <w:r>
        <w:rPr>
          <w:rStyle w:val="CharDivNo"/>
        </w:rPr>
        <w:t> </w:t>
      </w:r>
      <w:r>
        <w:t>—</w:t>
      </w:r>
      <w:r>
        <w:rPr>
          <w:rStyle w:val="CharDivText"/>
        </w:rPr>
        <w:t> </w:t>
      </w:r>
      <w:r>
        <w:rPr>
          <w:rStyle w:val="CharPartText"/>
        </w:rPr>
        <w:t>Superannuation contributions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43611953"/>
      <w:bookmarkStart w:id="385" w:name="_Toc107648613"/>
      <w:bookmarkStart w:id="386" w:name="_Toc265571988"/>
      <w:r>
        <w:rPr>
          <w:rStyle w:val="CharSectno"/>
        </w:rPr>
        <w:t>41</w:t>
      </w:r>
      <w:r>
        <w:t>.</w:t>
      </w:r>
      <w:r>
        <w:tab/>
        <w:t>Actuarial determinations for some superannuation contributions</w:t>
      </w:r>
      <w:bookmarkEnd w:id="384"/>
      <w:bookmarkEnd w:id="385"/>
      <w:bookmarkEnd w:id="386"/>
    </w:p>
    <w:p>
      <w:pPr>
        <w:pStyle w:val="Subsection"/>
      </w:pPr>
      <w:r>
        <w:tab/>
        <w:t>(1)</w:t>
      </w:r>
      <w:r>
        <w:tab/>
        <w:t>If a superannuation contribution to a superannuation fund is taken by section 9CB of the Act to be wages paid by an employer to an employee during a return period, then the employer must ensure that an actuarial determination is in force for that return period in respect of the contribution and the employee.</w:t>
      </w:r>
    </w:p>
    <w:p>
      <w:pPr>
        <w:pStyle w:val="Subsection"/>
      </w:pPr>
      <w:r>
        <w:tab/>
      </w:r>
      <w:bookmarkStart w:id="387" w:name="_Hlt43266890"/>
      <w:bookmarkEnd w:id="387"/>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r>
      <w:bookmarkStart w:id="388" w:name="_Hlt43266935"/>
      <w:bookmarkEnd w:id="388"/>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Footnotesection"/>
      </w:pPr>
      <w:bookmarkStart w:id="389" w:name="_Toc43611954"/>
      <w:bookmarkStart w:id="390" w:name="_Toc107648614"/>
      <w:r>
        <w:tab/>
        <w:t>[Regulation 41 amended by No. 15 of 2010 s. 39.]</w:t>
      </w:r>
    </w:p>
    <w:p>
      <w:pPr>
        <w:pStyle w:val="Heading5"/>
      </w:pPr>
      <w:bookmarkStart w:id="391" w:name="_Toc265571989"/>
      <w:r>
        <w:rPr>
          <w:rStyle w:val="CharSectno"/>
        </w:rPr>
        <w:t>42</w:t>
      </w:r>
      <w:r>
        <w:t>.</w:t>
      </w:r>
      <w:r>
        <w:tab/>
        <w:t>Categories of</w:t>
      </w:r>
      <w:bookmarkEnd w:id="389"/>
      <w:bookmarkEnd w:id="390"/>
      <w:r>
        <w:t xml:space="preserve"> members</w:t>
      </w:r>
      <w:bookmarkEnd w:id="391"/>
    </w:p>
    <w:p>
      <w:pPr>
        <w:pStyle w:val="Subsection"/>
      </w:pPr>
      <w:r>
        <w:tab/>
        <w:t>(1)</w:t>
      </w:r>
      <w:r>
        <w:tab/>
        <w:t>An actuarial determination required by regulation 41 must be made in relation to each member of a fund either separately or in accordance with this regulation.</w:t>
      </w:r>
    </w:p>
    <w:p>
      <w:pPr>
        <w:pStyle w:val="Subsection"/>
      </w:pPr>
      <w:r>
        <w:tab/>
        <w:t>(2)</w:t>
      </w:r>
      <w:r>
        <w:tab/>
        <w:t>An actuary may, if the actuary considers it reasonable to do so, divide the members into categories and make a determination in respect of a notional average member of each category.</w:t>
      </w:r>
    </w:p>
    <w:p>
      <w:pPr>
        <w:pStyle w:val="Subsection"/>
      </w:pPr>
      <w:r>
        <w:tab/>
        <w:t>(3)</w:t>
      </w:r>
      <w:r>
        <w:tab/>
        <w:t>If a determination is made under subregulation (2) for a category, that determination applies in respect of each member who is a member of that category, including any person who subsequently becomes a member of that category.</w:t>
      </w:r>
    </w:p>
    <w:p>
      <w:pPr>
        <w:pStyle w:val="Subsection"/>
      </w:pPr>
      <w:r>
        <w:tab/>
        <w:t>(4)</w:t>
      </w:r>
      <w:r>
        <w:tab/>
        <w:t>An actuary may categorise members according to their occupations, their salaries, the types of benefits to which they are or will become entitled, or on such other basis as the actuary considers appropriate.</w:t>
      </w:r>
    </w:p>
    <w:p>
      <w:pPr>
        <w:pStyle w:val="Footnotesection"/>
      </w:pPr>
      <w:bookmarkStart w:id="392" w:name="_Toc43611955"/>
      <w:bookmarkStart w:id="393" w:name="_Toc107648615"/>
      <w:r>
        <w:tab/>
        <w:t>[Regulation 42 amended by No. 15 of 2010 s. 40.]</w:t>
      </w:r>
    </w:p>
    <w:p>
      <w:pPr>
        <w:pStyle w:val="Ednotesection"/>
      </w:pPr>
      <w:bookmarkStart w:id="394" w:name="_Toc43611956"/>
      <w:bookmarkStart w:id="395" w:name="_Toc107648616"/>
      <w:bookmarkEnd w:id="392"/>
      <w:bookmarkEnd w:id="393"/>
      <w:r>
        <w:t>[</w:t>
      </w:r>
      <w:r>
        <w:rPr>
          <w:b/>
          <w:bCs/>
        </w:rPr>
        <w:t>43.</w:t>
      </w:r>
      <w:r>
        <w:tab/>
        <w:t>Deleted by No. 15 of 2010 s. 41.]</w:t>
      </w:r>
    </w:p>
    <w:p>
      <w:pPr>
        <w:pStyle w:val="Heading5"/>
      </w:pPr>
      <w:bookmarkStart w:id="396" w:name="_Toc265571990"/>
      <w:r>
        <w:rPr>
          <w:rStyle w:val="CharSectno"/>
        </w:rPr>
        <w:t>44</w:t>
      </w:r>
      <w:r>
        <w:t>.</w:t>
      </w:r>
      <w:r>
        <w:tab/>
        <w:t>Scope of actuarial determinations</w:t>
      </w:r>
      <w:bookmarkEnd w:id="394"/>
      <w:bookmarkEnd w:id="395"/>
      <w:bookmarkEnd w:id="396"/>
    </w:p>
    <w:p>
      <w:pPr>
        <w:pStyle w:val="Subsection"/>
      </w:pPr>
      <w:r>
        <w:tab/>
        <w:t>(1)</w:t>
      </w:r>
      <w:r>
        <w:tab/>
        <w:t>An actuarial determination must specify the amount of contributions to be made for each member, or category of member,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member, or category of member,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member, or category of member,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keepLines/>
      </w:pPr>
      <w:r>
        <w:tab/>
        <w:t>(b)</w:t>
      </w:r>
      <w:r>
        <w:tab/>
        <w:t>by reference to a variable which is, or a number of variables which are, readily ascertainable for each member for each return period (e.g. as a percentage of salary).</w:t>
      </w:r>
    </w:p>
    <w:p>
      <w:pPr>
        <w:pStyle w:val="Footnotesection"/>
      </w:pPr>
      <w:bookmarkStart w:id="397" w:name="_Toc43611957"/>
      <w:bookmarkStart w:id="398" w:name="_Toc107648617"/>
      <w:r>
        <w:tab/>
        <w:t>[Regulation 44 amended by No. 15 of 2010 s. 42.]</w:t>
      </w:r>
    </w:p>
    <w:p>
      <w:pPr>
        <w:pStyle w:val="Heading5"/>
      </w:pPr>
      <w:bookmarkStart w:id="399" w:name="_Toc265571991"/>
      <w:r>
        <w:rPr>
          <w:rStyle w:val="CharSectno"/>
        </w:rPr>
        <w:t>45</w:t>
      </w:r>
      <w:r>
        <w:t>.</w:t>
      </w:r>
      <w:r>
        <w:tab/>
        <w:t>Duration of actuarial determination</w:t>
      </w:r>
      <w:bookmarkEnd w:id="397"/>
      <w:bookmarkEnd w:id="398"/>
      <w:bookmarkEnd w:id="399"/>
    </w:p>
    <w:p>
      <w:pPr>
        <w:pStyle w:val="Subsection"/>
      </w:pPr>
      <w:r>
        <w:tab/>
      </w:r>
      <w:r>
        <w:tab/>
        <w:t>An actuarial determination remains in force for 3 years from when it is made unless before then another actuarial determination is made to replace it.</w:t>
      </w:r>
    </w:p>
    <w:p>
      <w:pPr>
        <w:pStyle w:val="Heading2"/>
      </w:pPr>
      <w:bookmarkStart w:id="400" w:name="_Toc76540869"/>
      <w:bookmarkStart w:id="401" w:name="_Toc82249850"/>
      <w:bookmarkStart w:id="402" w:name="_Toc107648618"/>
      <w:bookmarkStart w:id="403" w:name="_Toc134327223"/>
      <w:bookmarkStart w:id="404" w:name="_Toc134329010"/>
      <w:bookmarkStart w:id="405" w:name="_Toc134334902"/>
      <w:bookmarkStart w:id="406" w:name="_Toc134336103"/>
      <w:bookmarkStart w:id="407" w:name="_Toc138580729"/>
      <w:bookmarkStart w:id="408" w:name="_Toc139259062"/>
      <w:bookmarkStart w:id="409" w:name="_Toc140368595"/>
      <w:bookmarkStart w:id="410" w:name="_Toc143925423"/>
      <w:bookmarkStart w:id="411" w:name="_Toc146419977"/>
      <w:bookmarkStart w:id="412" w:name="_Toc146426348"/>
      <w:bookmarkStart w:id="413" w:name="_Toc147802176"/>
      <w:bookmarkStart w:id="414" w:name="_Toc149965061"/>
      <w:bookmarkStart w:id="415" w:name="_Toc154987834"/>
      <w:bookmarkStart w:id="416" w:name="_Toc155070081"/>
      <w:bookmarkStart w:id="417" w:name="_Toc161116459"/>
      <w:bookmarkStart w:id="418" w:name="_Toc161569960"/>
      <w:bookmarkStart w:id="419" w:name="_Toc161634280"/>
      <w:bookmarkStart w:id="420" w:name="_Toc166924619"/>
      <w:bookmarkStart w:id="421" w:name="_Toc166995700"/>
      <w:bookmarkStart w:id="422" w:name="_Toc170200506"/>
      <w:bookmarkStart w:id="423" w:name="_Toc170708789"/>
      <w:bookmarkStart w:id="424" w:name="_Toc233605451"/>
      <w:bookmarkStart w:id="425" w:name="_Toc235613899"/>
      <w:bookmarkStart w:id="426" w:name="_Toc236025266"/>
      <w:bookmarkStart w:id="427" w:name="_Toc236025330"/>
      <w:bookmarkStart w:id="428" w:name="_Toc236034895"/>
      <w:bookmarkStart w:id="429" w:name="_Toc236034959"/>
      <w:bookmarkStart w:id="430" w:name="_Toc237832417"/>
      <w:bookmarkStart w:id="431" w:name="_Toc237841298"/>
      <w:bookmarkStart w:id="432" w:name="_Toc237843278"/>
      <w:bookmarkStart w:id="433" w:name="_Toc265571992"/>
      <w:r>
        <w:rPr>
          <w:rStyle w:val="CharPartNo"/>
        </w:rPr>
        <w:t>Part 5</w:t>
      </w:r>
      <w:r>
        <w:rPr>
          <w:rStyle w:val="CharDivNo"/>
        </w:rPr>
        <w:t> </w:t>
      </w:r>
      <w:r>
        <w:t>—</w:t>
      </w:r>
      <w:r>
        <w:rPr>
          <w:rStyle w:val="CharDivText"/>
        </w:rPr>
        <w:t> </w:t>
      </w:r>
      <w:r>
        <w:rPr>
          <w:rStyle w:val="CharPartText"/>
        </w:rPr>
        <w:t>Keeping books and accounts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pPr>
      <w:bookmarkStart w:id="434" w:name="_Toc43611958"/>
      <w:bookmarkStart w:id="435" w:name="_Toc107648619"/>
      <w:bookmarkStart w:id="436" w:name="_Toc265571993"/>
      <w:r>
        <w:rPr>
          <w:rStyle w:val="CharSectno"/>
        </w:rPr>
        <w:t>46</w:t>
      </w:r>
      <w:r>
        <w:t>.</w:t>
      </w:r>
      <w:r>
        <w:tab/>
        <w:t>Prescribed records (section 44)</w:t>
      </w:r>
      <w:bookmarkEnd w:id="434"/>
      <w:bookmarkEnd w:id="435"/>
      <w:bookmarkEnd w:id="436"/>
    </w:p>
    <w:p>
      <w:pPr>
        <w:pStyle w:val="Subsection"/>
      </w:pPr>
      <w:r>
        <w:tab/>
        <w:t>(1)</w:t>
      </w:r>
      <w:r>
        <w:tab/>
        <w:t xml:space="preserve">For the purposes of section 44(1)(a) of the Act, the following are prescribed — </w:t>
      </w:r>
    </w:p>
    <w:p>
      <w:pPr>
        <w:pStyle w:val="Indenta"/>
      </w:pPr>
      <w:r>
        <w:tab/>
        <w:t>(a)</w:t>
      </w:r>
      <w:r>
        <w:tab/>
        <w:t>documents and records that evidence the provision by the employer of wages or benefits listed in subregulation (2);</w:t>
      </w:r>
    </w:p>
    <w:p>
      <w:pPr>
        <w:pStyle w:val="Indenta"/>
      </w:pPr>
      <w:r>
        <w:tab/>
        <w:t>(b)</w:t>
      </w:r>
      <w:r>
        <w:tab/>
        <w:t>documents and records used in the calculation of the value of, or that support the calculation of the value of, the wages or benefits;</w:t>
      </w:r>
    </w:p>
    <w:p>
      <w:pPr>
        <w:pStyle w:val="Indenta"/>
      </w:pPr>
      <w:r>
        <w:tab/>
        <w:t>(c)</w:t>
      </w:r>
      <w:r>
        <w:tab/>
        <w:t>other documents and records that the employer is required by this regulation to keep.</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the value of a share or option taken to be wages under section 9DA or 9DG;</w:t>
      </w:r>
    </w:p>
    <w:p>
      <w:pPr>
        <w:pStyle w:val="Indenta"/>
      </w:pPr>
      <w:r>
        <w:tab/>
        <w:t>(d)</w:t>
      </w:r>
      <w:r>
        <w:tab/>
        <w:t>a WA fringe benefit;</w:t>
      </w:r>
    </w:p>
    <w:p>
      <w:pPr>
        <w:pStyle w:val="Indenta"/>
      </w:pPr>
      <w:r>
        <w:tab/>
        <w:t>(e)</w:t>
      </w:r>
      <w:r>
        <w:tab/>
        <w:t>a motor vehicle allowance;</w:t>
      </w:r>
    </w:p>
    <w:p>
      <w:pPr>
        <w:pStyle w:val="Indenta"/>
      </w:pPr>
      <w:r>
        <w:tab/>
        <w:t>(f)</w:t>
      </w:r>
      <w:r>
        <w:tab/>
        <w:t>an accommodation allowance;</w:t>
      </w:r>
    </w:p>
    <w:p>
      <w:pPr>
        <w:pStyle w:val="Indenta"/>
      </w:pPr>
      <w:r>
        <w:tab/>
        <w:t>(g)</w:t>
      </w:r>
      <w:r>
        <w:tab/>
        <w:t>an amount taken to be wages under section 9CB of the Act.</w:t>
      </w:r>
    </w:p>
    <w:p>
      <w:pPr>
        <w:pStyle w:val="Ednotepara"/>
      </w:pPr>
      <w:r>
        <w:tab/>
        <w:t>[(h)</w:t>
      </w:r>
      <w:r>
        <w:tab/>
        <w:t>deleted]</w:t>
      </w:r>
    </w:p>
    <w:p>
      <w:pPr>
        <w:pStyle w:val="Subsection"/>
      </w:pPr>
      <w:r>
        <w:tab/>
        <w:t>(3A)</w:t>
      </w:r>
      <w:r>
        <w:tab/>
        <w:t xml:space="preserve">An employer who claims an exemption under section 41A(2) of the Act must keep — </w:t>
      </w:r>
    </w:p>
    <w:p>
      <w:pPr>
        <w:pStyle w:val="Indenta"/>
      </w:pPr>
      <w:r>
        <w:tab/>
        <w:t>(a)</w:t>
      </w:r>
      <w:r>
        <w:tab/>
        <w:t xml:space="preserve">for wages paid or payable for maternity leave — a medical certificate for the employee stating — </w:t>
      </w:r>
    </w:p>
    <w:p>
      <w:pPr>
        <w:pStyle w:val="Indenti"/>
      </w:pPr>
      <w:r>
        <w:tab/>
        <w:t>(i)</w:t>
      </w:r>
      <w:r>
        <w:tab/>
        <w:t>that the employee is or was pregnant; or</w:t>
      </w:r>
    </w:p>
    <w:p>
      <w:pPr>
        <w:pStyle w:val="Indenti"/>
      </w:pPr>
      <w:r>
        <w:tab/>
        <w:t>(ii)</w:t>
      </w:r>
      <w:r>
        <w:tab/>
        <w:t>that the employee has given birth and the date of the birth;</w:t>
      </w:r>
    </w:p>
    <w:p>
      <w:pPr>
        <w:pStyle w:val="Indenta"/>
      </w:pPr>
      <w:r>
        <w:tab/>
      </w:r>
      <w:r>
        <w:tab/>
        <w:t>or</w:t>
      </w:r>
    </w:p>
    <w:p>
      <w:pPr>
        <w:pStyle w:val="Indenta"/>
      </w:pPr>
      <w:r>
        <w:tab/>
        <w:t>(b)</w:t>
      </w:r>
      <w:r>
        <w:tab/>
        <w:t xml:space="preserve">for wages paid or payable for parental leave — a statutory declaration by the employee stating — </w:t>
      </w:r>
    </w:p>
    <w:p>
      <w:pPr>
        <w:pStyle w:val="Indenti"/>
      </w:pPr>
      <w:r>
        <w:tab/>
        <w:t>(i)</w:t>
      </w:r>
      <w:r>
        <w:tab/>
        <w:t>that a female is or was pregnant with the employee’s unborn child; or</w:t>
      </w:r>
    </w:p>
    <w:p>
      <w:pPr>
        <w:pStyle w:val="Indenti"/>
      </w:pPr>
      <w:r>
        <w:tab/>
        <w:t>(ii)</w:t>
      </w:r>
      <w:r>
        <w:tab/>
        <w:t>that the employee’s child has been born and the date of the birth;</w:t>
      </w:r>
    </w:p>
    <w:p>
      <w:pPr>
        <w:pStyle w:val="Indenta"/>
      </w:pPr>
      <w:r>
        <w:tab/>
      </w:r>
      <w:r>
        <w:tab/>
        <w:t>or</w:t>
      </w:r>
    </w:p>
    <w:p>
      <w:pPr>
        <w:pStyle w:val="Indenta"/>
      </w:pPr>
      <w:r>
        <w:tab/>
        <w:t>(c)</w:t>
      </w:r>
      <w:r>
        <w:tab/>
        <w:t xml:space="preserve">for wages paid or payable for adoption leave — a statutory declaration by the employee — </w:t>
      </w:r>
    </w:p>
    <w:p>
      <w:pPr>
        <w:pStyle w:val="Indenti"/>
      </w:pPr>
      <w:r>
        <w:tab/>
        <w:t>(i)</w:t>
      </w:r>
      <w:r>
        <w:tab/>
        <w:t>that a child has been placed in the custody of the employee pending the making of an adoption order; or</w:t>
      </w:r>
    </w:p>
    <w:p>
      <w:pPr>
        <w:pStyle w:val="Indenti"/>
      </w:pPr>
      <w:r>
        <w:tab/>
        <w:t>(ii)</w:t>
      </w:r>
      <w:r>
        <w:tab/>
        <w:t>that an adoption order has been made or recognised in favour of the employee and the date of the order or recognition.</w:t>
      </w:r>
    </w:p>
    <w:p>
      <w:pPr>
        <w:pStyle w:val="Subsection"/>
      </w:pPr>
      <w:r>
        <w:tab/>
        <w:t>(3)</w:t>
      </w:r>
      <w:r>
        <w:tab/>
        <w:t xml:space="preserve">An employer who uses the estimated value method for calculating the value of fringe benefits must keep a record of the value of WA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Footnotesection"/>
      </w:pPr>
      <w:bookmarkStart w:id="437" w:name="_Toc138580731"/>
      <w:bookmarkStart w:id="438" w:name="_Toc139259064"/>
      <w:bookmarkStart w:id="439" w:name="_Toc140368597"/>
      <w:bookmarkStart w:id="440" w:name="_Toc143925425"/>
      <w:bookmarkStart w:id="441" w:name="_Toc146419979"/>
      <w:bookmarkStart w:id="442" w:name="_Toc146426350"/>
      <w:bookmarkStart w:id="443" w:name="_Toc147802178"/>
      <w:bookmarkStart w:id="444" w:name="_Toc149965063"/>
      <w:bookmarkStart w:id="445" w:name="_Toc154987836"/>
      <w:bookmarkStart w:id="446" w:name="_Toc155070083"/>
      <w:bookmarkStart w:id="447" w:name="_Toc161116461"/>
      <w:bookmarkStart w:id="448" w:name="_Toc161569962"/>
      <w:bookmarkStart w:id="449" w:name="_Toc161634282"/>
      <w:bookmarkStart w:id="450" w:name="_Toc166924621"/>
      <w:bookmarkStart w:id="451" w:name="_Toc166995702"/>
      <w:bookmarkStart w:id="452" w:name="_Toc170200508"/>
      <w:bookmarkStart w:id="453" w:name="_Toc170708791"/>
      <w:bookmarkStart w:id="454" w:name="_Toc233605453"/>
      <w:bookmarkStart w:id="455" w:name="_Toc235613901"/>
      <w:bookmarkStart w:id="456" w:name="_Toc236025268"/>
      <w:bookmarkStart w:id="457" w:name="_Toc236025332"/>
      <w:bookmarkStart w:id="458" w:name="_Toc236034897"/>
      <w:bookmarkStart w:id="459" w:name="_Toc236034961"/>
      <w:bookmarkStart w:id="460" w:name="_Toc237832419"/>
      <w:bookmarkStart w:id="461" w:name="_Toc237841300"/>
      <w:bookmarkStart w:id="462" w:name="_Toc237843280"/>
      <w:bookmarkStart w:id="463" w:name="_Toc43611959"/>
      <w:r>
        <w:tab/>
        <w:t>[Regulation 46 amended by No. 15 of 2010 s. 43.]</w:t>
      </w:r>
    </w:p>
    <w:p>
      <w:pPr>
        <w:pStyle w:val="Heading2"/>
      </w:pPr>
      <w:bookmarkStart w:id="464" w:name="_Toc265571994"/>
      <w:r>
        <w:rPr>
          <w:rStyle w:val="CharPartNo"/>
        </w:rPr>
        <w:t>Part 6</w:t>
      </w:r>
      <w:r>
        <w:rPr>
          <w:b w:val="0"/>
        </w:rPr>
        <w:t> </w:t>
      </w:r>
      <w:r>
        <w:t>—</w:t>
      </w:r>
      <w:r>
        <w:rPr>
          <w:b w:val="0"/>
        </w:rPr>
        <w:t> </w:t>
      </w:r>
      <w:r>
        <w:rPr>
          <w:rStyle w:val="CharPartText"/>
        </w:rPr>
        <w:t>Returns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4"/>
    </w:p>
    <w:p>
      <w:pPr>
        <w:pStyle w:val="Footnoteheading"/>
      </w:pPr>
      <w:r>
        <w:tab/>
        <w:t>[Heading inserted in Gazette 2 May 2006 p. 1711.]</w:t>
      </w:r>
    </w:p>
    <w:p>
      <w:pPr>
        <w:pStyle w:val="Heading5"/>
      </w:pPr>
      <w:bookmarkStart w:id="465" w:name="_Toc265571995"/>
      <w:r>
        <w:rPr>
          <w:rStyle w:val="CharSectno"/>
        </w:rPr>
        <w:t>47</w:t>
      </w:r>
      <w:r>
        <w:t>.</w:t>
      </w:r>
      <w:r>
        <w:tab/>
        <w:t>Manner of lodging and paying in certain circumstances</w:t>
      </w:r>
      <w:bookmarkEnd w:id="465"/>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66" w:name="_Toc107648620"/>
      <w:bookmarkStart w:id="467" w:name="_Toc134327225"/>
      <w:bookmarkStart w:id="468" w:name="_Toc134329012"/>
      <w:bookmarkStart w:id="469" w:name="_Toc134334904"/>
      <w:bookmarkStart w:id="470" w:name="_Toc134336105"/>
      <w:bookmarkStart w:id="471" w:name="_Toc138580733"/>
      <w:bookmarkStart w:id="472" w:name="_Toc139259066"/>
      <w:bookmarkStart w:id="473" w:name="_Toc140368599"/>
      <w:bookmarkStart w:id="474" w:name="_Toc143925427"/>
      <w:bookmarkStart w:id="475" w:name="_Toc146419981"/>
      <w:bookmarkStart w:id="476" w:name="_Toc146426352"/>
      <w:bookmarkStart w:id="477" w:name="_Toc147802180"/>
      <w:bookmarkStart w:id="478" w:name="_Toc149965065"/>
      <w:bookmarkStart w:id="479" w:name="_Toc154987838"/>
      <w:bookmarkStart w:id="480" w:name="_Toc155070085"/>
      <w:bookmarkStart w:id="481" w:name="_Toc161116463"/>
      <w:bookmarkStart w:id="482" w:name="_Toc161569964"/>
      <w:bookmarkStart w:id="483" w:name="_Toc161634284"/>
      <w:bookmarkStart w:id="484" w:name="_Toc166924623"/>
      <w:bookmarkStart w:id="485" w:name="_Toc166995704"/>
      <w:bookmarkStart w:id="486" w:name="_Toc170200510"/>
      <w:bookmarkStart w:id="487" w:name="_Toc170708793"/>
      <w:bookmarkStart w:id="488" w:name="_Toc233605455"/>
      <w:bookmarkStart w:id="489" w:name="_Toc235613903"/>
      <w:bookmarkStart w:id="490" w:name="_Toc236025270"/>
      <w:bookmarkStart w:id="491" w:name="_Toc236025334"/>
      <w:bookmarkStart w:id="492" w:name="_Toc236034899"/>
      <w:bookmarkStart w:id="493" w:name="_Toc236034963"/>
      <w:bookmarkStart w:id="494" w:name="_Toc237832421"/>
      <w:bookmarkStart w:id="495" w:name="_Toc237841302"/>
      <w:bookmarkStart w:id="496" w:name="_Toc237843282"/>
      <w:bookmarkStart w:id="497" w:name="_Toc265571996"/>
      <w:r>
        <w:rPr>
          <w:rStyle w:val="CharSchNo"/>
        </w:rPr>
        <w:t>Schedule 1</w:t>
      </w:r>
      <w:r>
        <w:t> — </w:t>
      </w:r>
      <w:r>
        <w:rPr>
          <w:rStyle w:val="CharSchText"/>
        </w:rPr>
        <w:t>Exempt departments and other organisations</w:t>
      </w:r>
      <w:bookmarkEnd w:id="463"/>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yShoulderClause"/>
      </w:pPr>
      <w:r>
        <w:t>[r.</w:t>
      </w:r>
      <w:bookmarkStart w:id="498" w:name="_Hlt43267508"/>
      <w:r>
        <w:t> 4</w:t>
      </w:r>
      <w:bookmarkEnd w:id="498"/>
      <w:r>
        <w:t>]</w:t>
      </w:r>
    </w:p>
    <w:p>
      <w:pPr>
        <w:pStyle w:val="yMiscellaneousBody"/>
        <w:ind w:left="600"/>
      </w:pPr>
      <w:r>
        <w:t>The Commissioner for Equal Opportunity</w:t>
      </w:r>
    </w:p>
    <w:p>
      <w:pPr>
        <w:pStyle w:val="yMiscellaneousBody"/>
        <w:ind w:left="600"/>
      </w:pPr>
      <w:r>
        <w:t>The Commissioner of Main Roads</w:t>
      </w:r>
    </w:p>
    <w:p>
      <w:pPr>
        <w:pStyle w:val="yMiscellaneousBody"/>
        <w:ind w:left="600"/>
        <w:rPr>
          <w:vertAlign w:val="superscript"/>
        </w:rPr>
      </w:pPr>
      <w:r>
        <w:t>The Commissioner of Workplace Agreements</w:t>
      </w:r>
      <w:r>
        <w:rPr>
          <w:vertAlign w:val="superscript"/>
        </w:rPr>
        <w:t> 3</w:t>
      </w:r>
    </w:p>
    <w:p>
      <w:pPr>
        <w:pStyle w:val="yMiscellaneousBody"/>
        <w:ind w:left="600"/>
      </w:pPr>
      <w:r>
        <w:t>The Corruption and Crime Commission of Western Australia</w:t>
      </w:r>
    </w:p>
    <w:p>
      <w:pPr>
        <w:pStyle w:val="yMiscellaneousBody"/>
        <w:ind w:left="600"/>
      </w:pPr>
      <w:r>
        <w:t>The Curriculum Council</w:t>
      </w:r>
    </w:p>
    <w:p>
      <w:pPr>
        <w:pStyle w:val="yMiscellaneousBody"/>
        <w:ind w:left="600"/>
      </w:pPr>
      <w:r>
        <w:t>The Department of Agriculture and Food</w:t>
      </w:r>
    </w:p>
    <w:p>
      <w:pPr>
        <w:pStyle w:val="yMiscellaneousBody"/>
        <w:ind w:left="600"/>
      </w:pPr>
      <w:r>
        <w:t>The Department of the Attorney General</w:t>
      </w:r>
    </w:p>
    <w:p>
      <w:pPr>
        <w:pStyle w:val="yMiscellaneousBody"/>
        <w:ind w:left="600"/>
      </w:pPr>
      <w:r>
        <w:t>The Department for Community Development</w:t>
      </w:r>
    </w:p>
    <w:p>
      <w:pPr>
        <w:pStyle w:val="yMiscellaneousBody"/>
        <w:ind w:left="600"/>
        <w:rPr>
          <w:vertAlign w:val="superscript"/>
        </w:rPr>
      </w:pPr>
      <w:r>
        <w:t>The Department of Consumer and Employment Protection</w:t>
      </w:r>
      <w:r>
        <w:rPr>
          <w:vertAlign w:val="superscript"/>
        </w:rPr>
        <w:t> 4</w:t>
      </w:r>
    </w:p>
    <w:p>
      <w:pPr>
        <w:pStyle w:val="yMiscellaneousBody"/>
        <w:ind w:left="600"/>
      </w:pPr>
      <w:r>
        <w:t>The Department of Corrective Services</w:t>
      </w:r>
    </w:p>
    <w:p>
      <w:pPr>
        <w:pStyle w:val="yMiscellaneousBody"/>
        <w:ind w:left="600"/>
      </w:pPr>
      <w:r>
        <w:t>The Department of Culture and the Arts</w:t>
      </w:r>
    </w:p>
    <w:p>
      <w:pPr>
        <w:pStyle w:val="yMiscellaneousBody"/>
        <w:ind w:left="600"/>
      </w:pPr>
      <w:r>
        <w:t>The Department of Education and Training</w:t>
      </w:r>
    </w:p>
    <w:p>
      <w:pPr>
        <w:pStyle w:val="yMiscellaneousBody"/>
        <w:ind w:left="600"/>
      </w:pPr>
      <w:r>
        <w:t>The Department of Education Services</w:t>
      </w:r>
    </w:p>
    <w:p>
      <w:pPr>
        <w:pStyle w:val="yMiscellaneousBody"/>
        <w:ind w:left="600"/>
      </w:pPr>
      <w:r>
        <w:t>The Department of Environment and Conservation</w:t>
      </w:r>
    </w:p>
    <w:p>
      <w:pPr>
        <w:pStyle w:val="yMiscellaneousBody"/>
        <w:ind w:left="600"/>
      </w:pPr>
      <w:r>
        <w:t>The Department of Fisheries</w:t>
      </w:r>
    </w:p>
    <w:p>
      <w:pPr>
        <w:pStyle w:val="yMiscellaneousBody"/>
        <w:ind w:left="600"/>
      </w:pPr>
      <w:r>
        <w:t>The Department of Health</w:t>
      </w:r>
    </w:p>
    <w:p>
      <w:pPr>
        <w:pStyle w:val="yMiscellaneousBody"/>
        <w:ind w:left="600"/>
      </w:pPr>
      <w:r>
        <w:t>The Department of Indigenous Affairs</w:t>
      </w:r>
    </w:p>
    <w:p>
      <w:pPr>
        <w:pStyle w:val="yMiscellaneousBody"/>
        <w:ind w:left="600"/>
      </w:pPr>
      <w:r>
        <w:t>The Department of Local Government and Regional Development</w:t>
      </w:r>
    </w:p>
    <w:p>
      <w:pPr>
        <w:pStyle w:val="yMiscellaneousBody"/>
        <w:ind w:left="600"/>
      </w:pPr>
      <w:r>
        <w:t>The Department of Industry and Resources</w:t>
      </w:r>
    </w:p>
    <w:p>
      <w:pPr>
        <w:pStyle w:val="yMiscellaneousBody"/>
        <w:ind w:left="600"/>
      </w:pPr>
      <w:r>
        <w:t>The Department for Planning and Infrastructure</w:t>
      </w:r>
    </w:p>
    <w:p>
      <w:pPr>
        <w:pStyle w:val="yMiscellaneousBody"/>
        <w:ind w:left="600"/>
      </w:pPr>
      <w:r>
        <w:t>The Department of the Premier and Cabinet</w:t>
      </w:r>
    </w:p>
    <w:p>
      <w:pPr>
        <w:pStyle w:val="yMiscellaneousBody"/>
        <w:ind w:left="600"/>
      </w:pPr>
      <w:r>
        <w:t>The Department of Racing, Gaming and Liquor</w:t>
      </w:r>
    </w:p>
    <w:p>
      <w:pPr>
        <w:pStyle w:val="yMiscellaneousBody"/>
        <w:ind w:left="600"/>
      </w:pPr>
      <w:r>
        <w:t>The Department of the Registrar, Western Australian Industrial Relations Commission</w:t>
      </w:r>
    </w:p>
    <w:p>
      <w:pPr>
        <w:pStyle w:val="yMiscellaneousBody"/>
        <w:ind w:left="600"/>
      </w:pPr>
      <w:r>
        <w:t>The Department of Sport and Recreation</w:t>
      </w:r>
    </w:p>
    <w:p>
      <w:pPr>
        <w:pStyle w:val="yMiscellaneousBody"/>
        <w:ind w:left="600"/>
      </w:pPr>
      <w:r>
        <w:t>The Department of Treasury and Finance</w:t>
      </w:r>
    </w:p>
    <w:p>
      <w:pPr>
        <w:pStyle w:val="yMiscellaneousBody"/>
        <w:ind w:left="600"/>
      </w:pPr>
      <w:r>
        <w:t>The Department of Water</w:t>
      </w:r>
    </w:p>
    <w:p>
      <w:pPr>
        <w:pStyle w:val="yMiscellaneousBody"/>
        <w:ind w:left="600"/>
      </w:pPr>
      <w:r>
        <w:t>The Disability Services Commission</w:t>
      </w:r>
    </w:p>
    <w:p>
      <w:pPr>
        <w:pStyle w:val="yMiscellaneousBody"/>
        <w:ind w:left="600"/>
      </w:pPr>
      <w:r>
        <w:t>The Electorate Offices of Members of Parliament</w:t>
      </w:r>
    </w:p>
    <w:p>
      <w:pPr>
        <w:pStyle w:val="yMiscellaneousBody"/>
        <w:ind w:left="600"/>
      </w:pPr>
      <w:r>
        <w:t>The Gascoyne Development Commission</w:t>
      </w:r>
    </w:p>
    <w:p>
      <w:pPr>
        <w:pStyle w:val="yMiscellaneousBody"/>
        <w:ind w:left="600"/>
      </w:pPr>
      <w:r>
        <w:t>The Goldfields Esperance Development Commission</w:t>
      </w:r>
    </w:p>
    <w:p>
      <w:pPr>
        <w:pStyle w:val="yMiscellaneousBody"/>
        <w:ind w:left="600"/>
      </w:pPr>
      <w:r>
        <w:t>The Governor’s Establishment</w:t>
      </w:r>
    </w:p>
    <w:p>
      <w:pPr>
        <w:pStyle w:val="yMiscellaneousBody"/>
        <w:ind w:left="600"/>
      </w:pPr>
      <w:r>
        <w:t>The Great Southern Development Commission</w:t>
      </w:r>
    </w:p>
    <w:p>
      <w:pPr>
        <w:pStyle w:val="yMiscellaneousBody"/>
        <w:ind w:left="600"/>
      </w:pPr>
      <w:r>
        <w:t>The Kimberley Development Commission</w:t>
      </w:r>
    </w:p>
    <w:p>
      <w:pPr>
        <w:pStyle w:val="yMiscellaneousBody"/>
        <w:ind w:left="600"/>
      </w:pPr>
      <w:r>
        <w:t>The Mid West Development Commission</w:t>
      </w:r>
    </w:p>
    <w:p>
      <w:pPr>
        <w:pStyle w:val="yMiscellaneousBody"/>
        <w:ind w:left="600"/>
      </w:pPr>
      <w:r>
        <w:t>The Office of Energy</w:t>
      </w:r>
    </w:p>
    <w:p>
      <w:pPr>
        <w:pStyle w:val="yMiscellaneousBody"/>
        <w:ind w:left="600"/>
      </w:pPr>
      <w:r>
        <w:t>The Office of the Auditor General</w:t>
      </w:r>
    </w:p>
    <w:p>
      <w:pPr>
        <w:pStyle w:val="yMiscellaneousBody"/>
        <w:ind w:left="600"/>
      </w:pPr>
      <w:r>
        <w:t>The Office of the Director of Public Prosecutions</w:t>
      </w:r>
    </w:p>
    <w:p>
      <w:pPr>
        <w:pStyle w:val="yMiscellaneousBody"/>
        <w:ind w:left="600"/>
      </w:pPr>
      <w:r>
        <w:t>The Office of the Information Commissioner</w:t>
      </w:r>
    </w:p>
    <w:p>
      <w:pPr>
        <w:pStyle w:val="yMiscellaneousBody"/>
        <w:ind w:left="600"/>
      </w:pPr>
      <w:r>
        <w:t>The Office of the Inspector of Custodial Services</w:t>
      </w:r>
    </w:p>
    <w:p>
      <w:pPr>
        <w:pStyle w:val="yMiscellaneousBody"/>
        <w:ind w:left="600"/>
      </w:pPr>
      <w:r>
        <w:t>The Office of the Public Sector Standards Commissioner</w:t>
      </w:r>
    </w:p>
    <w:p>
      <w:pPr>
        <w:pStyle w:val="yMiscellaneousBody"/>
        <w:ind w:left="600"/>
      </w:pPr>
      <w:r>
        <w:t>The Office of Water Regulation</w:t>
      </w:r>
      <w:r>
        <w:rPr>
          <w:vertAlign w:val="superscript"/>
        </w:rPr>
        <w:t> 5</w:t>
      </w:r>
    </w:p>
    <w:p>
      <w:pPr>
        <w:pStyle w:val="yMiscellaneousBody"/>
        <w:ind w:left="600"/>
      </w:pPr>
      <w:r>
        <w:t>The Parliament</w:t>
      </w:r>
    </w:p>
    <w:p>
      <w:pPr>
        <w:pStyle w:val="yMiscellaneousBody"/>
        <w:ind w:left="600"/>
      </w:pPr>
      <w:r>
        <w:t>The Parliamentary Commissioner for Administrative Investigations</w:t>
      </w:r>
    </w:p>
    <w:p>
      <w:pPr>
        <w:pStyle w:val="yMiscellaneousBody"/>
        <w:ind w:left="600"/>
      </w:pPr>
      <w:r>
        <w:t>The Peel Development Commission</w:t>
      </w:r>
    </w:p>
    <w:p>
      <w:pPr>
        <w:pStyle w:val="yMiscellaneousBody"/>
        <w:ind w:left="600"/>
      </w:pPr>
      <w:r>
        <w:t>The Pilbara Development Commission</w:t>
      </w:r>
    </w:p>
    <w:p>
      <w:pPr>
        <w:pStyle w:val="yMiscellaneousBody"/>
        <w:ind w:left="600"/>
      </w:pPr>
      <w:r>
        <w:t>The Recreation Camps and Reserves Board</w:t>
      </w:r>
    </w:p>
    <w:p>
      <w:pPr>
        <w:pStyle w:val="yMiscellaneousBody"/>
        <w:ind w:left="600"/>
      </w:pPr>
      <w:r>
        <w:t>The South West Development Commission</w:t>
      </w:r>
    </w:p>
    <w:p>
      <w:pPr>
        <w:pStyle w:val="yMiscellaneousBody"/>
        <w:ind w:left="600"/>
      </w:pPr>
      <w:r>
        <w:t>The State Supply Commission</w:t>
      </w:r>
    </w:p>
    <w:p>
      <w:pPr>
        <w:pStyle w:val="yMiscellaneousBody"/>
        <w:ind w:left="600"/>
        <w:rPr>
          <w:vertAlign w:val="superscript"/>
        </w:rPr>
      </w:pPr>
      <w:r>
        <w:t>The Water and Rivers Commission</w:t>
      </w:r>
      <w:r>
        <w:rPr>
          <w:vertAlign w:val="superscript"/>
        </w:rPr>
        <w:t> 6</w:t>
      </w:r>
    </w:p>
    <w:p>
      <w:pPr>
        <w:pStyle w:val="yMiscellaneousBody"/>
        <w:ind w:left="600"/>
      </w:pPr>
      <w:r>
        <w:t>The Western Australian Building Management Authority</w:t>
      </w:r>
    </w:p>
    <w:p>
      <w:pPr>
        <w:pStyle w:val="yMiscellaneousBody"/>
        <w:ind w:left="600"/>
      </w:pPr>
      <w:r>
        <w:t>The Western Australian Electoral Commission</w:t>
      </w:r>
    </w:p>
    <w:p>
      <w:pPr>
        <w:pStyle w:val="yMiscellaneousBody"/>
        <w:ind w:left="600"/>
      </w:pPr>
      <w:r>
        <w:t xml:space="preserve">The Western Australia Police Service and the Police Force within the meaning of the </w:t>
      </w:r>
      <w:r>
        <w:rPr>
          <w:i/>
          <w:iCs/>
        </w:rPr>
        <w:t>Police Act 1892</w:t>
      </w:r>
    </w:p>
    <w:p>
      <w:pPr>
        <w:pStyle w:val="yMiscellaneousBody"/>
        <w:ind w:left="600"/>
      </w:pPr>
      <w:r>
        <w:t>The Wheatbelt Development Commission</w:t>
      </w:r>
    </w:p>
    <w:p>
      <w:pPr>
        <w:pStyle w:val="yFootnotesection"/>
      </w:pPr>
      <w:r>
        <w:tab/>
        <w:t>[Schedule 1 amended in Gazette 7 Sep 2004 p. 3884; 5 Nov 2004 p. 4987; 2 May 2006 p. 1709</w:t>
      </w:r>
      <w:r>
        <w:noBreakHyphen/>
        <w:t>10; 11 Jul 2006 p. 2546; 22 Aug 2006 p. 3469; 22 Dec 2006 p. 5807.]</w:t>
      </w:r>
    </w:p>
    <w:p>
      <w:pPr>
        <w:pStyle w:val="yScheduleHeading"/>
      </w:pPr>
      <w:bookmarkStart w:id="499" w:name="_Toc43611960"/>
      <w:bookmarkStart w:id="500" w:name="_Toc107648621"/>
      <w:bookmarkStart w:id="501" w:name="_Toc134327226"/>
      <w:bookmarkStart w:id="502" w:name="_Toc134329013"/>
      <w:bookmarkStart w:id="503" w:name="_Toc134334905"/>
      <w:bookmarkStart w:id="504" w:name="_Toc134336106"/>
      <w:bookmarkStart w:id="505" w:name="_Toc138580734"/>
      <w:bookmarkStart w:id="506" w:name="_Toc139259067"/>
      <w:bookmarkStart w:id="507" w:name="_Toc140368600"/>
      <w:bookmarkStart w:id="508" w:name="_Toc143925428"/>
      <w:bookmarkStart w:id="509" w:name="_Toc146419982"/>
      <w:bookmarkStart w:id="510" w:name="_Toc146426353"/>
      <w:bookmarkStart w:id="511" w:name="_Toc147802181"/>
      <w:bookmarkStart w:id="512" w:name="_Toc149965066"/>
      <w:bookmarkStart w:id="513" w:name="_Toc154987839"/>
      <w:bookmarkStart w:id="514" w:name="_Toc155070086"/>
      <w:bookmarkStart w:id="515" w:name="_Toc161116464"/>
      <w:bookmarkStart w:id="516" w:name="_Toc161569965"/>
      <w:bookmarkStart w:id="517" w:name="_Toc161634285"/>
      <w:bookmarkStart w:id="518" w:name="_Toc166924624"/>
      <w:bookmarkStart w:id="519" w:name="_Toc166995705"/>
      <w:bookmarkStart w:id="520" w:name="_Toc170200511"/>
      <w:bookmarkStart w:id="521" w:name="_Toc170708794"/>
      <w:bookmarkStart w:id="522" w:name="_Toc233605456"/>
      <w:bookmarkStart w:id="523" w:name="_Toc235613904"/>
      <w:bookmarkStart w:id="524" w:name="_Toc236025271"/>
      <w:bookmarkStart w:id="525" w:name="_Toc236025335"/>
      <w:bookmarkStart w:id="526" w:name="_Toc236034900"/>
      <w:bookmarkStart w:id="527" w:name="_Toc236034964"/>
      <w:bookmarkStart w:id="528" w:name="_Toc237832422"/>
      <w:bookmarkStart w:id="529" w:name="_Toc237841303"/>
      <w:bookmarkStart w:id="530" w:name="_Toc237843283"/>
      <w:bookmarkStart w:id="531" w:name="_Toc265571997"/>
      <w:r>
        <w:rPr>
          <w:rStyle w:val="CharSchNo"/>
        </w:rPr>
        <w:t>Glossary</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SchText"/>
        </w:rPr>
        <w:t xml:space="preserve"> </w:t>
      </w:r>
    </w:p>
    <w:p>
      <w:pPr>
        <w:pStyle w:val="yShoulderClause"/>
      </w:pPr>
      <w:r>
        <w:t>[r.</w:t>
      </w:r>
      <w:bookmarkStart w:id="532" w:name="_Hlt43259337"/>
      <w:r>
        <w:t> 3</w:t>
      </w:r>
      <w:bookmarkEnd w:id="532"/>
      <w:r>
        <w:t>]</w:t>
      </w:r>
    </w:p>
    <w:p>
      <w:pPr>
        <w:pStyle w:val="yHeading5"/>
        <w:outlineLvl w:val="9"/>
      </w:pPr>
      <w:bookmarkStart w:id="533" w:name="_Toc43611961"/>
      <w:bookmarkStart w:id="534" w:name="_Toc107648622"/>
      <w:bookmarkStart w:id="535" w:name="_Toc265571998"/>
      <w:r>
        <w:t>1.</w:t>
      </w:r>
      <w:r>
        <w:tab/>
      </w:r>
      <w:bookmarkEnd w:id="533"/>
      <w:bookmarkEnd w:id="534"/>
      <w:r>
        <w:t>Terms used</w:t>
      </w:r>
      <w:bookmarkEnd w:id="535"/>
    </w:p>
    <w:p>
      <w:pPr>
        <w:pStyle w:val="ySubsection"/>
      </w:pPr>
      <w:r>
        <w:tab/>
      </w:r>
      <w:r>
        <w:tab/>
        <w:t xml:space="preserve">In this Glossary, unless the contrary intention appears — </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w:t>
      </w:r>
      <w:bookmarkStart w:id="536" w:name="_Hlt43524114"/>
      <w:r>
        <w:t>32</w:t>
      </w:r>
      <w:bookmarkEnd w:id="536"/>
      <w:r>
        <w:t>, 33 and </w:t>
      </w:r>
      <w:bookmarkStart w:id="537" w:name="_Hlt43524122"/>
      <w:r>
        <w:t>35</w:t>
      </w:r>
      <w:bookmarkEnd w:id="537"/>
      <w:r>
        <w:t xml:space="preserve">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xml:space="preserve">; </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redundancy benefits scheme</w:t>
      </w:r>
      <w:r>
        <w:t xml:space="preserve"> means a scheme or trust (except a superannuation fund) that operates to provide benefits for persons working within an industry who — </w:t>
      </w:r>
    </w:p>
    <w:p>
      <w:pPr>
        <w:pStyle w:val="yDefpara"/>
        <w:spacing w:before="60"/>
      </w:pPr>
      <w:r>
        <w:tab/>
        <w:t>(a)</w:t>
      </w:r>
      <w:r>
        <w:tab/>
        <w:t>are made redundant;</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Footnotesection"/>
      </w:pPr>
      <w:r>
        <w:tab/>
        <w:t>[Clause 1 amended by No. 15 of 2010 s. 44.]</w:t>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538" w:name="_Toc76540874"/>
      <w:bookmarkStart w:id="539" w:name="_Toc82249855"/>
      <w:bookmarkStart w:id="540" w:name="_Toc107648623"/>
      <w:bookmarkStart w:id="541" w:name="_Toc134327228"/>
      <w:bookmarkStart w:id="542" w:name="_Toc134329015"/>
      <w:bookmarkStart w:id="543" w:name="_Toc134334907"/>
      <w:bookmarkStart w:id="544" w:name="_Toc134336108"/>
      <w:bookmarkStart w:id="545" w:name="_Toc138580736"/>
      <w:bookmarkStart w:id="546" w:name="_Toc139259069"/>
      <w:bookmarkStart w:id="547" w:name="_Toc140368602"/>
      <w:bookmarkStart w:id="548" w:name="_Toc143925430"/>
      <w:bookmarkStart w:id="549" w:name="_Toc146419984"/>
      <w:bookmarkStart w:id="550" w:name="_Toc146426355"/>
      <w:bookmarkStart w:id="551" w:name="_Toc147802183"/>
      <w:bookmarkStart w:id="552" w:name="_Toc149965068"/>
      <w:bookmarkStart w:id="553" w:name="_Toc154987841"/>
      <w:bookmarkStart w:id="554" w:name="_Toc155070088"/>
      <w:bookmarkStart w:id="555" w:name="_Toc161116466"/>
      <w:bookmarkStart w:id="556" w:name="_Toc161569967"/>
      <w:bookmarkStart w:id="557" w:name="_Toc161634287"/>
      <w:bookmarkStart w:id="558" w:name="_Toc166924626"/>
      <w:bookmarkStart w:id="559" w:name="_Toc166995707"/>
      <w:bookmarkStart w:id="560" w:name="_Toc170200513"/>
      <w:bookmarkStart w:id="561" w:name="_Toc170708796"/>
      <w:bookmarkStart w:id="562" w:name="_Toc233605458"/>
      <w:bookmarkStart w:id="563" w:name="_Toc235613906"/>
      <w:bookmarkStart w:id="564" w:name="_Toc236025273"/>
      <w:bookmarkStart w:id="565" w:name="_Toc236025337"/>
      <w:bookmarkStart w:id="566" w:name="_Toc236034902"/>
      <w:bookmarkStart w:id="567" w:name="_Toc236034966"/>
      <w:bookmarkStart w:id="568" w:name="_Toc237832424"/>
      <w:bookmarkStart w:id="569" w:name="_Toc237841305"/>
      <w:bookmarkStart w:id="570" w:name="_Toc237843285"/>
      <w:bookmarkStart w:id="571" w:name="_Toc265571999"/>
      <w:r>
        <w:t>Notes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nSubsection"/>
        <w:rPr>
          <w:snapToGrid w:val="0"/>
        </w:rPr>
      </w:pPr>
      <w:bookmarkStart w:id="572" w:name="_Toc511102520"/>
      <w:bookmarkStart w:id="573" w:name="_Toc513888953"/>
      <w:bookmarkStart w:id="574" w:name="_Toc516991868"/>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w:t>
      </w:r>
      <w:r>
        <w:rPr>
          <w:snapToGrid w:val="0"/>
          <w:vertAlign w:val="superscript"/>
        </w:rPr>
        <w:t> 7, 8</w:t>
      </w:r>
      <w:r>
        <w:rPr>
          <w:snapToGrid w:val="0"/>
        </w:rPr>
        <w:t>.  The table also contains information about any reprint.</w:t>
      </w:r>
    </w:p>
    <w:p>
      <w:pPr>
        <w:pStyle w:val="nHeading3"/>
      </w:pPr>
      <w:bookmarkStart w:id="575" w:name="_Toc265572000"/>
      <w:bookmarkEnd w:id="572"/>
      <w:bookmarkEnd w:id="573"/>
      <w:bookmarkEnd w:id="574"/>
      <w:r>
        <w:t>Compilation table</w:t>
      </w:r>
      <w:bookmarkEnd w:id="57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spacing w:after="40"/>
              <w:rPr>
                <w:sz w:val="19"/>
              </w:rPr>
            </w:pPr>
            <w:r>
              <w:rPr>
                <w:sz w:val="19"/>
              </w:rPr>
              <w:t>27 Jun 2003 p. 2341</w:t>
            </w:r>
            <w:r>
              <w:rPr>
                <w:sz w:val="19"/>
              </w:rPr>
              <w:noBreakHyphen/>
              <w:t>80</w:t>
            </w:r>
          </w:p>
        </w:tc>
        <w:tc>
          <w:tcPr>
            <w:tcW w:w="2693" w:type="dxa"/>
            <w:tcBorders>
              <w:top w:val="single" w:sz="8" w:space="0" w:color="auto"/>
            </w:tcBorders>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sz w:val="19"/>
              </w:rPr>
            </w:pPr>
            <w:r>
              <w:rPr>
                <w:i/>
                <w:sz w:val="19"/>
              </w:rPr>
              <w:t>Pay</w:t>
            </w:r>
            <w:r>
              <w:rPr>
                <w:i/>
                <w:sz w:val="19"/>
              </w:rPr>
              <w:noBreakHyphen/>
              <w:t>roll Tax Assessment Amendment (2003) Regulations 2003</w:t>
            </w:r>
          </w:p>
        </w:tc>
        <w:tc>
          <w:tcPr>
            <w:tcW w:w="1276" w:type="dxa"/>
          </w:tcPr>
          <w:p>
            <w:pPr>
              <w:pStyle w:val="nTable"/>
              <w:spacing w:after="40"/>
              <w:rPr>
                <w:sz w:val="19"/>
              </w:rPr>
            </w:pPr>
            <w:r>
              <w:rPr>
                <w:sz w:val="19"/>
              </w:rPr>
              <w:t>18 Jul 2003 p. 2844</w:t>
            </w:r>
          </w:p>
        </w:tc>
        <w:tc>
          <w:tcPr>
            <w:tcW w:w="2693" w:type="dxa"/>
          </w:tcPr>
          <w:p>
            <w:pPr>
              <w:pStyle w:val="nTable"/>
              <w:spacing w:after="40"/>
              <w:rPr>
                <w:sz w:val="19"/>
              </w:rPr>
            </w:pPr>
            <w:r>
              <w:rPr>
                <w:sz w:val="19"/>
              </w:rPr>
              <w:t>18 Jul 2003</w:t>
            </w:r>
          </w:p>
        </w:tc>
      </w:tr>
      <w:tr>
        <w:tc>
          <w:tcPr>
            <w:tcW w:w="3119" w:type="dxa"/>
          </w:tcPr>
          <w:p>
            <w:pPr>
              <w:pStyle w:val="nTable"/>
              <w:spacing w:after="40"/>
              <w:rPr>
                <w:i/>
                <w:sz w:val="19"/>
              </w:rPr>
            </w:pPr>
            <w:r>
              <w:rPr>
                <w:i/>
                <w:sz w:val="19"/>
              </w:rPr>
              <w:t>Pay</w:t>
            </w:r>
            <w:r>
              <w:rPr>
                <w:i/>
                <w:sz w:val="19"/>
              </w:rPr>
              <w:noBreakHyphen/>
              <w:t>roll Tax Assessment Amendment (2003) Regulations (No. 2) 2003</w:t>
            </w:r>
          </w:p>
        </w:tc>
        <w:tc>
          <w:tcPr>
            <w:tcW w:w="1276" w:type="dxa"/>
          </w:tcPr>
          <w:p>
            <w:pPr>
              <w:pStyle w:val="nTable"/>
              <w:spacing w:after="40"/>
              <w:rPr>
                <w:sz w:val="19"/>
              </w:rPr>
            </w:pPr>
            <w:r>
              <w:rPr>
                <w:sz w:val="19"/>
              </w:rPr>
              <w:t>28 Nov 2003 p. 4778</w:t>
            </w:r>
          </w:p>
        </w:tc>
        <w:tc>
          <w:tcPr>
            <w:tcW w:w="2693" w:type="dxa"/>
          </w:tcPr>
          <w:p>
            <w:pPr>
              <w:pStyle w:val="nTable"/>
              <w:spacing w:after="40"/>
              <w:rPr>
                <w:sz w:val="19"/>
              </w:rPr>
            </w:pPr>
            <w:r>
              <w:rPr>
                <w:sz w:val="19"/>
              </w:rPr>
              <w:t>28 Nov 2003</w:t>
            </w:r>
          </w:p>
        </w:tc>
      </w:tr>
      <w:tr>
        <w:tc>
          <w:tcPr>
            <w:tcW w:w="3119" w:type="dxa"/>
          </w:tcPr>
          <w:p>
            <w:pPr>
              <w:pStyle w:val="nTable"/>
              <w:spacing w:after="40"/>
              <w:rPr>
                <w:i/>
                <w:sz w:val="19"/>
              </w:rPr>
            </w:pPr>
            <w:r>
              <w:rPr>
                <w:i/>
                <w:sz w:val="19"/>
              </w:rPr>
              <w:t>Pay</w:t>
            </w:r>
            <w:r>
              <w:rPr>
                <w:i/>
                <w:sz w:val="19"/>
              </w:rPr>
              <w:noBreakHyphen/>
              <w:t>roll Tax Assessment Amendment Regulations 2004</w:t>
            </w:r>
          </w:p>
        </w:tc>
        <w:tc>
          <w:tcPr>
            <w:tcW w:w="1276" w:type="dxa"/>
          </w:tcPr>
          <w:p>
            <w:pPr>
              <w:pStyle w:val="nTable"/>
              <w:spacing w:after="40"/>
              <w:rPr>
                <w:sz w:val="19"/>
              </w:rPr>
            </w:pPr>
            <w:r>
              <w:rPr>
                <w:sz w:val="19"/>
              </w:rPr>
              <w:t>25 Jun 2004 p. 2246</w:t>
            </w:r>
            <w:r>
              <w:rPr>
                <w:sz w:val="19"/>
              </w:rPr>
              <w:noBreakHyphen/>
              <w:t>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Pay</w:t>
            </w:r>
            <w:r>
              <w:rPr>
                <w:i/>
                <w:sz w:val="19"/>
              </w:rPr>
              <w:noBreakHyphen/>
              <w:t>roll Tax Assessment Amendment Regulations (No. 2) 2004</w:t>
            </w:r>
          </w:p>
        </w:tc>
        <w:tc>
          <w:tcPr>
            <w:tcW w:w="1276" w:type="dxa"/>
          </w:tcPr>
          <w:p>
            <w:pPr>
              <w:pStyle w:val="nTable"/>
              <w:spacing w:after="40"/>
              <w:rPr>
                <w:sz w:val="19"/>
              </w:rPr>
            </w:pPr>
            <w:r>
              <w:rPr>
                <w:sz w:val="19"/>
              </w:rPr>
              <w:t>7 Sep 2004 p. 3883</w:t>
            </w:r>
            <w:r>
              <w:rPr>
                <w:sz w:val="19"/>
              </w:rPr>
              <w:noBreakHyphen/>
              <w:t>4</w:t>
            </w:r>
          </w:p>
        </w:tc>
        <w:tc>
          <w:tcPr>
            <w:tcW w:w="2693" w:type="dxa"/>
          </w:tcPr>
          <w:p>
            <w:pPr>
              <w:pStyle w:val="nTable"/>
              <w:spacing w:after="40"/>
              <w:rPr>
                <w:sz w:val="19"/>
              </w:rPr>
            </w:pPr>
            <w:r>
              <w:rPr>
                <w:sz w:val="19"/>
              </w:rPr>
              <w:t>7 Sep 2004</w:t>
            </w:r>
          </w:p>
        </w:tc>
      </w:tr>
      <w:tr>
        <w:tc>
          <w:tcPr>
            <w:tcW w:w="3119" w:type="dxa"/>
          </w:tcPr>
          <w:p>
            <w:pPr>
              <w:pStyle w:val="nTable"/>
              <w:spacing w:after="40"/>
              <w:rPr>
                <w:i/>
                <w:sz w:val="19"/>
              </w:rPr>
            </w:pPr>
            <w:r>
              <w:rPr>
                <w:i/>
                <w:sz w:val="19"/>
              </w:rPr>
              <w:t>Pay</w:t>
            </w:r>
            <w:r>
              <w:rPr>
                <w:i/>
                <w:sz w:val="19"/>
              </w:rPr>
              <w:noBreakHyphen/>
              <w:t>roll Tax Assessment Amendment Regulations (No. 3) 2004</w:t>
            </w:r>
          </w:p>
        </w:tc>
        <w:tc>
          <w:tcPr>
            <w:tcW w:w="1276" w:type="dxa"/>
          </w:tcPr>
          <w:p>
            <w:pPr>
              <w:pStyle w:val="nTable"/>
              <w:spacing w:after="40"/>
              <w:rPr>
                <w:sz w:val="19"/>
              </w:rPr>
            </w:pPr>
            <w:r>
              <w:rPr>
                <w:sz w:val="19"/>
              </w:rPr>
              <w:t>5 Nov 2004 p. 4986</w:t>
            </w:r>
            <w:r>
              <w:rPr>
                <w:sz w:val="19"/>
              </w:rPr>
              <w:noBreakHyphen/>
              <w:t>7</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iCs/>
                <w:snapToGrid w:val="0"/>
                <w:sz w:val="19"/>
                <w:lang w:val="en-US"/>
              </w:rPr>
              <w:t>Pay</w:t>
            </w:r>
            <w:r>
              <w:rPr>
                <w:i/>
                <w:iCs/>
                <w:snapToGrid w:val="0"/>
                <w:sz w:val="19"/>
                <w:lang w:val="en-US"/>
              </w:rPr>
              <w:noBreakHyphen/>
              <w:t>roll Tax Assessment Amendment Regulations 2005</w:t>
            </w:r>
          </w:p>
        </w:tc>
        <w:tc>
          <w:tcPr>
            <w:tcW w:w="1276" w:type="dxa"/>
          </w:tcPr>
          <w:p>
            <w:pPr>
              <w:pStyle w:val="nTable"/>
              <w:spacing w:after="40"/>
              <w:rPr>
                <w:sz w:val="19"/>
              </w:rPr>
            </w:pPr>
            <w:r>
              <w:rPr>
                <w:snapToGrid w:val="0"/>
                <w:sz w:val="19"/>
                <w:lang w:val="en-US"/>
              </w:rPr>
              <w:t>19 Apr 2005 p. 1303</w:t>
            </w:r>
            <w:r>
              <w:rPr>
                <w:snapToGrid w:val="0"/>
                <w:sz w:val="19"/>
                <w:lang w:val="en-US"/>
              </w:rPr>
              <w:noBreakHyphen/>
              <w:t>4</w:t>
            </w:r>
          </w:p>
        </w:tc>
        <w:tc>
          <w:tcPr>
            <w:tcW w:w="2693" w:type="dxa"/>
          </w:tcPr>
          <w:p>
            <w:pPr>
              <w:pStyle w:val="nTable"/>
              <w:spacing w:after="40"/>
              <w:rPr>
                <w:sz w:val="19"/>
              </w:rPr>
            </w:pPr>
            <w:r>
              <w:rPr>
                <w:sz w:val="19"/>
              </w:rPr>
              <w:t>1 Jul 2005 (see r. 2)</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2) 2006</w:t>
            </w:r>
          </w:p>
        </w:tc>
        <w:tc>
          <w:tcPr>
            <w:tcW w:w="1276" w:type="dxa"/>
          </w:tcPr>
          <w:p>
            <w:pPr>
              <w:pStyle w:val="nTable"/>
              <w:spacing w:after="40"/>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spacing w:after="40"/>
              <w:rPr>
                <w:sz w:val="19"/>
              </w:rPr>
            </w:pPr>
            <w:r>
              <w:rPr>
                <w:sz w:val="19"/>
              </w:rPr>
              <w:t>2 May 2006</w:t>
            </w:r>
          </w:p>
        </w:tc>
      </w:tr>
      <w:tr>
        <w:tc>
          <w:tcPr>
            <w:tcW w:w="3119" w:type="dxa"/>
          </w:tcPr>
          <w:p>
            <w:pPr>
              <w:pStyle w:val="nTable"/>
              <w:spacing w:after="40"/>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spacing w:after="40"/>
              <w:rPr>
                <w:snapToGrid w:val="0"/>
                <w:sz w:val="19"/>
                <w:lang w:val="en-US"/>
              </w:rPr>
            </w:pPr>
            <w:r>
              <w:rPr>
                <w:sz w:val="19"/>
              </w:rPr>
              <w:t>2 May 2006 p. 1710</w:t>
            </w:r>
            <w:r>
              <w:rPr>
                <w:sz w:val="19"/>
              </w:rPr>
              <w:noBreakHyphen/>
              <w:t>11</w:t>
            </w:r>
          </w:p>
        </w:tc>
        <w:tc>
          <w:tcPr>
            <w:tcW w:w="2693" w:type="dxa"/>
          </w:tcPr>
          <w:p>
            <w:pPr>
              <w:pStyle w:val="nTable"/>
              <w:spacing w:after="40"/>
              <w:rPr>
                <w:sz w:val="19"/>
              </w:rPr>
            </w:pPr>
            <w:r>
              <w:rPr>
                <w:iCs/>
                <w:sz w:val="19"/>
              </w:rPr>
              <w:t>1 Jul 2006 (see r. 2)</w:t>
            </w:r>
          </w:p>
        </w:tc>
      </w:tr>
      <w:tr>
        <w:tc>
          <w:tcPr>
            <w:tcW w:w="3119" w:type="dxa"/>
          </w:tcPr>
          <w:p>
            <w:pPr>
              <w:pStyle w:val="nTable"/>
              <w:spacing w:after="40"/>
              <w:rPr>
                <w:i/>
                <w:sz w:val="19"/>
              </w:rPr>
            </w:pPr>
            <w:r>
              <w:rPr>
                <w:i/>
                <w:iCs/>
                <w:snapToGrid w:val="0"/>
                <w:sz w:val="19"/>
                <w:lang w:val="en-US"/>
              </w:rPr>
              <w:t>Pay</w:t>
            </w:r>
            <w:r>
              <w:rPr>
                <w:i/>
                <w:iCs/>
                <w:snapToGrid w:val="0"/>
                <w:sz w:val="19"/>
                <w:lang w:val="en-US"/>
              </w:rPr>
              <w:noBreakHyphen/>
              <w:t>roll Tax Assessment Amendment Regulations (No. 4) 2006</w:t>
            </w:r>
          </w:p>
        </w:tc>
        <w:tc>
          <w:tcPr>
            <w:tcW w:w="1276" w:type="dxa"/>
          </w:tcPr>
          <w:p>
            <w:pPr>
              <w:pStyle w:val="nTable"/>
              <w:spacing w:after="40"/>
              <w:rPr>
                <w:sz w:val="19"/>
              </w:rPr>
            </w:pPr>
            <w:r>
              <w:rPr>
                <w:sz w:val="19"/>
              </w:rPr>
              <w:t>27 Jun 2006 p. 2306</w:t>
            </w:r>
            <w:r>
              <w:rPr>
                <w:sz w:val="19"/>
              </w:rPr>
              <w:noBreakHyphen/>
              <w:t>7</w:t>
            </w:r>
          </w:p>
        </w:tc>
        <w:tc>
          <w:tcPr>
            <w:tcW w:w="2693" w:type="dxa"/>
          </w:tcPr>
          <w:p>
            <w:pPr>
              <w:pStyle w:val="nTable"/>
              <w:spacing w:after="40"/>
              <w:rPr>
                <w:iCs/>
                <w:sz w:val="19"/>
              </w:rPr>
            </w:pPr>
            <w:r>
              <w:rPr>
                <w:iCs/>
                <w:sz w:val="19"/>
              </w:rPr>
              <w:t>1 Jul 2006 (see r. 2)</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3) 2006</w:t>
            </w:r>
          </w:p>
        </w:tc>
        <w:tc>
          <w:tcPr>
            <w:tcW w:w="1276" w:type="dxa"/>
          </w:tcPr>
          <w:p>
            <w:pPr>
              <w:pStyle w:val="nTable"/>
              <w:spacing w:after="40"/>
              <w:rPr>
                <w:sz w:val="19"/>
              </w:rPr>
            </w:pPr>
            <w:r>
              <w:rPr>
                <w:sz w:val="19"/>
              </w:rPr>
              <w:t>11 Jul 2006 p. 2546</w:t>
            </w:r>
          </w:p>
        </w:tc>
        <w:tc>
          <w:tcPr>
            <w:tcW w:w="2693" w:type="dxa"/>
          </w:tcPr>
          <w:p>
            <w:pPr>
              <w:pStyle w:val="nTable"/>
              <w:spacing w:after="40"/>
              <w:rPr>
                <w:iCs/>
                <w:sz w:val="19"/>
              </w:rPr>
            </w:pPr>
            <w:r>
              <w:rPr>
                <w:iCs/>
                <w:sz w:val="19"/>
              </w:rPr>
              <w:t xml:space="preserve">11 Jul 2006 </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5) 2006</w:t>
            </w:r>
          </w:p>
        </w:tc>
        <w:tc>
          <w:tcPr>
            <w:tcW w:w="1276" w:type="dxa"/>
          </w:tcPr>
          <w:p>
            <w:pPr>
              <w:pStyle w:val="nTable"/>
              <w:spacing w:after="40"/>
              <w:rPr>
                <w:sz w:val="19"/>
              </w:rPr>
            </w:pPr>
            <w:r>
              <w:rPr>
                <w:sz w:val="19"/>
              </w:rPr>
              <w:t>22 Aug 2006 p. 3468</w:t>
            </w:r>
            <w:r>
              <w:rPr>
                <w:sz w:val="19"/>
              </w:rPr>
              <w:noBreakHyphen/>
              <w:t>9</w:t>
            </w:r>
          </w:p>
        </w:tc>
        <w:tc>
          <w:tcPr>
            <w:tcW w:w="2693" w:type="dxa"/>
          </w:tcPr>
          <w:p>
            <w:pPr>
              <w:pStyle w:val="nTable"/>
              <w:spacing w:after="40"/>
              <w:rPr>
                <w:iCs/>
                <w:sz w:val="19"/>
              </w:rPr>
            </w:pPr>
            <w:r>
              <w:rPr>
                <w:iCs/>
                <w:sz w:val="19"/>
              </w:rPr>
              <w:t>22 Aug 2006</w:t>
            </w:r>
          </w:p>
        </w:tc>
      </w:tr>
      <w:tr>
        <w:trPr>
          <w:cantSplit/>
        </w:trPr>
        <w:tc>
          <w:tcPr>
            <w:tcW w:w="7088" w:type="dxa"/>
            <w:gridSpan w:val="3"/>
          </w:tcPr>
          <w:p>
            <w:pPr>
              <w:pStyle w:val="nTable"/>
              <w:spacing w:after="40"/>
              <w:rPr>
                <w:iCs/>
                <w:sz w:val="19"/>
              </w:rPr>
            </w:pPr>
            <w:r>
              <w:rPr>
                <w:b/>
                <w:bCs/>
                <w:iCs/>
                <w:sz w:val="19"/>
              </w:rPr>
              <w:t xml:space="preserve">Reprint 1: The </w:t>
            </w:r>
            <w:r>
              <w:rPr>
                <w:b/>
                <w:bCs/>
                <w:i/>
                <w:sz w:val="19"/>
              </w:rPr>
              <w:t>Pay</w:t>
            </w:r>
            <w:r>
              <w:rPr>
                <w:b/>
                <w:bCs/>
                <w:i/>
                <w:sz w:val="19"/>
              </w:rPr>
              <w:noBreakHyphen/>
              <w:t>roll Tax Assessment Regulations 2003</w:t>
            </w:r>
            <w:r>
              <w:rPr>
                <w:b/>
                <w:bCs/>
                <w:iCs/>
                <w:sz w:val="19"/>
              </w:rPr>
              <w:t xml:space="preserve"> as at 13 Oct 2006</w:t>
            </w:r>
            <w:r>
              <w:rPr>
                <w:iCs/>
                <w:sz w:val="19"/>
              </w:rPr>
              <w:t xml:space="preserve"> (includes amendments listed above)</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6) 2006</w:t>
            </w:r>
          </w:p>
        </w:tc>
        <w:tc>
          <w:tcPr>
            <w:tcW w:w="1276" w:type="dxa"/>
          </w:tcPr>
          <w:p>
            <w:pPr>
              <w:pStyle w:val="nTable"/>
              <w:spacing w:after="40"/>
              <w:rPr>
                <w:sz w:val="19"/>
              </w:rPr>
            </w:pPr>
            <w:r>
              <w:rPr>
                <w:sz w:val="19"/>
              </w:rPr>
              <w:t>22 Dec 2006 p. 5806</w:t>
            </w:r>
            <w:r>
              <w:rPr>
                <w:sz w:val="19"/>
              </w:rPr>
              <w:noBreakHyphen/>
              <w:t>7</w:t>
            </w:r>
          </w:p>
        </w:tc>
        <w:tc>
          <w:tcPr>
            <w:tcW w:w="2693" w:type="dxa"/>
          </w:tcPr>
          <w:p>
            <w:pPr>
              <w:pStyle w:val="nTable"/>
              <w:spacing w:after="40"/>
              <w:rPr>
                <w:iCs/>
                <w:sz w:val="19"/>
              </w:rPr>
            </w:pPr>
            <w:r>
              <w:rPr>
                <w:iCs/>
                <w:sz w:val="19"/>
              </w:rPr>
              <w:t xml:space="preserve">1 Jan 2007 (see r. 2 and </w:t>
            </w:r>
            <w:r>
              <w:rPr>
                <w:i/>
                <w:iCs/>
                <w:sz w:val="19"/>
              </w:rPr>
              <w:t>Gazette</w:t>
            </w:r>
            <w:r>
              <w:rPr>
                <w:iCs/>
                <w:sz w:val="19"/>
              </w:rPr>
              <w:t xml:space="preserve"> 8 Dec 2006 p. 5369)</w:t>
            </w:r>
          </w:p>
        </w:tc>
      </w:tr>
      <w:tr>
        <w:trPr>
          <w:cantSplit/>
        </w:trPr>
        <w:tc>
          <w:tcPr>
            <w:tcW w:w="3119" w:type="dxa"/>
          </w:tcPr>
          <w:p>
            <w:pPr>
              <w:pStyle w:val="nTable"/>
              <w:spacing w:after="40"/>
              <w:rPr>
                <w:i/>
                <w:iCs/>
                <w:snapToGrid w:val="0"/>
                <w:sz w:val="19"/>
                <w:lang w:val="en-US"/>
              </w:rPr>
            </w:pPr>
            <w:r>
              <w:rPr>
                <w:i/>
                <w:sz w:val="19"/>
              </w:rPr>
              <w:t>Pay</w:t>
            </w:r>
            <w:r>
              <w:rPr>
                <w:i/>
                <w:sz w:val="19"/>
              </w:rPr>
              <w:noBreakHyphen/>
              <w:t>roll Tax Assessment Amendment Regulations 2007</w:t>
            </w:r>
          </w:p>
        </w:tc>
        <w:tc>
          <w:tcPr>
            <w:tcW w:w="1276" w:type="dxa"/>
          </w:tcPr>
          <w:p>
            <w:pPr>
              <w:pStyle w:val="nTable"/>
              <w:spacing w:after="40"/>
              <w:rPr>
                <w:sz w:val="19"/>
              </w:rPr>
            </w:pPr>
            <w:r>
              <w:rPr>
                <w:sz w:val="19"/>
              </w:rPr>
              <w:t>15 May 2007 p. 2096</w:t>
            </w:r>
          </w:p>
        </w:tc>
        <w:tc>
          <w:tcPr>
            <w:tcW w:w="2693" w:type="dxa"/>
          </w:tcPr>
          <w:p>
            <w:pPr>
              <w:pStyle w:val="nTable"/>
              <w:spacing w:after="40"/>
              <w:rPr>
                <w:iCs/>
                <w:sz w:val="19"/>
              </w:rPr>
            </w:pPr>
            <w:r>
              <w:rPr>
                <w:iCs/>
                <w:sz w:val="19"/>
              </w:rPr>
              <w:t>1 Jul 2007 (see r. 2)</w:t>
            </w:r>
          </w:p>
        </w:tc>
      </w:tr>
      <w:tr>
        <w:trPr>
          <w:cantSplit/>
        </w:trPr>
        <w:tc>
          <w:tcPr>
            <w:tcW w:w="3119" w:type="dxa"/>
          </w:tcPr>
          <w:p>
            <w:pPr>
              <w:pStyle w:val="nTable"/>
              <w:spacing w:after="40"/>
              <w:rPr>
                <w:i/>
                <w:sz w:val="19"/>
              </w:rPr>
            </w:pPr>
            <w:r>
              <w:rPr>
                <w:i/>
                <w:sz w:val="19"/>
              </w:rPr>
              <w:t>Pay</w:t>
            </w:r>
            <w:r>
              <w:rPr>
                <w:i/>
                <w:sz w:val="19"/>
              </w:rPr>
              <w:noBreakHyphen/>
              <w:t>roll Tax Assessment Amendment Regulations 2009</w:t>
            </w:r>
          </w:p>
        </w:tc>
        <w:tc>
          <w:tcPr>
            <w:tcW w:w="1276" w:type="dxa"/>
          </w:tcPr>
          <w:p>
            <w:pPr>
              <w:pStyle w:val="nTable"/>
              <w:spacing w:after="40"/>
              <w:rPr>
                <w:sz w:val="19"/>
              </w:rPr>
            </w:pPr>
            <w:r>
              <w:rPr>
                <w:sz w:val="19"/>
              </w:rPr>
              <w:t>19 Jun 2009 p. 2252</w:t>
            </w:r>
          </w:p>
        </w:tc>
        <w:tc>
          <w:tcPr>
            <w:tcW w:w="2693" w:type="dxa"/>
          </w:tcPr>
          <w:p>
            <w:pPr>
              <w:pStyle w:val="nTable"/>
              <w:spacing w:after="40"/>
              <w:rPr>
                <w:iCs/>
                <w:sz w:val="19"/>
              </w:rPr>
            </w:pPr>
            <w:r>
              <w:rPr>
                <w:iCs/>
                <w:sz w:val="19"/>
              </w:rPr>
              <w:t>r. 1 and 2: 19 Jun 2009 (see r. 2(a));</w:t>
            </w:r>
            <w:r>
              <w:rPr>
                <w:iCs/>
                <w:sz w:val="19"/>
              </w:rPr>
              <w:br/>
              <w:t>Regulations other than r. 1 and 2: 1 Jul 2009 (see r. 2(b))</w:t>
            </w:r>
          </w:p>
        </w:tc>
      </w:tr>
      <w:tr>
        <w:trPr>
          <w:cantSplit/>
        </w:trPr>
        <w:tc>
          <w:tcPr>
            <w:tcW w:w="7088" w:type="dxa"/>
            <w:gridSpan w:val="3"/>
          </w:tcPr>
          <w:p>
            <w:pPr>
              <w:pStyle w:val="nTable"/>
              <w:spacing w:after="40"/>
              <w:rPr>
                <w:iCs/>
                <w:sz w:val="19"/>
              </w:rPr>
            </w:pPr>
            <w:r>
              <w:rPr>
                <w:b/>
                <w:bCs/>
                <w:iCs/>
                <w:sz w:val="19"/>
              </w:rPr>
              <w:t xml:space="preserve">Reprint 2: The </w:t>
            </w:r>
            <w:r>
              <w:rPr>
                <w:b/>
                <w:bCs/>
                <w:i/>
                <w:sz w:val="19"/>
              </w:rPr>
              <w:t>Pay</w:t>
            </w:r>
            <w:r>
              <w:rPr>
                <w:b/>
                <w:bCs/>
                <w:i/>
                <w:sz w:val="19"/>
              </w:rPr>
              <w:noBreakHyphen/>
              <w:t>roll Tax Assessment Regulations 2003</w:t>
            </w:r>
            <w:r>
              <w:rPr>
                <w:b/>
                <w:bCs/>
                <w:iCs/>
                <w:sz w:val="19"/>
              </w:rPr>
              <w:t xml:space="preserve"> as at 14 Aug 2009</w:t>
            </w:r>
            <w:r>
              <w:rPr>
                <w:b/>
                <w:bCs/>
                <w:iCs/>
                <w:sz w:val="19"/>
              </w:rPr>
              <w:br/>
            </w:r>
            <w:r>
              <w:rPr>
                <w:iCs/>
                <w:sz w:val="19"/>
              </w:rPr>
              <w:t>(includes amendments listed above)</w:t>
            </w:r>
          </w:p>
        </w:tc>
      </w:tr>
      <w:tr>
        <w:trPr>
          <w:cantSplit/>
        </w:trPr>
        <w:tc>
          <w:tcPr>
            <w:tcW w:w="4395" w:type="dxa"/>
            <w:gridSpan w:val="2"/>
            <w:tcBorders>
              <w:bottom w:val="single" w:sz="4" w:space="0" w:color="auto"/>
            </w:tcBorders>
          </w:tcPr>
          <w:p>
            <w:pPr>
              <w:pStyle w:val="nTable"/>
              <w:spacing w:after="40"/>
              <w:rPr>
                <w:sz w:val="19"/>
              </w:rPr>
            </w:pPr>
            <w:r>
              <w:rPr>
                <w:i/>
                <w:sz w:val="19"/>
              </w:rPr>
              <w:t>Pay</w:t>
            </w:r>
            <w:r>
              <w:rPr>
                <w:i/>
                <w:sz w:val="19"/>
              </w:rPr>
              <w:noBreakHyphen/>
              <w:t>roll Tax Assessment Amendment Act 2010</w:t>
            </w:r>
            <w:r>
              <w:rPr>
                <w:iCs/>
                <w:sz w:val="19"/>
              </w:rPr>
              <w:t xml:space="preserve"> Part 3 assented to 25 Jun 2010</w:t>
            </w:r>
            <w:r>
              <w:rPr>
                <w:iCs/>
                <w:sz w:val="19"/>
                <w:vertAlign w:val="superscript"/>
              </w:rPr>
              <w:t> 9</w:t>
            </w:r>
          </w:p>
        </w:tc>
        <w:tc>
          <w:tcPr>
            <w:tcW w:w="2693" w:type="dxa"/>
            <w:tcBorders>
              <w:bottom w:val="single" w:sz="4" w:space="0" w:color="auto"/>
            </w:tcBorders>
          </w:tcPr>
          <w:p>
            <w:pPr>
              <w:pStyle w:val="nTable"/>
              <w:spacing w:after="40"/>
              <w:rPr>
                <w:iCs/>
                <w:sz w:val="19"/>
              </w:rPr>
            </w:pPr>
            <w:r>
              <w:rPr>
                <w:iCs/>
                <w:sz w:val="19"/>
              </w:rPr>
              <w:t>25 Jun 2010 (see s. 2(a))</w:t>
            </w:r>
          </w:p>
        </w:tc>
      </w:tr>
    </w:tbl>
    <w:p>
      <w:pPr>
        <w:pStyle w:val="nSubsection"/>
        <w:spacing w:before="160"/>
      </w:pPr>
      <w:r>
        <w:rPr>
          <w:vertAlign w:val="superscript"/>
        </w:rPr>
        <w:t>2</w:t>
      </w:r>
      <w:r>
        <w:tab/>
        <w:t xml:space="preserve">The </w:t>
      </w:r>
      <w:r>
        <w:rPr>
          <w:i/>
          <w:iCs/>
        </w:rPr>
        <w:t>Workplace Agreements Act 1993</w:t>
      </w:r>
      <w:r>
        <w:t xml:space="preserve"> expired 14 Sep 2003.</w:t>
      </w:r>
    </w:p>
    <w:p>
      <w:pPr>
        <w:pStyle w:val="nSubsection"/>
      </w:pPr>
      <w:r>
        <w:rPr>
          <w:vertAlign w:val="superscript"/>
        </w:rPr>
        <w:t>3</w:t>
      </w:r>
      <w:r>
        <w:tab/>
        <w:t>At the time of this reprint the Commissioner of Workplace Agreements does not exist.</w:t>
      </w:r>
    </w:p>
    <w:p>
      <w:pPr>
        <w:pStyle w:val="nSubsection"/>
      </w:pPr>
      <w:r>
        <w:rPr>
          <w:vertAlign w:val="superscript"/>
        </w:rPr>
        <w:t>4</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Pr>
        <w:pStyle w:val="nSubsection"/>
      </w:pPr>
      <w:r>
        <w:rPr>
          <w:vertAlign w:val="superscript"/>
        </w:rPr>
        <w:t>5</w:t>
      </w:r>
      <w:r>
        <w:tab/>
        <w:t xml:space="preserve">The Office of Water Regulation was abolished with effect 1 Jan 2004 (see Notice in </w:t>
      </w:r>
      <w:r>
        <w:rPr>
          <w:i/>
          <w:iCs/>
        </w:rPr>
        <w:t>Gazette</w:t>
      </w:r>
      <w:r>
        <w:t xml:space="preserve"> 6 Jan 2004 p. 41).</w:t>
      </w:r>
    </w:p>
    <w:p>
      <w:pPr>
        <w:pStyle w:val="nSubsection"/>
      </w:pPr>
      <w:r>
        <w:rPr>
          <w:vertAlign w:val="superscript"/>
        </w:rPr>
        <w:t>6</w:t>
      </w:r>
      <w:r>
        <w:tab/>
        <w:t xml:space="preserve">The </w:t>
      </w:r>
      <w:r>
        <w:rPr>
          <w:i/>
          <w:iCs/>
        </w:rPr>
        <w:t xml:space="preserve">Water Resources Legislation Amendment Act 2007 </w:t>
      </w:r>
      <w:r>
        <w:t>s. 223 reads as follows:</w:t>
      </w:r>
    </w:p>
    <w:p>
      <w:pPr>
        <w:pStyle w:val="BlankOpen"/>
      </w:pPr>
    </w:p>
    <w:p>
      <w:pPr>
        <w:pStyle w:val="nzHeading5"/>
      </w:pPr>
      <w:r>
        <w:t>223.</w:t>
      </w:r>
      <w:r>
        <w:tab/>
        <w:t>Agreements and instruments generally</w:t>
      </w:r>
    </w:p>
    <w:p>
      <w:pPr>
        <w:pStyle w:val="nzSubsection"/>
      </w:pPr>
      <w:r>
        <w:tab/>
        <w:t>(1)</w:t>
      </w:r>
      <w:r>
        <w:tab/>
        <w:t xml:space="preserve">Any agreement or instrument (including subsidiary legislation) in force immediately before the transfer time —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 xml:space="preserve">has effect after the transfer time, to the extent to which the agreement or instrument relates to the functions of a relevant successor to the former body, as if —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BlankClose"/>
      </w:pPr>
    </w:p>
    <w:p>
      <w:pPr>
        <w:pStyle w:val="nSubsection"/>
        <w:keepNext/>
        <w:keepLines/>
      </w:pPr>
      <w:r>
        <w:rPr>
          <w:vertAlign w:val="superscript"/>
        </w:rPr>
        <w:t>7</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Regulation 1</w:t>
      </w:r>
      <w:r>
        <w:noBreakHyphen/>
        <w:t>4 and Pt. 5 Div. 3 of those regulations read as follows:</w:t>
      </w:r>
    </w:p>
    <w:p>
      <w:pPr>
        <w:pStyle w:val="BlankOpen"/>
        <w:keepNext w:val="0"/>
        <w:keepLines w:val="0"/>
      </w:pPr>
      <w:bookmarkStart w:id="576" w:name="_Toc515958686"/>
      <w:bookmarkStart w:id="577" w:name="_Toc156617931"/>
    </w:p>
    <w:p>
      <w:pPr>
        <w:pStyle w:val="nzHeading5"/>
      </w:pPr>
      <w:r>
        <w:t>1.</w:t>
      </w:r>
      <w:r>
        <w:tab/>
        <w:t>Citation</w:t>
      </w:r>
      <w:bookmarkEnd w:id="576"/>
      <w:bookmarkEnd w:id="577"/>
    </w:p>
    <w:p>
      <w:pPr>
        <w:pStyle w:val="nzSubsection"/>
      </w:pPr>
      <w:r>
        <w:tab/>
      </w:r>
      <w:r>
        <w:tab/>
        <w:t xml:space="preserve">These regulations are the </w:t>
      </w:r>
      <w:r>
        <w:rPr>
          <w:i/>
          <w:iCs/>
        </w:rPr>
        <w:t>Commonwealth Places (Mirror Taxes Administration) Regulations 2007</w:t>
      </w:r>
      <w:r>
        <w:t>.</w:t>
      </w:r>
    </w:p>
    <w:p>
      <w:pPr>
        <w:pStyle w:val="nzHeading5"/>
      </w:pPr>
      <w:bookmarkStart w:id="578" w:name="_Toc515958687"/>
      <w:bookmarkStart w:id="579" w:name="_Toc156617932"/>
      <w:r>
        <w:t>2.</w:t>
      </w:r>
      <w:r>
        <w:tab/>
        <w:t>Commencement</w:t>
      </w:r>
      <w:bookmarkEnd w:id="578"/>
      <w:bookmarkEnd w:id="579"/>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580" w:name="_Toc125188319"/>
      <w:bookmarkStart w:id="581" w:name="_Toc156617933"/>
      <w:r>
        <w:t>3.</w:t>
      </w:r>
      <w:r>
        <w:tab/>
        <w:t>When certain modifications have effect</w:t>
      </w:r>
      <w:bookmarkEnd w:id="580"/>
      <w:bookmarkEnd w:id="581"/>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582" w:name="_Toc25468872"/>
      <w:bookmarkStart w:id="583" w:name="_Toc31620063"/>
      <w:bookmarkStart w:id="584" w:name="_Toc156617934"/>
      <w:r>
        <w:t>4.</w:t>
      </w:r>
      <w:r>
        <w:tab/>
        <w:t>Modification of State taxing laws</w:t>
      </w:r>
      <w:bookmarkEnd w:id="582"/>
      <w:bookmarkEnd w:id="583"/>
      <w:bookmarkEnd w:id="584"/>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585" w:name="_Toc144541802"/>
      <w:bookmarkStart w:id="586" w:name="_Toc144541888"/>
      <w:bookmarkStart w:id="587" w:name="_Toc144541972"/>
      <w:bookmarkStart w:id="588" w:name="_Toc144548772"/>
      <w:bookmarkStart w:id="589" w:name="_Toc144718468"/>
      <w:bookmarkStart w:id="590" w:name="_Toc144809164"/>
      <w:bookmarkStart w:id="591" w:name="_Toc144880996"/>
      <w:bookmarkStart w:id="592" w:name="_Toc145135892"/>
      <w:bookmarkStart w:id="593" w:name="_Toc145240323"/>
      <w:bookmarkStart w:id="594" w:name="_Toc145328508"/>
      <w:bookmarkStart w:id="595" w:name="_Toc145392264"/>
      <w:bookmarkStart w:id="596" w:name="_Toc145392898"/>
      <w:bookmarkStart w:id="597" w:name="_Toc145468630"/>
      <w:bookmarkStart w:id="598" w:name="_Toc145826957"/>
      <w:bookmarkStart w:id="599" w:name="_Toc145827104"/>
      <w:bookmarkStart w:id="600" w:name="_Toc145827228"/>
      <w:bookmarkStart w:id="601" w:name="_Toc145830390"/>
      <w:bookmarkStart w:id="602" w:name="_Toc145830499"/>
      <w:bookmarkStart w:id="603" w:name="_Toc145830943"/>
      <w:bookmarkStart w:id="604" w:name="_Toc145831502"/>
      <w:bookmarkStart w:id="605" w:name="_Toc145839566"/>
      <w:bookmarkStart w:id="606" w:name="_Toc145839659"/>
      <w:bookmarkStart w:id="607" w:name="_Toc145842632"/>
      <w:bookmarkStart w:id="608" w:name="_Toc145843164"/>
      <w:bookmarkStart w:id="609" w:name="_Toc145843451"/>
      <w:bookmarkStart w:id="610" w:name="_Toc145909057"/>
      <w:bookmarkStart w:id="611" w:name="_Toc145909748"/>
      <w:bookmarkStart w:id="612" w:name="_Toc145999344"/>
      <w:bookmarkStart w:id="613" w:name="_Toc146351964"/>
      <w:bookmarkStart w:id="614" w:name="_Toc146353122"/>
      <w:bookmarkStart w:id="615" w:name="_Toc146353236"/>
      <w:bookmarkStart w:id="616" w:name="_Toc146353582"/>
      <w:bookmarkStart w:id="617" w:name="_Toc146354056"/>
      <w:bookmarkStart w:id="618" w:name="_Toc146354602"/>
      <w:bookmarkStart w:id="619" w:name="_Toc146432548"/>
      <w:bookmarkStart w:id="620" w:name="_Toc146449904"/>
      <w:bookmarkStart w:id="621" w:name="_Toc146968897"/>
      <w:bookmarkStart w:id="622" w:name="_Toc147055879"/>
      <w:bookmarkStart w:id="623" w:name="_Toc147141318"/>
      <w:bookmarkStart w:id="624" w:name="_Toc147311411"/>
      <w:bookmarkStart w:id="625" w:name="_Toc147655513"/>
      <w:bookmarkStart w:id="626" w:name="_Toc147657744"/>
      <w:bookmarkStart w:id="627" w:name="_Toc147746239"/>
      <w:bookmarkStart w:id="628" w:name="_Toc148264707"/>
      <w:bookmarkStart w:id="629" w:name="_Toc148437930"/>
      <w:bookmarkStart w:id="630" w:name="_Toc148502716"/>
      <w:bookmarkStart w:id="631" w:name="_Toc148512925"/>
      <w:bookmarkStart w:id="632" w:name="_Toc148516536"/>
      <w:bookmarkStart w:id="633" w:name="_Toc150917046"/>
      <w:bookmarkStart w:id="634" w:name="_Toc150926155"/>
      <w:bookmarkStart w:id="635" w:name="_Toc150926657"/>
      <w:bookmarkStart w:id="636" w:name="_Toc150931312"/>
      <w:bookmarkStart w:id="637" w:name="_Toc150933931"/>
      <w:bookmarkStart w:id="638" w:name="_Toc151182319"/>
      <w:bookmarkStart w:id="639" w:name="_Toc151182438"/>
      <w:bookmarkStart w:id="640" w:name="_Toc151182532"/>
      <w:bookmarkStart w:id="641" w:name="_Toc151182626"/>
      <w:bookmarkStart w:id="642" w:name="_Toc151182921"/>
      <w:bookmarkStart w:id="643" w:name="_Toc151516978"/>
      <w:bookmarkStart w:id="644" w:name="_Toc153939276"/>
      <w:bookmarkStart w:id="645" w:name="_Toc153942093"/>
      <w:bookmarkStart w:id="646" w:name="_Toc153942187"/>
      <w:bookmarkStart w:id="647" w:name="_Toc156361783"/>
      <w:bookmarkStart w:id="648" w:name="_Toc156369120"/>
      <w:bookmarkStart w:id="649" w:name="_Toc156379993"/>
      <w:bookmarkStart w:id="650" w:name="_Toc156380692"/>
      <w:bookmarkStart w:id="651" w:name="_Toc156617861"/>
      <w:bookmarkStart w:id="652" w:name="_Toc156617974"/>
      <w:bookmarkStart w:id="653" w:name="_Toc160958681"/>
      <w:bookmarkStart w:id="654" w:name="_Toc160961580"/>
      <w:bookmarkStart w:id="655" w:name="_Toc144527159"/>
      <w:bookmarkStart w:id="656" w:name="_Toc144529127"/>
      <w:bookmarkStart w:id="657" w:name="_Toc144529702"/>
      <w:bookmarkStart w:id="658" w:name="_Toc144538015"/>
      <w:bookmarkStart w:id="659" w:name="_Toc144539539"/>
      <w:bookmarkStart w:id="660" w:name="_Toc144540255"/>
      <w:bookmarkStart w:id="661" w:name="_Toc144541766"/>
      <w:bookmarkStart w:id="662" w:name="_Toc144541852"/>
      <w:bookmarkStart w:id="663" w:name="_Toc144541936"/>
      <w:bookmarkStart w:id="664" w:name="_Toc144548736"/>
      <w:bookmarkStart w:id="665" w:name="_Toc144718432"/>
      <w:bookmarkStart w:id="666" w:name="_Toc144809128"/>
      <w:bookmarkStart w:id="667" w:name="_Toc144880960"/>
      <w:bookmarkStart w:id="668" w:name="_Toc145135856"/>
      <w:bookmarkStart w:id="669" w:name="_Toc145240287"/>
      <w:bookmarkStart w:id="670" w:name="_Toc145328472"/>
      <w:bookmarkStart w:id="671" w:name="_Toc145392228"/>
      <w:bookmarkStart w:id="672" w:name="_Toc145392862"/>
      <w:bookmarkStart w:id="673" w:name="_Toc145468594"/>
      <w:bookmarkStart w:id="674" w:name="_Toc145826921"/>
      <w:bookmarkStart w:id="675" w:name="_Toc145827068"/>
      <w:bookmarkStart w:id="676" w:name="_Toc145827192"/>
      <w:bookmarkStart w:id="677" w:name="_Toc145830354"/>
      <w:bookmarkStart w:id="678" w:name="_Toc145830463"/>
      <w:bookmarkStart w:id="679" w:name="_Toc145830907"/>
      <w:bookmarkStart w:id="680" w:name="_Toc145831466"/>
      <w:bookmarkStart w:id="681" w:name="_Toc145839530"/>
      <w:bookmarkStart w:id="682" w:name="_Toc145839623"/>
      <w:bookmarkStart w:id="683" w:name="_Toc145842596"/>
      <w:bookmarkStart w:id="684" w:name="_Toc145843128"/>
      <w:bookmarkStart w:id="685" w:name="_Toc145843415"/>
      <w:bookmarkStart w:id="686" w:name="_Toc145909021"/>
      <w:bookmarkStart w:id="687" w:name="_Toc145909712"/>
      <w:bookmarkStart w:id="688" w:name="_Toc145999308"/>
      <w:bookmarkStart w:id="689" w:name="_Toc146351928"/>
      <w:bookmarkStart w:id="690" w:name="_Toc146353086"/>
      <w:bookmarkStart w:id="691" w:name="_Toc146353200"/>
      <w:bookmarkStart w:id="692" w:name="_Toc146353546"/>
      <w:bookmarkStart w:id="693" w:name="_Toc146354020"/>
      <w:bookmarkStart w:id="694" w:name="_Toc146354566"/>
      <w:bookmarkStart w:id="695" w:name="_Toc146432512"/>
      <w:bookmarkStart w:id="696" w:name="_Toc146449868"/>
      <w:bookmarkStart w:id="697" w:name="_Toc146968861"/>
      <w:bookmarkStart w:id="698" w:name="_Toc147055843"/>
      <w:bookmarkStart w:id="699" w:name="_Toc147141282"/>
      <w:bookmarkStart w:id="700" w:name="_Toc147311375"/>
      <w:bookmarkStart w:id="701" w:name="_Toc147655477"/>
      <w:bookmarkStart w:id="702" w:name="_Toc147657708"/>
      <w:bookmarkStart w:id="703" w:name="_Toc147746203"/>
      <w:bookmarkStart w:id="704" w:name="_Toc148264671"/>
      <w:bookmarkStart w:id="705" w:name="_Toc148437894"/>
      <w:bookmarkStart w:id="706" w:name="_Toc148502680"/>
      <w:bookmarkStart w:id="707" w:name="_Toc148512888"/>
      <w:bookmarkStart w:id="708" w:name="_Toc148516499"/>
      <w:bookmarkStart w:id="709" w:name="_Toc150917009"/>
      <w:bookmarkStart w:id="710" w:name="_Toc150926118"/>
      <w:bookmarkStart w:id="711" w:name="_Toc150926620"/>
      <w:bookmarkStart w:id="712" w:name="_Toc150931275"/>
      <w:bookmarkStart w:id="713" w:name="_Toc150933894"/>
      <w:bookmarkStart w:id="714" w:name="_Toc151182282"/>
      <w:bookmarkStart w:id="715" w:name="_Toc151182401"/>
      <w:bookmarkStart w:id="716" w:name="_Toc151182495"/>
      <w:bookmarkStart w:id="717" w:name="_Toc151182589"/>
      <w:bookmarkStart w:id="718" w:name="_Toc151182884"/>
      <w:bookmarkStart w:id="719" w:name="_Toc151516941"/>
      <w:bookmarkStart w:id="720" w:name="_Toc153939239"/>
      <w:bookmarkStart w:id="721" w:name="_Toc153942056"/>
      <w:bookmarkStart w:id="722" w:name="_Toc153942150"/>
      <w:bookmarkStart w:id="723" w:name="_Toc156361746"/>
      <w:bookmarkStart w:id="724" w:name="_Toc156369083"/>
      <w:bookmarkStart w:id="725" w:name="_Toc156379956"/>
      <w:bookmarkStart w:id="726" w:name="_Toc156380655"/>
      <w:bookmarkStart w:id="727" w:name="_Toc156617824"/>
      <w:bookmarkStart w:id="728" w:name="_Toc156617937"/>
      <w:bookmarkStart w:id="729" w:name="_Toc160958652"/>
      <w:bookmarkStart w:id="730" w:name="_Toc160961551"/>
      <w:bookmarkStart w:id="731" w:name="_Toc143492419"/>
      <w:bookmarkStart w:id="732" w:name="_Toc143493905"/>
      <w:bookmarkStart w:id="733" w:name="_Toc143495202"/>
      <w:bookmarkStart w:id="734" w:name="_Toc144187200"/>
      <w:bookmarkStart w:id="735" w:name="_Toc144193718"/>
      <w:bookmarkStart w:id="736" w:name="_Toc144527188"/>
      <w:bookmarkStart w:id="737" w:name="_Toc144529142"/>
      <w:bookmarkStart w:id="738" w:name="_Toc144529717"/>
      <w:bookmarkStart w:id="739" w:name="_Toc144538055"/>
      <w:bookmarkStart w:id="740" w:name="_Toc144539579"/>
      <w:bookmarkStart w:id="741" w:name="_Toc144540293"/>
      <w:r>
        <w:t>Part 5 — Pay</w:t>
      </w:r>
      <w:r>
        <w:noBreakHyphen/>
        <w:t>roll tax</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nzHeading3"/>
      </w:pPr>
      <w:bookmarkStart w:id="742" w:name="_Toc147055891"/>
      <w:bookmarkStart w:id="743" w:name="_Toc147141330"/>
      <w:bookmarkStart w:id="744" w:name="_Toc147311423"/>
      <w:bookmarkStart w:id="745" w:name="_Toc147655532"/>
      <w:bookmarkStart w:id="746" w:name="_Toc147657763"/>
      <w:bookmarkStart w:id="747" w:name="_Toc147746258"/>
      <w:bookmarkStart w:id="748" w:name="_Toc148264725"/>
      <w:bookmarkStart w:id="749" w:name="_Toc148437948"/>
      <w:bookmarkStart w:id="750" w:name="_Toc148502734"/>
      <w:bookmarkStart w:id="751" w:name="_Toc148512943"/>
      <w:bookmarkStart w:id="752" w:name="_Toc148516554"/>
      <w:bookmarkStart w:id="753" w:name="_Toc150917064"/>
      <w:bookmarkStart w:id="754" w:name="_Toc150926173"/>
      <w:bookmarkStart w:id="755" w:name="_Toc150926675"/>
      <w:bookmarkStart w:id="756" w:name="_Toc150931330"/>
      <w:bookmarkStart w:id="757" w:name="_Toc150933949"/>
      <w:bookmarkStart w:id="758" w:name="_Toc151182337"/>
      <w:bookmarkStart w:id="759" w:name="_Toc151182456"/>
      <w:bookmarkStart w:id="760" w:name="_Toc151182550"/>
      <w:bookmarkStart w:id="761" w:name="_Toc151182644"/>
      <w:bookmarkStart w:id="762" w:name="_Toc151182939"/>
      <w:bookmarkStart w:id="763" w:name="_Toc151516996"/>
      <w:bookmarkStart w:id="764" w:name="_Toc153939294"/>
      <w:bookmarkStart w:id="765" w:name="_Toc153942111"/>
      <w:bookmarkStart w:id="766" w:name="_Toc153942205"/>
      <w:bookmarkStart w:id="767" w:name="_Toc156361801"/>
      <w:bookmarkStart w:id="768" w:name="_Toc156369138"/>
      <w:bookmarkStart w:id="769" w:name="_Toc156380011"/>
      <w:bookmarkStart w:id="770" w:name="_Toc156380710"/>
      <w:bookmarkStart w:id="771" w:name="_Toc156617879"/>
      <w:bookmarkStart w:id="772" w:name="_Toc156617992"/>
      <w:bookmarkStart w:id="773" w:name="_Toc160958694"/>
      <w:bookmarkStart w:id="774" w:name="_Toc160961593"/>
      <w:bookmarkStart w:id="775" w:name="_Toc144529724"/>
      <w:bookmarkStart w:id="776" w:name="_Toc156617980"/>
      <w:bookmarkStart w:id="777" w:name="_Toc160961585"/>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r>
        <w:t xml:space="preserve">Division 3 — The </w:t>
      </w:r>
      <w:r>
        <w:rPr>
          <w:i/>
          <w:iCs/>
        </w:rPr>
        <w:t>Pay</w:t>
      </w:r>
      <w:r>
        <w:rPr>
          <w:i/>
          <w:iCs/>
        </w:rPr>
        <w:noBreakHyphen/>
        <w:t>roll Tax Assessment Regulations 2003</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nzHeading5"/>
        <w:rPr>
          <w:i/>
        </w:rPr>
      </w:pPr>
      <w:bookmarkStart w:id="778" w:name="_Toc144529729"/>
      <w:bookmarkStart w:id="779" w:name="_Toc156617993"/>
      <w:bookmarkStart w:id="780" w:name="_Toc160961594"/>
      <w:r>
        <w:rPr>
          <w:rStyle w:val="CharSectno"/>
        </w:rPr>
        <w:t>35</w:t>
      </w:r>
      <w:r>
        <w:t>.</w:t>
      </w:r>
      <w:r>
        <w:tab/>
        <w:t xml:space="preserve">Modification of the </w:t>
      </w:r>
      <w:r>
        <w:rPr>
          <w:i/>
        </w:rPr>
        <w:t>Pay</w:t>
      </w:r>
      <w:r>
        <w:rPr>
          <w:i/>
        </w:rPr>
        <w:noBreakHyphen/>
        <w:t>roll Tax Assessment Regulations 2003</w:t>
      </w:r>
      <w:bookmarkEnd w:id="778"/>
      <w:bookmarkEnd w:id="779"/>
      <w:bookmarkEnd w:id="780"/>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Western Australia.</w:t>
      </w:r>
    </w:p>
    <w:p>
      <w:pPr>
        <w:pStyle w:val="nzHeading5"/>
      </w:pPr>
      <w:bookmarkStart w:id="781" w:name="_Toc144529730"/>
      <w:bookmarkStart w:id="782" w:name="_Toc156617994"/>
      <w:bookmarkStart w:id="783" w:name="_Toc160961595"/>
      <w:r>
        <w:rPr>
          <w:rStyle w:val="CharSectno"/>
        </w:rPr>
        <w:t>36</w:t>
      </w:r>
      <w:r>
        <w:t>.</w:t>
      </w:r>
      <w:r>
        <w:tab/>
        <w:t>Regulation 3A inserted</w:t>
      </w:r>
      <w:bookmarkEnd w:id="781"/>
      <w:bookmarkEnd w:id="782"/>
      <w:bookmarkEnd w:id="783"/>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bookmarkStart w:id="784" w:name="_Toc144529731"/>
      <w:bookmarkStart w:id="785" w:name="_Toc156617995"/>
      <w:r>
        <w:rPr>
          <w:b/>
        </w:rPr>
        <w:tab/>
        <w:t>3A.</w:t>
      </w:r>
      <w:r>
        <w:rPr>
          <w:b/>
        </w:rPr>
        <w:tab/>
        <w:t>Application of regulations in non</w:t>
      </w:r>
      <w:r>
        <w:rPr>
          <w:b/>
        </w:rPr>
        <w:noBreakHyphen/>
        <w:t>Commonwealth places</w:t>
      </w:r>
      <w:bookmarkEnd w:id="784"/>
      <w:bookmarkEnd w:id="785"/>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left" w:pos="2016"/>
        </w:tabs>
        <w:ind w:left="2040" w:hanging="906"/>
        <w:rPr>
          <w:spacing w:val="-4"/>
        </w:rPr>
      </w:pPr>
      <w:r>
        <w:rPr>
          <w:spacing w:val="-4"/>
        </w:rPr>
        <w:tab/>
      </w:r>
      <w:r>
        <w:rPr>
          <w:b/>
          <w:bCs/>
          <w:i/>
          <w:iCs/>
        </w:rPr>
        <w:t>applied Pay</w:t>
      </w:r>
      <w:r>
        <w:rPr>
          <w:b/>
          <w:bCs/>
          <w:i/>
          <w:iCs/>
        </w:rPr>
        <w:noBreakHyphen/>
        <w:t>roll Tax Assessment Regulations</w:t>
      </w:r>
      <w:r>
        <w:t xml:space="preserve"> means the </w:t>
      </w:r>
      <w:r>
        <w:rPr>
          <w:i/>
        </w:rPr>
        <w:t>Pay</w:t>
      </w:r>
      <w:r>
        <w:rPr>
          <w:i/>
        </w:rPr>
        <w:noBreakHyphen/>
        <w:t>roll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Western Australia.</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bookmarkEnd w:id="775"/>
    <w:bookmarkEnd w:id="776"/>
    <w:bookmarkEnd w:id="777"/>
    <w:p>
      <w:pPr>
        <w:pStyle w:val="BlankClose"/>
      </w:pPr>
    </w:p>
    <w:p>
      <w:pPr>
        <w:pStyle w:val="nSubsection"/>
      </w:pPr>
      <w:r>
        <w:rPr>
          <w:vertAlign w:val="superscript"/>
        </w:rPr>
        <w:t>8</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Clause 1</w:t>
      </w:r>
      <w:r>
        <w:noBreakHyphen/>
        <w:t>5 and Pt. 5 Div. 3 of that notice read as follows:</w:t>
      </w:r>
    </w:p>
    <w:p>
      <w:pPr>
        <w:pStyle w:val="BlankOpen"/>
      </w:pPr>
    </w:p>
    <w:p>
      <w:pPr>
        <w:pStyle w:val="nzHeading5"/>
      </w:pPr>
      <w:bookmarkStart w:id="786" w:name="_Toc156621577"/>
      <w:bookmarkStart w:id="787" w:name="_Toc161561296"/>
      <w:bookmarkStart w:id="788" w:name="_Toc31794758"/>
      <w:bookmarkStart w:id="789" w:name="_Toc156621581"/>
      <w:bookmarkStart w:id="790" w:name="_Toc161561300"/>
      <w:r>
        <w:rPr>
          <w:rStyle w:val="CharSectno"/>
        </w:rPr>
        <w:t>1</w:t>
      </w:r>
      <w:r>
        <w:t>.</w:t>
      </w:r>
      <w:r>
        <w:tab/>
        <w:t>Citation</w:t>
      </w:r>
      <w:bookmarkEnd w:id="786"/>
      <w:bookmarkEnd w:id="787"/>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791" w:name="_Toc156621578"/>
      <w:bookmarkStart w:id="792" w:name="_Toc161561297"/>
      <w:r>
        <w:rPr>
          <w:rStyle w:val="CharSectno"/>
        </w:rPr>
        <w:t>2</w:t>
      </w:r>
      <w:r>
        <w:rPr>
          <w:spacing w:val="-2"/>
        </w:rPr>
        <w:t>.</w:t>
      </w:r>
      <w:r>
        <w:rPr>
          <w:spacing w:val="-2"/>
        </w:rPr>
        <w:tab/>
        <w:t>Commencement</w:t>
      </w:r>
      <w:bookmarkEnd w:id="791"/>
      <w:bookmarkEnd w:id="79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793" w:name="_Toc156621579"/>
      <w:bookmarkStart w:id="794" w:name="_Toc161561298"/>
      <w:r>
        <w:rPr>
          <w:rStyle w:val="CharSectno"/>
        </w:rPr>
        <w:t>3</w:t>
      </w:r>
      <w:r>
        <w:t>.</w:t>
      </w:r>
      <w:r>
        <w:tab/>
        <w:t>When certain modifications have effect</w:t>
      </w:r>
      <w:bookmarkEnd w:id="793"/>
      <w:bookmarkEnd w:id="79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795" w:name="_Toc31794757"/>
      <w:bookmarkStart w:id="796" w:name="_Toc156621580"/>
      <w:bookmarkStart w:id="797" w:name="_Toc161561299"/>
      <w:r>
        <w:rPr>
          <w:rStyle w:val="CharSectno"/>
        </w:rPr>
        <w:t>4</w:t>
      </w:r>
      <w:r>
        <w:t>.</w:t>
      </w:r>
      <w:r>
        <w:tab/>
        <w:t>Definitions</w:t>
      </w:r>
      <w:bookmarkEnd w:id="795"/>
      <w:bookmarkEnd w:id="796"/>
      <w:bookmarkEnd w:id="797"/>
    </w:p>
    <w:p>
      <w:pPr>
        <w:pStyle w:val="nzSubsection"/>
      </w:pPr>
      <w:r>
        <w:tab/>
      </w:r>
      <w:r>
        <w:tab/>
        <w:t xml:space="preserve">In this notice — </w:t>
      </w:r>
    </w:p>
    <w:p>
      <w:pPr>
        <w:pStyle w:val="nzDefstart"/>
      </w:pPr>
      <w:r>
        <w:rPr>
          <w:b/>
          <w:bCs/>
          <w:i/>
          <w:iCs/>
        </w:rPr>
        <w:tab/>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bCs/>
          <w:i/>
          <w:iCs/>
        </w:rPr>
        <w:tab/>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bCs/>
          <w:i/>
          <w:iCs/>
        </w:rPr>
        <w:tab/>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788"/>
      <w:bookmarkEnd w:id="789"/>
      <w:bookmarkEnd w:id="790"/>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798" w:name="_Toc144705772"/>
      <w:bookmarkStart w:id="799" w:name="_Toc144706639"/>
      <w:bookmarkStart w:id="800" w:name="_Toc144707062"/>
      <w:bookmarkStart w:id="801" w:name="_Toc144718517"/>
      <w:bookmarkStart w:id="802" w:name="_Toc144809028"/>
      <w:bookmarkStart w:id="803" w:name="_Toc144880860"/>
      <w:bookmarkStart w:id="804" w:name="_Toc145136018"/>
      <w:bookmarkStart w:id="805" w:name="_Toc145240372"/>
      <w:bookmarkStart w:id="806" w:name="_Toc145319338"/>
      <w:bookmarkStart w:id="807" w:name="_Toc145328374"/>
      <w:bookmarkStart w:id="808" w:name="_Toc145392313"/>
      <w:bookmarkStart w:id="809" w:name="_Toc145392763"/>
      <w:bookmarkStart w:id="810" w:name="_Toc145468679"/>
      <w:bookmarkStart w:id="811" w:name="_Toc145739098"/>
      <w:bookmarkStart w:id="812" w:name="_Toc145740195"/>
      <w:bookmarkStart w:id="813" w:name="_Toc145740804"/>
      <w:bookmarkStart w:id="814" w:name="_Toc145743786"/>
      <w:bookmarkStart w:id="815" w:name="_Toc145743905"/>
      <w:bookmarkStart w:id="816" w:name="_Toc145744353"/>
      <w:bookmarkStart w:id="817" w:name="_Toc145752405"/>
      <w:bookmarkStart w:id="818" w:name="_Toc145754425"/>
      <w:bookmarkStart w:id="819" w:name="_Toc145754566"/>
      <w:bookmarkStart w:id="820" w:name="_Toc145754665"/>
      <w:bookmarkStart w:id="821" w:name="_Toc145756009"/>
      <w:bookmarkStart w:id="822" w:name="_Toc145757566"/>
      <w:bookmarkStart w:id="823" w:name="_Toc145814082"/>
      <w:bookmarkStart w:id="824" w:name="_Toc145815395"/>
      <w:bookmarkStart w:id="825" w:name="_Toc145819841"/>
      <w:bookmarkStart w:id="826" w:name="_Toc145822109"/>
      <w:bookmarkStart w:id="827" w:name="_Toc145822674"/>
      <w:bookmarkStart w:id="828" w:name="_Toc145823453"/>
      <w:bookmarkStart w:id="829" w:name="_Toc145823616"/>
      <w:bookmarkStart w:id="830" w:name="_Toc145823737"/>
      <w:bookmarkStart w:id="831" w:name="_Toc145824318"/>
      <w:bookmarkStart w:id="832" w:name="_Toc145999452"/>
      <w:bookmarkStart w:id="833" w:name="_Toc146017369"/>
      <w:bookmarkStart w:id="834" w:name="_Toc146017468"/>
      <w:bookmarkStart w:id="835" w:name="_Toc146017567"/>
      <w:bookmarkStart w:id="836" w:name="_Toc146017666"/>
      <w:bookmarkStart w:id="837" w:name="_Toc146345948"/>
      <w:bookmarkStart w:id="838" w:name="_Toc147055930"/>
      <w:bookmarkStart w:id="839" w:name="_Toc147311276"/>
      <w:bookmarkStart w:id="840" w:name="_Toc147746104"/>
      <w:bookmarkStart w:id="841" w:name="_Toc148257794"/>
      <w:bookmarkStart w:id="842" w:name="_Toc148259133"/>
      <w:bookmarkStart w:id="843" w:name="_Toc148264564"/>
      <w:bookmarkStart w:id="844" w:name="_Toc148437788"/>
      <w:bookmarkStart w:id="845" w:name="_Toc148502773"/>
      <w:bookmarkStart w:id="846" w:name="_Toc148512782"/>
      <w:bookmarkStart w:id="847" w:name="_Toc148516393"/>
      <w:bookmarkStart w:id="848" w:name="_Toc150655905"/>
      <w:bookmarkStart w:id="849" w:name="_Toc150656424"/>
      <w:bookmarkStart w:id="850" w:name="_Toc150761735"/>
      <w:bookmarkStart w:id="851" w:name="_Toc150931395"/>
      <w:bookmarkStart w:id="852" w:name="_Toc150931575"/>
      <w:bookmarkStart w:id="853" w:name="_Toc151193096"/>
      <w:bookmarkStart w:id="854" w:name="_Toc151193457"/>
      <w:bookmarkStart w:id="855" w:name="_Toc151193831"/>
      <w:bookmarkStart w:id="856" w:name="_Toc151194392"/>
      <w:bookmarkStart w:id="857" w:name="_Toc151194498"/>
      <w:bookmarkStart w:id="858" w:name="_Toc151517204"/>
      <w:bookmarkStart w:id="859" w:name="_Toc153939133"/>
      <w:bookmarkStart w:id="860" w:name="_Toc153941844"/>
      <w:bookmarkStart w:id="861" w:name="_Toc153941950"/>
      <w:bookmarkStart w:id="862" w:name="_Toc156361640"/>
      <w:bookmarkStart w:id="863" w:name="_Toc156368290"/>
      <w:bookmarkStart w:id="864" w:name="_Toc156369177"/>
      <w:bookmarkStart w:id="865" w:name="_Toc156380549"/>
      <w:bookmarkStart w:id="866" w:name="_Toc156619084"/>
      <w:bookmarkStart w:id="867" w:name="_Toc156619190"/>
      <w:bookmarkStart w:id="868" w:name="_Toc156619296"/>
      <w:bookmarkStart w:id="869" w:name="_Toc156621583"/>
      <w:bookmarkStart w:id="870" w:name="_Toc161561302"/>
      <w:bookmarkStart w:id="871" w:name="_Toc144284678"/>
      <w:bookmarkStart w:id="872" w:name="_Toc144290520"/>
      <w:bookmarkStart w:id="873" w:name="_Toc144290725"/>
      <w:bookmarkStart w:id="874" w:name="_Toc144527082"/>
      <w:bookmarkStart w:id="875" w:name="_Toc144529619"/>
      <w:bookmarkStart w:id="876" w:name="_Toc144529660"/>
      <w:bookmarkStart w:id="877" w:name="_Toc144538192"/>
      <w:bookmarkStart w:id="878" w:name="_Toc144548630"/>
      <w:bookmarkStart w:id="879" w:name="_Toc144705181"/>
      <w:r>
        <w:rPr>
          <w:rStyle w:val="CharPartNo"/>
        </w:rPr>
        <w:t>Part 5</w:t>
      </w:r>
      <w:r>
        <w:t> — </w:t>
      </w:r>
      <w:r>
        <w:rPr>
          <w:rStyle w:val="CharPartText"/>
        </w:rPr>
        <w:t>Pay</w:t>
      </w:r>
      <w:r>
        <w:rPr>
          <w:rStyle w:val="CharPartText"/>
        </w:rPr>
        <w:noBreakHyphen/>
        <w:t>roll tax</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nzHeading3"/>
      </w:pPr>
      <w:bookmarkStart w:id="880" w:name="_Toc144284725"/>
      <w:bookmarkStart w:id="881" w:name="_Toc144290565"/>
      <w:bookmarkStart w:id="882" w:name="_Toc144290770"/>
      <w:bookmarkStart w:id="883" w:name="_Toc144527127"/>
      <w:bookmarkStart w:id="884" w:name="_Toc144529649"/>
      <w:bookmarkStart w:id="885" w:name="_Toc144529690"/>
      <w:bookmarkStart w:id="886" w:name="_Toc144538248"/>
      <w:bookmarkStart w:id="887" w:name="_Toc144548686"/>
      <w:bookmarkStart w:id="888" w:name="_Toc144705237"/>
      <w:bookmarkStart w:id="889" w:name="_Toc144705826"/>
      <w:bookmarkStart w:id="890" w:name="_Toc144706691"/>
      <w:bookmarkStart w:id="891" w:name="_Toc144707114"/>
      <w:bookmarkStart w:id="892" w:name="_Toc144718569"/>
      <w:bookmarkStart w:id="893" w:name="_Toc144809079"/>
      <w:bookmarkStart w:id="894" w:name="_Toc144880911"/>
      <w:bookmarkStart w:id="895" w:name="_Toc145136066"/>
      <w:bookmarkStart w:id="896" w:name="_Toc145240420"/>
      <w:bookmarkStart w:id="897" w:name="_Toc145319386"/>
      <w:bookmarkStart w:id="898" w:name="_Toc145328422"/>
      <w:bookmarkStart w:id="899" w:name="_Toc145392361"/>
      <w:bookmarkStart w:id="900" w:name="_Toc145392811"/>
      <w:bookmarkStart w:id="901" w:name="_Toc145468727"/>
      <w:bookmarkStart w:id="902" w:name="_Toc145739146"/>
      <w:bookmarkStart w:id="903" w:name="_Toc145740243"/>
      <w:bookmarkStart w:id="904" w:name="_Toc145740852"/>
      <w:bookmarkStart w:id="905" w:name="_Toc145743834"/>
      <w:bookmarkStart w:id="906" w:name="_Toc145743953"/>
      <w:bookmarkStart w:id="907" w:name="_Toc145744401"/>
      <w:bookmarkStart w:id="908" w:name="_Toc145752453"/>
      <w:bookmarkStart w:id="909" w:name="_Toc145754473"/>
      <w:bookmarkStart w:id="910" w:name="_Toc145754614"/>
      <w:bookmarkStart w:id="911" w:name="_Toc145754713"/>
      <w:bookmarkStart w:id="912" w:name="_Toc145756057"/>
      <w:bookmarkStart w:id="913" w:name="_Toc145757614"/>
      <w:bookmarkStart w:id="914" w:name="_Toc145814130"/>
      <w:bookmarkStart w:id="915" w:name="_Toc145815443"/>
      <w:bookmarkStart w:id="916" w:name="_Toc145819889"/>
      <w:bookmarkStart w:id="917" w:name="_Toc145822157"/>
      <w:bookmarkStart w:id="918" w:name="_Toc145822722"/>
      <w:bookmarkStart w:id="919" w:name="_Toc145823501"/>
      <w:bookmarkStart w:id="920" w:name="_Toc145823664"/>
      <w:bookmarkStart w:id="921" w:name="_Toc145823785"/>
      <w:bookmarkStart w:id="922" w:name="_Toc145824366"/>
      <w:bookmarkStart w:id="923" w:name="_Toc145999500"/>
      <w:bookmarkStart w:id="924" w:name="_Toc146017417"/>
      <w:bookmarkStart w:id="925" w:name="_Toc146017516"/>
      <w:bookmarkStart w:id="926" w:name="_Toc146017615"/>
      <w:bookmarkStart w:id="927" w:name="_Toc146017714"/>
      <w:bookmarkStart w:id="928" w:name="_Toc146345996"/>
      <w:bookmarkStart w:id="929" w:name="_Toc147055978"/>
      <w:bookmarkStart w:id="930" w:name="_Toc147311324"/>
      <w:bookmarkStart w:id="931" w:name="_Toc147746152"/>
      <w:bookmarkStart w:id="932" w:name="_Toc148257843"/>
      <w:bookmarkStart w:id="933" w:name="_Toc148259182"/>
      <w:bookmarkStart w:id="934" w:name="_Toc148264620"/>
      <w:bookmarkStart w:id="935" w:name="_Toc148437844"/>
      <w:bookmarkStart w:id="936" w:name="_Toc148502829"/>
      <w:bookmarkStart w:id="937" w:name="_Toc148512838"/>
      <w:bookmarkStart w:id="938" w:name="_Toc148516449"/>
      <w:bookmarkStart w:id="939" w:name="_Toc150655961"/>
      <w:bookmarkStart w:id="940" w:name="_Toc150656480"/>
      <w:bookmarkStart w:id="941" w:name="_Toc150761791"/>
      <w:bookmarkStart w:id="942" w:name="_Toc150931451"/>
      <w:bookmarkStart w:id="943" w:name="_Toc150931631"/>
      <w:bookmarkStart w:id="944" w:name="_Toc151193152"/>
      <w:bookmarkStart w:id="945" w:name="_Toc151193513"/>
      <w:bookmarkStart w:id="946" w:name="_Toc151193887"/>
      <w:bookmarkStart w:id="947" w:name="_Toc151194448"/>
      <w:bookmarkStart w:id="948" w:name="_Toc151194554"/>
      <w:bookmarkStart w:id="949" w:name="_Toc151517260"/>
      <w:bookmarkStart w:id="950" w:name="_Toc153939189"/>
      <w:bookmarkStart w:id="951" w:name="_Toc153941900"/>
      <w:bookmarkStart w:id="952" w:name="_Toc153942006"/>
      <w:bookmarkStart w:id="953" w:name="_Toc156361696"/>
      <w:bookmarkStart w:id="954" w:name="_Toc156368346"/>
      <w:bookmarkStart w:id="955" w:name="_Toc156369233"/>
      <w:bookmarkStart w:id="956" w:name="_Toc156380605"/>
      <w:bookmarkStart w:id="957" w:name="_Toc156619140"/>
      <w:bookmarkStart w:id="958" w:name="_Toc156619246"/>
      <w:bookmarkStart w:id="959" w:name="_Toc156619352"/>
      <w:bookmarkStart w:id="960" w:name="_Toc156621639"/>
      <w:bookmarkStart w:id="961" w:name="_Toc161561358"/>
      <w:bookmarkEnd w:id="871"/>
      <w:bookmarkEnd w:id="872"/>
      <w:bookmarkEnd w:id="873"/>
      <w:bookmarkEnd w:id="874"/>
      <w:bookmarkEnd w:id="875"/>
      <w:bookmarkEnd w:id="876"/>
      <w:bookmarkEnd w:id="877"/>
      <w:bookmarkEnd w:id="878"/>
      <w:bookmarkEnd w:id="879"/>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nzHeading5"/>
      </w:pPr>
      <w:bookmarkStart w:id="962" w:name="_Toc144529691"/>
      <w:bookmarkStart w:id="963" w:name="_Toc156621640"/>
      <w:bookmarkStart w:id="964" w:name="_Toc161561359"/>
      <w:r>
        <w:rPr>
          <w:rStyle w:val="CharSectno"/>
        </w:rPr>
        <w:t>36</w:t>
      </w:r>
      <w:r>
        <w:t>.</w:t>
      </w:r>
      <w:r>
        <w:tab/>
        <w:t xml:space="preserve">Modification of the applied </w:t>
      </w:r>
      <w:r>
        <w:rPr>
          <w:i/>
          <w:iCs/>
        </w:rPr>
        <w:t>Pay</w:t>
      </w:r>
      <w:r>
        <w:rPr>
          <w:i/>
          <w:iCs/>
        </w:rPr>
        <w:noBreakHyphen/>
        <w:t>roll Tax Assessment Regulations 2003</w:t>
      </w:r>
      <w:bookmarkEnd w:id="962"/>
      <w:bookmarkEnd w:id="963"/>
      <w:bookmarkEnd w:id="964"/>
    </w:p>
    <w:p>
      <w:pPr>
        <w:pStyle w:val="nzSubsection"/>
      </w:pPr>
      <w:r>
        <w:tab/>
      </w:r>
      <w:r>
        <w:tab/>
        <w:t xml:space="preserve">This Division sets out modifications of the </w:t>
      </w:r>
      <w:r>
        <w:rPr>
          <w:i/>
        </w:rPr>
        <w:t>Pay</w:t>
      </w:r>
      <w:r>
        <w:rPr>
          <w:i/>
        </w:rPr>
        <w:noBreakHyphen/>
        <w:t>roll Tax Assessment Regulations 2003</w:t>
      </w:r>
      <w:r>
        <w:t xml:space="preserve"> of Western Australia in their application as a law of the Commonwealth in or in relation to Commonwealth places in Western Australia.</w:t>
      </w:r>
    </w:p>
    <w:p>
      <w:pPr>
        <w:pStyle w:val="nzHeading5"/>
      </w:pPr>
      <w:bookmarkStart w:id="965" w:name="_Toc144529692"/>
      <w:bookmarkStart w:id="966" w:name="_Toc156621641"/>
      <w:bookmarkStart w:id="967" w:name="_Toc161561360"/>
      <w:r>
        <w:rPr>
          <w:rStyle w:val="CharSectno"/>
        </w:rPr>
        <w:t>37</w:t>
      </w:r>
      <w:r>
        <w:t>.</w:t>
      </w:r>
      <w:r>
        <w:tab/>
        <w:t>Regulation 3A inserted</w:t>
      </w:r>
      <w:bookmarkEnd w:id="965"/>
      <w:bookmarkEnd w:id="966"/>
      <w:bookmarkEnd w:id="967"/>
    </w:p>
    <w:p>
      <w:pPr>
        <w:pStyle w:val="nzSubsection"/>
      </w:pPr>
      <w:r>
        <w:tab/>
      </w:r>
      <w:r>
        <w:tab/>
        <w:t xml:space="preserve">After regulation 3 the following regulation is inserted — </w:t>
      </w:r>
    </w:p>
    <w:p>
      <w:pPr>
        <w:pStyle w:val="MiscOpen"/>
      </w:pPr>
      <w:r>
        <w:t xml:space="preserve">“    </w:t>
      </w:r>
    </w:p>
    <w:p>
      <w:pPr>
        <w:pStyle w:val="nzHeading5"/>
      </w:pPr>
      <w:bookmarkStart w:id="968" w:name="_Toc144529693"/>
      <w:bookmarkStart w:id="969" w:name="_Toc156621642"/>
      <w:bookmarkStart w:id="970" w:name="_Toc161561361"/>
      <w:r>
        <w:t>3A.</w:t>
      </w:r>
      <w:r>
        <w:tab/>
        <w:t>Application of regulations in Commonwealth places</w:t>
      </w:r>
      <w:bookmarkEnd w:id="968"/>
      <w:bookmarkEnd w:id="969"/>
      <w:bookmarkEnd w:id="970"/>
    </w:p>
    <w:p>
      <w:pPr>
        <w:pStyle w:val="nzSubsection"/>
      </w:pPr>
      <w:r>
        <w:tab/>
        <w:t>(1)</w:t>
      </w:r>
      <w:r>
        <w:tab/>
        <w:t xml:space="preserve">In this regulation — </w:t>
      </w:r>
    </w:p>
    <w:p>
      <w:pPr>
        <w:pStyle w:val="nzDefstart"/>
      </w:pPr>
      <w:r>
        <w:rPr>
          <w:b/>
          <w:bCs/>
          <w:i/>
          <w:iCs/>
        </w:rPr>
        <w:tab/>
        <w:t>corresponding Pay</w:t>
      </w:r>
      <w:r>
        <w:rPr>
          <w:b/>
          <w:bCs/>
          <w:i/>
          <w:iCs/>
        </w:rPr>
        <w:noBreakHyphen/>
        <w:t>roll Tax Assessment Regulations</w:t>
      </w:r>
      <w:r>
        <w:t xml:space="preserve"> means the </w:t>
      </w:r>
      <w:r>
        <w:rPr>
          <w:i/>
        </w:rPr>
        <w:t>Pay</w:t>
      </w:r>
      <w:r>
        <w:rPr>
          <w:i/>
        </w:rPr>
        <w:noBreakHyphen/>
        <w:t>roll Tax Assessment Regulations 2003</w:t>
      </w:r>
      <w:r>
        <w:t xml:space="preserve"> of Western Australia in their application as a law of Western Australia.</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pPr>
      <w:bookmarkStart w:id="971" w:name="_Toc144529694"/>
      <w:bookmarkStart w:id="972" w:name="_Toc156621643"/>
      <w:bookmarkStart w:id="973" w:name="_Toc161561362"/>
      <w:r>
        <w:rPr>
          <w:rStyle w:val="CharSectno"/>
        </w:rPr>
        <w:t>38</w:t>
      </w:r>
      <w:r>
        <w:t>.</w:t>
      </w:r>
      <w:r>
        <w:tab/>
        <w:t>Glossary modified</w:t>
      </w:r>
      <w:bookmarkEnd w:id="971"/>
      <w:bookmarkEnd w:id="972"/>
      <w:bookmarkEnd w:id="973"/>
    </w:p>
    <w:p>
      <w:pPr>
        <w:pStyle w:val="nzSubsection"/>
      </w:pPr>
      <w:r>
        <w:tab/>
      </w:r>
      <w:r>
        <w:tab/>
        <w:t xml:space="preserve">The Glossary clause 1 is modified in paragraph (c) of the definition of “industrial award” by deleting “another State” and inserting instead — </w:t>
      </w:r>
    </w:p>
    <w:p>
      <w:pPr>
        <w:pStyle w:val="nzSubsection"/>
      </w:pPr>
      <w:r>
        <w:tab/>
      </w:r>
      <w:r>
        <w:tab/>
        <w:t>“    a State other than Western Australia    ”.</w:t>
      </w:r>
    </w:p>
    <w:p>
      <w:pPr>
        <w:pStyle w:val="BlankClose"/>
      </w:pPr>
    </w:p>
    <w:p>
      <w:pPr>
        <w:pStyle w:val="nSubsection"/>
      </w:pPr>
      <w:r>
        <w:rPr>
          <w:vertAlign w:val="superscript"/>
        </w:rPr>
        <w:t>9</w:t>
      </w:r>
      <w:r>
        <w:tab/>
        <w:t xml:space="preserve">The </w:t>
      </w:r>
      <w:r>
        <w:rPr>
          <w:i/>
          <w:iCs/>
        </w:rPr>
        <w:t>Pay-roll Tax Assessment Amendment Act 2010</w:t>
      </w:r>
      <w:r>
        <w:t xml:space="preserve"> s. 45 reads as follows:</w:t>
      </w:r>
    </w:p>
    <w:p>
      <w:pPr>
        <w:pStyle w:val="BlankOpen"/>
      </w:pPr>
      <w:bookmarkStart w:id="974" w:name="_Toc264469759"/>
      <w:bookmarkStart w:id="975" w:name="_Toc265490582"/>
    </w:p>
    <w:p>
      <w:pPr>
        <w:pStyle w:val="nzHeading5"/>
      </w:pPr>
      <w:r>
        <w:t>45.</w:t>
      </w:r>
      <w:r>
        <w:tab/>
        <w:t>Power to amend or repeal regulations unaffected</w:t>
      </w:r>
      <w:bookmarkEnd w:id="974"/>
      <w:bookmarkEnd w:id="975"/>
    </w:p>
    <w:p>
      <w:pPr>
        <w:pStyle w:val="nzSubsection"/>
      </w:pPr>
      <w:r>
        <w:tab/>
      </w:r>
      <w:r>
        <w:tab/>
        <w:t xml:space="preserve">This Part does not prevent the </w:t>
      </w:r>
      <w:r>
        <w:rPr>
          <w:i/>
          <w:iCs/>
        </w:rPr>
        <w:t>Pay</w:t>
      </w:r>
      <w:r>
        <w:rPr>
          <w:i/>
          <w:iCs/>
        </w:rPr>
        <w:noBreakHyphen/>
        <w:t>roll Tax Assessment Regulations 2003</w:t>
      </w:r>
      <w:r>
        <w:t xml:space="preserve"> from being amended or repealed under the </w:t>
      </w:r>
      <w:r>
        <w:rPr>
          <w:i/>
          <w:iCs/>
        </w:rPr>
        <w:t>Pay</w:t>
      </w:r>
      <w:r>
        <w:rPr>
          <w:i/>
          <w:iCs/>
        </w:rPr>
        <w:noBreakHyphen/>
        <w:t>roll Tax Assessment Act 2002</w:t>
      </w:r>
      <w:r>
        <w:t>.</w:t>
      </w:r>
    </w:p>
    <w:p>
      <w:pPr>
        <w:pStyle w:val="BlankClose"/>
      </w:pPr>
    </w:p>
    <w:p/>
    <w:p>
      <w:pPr>
        <w:sectPr>
          <w:headerReference w:type="even" r:id="rId33"/>
          <w:headerReference w:type="default" r:id="rId34"/>
          <w:headerReference w:type="first" r:id="rId35"/>
          <w:endnotePr>
            <w:numFmt w:val="decimal"/>
          </w:endnotePr>
          <w:pgSz w:w="11906" w:h="16838" w:code="9"/>
          <w:pgMar w:top="2381" w:right="2409" w:bottom="3543" w:left="2409" w:header="720" w:footer="3380" w:gutter="0"/>
          <w:cols w:space="720"/>
          <w:noEndnote/>
          <w:docGrid w:linePitch="326"/>
        </w:sectPr>
      </w:pPr>
    </w:p>
    <w:p>
      <w:pPr>
        <w:pStyle w:val="nHeading2"/>
        <w:outlineLvl w:val="0"/>
        <w:rPr>
          <w:sz w:val="28"/>
        </w:rPr>
      </w:pPr>
      <w:bookmarkStart w:id="976" w:name="_Toc237832426"/>
      <w:bookmarkStart w:id="977" w:name="_Toc237841307"/>
      <w:bookmarkStart w:id="978" w:name="_Toc237843287"/>
      <w:bookmarkStart w:id="979" w:name="_Toc265572001"/>
      <w:r>
        <w:rPr>
          <w:sz w:val="28"/>
        </w:rPr>
        <w:t>Defined Terms</w:t>
      </w:r>
      <w:bookmarkEnd w:id="976"/>
      <w:bookmarkEnd w:id="977"/>
      <w:bookmarkEnd w:id="978"/>
      <w:bookmarkEnd w:id="9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80" w:name="DefinedTerms"/>
      <w:bookmarkEnd w:id="980"/>
      <w:r>
        <w:t xml:space="preserve">actuarial determination </w:t>
      </w:r>
      <w:r>
        <w:tab/>
        <w:t>Gl.</w:t>
      </w:r>
    </w:p>
    <w:p>
      <w:pPr>
        <w:pStyle w:val="DefinedTerms"/>
      </w:pPr>
      <w:r>
        <w:t xml:space="preserve">allowance period </w:t>
      </w:r>
      <w:r>
        <w:tab/>
        <w:t>Gl.</w:t>
      </w:r>
    </w:p>
    <w:p>
      <w:pPr>
        <w:pStyle w:val="DefinedTerms"/>
      </w:pPr>
      <w:r>
        <w:t xml:space="preserve">averaging method </w:t>
      </w:r>
      <w:r>
        <w:tab/>
        <w:t>Gl.</w:t>
      </w:r>
    </w:p>
    <w:p>
      <w:pPr>
        <w:pStyle w:val="DefinedTerms"/>
      </w:pPr>
      <w:r>
        <w:t xml:space="preserve">BK percentage </w:t>
      </w:r>
      <w:r>
        <w:tab/>
        <w:t>Gl.</w:t>
      </w:r>
    </w:p>
    <w:p>
      <w:pPr>
        <w:pStyle w:val="DefinedTerms"/>
      </w:pPr>
      <w:r>
        <w:t xml:space="preserve">business journey </w:t>
      </w:r>
      <w:r>
        <w:tab/>
        <w:t>Gl.</w:t>
      </w:r>
    </w:p>
    <w:p>
      <w:pPr>
        <w:pStyle w:val="DefinedTerms"/>
      </w:pPr>
      <w:r>
        <w:t xml:space="preserve">business kilometre </w:t>
      </w:r>
      <w:r>
        <w:tab/>
        <w:t>Gl.</w:t>
      </w:r>
    </w:p>
    <w:p>
      <w:pPr>
        <w:pStyle w:val="DefinedTerms"/>
      </w:pPr>
      <w:r>
        <w:t xml:space="preserve">business night </w:t>
      </w:r>
      <w:r>
        <w:tab/>
        <w:t>Gl.</w:t>
      </w:r>
    </w:p>
    <w:p>
      <w:pPr>
        <w:pStyle w:val="DefinedTerms"/>
      </w:pPr>
      <w:r>
        <w:t xml:space="preserve">continuous recording method </w:t>
      </w:r>
      <w:r>
        <w:tab/>
        <w:t>Gl.</w:t>
      </w:r>
    </w:p>
    <w:p>
      <w:pPr>
        <w:pStyle w:val="DefinedTerms"/>
      </w:pPr>
      <w:r>
        <w:t xml:space="preserve">continuous recording period </w:t>
      </w:r>
      <w:r>
        <w:tab/>
        <w:t>Gl.</w:t>
      </w:r>
    </w:p>
    <w:p>
      <w:pPr>
        <w:pStyle w:val="DefinedTerms"/>
      </w:pPr>
      <w:r>
        <w:t xml:space="preserve">dependant </w:t>
      </w:r>
      <w:r>
        <w:tab/>
        <w:t>Gl.</w:t>
      </w:r>
    </w:p>
    <w:p>
      <w:pPr>
        <w:pStyle w:val="DefinedTerms"/>
      </w:pPr>
      <w:r>
        <w:t xml:space="preserve">education costs </w:t>
      </w:r>
      <w:r>
        <w:tab/>
        <w:t>Gl.</w:t>
      </w:r>
    </w:p>
    <w:p>
      <w:pPr>
        <w:pStyle w:val="DefinedTerms"/>
      </w:pPr>
      <w:r>
        <w:t xml:space="preserve">employee </w:t>
      </w:r>
      <w:r>
        <w:tab/>
        <w:t>Gl.</w:t>
      </w:r>
    </w:p>
    <w:p>
      <w:pPr>
        <w:pStyle w:val="DefinedTerms"/>
      </w:pPr>
      <w:r>
        <w:t xml:space="preserve">expense payment fringe benefit </w:t>
      </w:r>
      <w:r>
        <w:tab/>
        <w:t>Gl.</w:t>
      </w:r>
    </w:p>
    <w:p>
      <w:pPr>
        <w:pStyle w:val="DefinedTerms"/>
      </w:pPr>
      <w:r>
        <w:t xml:space="preserve">industrial award </w:t>
      </w:r>
      <w:r>
        <w:tab/>
        <w:t>Gl.</w:t>
      </w:r>
    </w:p>
    <w:p>
      <w:pPr>
        <w:pStyle w:val="DefinedTerms"/>
      </w:pPr>
      <w:r>
        <w:t xml:space="preserve">loan fringe benefit </w:t>
      </w:r>
      <w:r>
        <w:tab/>
        <w:t>Gl.</w:t>
      </w:r>
    </w:p>
    <w:p>
      <w:pPr>
        <w:pStyle w:val="DefinedTerms"/>
      </w:pPr>
      <w:r>
        <w:t xml:space="preserve">portable long service leave fund </w:t>
      </w:r>
      <w:r>
        <w:tab/>
        <w:t>Gl.</w:t>
      </w:r>
    </w:p>
    <w:p>
      <w:pPr>
        <w:pStyle w:val="DefinedTerms"/>
      </w:pPr>
      <w:r>
        <w:t xml:space="preserve">property fringe benefit </w:t>
      </w:r>
      <w:r>
        <w:tab/>
        <w:t>Gl.</w:t>
      </w:r>
    </w:p>
    <w:p>
      <w:pPr>
        <w:pStyle w:val="DefinedTerms"/>
      </w:pPr>
      <w:r>
        <w:t xml:space="preserve">redundancy benefits scheme </w:t>
      </w:r>
      <w:r>
        <w:tab/>
        <w:t>Gl.</w:t>
      </w:r>
    </w:p>
    <w:p>
      <w:pPr>
        <w:pStyle w:val="DefinedTerms"/>
      </w:pPr>
      <w:r>
        <w:t xml:space="preserve">remote area holiday transport </w:t>
      </w:r>
      <w:r>
        <w:tab/>
        <w:t>Gl.</w:t>
      </w:r>
    </w:p>
    <w:p>
      <w:pPr>
        <w:pStyle w:val="DefinedTerms"/>
      </w:pPr>
      <w:r>
        <w:t xml:space="preserve">remote area housing fringe benefit </w:t>
      </w:r>
      <w:r>
        <w:tab/>
        <w:t>Gl.</w:t>
      </w:r>
    </w:p>
    <w:p>
      <w:pPr>
        <w:pStyle w:val="DefinedTerms"/>
      </w:pPr>
      <w:r>
        <w:t xml:space="preserve">remote area housing loan </w:t>
      </w:r>
      <w:r>
        <w:tab/>
        <w:t>Gl.</w:t>
      </w:r>
    </w:p>
    <w:p>
      <w:pPr>
        <w:pStyle w:val="DefinedTerms"/>
      </w:pPr>
      <w:r>
        <w:t xml:space="preserve">remote area housing rent </w:t>
      </w:r>
      <w:r>
        <w:tab/>
        <w:t>Gl.</w:t>
      </w:r>
    </w:p>
    <w:p>
      <w:pPr>
        <w:pStyle w:val="DefinedTerms"/>
      </w:pPr>
      <w:r>
        <w:t xml:space="preserve">remote area residential property </w:t>
      </w:r>
      <w:r>
        <w:tab/>
        <w:t>Gl.</w:t>
      </w:r>
    </w:p>
    <w:p>
      <w:pPr>
        <w:pStyle w:val="DefinedTerms"/>
      </w:pPr>
      <w:r>
        <w:t xml:space="preserve">remote area residential property option fee </w:t>
      </w:r>
      <w:r>
        <w:tab/>
        <w:t>Gl.</w:t>
      </w:r>
    </w:p>
    <w:p>
      <w:pPr>
        <w:pStyle w:val="DefinedTerms"/>
      </w:pPr>
      <w:r>
        <w:t xml:space="preserve">remote area residential property repurchase consideration </w:t>
      </w:r>
      <w:r>
        <w:tab/>
        <w:t>Gl.</w:t>
      </w:r>
    </w:p>
    <w:p>
      <w:pPr>
        <w:pStyle w:val="DefinedTerms"/>
      </w:pPr>
      <w:r>
        <w:t xml:space="preserve">residential fuel </w:t>
      </w:r>
      <w:r>
        <w:tab/>
        <w:t>Gl.</w:t>
      </w:r>
    </w:p>
    <w:p>
      <w:pPr>
        <w:pStyle w:val="DefinedTerms"/>
      </w:pPr>
      <w:r>
        <w:t xml:space="preserve">residual fringe benefit </w:t>
      </w:r>
      <w:r>
        <w:tab/>
        <w:t>Gl.</w:t>
      </w:r>
    </w:p>
    <w:p>
      <w:pPr>
        <w:pStyle w:val="DefinedTerms"/>
      </w:pPr>
      <w:r>
        <w:t xml:space="preserve">vehicle </w:t>
      </w:r>
      <w:r>
        <w:tab/>
        <w:t>Gl.</w:t>
      </w:r>
    </w:p>
    <w:p>
      <w:pPr>
        <w:sectPr>
          <w:headerReference w:type="even" r:id="rId36"/>
          <w:headerReference w:type="defaul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entury Schoolbook">
    <w:altName w:val="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Pay-roll Tax Assessment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Pay-roll Tax Assessment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Pay-roll Tax Assessment Regulations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Pay-roll Tax Assessment Regulations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89A65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61FA52D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 w:numId="2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529"/>
    <w:docVar w:name="WAFER_20151208154529" w:val="RemoveTrackChanges"/>
    <w:docVar w:name="WAFER_20151208154529_GUID" w:val="c6593d8e-92bf-475f-93db-5d8a1ff56b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35Text">
    <w:name w:val="35 Text"/>
    <w:basedOn w:val="Normal"/>
    <w:pPr>
      <w:widowControl w:val="0"/>
      <w:spacing w:after="60" w:line="190" w:lineRule="exact"/>
      <w:jc w:val="both"/>
    </w:pPr>
    <w:rPr>
      <w:rFonts w:ascii="Century Schoolbook" w:hAnsi="Century Schoolbook"/>
      <w:sz w:val="18"/>
    </w:rPr>
  </w:style>
  <w:style w:type="paragraph" w:customStyle="1" w:styleId="35Indent2">
    <w:name w:val="35 Indent 2"/>
    <w:basedOn w:val="35Text"/>
    <w:pPr>
      <w:ind w:left="340"/>
    </w:pPr>
  </w:style>
  <w:style w:type="paragraph" w:customStyle="1" w:styleId="ActHeading">
    <w:name w:val="Act Heading"/>
    <w:basedOn w:val="Normal"/>
    <w:pPr>
      <w:spacing w:after="60" w:line="190" w:lineRule="exact"/>
      <w:jc w:val="center"/>
    </w:pPr>
    <w:rPr>
      <w:rFonts w:ascii="Century Schoolbook" w:hAnsi="Century Schoolbook"/>
      <w:b/>
      <w:sz w:val="18"/>
      <w:lang w:val="nl-BE"/>
    </w:rPr>
  </w:style>
  <w:style w:type="paragraph" w:customStyle="1" w:styleId="AdvtNumber">
    <w:name w:val="Advt Number"/>
    <w:basedOn w:val="Normal"/>
    <w:pPr>
      <w:spacing w:before="60" w:after="60" w:line="190" w:lineRule="exact"/>
    </w:pPr>
    <w:rPr>
      <w:rFonts w:ascii="Century Schoolbook" w:hAnsi="Century Schoolbook"/>
      <w:b/>
      <w:sz w:val="18"/>
      <w:lang w:val="nl-BE"/>
    </w:rPr>
  </w:style>
  <w:style w:type="paragraph" w:customStyle="1" w:styleId="GeneralDescription">
    <w:name w:val="General Description"/>
    <w:basedOn w:val="Normal"/>
    <w:pPr>
      <w:widowControl w:val="0"/>
      <w:spacing w:after="60" w:line="190" w:lineRule="exact"/>
      <w:jc w:val="center"/>
    </w:pPr>
    <w:rPr>
      <w:rFonts w:ascii="Century Schoolbook" w:hAnsi="Century Schoolbook"/>
      <w:smallCap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35Text">
    <w:name w:val="35 Text"/>
    <w:basedOn w:val="Normal"/>
    <w:pPr>
      <w:widowControl w:val="0"/>
      <w:spacing w:after="60" w:line="190" w:lineRule="exact"/>
      <w:jc w:val="both"/>
    </w:pPr>
    <w:rPr>
      <w:rFonts w:ascii="Century Schoolbook" w:hAnsi="Century Schoolbook"/>
      <w:sz w:val="18"/>
    </w:rPr>
  </w:style>
  <w:style w:type="paragraph" w:customStyle="1" w:styleId="35Indent2">
    <w:name w:val="35 Indent 2"/>
    <w:basedOn w:val="35Text"/>
    <w:pPr>
      <w:ind w:left="340"/>
    </w:pPr>
  </w:style>
  <w:style w:type="paragraph" w:customStyle="1" w:styleId="ActHeading">
    <w:name w:val="Act Heading"/>
    <w:basedOn w:val="Normal"/>
    <w:pPr>
      <w:spacing w:after="60" w:line="190" w:lineRule="exact"/>
      <w:jc w:val="center"/>
    </w:pPr>
    <w:rPr>
      <w:rFonts w:ascii="Century Schoolbook" w:hAnsi="Century Schoolbook"/>
      <w:b/>
      <w:sz w:val="18"/>
      <w:lang w:val="nl-BE"/>
    </w:rPr>
  </w:style>
  <w:style w:type="paragraph" w:customStyle="1" w:styleId="AdvtNumber">
    <w:name w:val="Advt Number"/>
    <w:basedOn w:val="Normal"/>
    <w:pPr>
      <w:spacing w:before="60" w:after="60" w:line="190" w:lineRule="exact"/>
    </w:pPr>
    <w:rPr>
      <w:rFonts w:ascii="Century Schoolbook" w:hAnsi="Century Schoolbook"/>
      <w:b/>
      <w:sz w:val="18"/>
      <w:lang w:val="nl-BE"/>
    </w:rPr>
  </w:style>
  <w:style w:type="paragraph" w:customStyle="1" w:styleId="GeneralDescription">
    <w:name w:val="General Description"/>
    <w:basedOn w:val="Normal"/>
    <w:pPr>
      <w:widowControl w:val="0"/>
      <w:spacing w:after="60" w:line="190" w:lineRule="exact"/>
      <w:jc w:val="center"/>
    </w:pPr>
    <w:rPr>
      <w:rFonts w:ascii="Century Schoolbook" w:hAnsi="Century Schoolbook"/>
      <w:smallCap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8.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7897</Words>
  <Characters>39488</Characters>
  <Application>Microsoft Office Word</Application>
  <DocSecurity>0</DocSecurity>
  <Lines>1128</Lines>
  <Paragraphs>676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46709</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2003 - 02-b0-03</dc:title>
  <dc:subject/>
  <dc:creator/>
  <cp:keywords/>
  <dc:description/>
  <cp:lastModifiedBy>svcMRProcess</cp:lastModifiedBy>
  <cp:revision>4</cp:revision>
  <cp:lastPrinted>2009-08-28T02:04:00Z</cp:lastPrinted>
  <dcterms:created xsi:type="dcterms:W3CDTF">2020-02-26T03:52:00Z</dcterms:created>
  <dcterms:modified xsi:type="dcterms:W3CDTF">2020-02-26T03:52:00Z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20100625</vt:lpwstr>
  </property>
  <property fmtid="{D5CDD505-2E9C-101B-9397-08002B2CF9AE}" pid="4" name="DocumentType">
    <vt:lpwstr>Reg</vt:lpwstr>
  </property>
  <property fmtid="{D5CDD505-2E9C-101B-9397-08002B2CF9AE}" pid="5" name="OwlsUID">
    <vt:i4>15941</vt:i4>
  </property>
  <property fmtid="{D5CDD505-2E9C-101B-9397-08002B2CF9AE}" pid="6" name="ReprintNo">
    <vt:lpwstr>2</vt:lpwstr>
  </property>
  <property fmtid="{D5CDD505-2E9C-101B-9397-08002B2CF9AE}" pid="7" name="AsAtDate">
    <vt:lpwstr>25 Jun 2010</vt:lpwstr>
  </property>
  <property fmtid="{D5CDD505-2E9C-101B-9397-08002B2CF9AE}" pid="8" name="Suffix">
    <vt:lpwstr>02-b0-03</vt:lpwstr>
  </property>
</Properties>
</file>