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First Home Owner Grant Act 2000</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_Toc265588740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_Toc265588741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_Toc265588742 \h </w:instrText>
      </w:r>
      <w:r>
        <w:fldChar w:fldCharType="separate"/>
      </w:r>
      <w:r>
        <w:t>2</w:t>
      </w:r>
      <w:r>
        <w:fldChar w:fldCharType="end"/>
      </w:r>
    </w:p>
    <w:p>
      <w:pPr>
        <w:pStyle w:val="TOC8"/>
        <w:rPr>
          <w:sz w:val="24"/>
          <w:szCs w:val="24"/>
        </w:rPr>
      </w:pPr>
      <w:r>
        <w:rPr>
          <w:szCs w:val="24"/>
        </w:rPr>
        <w:t>4.</w:t>
      </w:r>
      <w:r>
        <w:rPr>
          <w:szCs w:val="24"/>
        </w:rPr>
        <w:tab/>
        <w:t>Meaning of “home”</w:t>
      </w:r>
      <w:r>
        <w:tab/>
      </w:r>
      <w:r>
        <w:fldChar w:fldCharType="begin"/>
      </w:r>
      <w:r>
        <w:instrText xml:space="preserve"> PAGEREF _Toc265588743 \h </w:instrText>
      </w:r>
      <w:r>
        <w:fldChar w:fldCharType="separate"/>
      </w:r>
      <w:r>
        <w:t>6</w:t>
      </w:r>
      <w:r>
        <w:fldChar w:fldCharType="end"/>
      </w:r>
    </w:p>
    <w:p>
      <w:pPr>
        <w:pStyle w:val="TOC8"/>
        <w:rPr>
          <w:sz w:val="24"/>
          <w:szCs w:val="24"/>
        </w:rPr>
      </w:pPr>
      <w:r>
        <w:rPr>
          <w:szCs w:val="24"/>
        </w:rPr>
        <w:t>5.</w:t>
      </w:r>
      <w:r>
        <w:rPr>
          <w:szCs w:val="24"/>
        </w:rPr>
        <w:tab/>
        <w:t>Meaning of “owner” of a home or “home owner”</w:t>
      </w:r>
      <w:r>
        <w:tab/>
      </w:r>
      <w:r>
        <w:fldChar w:fldCharType="begin"/>
      </w:r>
      <w:r>
        <w:instrText xml:space="preserve"> PAGEREF _Toc265588744 \h </w:instrText>
      </w:r>
      <w:r>
        <w:fldChar w:fldCharType="separate"/>
      </w:r>
      <w:r>
        <w:t>6</w:t>
      </w:r>
      <w:r>
        <w:fldChar w:fldCharType="end"/>
      </w:r>
    </w:p>
    <w:p>
      <w:pPr>
        <w:pStyle w:val="TOC8"/>
        <w:rPr>
          <w:sz w:val="24"/>
          <w:szCs w:val="24"/>
        </w:rPr>
      </w:pPr>
      <w:r>
        <w:rPr>
          <w:szCs w:val="24"/>
        </w:rPr>
        <w:t>6.</w:t>
      </w:r>
      <w:r>
        <w:rPr>
          <w:szCs w:val="24"/>
        </w:rPr>
        <w:tab/>
        <w:t>Meaning of “relevant interest”</w:t>
      </w:r>
      <w:r>
        <w:tab/>
      </w:r>
      <w:r>
        <w:fldChar w:fldCharType="begin"/>
      </w:r>
      <w:r>
        <w:instrText xml:space="preserve"> PAGEREF _Toc265588745 \h </w:instrText>
      </w:r>
      <w:r>
        <w:fldChar w:fldCharType="separate"/>
      </w:r>
      <w:r>
        <w:t>6</w:t>
      </w:r>
      <w:r>
        <w:fldChar w:fldCharType="end"/>
      </w:r>
    </w:p>
    <w:p>
      <w:pPr>
        <w:pStyle w:val="TOC8"/>
        <w:rPr>
          <w:sz w:val="24"/>
          <w:szCs w:val="24"/>
        </w:rPr>
      </w:pPr>
      <w:r>
        <w:rPr>
          <w:szCs w:val="24"/>
        </w:rPr>
        <w:t>7.</w:t>
      </w:r>
      <w:r>
        <w:rPr>
          <w:szCs w:val="24"/>
        </w:rPr>
        <w:tab/>
        <w:t>Meaning of an applicant’s “spouse”</w:t>
      </w:r>
      <w:r>
        <w:tab/>
      </w:r>
      <w:r>
        <w:fldChar w:fldCharType="begin"/>
      </w:r>
      <w:r>
        <w:instrText xml:space="preserve"> PAGEREF _Toc265588746 \h </w:instrText>
      </w:r>
      <w:r>
        <w:fldChar w:fldCharType="separate"/>
      </w:r>
      <w:r>
        <w:t>8</w:t>
      </w:r>
      <w:r>
        <w:fldChar w:fldCharType="end"/>
      </w:r>
    </w:p>
    <w:p>
      <w:pPr>
        <w:pStyle w:val="TOC8"/>
        <w:rPr>
          <w:sz w:val="24"/>
          <w:szCs w:val="24"/>
        </w:rPr>
      </w:pPr>
      <w:r>
        <w:rPr>
          <w:szCs w:val="24"/>
        </w:rPr>
        <w:t>7A.</w:t>
      </w:r>
      <w:r>
        <w:rPr>
          <w:szCs w:val="24"/>
        </w:rPr>
        <w:tab/>
        <w:t>Meaning of “Australian citizen”</w:t>
      </w:r>
      <w:r>
        <w:tab/>
      </w:r>
      <w:r>
        <w:fldChar w:fldCharType="begin"/>
      </w:r>
      <w:r>
        <w:instrText xml:space="preserve"> PAGEREF _Toc265588747 \h </w:instrText>
      </w:r>
      <w:r>
        <w:fldChar w:fldCharType="separate"/>
      </w:r>
      <w:r>
        <w:t>8</w:t>
      </w:r>
      <w:r>
        <w:fldChar w:fldCharType="end"/>
      </w:r>
    </w:p>
    <w:p>
      <w:pPr>
        <w:pStyle w:val="TOC8"/>
        <w:rPr>
          <w:sz w:val="24"/>
          <w:szCs w:val="24"/>
        </w:rPr>
      </w:pPr>
      <w:r>
        <w:rPr>
          <w:szCs w:val="24"/>
        </w:rPr>
        <w:t>7B.</w:t>
      </w:r>
      <w:r>
        <w:rPr>
          <w:szCs w:val="24"/>
        </w:rPr>
        <w:tab/>
        <w:t>Meaning of “permanent resident”</w:t>
      </w:r>
      <w:r>
        <w:tab/>
      </w:r>
      <w:r>
        <w:fldChar w:fldCharType="begin"/>
      </w:r>
      <w:r>
        <w:instrText xml:space="preserve"> PAGEREF _Toc265588748 \h </w:instrText>
      </w:r>
      <w:r>
        <w:fldChar w:fldCharType="separate"/>
      </w:r>
      <w:r>
        <w:t>8</w:t>
      </w:r>
      <w:r>
        <w:fldChar w:fldCharType="end"/>
      </w:r>
    </w:p>
    <w:p>
      <w:pPr>
        <w:pStyle w:val="TOC2"/>
        <w:tabs>
          <w:tab w:val="right" w:leader="dot" w:pos="7086"/>
        </w:tabs>
        <w:rPr>
          <w:b w:val="0"/>
          <w:sz w:val="24"/>
          <w:szCs w:val="24"/>
        </w:rPr>
      </w:pPr>
      <w:r>
        <w:rPr>
          <w:szCs w:val="30"/>
        </w:rPr>
        <w:t>Part 2 — First home owner grant</w:t>
      </w:r>
    </w:p>
    <w:p>
      <w:pPr>
        <w:pStyle w:val="TOC4"/>
        <w:tabs>
          <w:tab w:val="right" w:leader="dot" w:pos="7086"/>
        </w:tabs>
        <w:rPr>
          <w:b w:val="0"/>
          <w:sz w:val="24"/>
          <w:szCs w:val="24"/>
        </w:rPr>
      </w:pPr>
      <w:r>
        <w:rPr>
          <w:szCs w:val="26"/>
        </w:rPr>
        <w:t>Division 1 — Entitlement to grant</w:t>
      </w:r>
    </w:p>
    <w:p>
      <w:pPr>
        <w:pStyle w:val="TOC8"/>
        <w:rPr>
          <w:sz w:val="24"/>
          <w:szCs w:val="24"/>
        </w:rPr>
      </w:pPr>
      <w:r>
        <w:rPr>
          <w:szCs w:val="24"/>
        </w:rPr>
        <w:t>8.</w:t>
      </w:r>
      <w:r>
        <w:rPr>
          <w:szCs w:val="24"/>
        </w:rPr>
        <w:tab/>
        <w:t>Entitlement to grant</w:t>
      </w:r>
      <w:r>
        <w:tab/>
      </w:r>
      <w:r>
        <w:fldChar w:fldCharType="begin"/>
      </w:r>
      <w:r>
        <w:instrText xml:space="preserve"> PAGEREF _Toc265588751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Eligibility criteria (applicants)</w:t>
      </w:r>
    </w:p>
    <w:p>
      <w:pPr>
        <w:pStyle w:val="TOC8"/>
        <w:rPr>
          <w:sz w:val="24"/>
          <w:szCs w:val="24"/>
        </w:rPr>
      </w:pPr>
      <w:r>
        <w:rPr>
          <w:szCs w:val="24"/>
        </w:rPr>
        <w:t>9</w:t>
      </w:r>
      <w:r>
        <w:rPr>
          <w:snapToGrid w:val="0"/>
          <w:szCs w:val="24"/>
        </w:rPr>
        <w:t>.</w:t>
      </w:r>
      <w:r>
        <w:rPr>
          <w:snapToGrid w:val="0"/>
          <w:szCs w:val="24"/>
        </w:rPr>
        <w:tab/>
        <w:t>Criterion 1 — applicant to be a natural person</w:t>
      </w:r>
      <w:r>
        <w:tab/>
      </w:r>
      <w:r>
        <w:fldChar w:fldCharType="begin"/>
      </w:r>
      <w:r>
        <w:instrText xml:space="preserve"> PAGEREF _Toc265588753 \h </w:instrText>
      </w:r>
      <w:r>
        <w:fldChar w:fldCharType="separate"/>
      </w:r>
      <w:r>
        <w:t>10</w:t>
      </w:r>
      <w:r>
        <w:fldChar w:fldCharType="end"/>
      </w:r>
    </w:p>
    <w:p>
      <w:pPr>
        <w:pStyle w:val="TOC8"/>
        <w:rPr>
          <w:sz w:val="24"/>
          <w:szCs w:val="24"/>
        </w:rPr>
      </w:pPr>
      <w:r>
        <w:rPr>
          <w:szCs w:val="24"/>
        </w:rPr>
        <w:t>9A.</w:t>
      </w:r>
      <w:r>
        <w:rPr>
          <w:szCs w:val="24"/>
        </w:rPr>
        <w:tab/>
        <w:t>Criterion 1A — applicant to be at least 18 years of age</w:t>
      </w:r>
      <w:r>
        <w:tab/>
      </w:r>
      <w:r>
        <w:fldChar w:fldCharType="begin"/>
      </w:r>
      <w:r>
        <w:instrText xml:space="preserve"> PAGEREF _Toc265588754 \h </w:instrText>
      </w:r>
      <w:r>
        <w:fldChar w:fldCharType="separate"/>
      </w:r>
      <w:r>
        <w:t>10</w:t>
      </w:r>
      <w:r>
        <w:fldChar w:fldCharType="end"/>
      </w:r>
    </w:p>
    <w:p>
      <w:pPr>
        <w:pStyle w:val="TOC8"/>
        <w:rPr>
          <w:sz w:val="24"/>
          <w:szCs w:val="24"/>
        </w:rPr>
      </w:pPr>
      <w:r>
        <w:rPr>
          <w:szCs w:val="24"/>
        </w:rPr>
        <w:t>10.</w:t>
      </w:r>
      <w:r>
        <w:rPr>
          <w:szCs w:val="24"/>
        </w:rPr>
        <w:tab/>
        <w:t>Criterion 2 — applicant to be Australian citizen or permanent resident</w:t>
      </w:r>
      <w:r>
        <w:tab/>
      </w:r>
      <w:r>
        <w:fldChar w:fldCharType="begin"/>
      </w:r>
      <w:r>
        <w:instrText xml:space="preserve"> PAGEREF _Toc265588755 \h </w:instrText>
      </w:r>
      <w:r>
        <w:fldChar w:fldCharType="separate"/>
      </w:r>
      <w:r>
        <w:t>11</w:t>
      </w:r>
      <w:r>
        <w:fldChar w:fldCharType="end"/>
      </w:r>
    </w:p>
    <w:p>
      <w:pPr>
        <w:pStyle w:val="TOC8"/>
        <w:rPr>
          <w:sz w:val="24"/>
          <w:szCs w:val="24"/>
        </w:rPr>
      </w:pPr>
      <w:r>
        <w:rPr>
          <w:szCs w:val="24"/>
        </w:rPr>
        <w:t>11.</w:t>
      </w:r>
      <w:r>
        <w:rPr>
          <w:szCs w:val="24"/>
        </w:rPr>
        <w:tab/>
        <w:t>Criterion 3 — except in certain circumstances, applicant or applicant’s spouse or de facto partner must not have received another grant</w:t>
      </w:r>
      <w:r>
        <w:tab/>
      </w:r>
      <w:r>
        <w:fldChar w:fldCharType="begin"/>
      </w:r>
      <w:r>
        <w:instrText xml:space="preserve"> PAGEREF _Toc265588756 \h </w:instrText>
      </w:r>
      <w:r>
        <w:fldChar w:fldCharType="separate"/>
      </w:r>
      <w:r>
        <w:t>11</w:t>
      </w:r>
      <w:r>
        <w:fldChar w:fldCharType="end"/>
      </w:r>
    </w:p>
    <w:p>
      <w:pPr>
        <w:pStyle w:val="TOC8"/>
        <w:rPr>
          <w:sz w:val="24"/>
          <w:szCs w:val="24"/>
        </w:rPr>
      </w:pPr>
      <w:r>
        <w:rPr>
          <w:szCs w:val="24"/>
        </w:rPr>
        <w:t>12.</w:t>
      </w:r>
      <w:r>
        <w:rPr>
          <w:szCs w:val="24"/>
        </w:rPr>
        <w:tab/>
        <w:t>Criterion 4 — applicant or applicant’s spouse or de facto partner must not have had relevant interest in residential property</w:t>
      </w:r>
      <w:r>
        <w:tab/>
      </w:r>
      <w:r>
        <w:fldChar w:fldCharType="begin"/>
      </w:r>
      <w:r>
        <w:instrText xml:space="preserve"> PAGEREF _Toc265588757 \h </w:instrText>
      </w:r>
      <w:r>
        <w:fldChar w:fldCharType="separate"/>
      </w:r>
      <w:r>
        <w:t>12</w:t>
      </w:r>
      <w:r>
        <w:fldChar w:fldCharType="end"/>
      </w:r>
    </w:p>
    <w:p>
      <w:pPr>
        <w:pStyle w:val="TOC8"/>
        <w:rPr>
          <w:sz w:val="24"/>
          <w:szCs w:val="24"/>
        </w:rPr>
      </w:pPr>
      <w:r>
        <w:rPr>
          <w:szCs w:val="24"/>
        </w:rPr>
        <w:t>13.</w:t>
      </w:r>
      <w:r>
        <w:rPr>
          <w:szCs w:val="24"/>
        </w:rPr>
        <w:tab/>
        <w:t>Criterion 5 — residence requirements</w:t>
      </w:r>
      <w:r>
        <w:tab/>
      </w:r>
      <w:r>
        <w:fldChar w:fldCharType="begin"/>
      </w:r>
      <w:r>
        <w:instrText xml:space="preserve"> PAGEREF _Toc265588758 \h </w:instrText>
      </w:r>
      <w:r>
        <w:fldChar w:fldCharType="separate"/>
      </w:r>
      <w:r>
        <w:t>13</w:t>
      </w:r>
      <w:r>
        <w:fldChar w:fldCharType="end"/>
      </w:r>
    </w:p>
    <w:p>
      <w:pPr>
        <w:pStyle w:val="TOC8"/>
        <w:rPr>
          <w:sz w:val="24"/>
          <w:szCs w:val="24"/>
        </w:rPr>
      </w:pPr>
      <w:r>
        <w:rPr>
          <w:szCs w:val="24"/>
        </w:rPr>
        <w:t>13A.</w:t>
      </w:r>
      <w:r>
        <w:rPr>
          <w:szCs w:val="24"/>
        </w:rPr>
        <w:tab/>
        <w:t>Criterion 6 — applicant must not have been convicted of an offence under this Act</w:t>
      </w:r>
      <w:r>
        <w:tab/>
      </w:r>
      <w:r>
        <w:fldChar w:fldCharType="begin"/>
      </w:r>
      <w:r>
        <w:instrText xml:space="preserve"> PAGEREF _Toc265588759 \h </w:instrText>
      </w:r>
      <w:r>
        <w:fldChar w:fldCharType="separate"/>
      </w:r>
      <w:r>
        <w:t>14</w:t>
      </w:r>
      <w:r>
        <w:fldChar w:fldCharType="end"/>
      </w:r>
    </w:p>
    <w:p>
      <w:pPr>
        <w:pStyle w:val="TOC4"/>
        <w:tabs>
          <w:tab w:val="right" w:leader="dot" w:pos="7086"/>
        </w:tabs>
        <w:rPr>
          <w:b w:val="0"/>
          <w:sz w:val="24"/>
          <w:szCs w:val="24"/>
        </w:rPr>
      </w:pPr>
      <w:r>
        <w:rPr>
          <w:szCs w:val="26"/>
        </w:rPr>
        <w:t>Division 3 — Eligible transactions</w:t>
      </w:r>
    </w:p>
    <w:p>
      <w:pPr>
        <w:pStyle w:val="TOC6"/>
        <w:tabs>
          <w:tab w:val="right" w:leader="dot" w:pos="7086"/>
        </w:tabs>
        <w:rPr>
          <w:b w:val="0"/>
          <w:sz w:val="24"/>
          <w:szCs w:val="24"/>
        </w:rPr>
      </w:pPr>
      <w:r>
        <w:rPr>
          <w:szCs w:val="24"/>
        </w:rPr>
        <w:t>Subdivision 1 — Eligible transactions</w:t>
      </w:r>
    </w:p>
    <w:p>
      <w:pPr>
        <w:pStyle w:val="TOC8"/>
        <w:rPr>
          <w:sz w:val="24"/>
          <w:szCs w:val="24"/>
        </w:rPr>
      </w:pPr>
      <w:r>
        <w:rPr>
          <w:szCs w:val="24"/>
        </w:rPr>
        <w:t>14.</w:t>
      </w:r>
      <w:r>
        <w:rPr>
          <w:szCs w:val="24"/>
        </w:rPr>
        <w:tab/>
        <w:t>Eligible transaction</w:t>
      </w:r>
      <w:r>
        <w:tab/>
      </w:r>
      <w:r>
        <w:fldChar w:fldCharType="begin"/>
      </w:r>
      <w:r>
        <w:instrText xml:space="preserve"> PAGEREF _Toc265588762 \h </w:instrText>
      </w:r>
      <w:r>
        <w:fldChar w:fldCharType="separate"/>
      </w:r>
      <w:r>
        <w:t>15</w:t>
      </w:r>
      <w:r>
        <w:fldChar w:fldCharType="end"/>
      </w:r>
    </w:p>
    <w:p>
      <w:pPr>
        <w:pStyle w:val="TOC8"/>
        <w:rPr>
          <w:sz w:val="24"/>
          <w:szCs w:val="24"/>
        </w:rPr>
      </w:pPr>
      <w:r>
        <w:rPr>
          <w:szCs w:val="24"/>
        </w:rPr>
        <w:t>14AA.</w:t>
      </w:r>
      <w:r>
        <w:rPr>
          <w:szCs w:val="24"/>
        </w:rPr>
        <w:tab/>
        <w:t>Commencement and completion of transaction</w:t>
      </w:r>
      <w:r>
        <w:tab/>
      </w:r>
      <w:r>
        <w:fldChar w:fldCharType="begin"/>
      </w:r>
      <w:r>
        <w:instrText xml:space="preserve"> PAGEREF _Toc265588763 \h </w:instrText>
      </w:r>
      <w:r>
        <w:fldChar w:fldCharType="separate"/>
      </w:r>
      <w:r>
        <w:t>16</w:t>
      </w:r>
      <w:r>
        <w:fldChar w:fldCharType="end"/>
      </w:r>
    </w:p>
    <w:p>
      <w:pPr>
        <w:pStyle w:val="TOC8"/>
        <w:rPr>
          <w:sz w:val="24"/>
          <w:szCs w:val="24"/>
        </w:rPr>
      </w:pPr>
      <w:r>
        <w:rPr>
          <w:szCs w:val="24"/>
        </w:rPr>
        <w:t>14AB.</w:t>
      </w:r>
      <w:r>
        <w:rPr>
          <w:szCs w:val="24"/>
        </w:rPr>
        <w:tab/>
        <w:t>Term used: consideration</w:t>
      </w:r>
      <w:r>
        <w:tab/>
      </w:r>
      <w:r>
        <w:fldChar w:fldCharType="begin"/>
      </w:r>
      <w:r>
        <w:instrText xml:space="preserve"> PAGEREF _Toc265588764 \h </w:instrText>
      </w:r>
      <w:r>
        <w:fldChar w:fldCharType="separate"/>
      </w:r>
      <w:r>
        <w:t>17</w:t>
      </w:r>
      <w:r>
        <w:fldChar w:fldCharType="end"/>
      </w:r>
    </w:p>
    <w:p>
      <w:pPr>
        <w:pStyle w:val="TOC8"/>
        <w:rPr>
          <w:sz w:val="24"/>
          <w:szCs w:val="24"/>
        </w:rPr>
      </w:pPr>
      <w:r>
        <w:rPr>
          <w:szCs w:val="24"/>
        </w:rPr>
        <w:t>14AC.</w:t>
      </w:r>
      <w:r>
        <w:rPr>
          <w:szCs w:val="24"/>
        </w:rPr>
        <w:tab/>
        <w:t>Term used: total value</w:t>
      </w:r>
      <w:r>
        <w:tab/>
      </w:r>
      <w:r>
        <w:fldChar w:fldCharType="begin"/>
      </w:r>
      <w:r>
        <w:instrText xml:space="preserve"> PAGEREF _Toc265588765 \h </w:instrText>
      </w:r>
      <w:r>
        <w:fldChar w:fldCharType="separate"/>
      </w:r>
      <w:r>
        <w:t>17</w:t>
      </w:r>
      <w:r>
        <w:fldChar w:fldCharType="end"/>
      </w:r>
    </w:p>
    <w:p>
      <w:pPr>
        <w:pStyle w:val="TOC8"/>
        <w:rPr>
          <w:sz w:val="24"/>
          <w:szCs w:val="24"/>
        </w:rPr>
      </w:pPr>
      <w:r>
        <w:rPr>
          <w:szCs w:val="24"/>
        </w:rPr>
        <w:t>14AD.</w:t>
      </w:r>
      <w:r>
        <w:rPr>
          <w:szCs w:val="24"/>
        </w:rPr>
        <w:tab/>
        <w:t>Term used: cap amount</w:t>
      </w:r>
      <w:r>
        <w:tab/>
      </w:r>
      <w:r>
        <w:fldChar w:fldCharType="begin"/>
      </w:r>
      <w:r>
        <w:instrText xml:space="preserve"> PAGEREF _Toc265588766 \h </w:instrText>
      </w:r>
      <w:r>
        <w:fldChar w:fldCharType="separate"/>
      </w:r>
      <w:r>
        <w:t>18</w:t>
      </w:r>
      <w:r>
        <w:fldChar w:fldCharType="end"/>
      </w:r>
    </w:p>
    <w:p>
      <w:pPr>
        <w:pStyle w:val="TOC8"/>
        <w:rPr>
          <w:sz w:val="24"/>
          <w:szCs w:val="24"/>
        </w:rPr>
      </w:pPr>
      <w:r>
        <w:rPr>
          <w:szCs w:val="24"/>
        </w:rPr>
        <w:t>14AE.</w:t>
      </w:r>
      <w:r>
        <w:rPr>
          <w:szCs w:val="24"/>
        </w:rPr>
        <w:tab/>
        <w:t>Term used: unencumbered value</w:t>
      </w:r>
      <w:r>
        <w:tab/>
      </w:r>
      <w:r>
        <w:fldChar w:fldCharType="begin"/>
      </w:r>
      <w:r>
        <w:instrText xml:space="preserve"> PAGEREF _Toc265588767 \h </w:instrText>
      </w:r>
      <w:r>
        <w:fldChar w:fldCharType="separate"/>
      </w:r>
      <w:r>
        <w:t>19</w:t>
      </w:r>
      <w:r>
        <w:fldChar w:fldCharType="end"/>
      </w:r>
    </w:p>
    <w:p>
      <w:pPr>
        <w:pStyle w:val="TOC6"/>
        <w:tabs>
          <w:tab w:val="right" w:leader="dot" w:pos="7086"/>
        </w:tabs>
        <w:rPr>
          <w:b w:val="0"/>
          <w:sz w:val="24"/>
          <w:szCs w:val="24"/>
        </w:rPr>
      </w:pPr>
      <w:r>
        <w:rPr>
          <w:szCs w:val="24"/>
        </w:rPr>
        <w:t>Subdivision 2 — Special eligible transactions</w:t>
      </w:r>
    </w:p>
    <w:p>
      <w:pPr>
        <w:pStyle w:val="TOC8"/>
        <w:rPr>
          <w:sz w:val="24"/>
          <w:szCs w:val="24"/>
        </w:rPr>
      </w:pPr>
      <w:r>
        <w:rPr>
          <w:szCs w:val="24"/>
        </w:rPr>
        <w:t>14A.</w:t>
      </w:r>
      <w:r>
        <w:rPr>
          <w:szCs w:val="24"/>
        </w:rPr>
        <w:tab/>
        <w:t>Terms used</w:t>
      </w:r>
      <w:r>
        <w:tab/>
      </w:r>
      <w:r>
        <w:fldChar w:fldCharType="begin"/>
      </w:r>
      <w:r>
        <w:instrText xml:space="preserve"> PAGEREF _Toc265588769 \h </w:instrText>
      </w:r>
      <w:r>
        <w:fldChar w:fldCharType="separate"/>
      </w:r>
      <w:r>
        <w:t>20</w:t>
      </w:r>
      <w:r>
        <w:fldChar w:fldCharType="end"/>
      </w:r>
    </w:p>
    <w:p>
      <w:pPr>
        <w:pStyle w:val="TOC8"/>
        <w:rPr>
          <w:sz w:val="24"/>
          <w:szCs w:val="24"/>
        </w:rPr>
      </w:pPr>
      <w:r>
        <w:rPr>
          <w:szCs w:val="24"/>
        </w:rPr>
        <w:t>14B.</w:t>
      </w:r>
      <w:r>
        <w:rPr>
          <w:szCs w:val="24"/>
        </w:rPr>
        <w:tab/>
        <w:t>Special eligible transactions</w:t>
      </w:r>
      <w:r>
        <w:tab/>
      </w:r>
      <w:r>
        <w:fldChar w:fldCharType="begin"/>
      </w:r>
      <w:r>
        <w:instrText xml:space="preserve"> PAGEREF _Toc265588770 \h </w:instrText>
      </w:r>
      <w:r>
        <w:fldChar w:fldCharType="separate"/>
      </w:r>
      <w:r>
        <w:t>21</w:t>
      </w:r>
      <w:r>
        <w:fldChar w:fldCharType="end"/>
      </w:r>
    </w:p>
    <w:p>
      <w:pPr>
        <w:pStyle w:val="TOC4"/>
        <w:tabs>
          <w:tab w:val="right" w:leader="dot" w:pos="7086"/>
        </w:tabs>
        <w:rPr>
          <w:b w:val="0"/>
          <w:sz w:val="24"/>
          <w:szCs w:val="24"/>
        </w:rPr>
      </w:pPr>
      <w:r>
        <w:rPr>
          <w:szCs w:val="26"/>
        </w:rPr>
        <w:t>Division 4 — Application for the grant</w:t>
      </w:r>
    </w:p>
    <w:p>
      <w:pPr>
        <w:pStyle w:val="TOC8"/>
        <w:rPr>
          <w:sz w:val="24"/>
          <w:szCs w:val="24"/>
        </w:rPr>
      </w:pPr>
      <w:r>
        <w:rPr>
          <w:szCs w:val="24"/>
        </w:rPr>
        <w:t>15.</w:t>
      </w:r>
      <w:r>
        <w:rPr>
          <w:szCs w:val="24"/>
        </w:rPr>
        <w:tab/>
        <w:t>Application for grant</w:t>
      </w:r>
      <w:r>
        <w:tab/>
      </w:r>
      <w:r>
        <w:fldChar w:fldCharType="begin"/>
      </w:r>
      <w:r>
        <w:instrText xml:space="preserve"> PAGEREF _Toc265588772 \h </w:instrText>
      </w:r>
      <w:r>
        <w:fldChar w:fldCharType="separate"/>
      </w:r>
      <w:r>
        <w:t>25</w:t>
      </w:r>
      <w:r>
        <w:fldChar w:fldCharType="end"/>
      </w:r>
    </w:p>
    <w:p>
      <w:pPr>
        <w:pStyle w:val="TOC8"/>
        <w:rPr>
          <w:sz w:val="24"/>
          <w:szCs w:val="24"/>
        </w:rPr>
      </w:pPr>
      <w:r>
        <w:rPr>
          <w:szCs w:val="24"/>
        </w:rPr>
        <w:t>16.</w:t>
      </w:r>
      <w:r>
        <w:rPr>
          <w:szCs w:val="24"/>
        </w:rPr>
        <w:tab/>
        <w:t>Interested persons</w:t>
      </w:r>
      <w:r>
        <w:tab/>
      </w:r>
      <w:r>
        <w:fldChar w:fldCharType="begin"/>
      </w:r>
      <w:r>
        <w:instrText xml:space="preserve"> PAGEREF _Toc265588773 \h </w:instrText>
      </w:r>
      <w:r>
        <w:fldChar w:fldCharType="separate"/>
      </w:r>
      <w:r>
        <w:t>26</w:t>
      </w:r>
      <w:r>
        <w:fldChar w:fldCharType="end"/>
      </w:r>
    </w:p>
    <w:p>
      <w:pPr>
        <w:pStyle w:val="TOC8"/>
        <w:rPr>
          <w:sz w:val="24"/>
          <w:szCs w:val="24"/>
        </w:rPr>
      </w:pPr>
      <w:r>
        <w:rPr>
          <w:szCs w:val="24"/>
        </w:rPr>
        <w:t>17.</w:t>
      </w:r>
      <w:r>
        <w:rPr>
          <w:szCs w:val="24"/>
        </w:rPr>
        <w:tab/>
        <w:t>Application on behalf of person under legal disability</w:t>
      </w:r>
      <w:r>
        <w:tab/>
      </w:r>
      <w:r>
        <w:fldChar w:fldCharType="begin"/>
      </w:r>
      <w:r>
        <w:instrText xml:space="preserve"> PAGEREF _Toc265588774 \h </w:instrText>
      </w:r>
      <w:r>
        <w:fldChar w:fldCharType="separate"/>
      </w:r>
      <w:r>
        <w:t>27</w:t>
      </w:r>
      <w:r>
        <w:fldChar w:fldCharType="end"/>
      </w:r>
    </w:p>
    <w:p>
      <w:pPr>
        <w:pStyle w:val="TOC4"/>
        <w:tabs>
          <w:tab w:val="right" w:leader="dot" w:pos="7086"/>
        </w:tabs>
        <w:rPr>
          <w:b w:val="0"/>
          <w:sz w:val="24"/>
          <w:szCs w:val="24"/>
        </w:rPr>
      </w:pPr>
      <w:r>
        <w:rPr>
          <w:szCs w:val="26"/>
        </w:rPr>
        <w:t>Division 5 — Decision on application</w:t>
      </w:r>
    </w:p>
    <w:p>
      <w:pPr>
        <w:pStyle w:val="TOC8"/>
        <w:rPr>
          <w:sz w:val="24"/>
          <w:szCs w:val="24"/>
        </w:rPr>
      </w:pPr>
      <w:r>
        <w:rPr>
          <w:szCs w:val="24"/>
        </w:rPr>
        <w:t>18.</w:t>
      </w:r>
      <w:r>
        <w:rPr>
          <w:szCs w:val="24"/>
        </w:rPr>
        <w:tab/>
        <w:t>Commissioner to authorise payment of grant</w:t>
      </w:r>
      <w:r>
        <w:tab/>
      </w:r>
      <w:r>
        <w:fldChar w:fldCharType="begin"/>
      </w:r>
      <w:r>
        <w:instrText xml:space="preserve"> PAGEREF _Toc265588776 \h </w:instrText>
      </w:r>
      <w:r>
        <w:fldChar w:fldCharType="separate"/>
      </w:r>
      <w:r>
        <w:t>27</w:t>
      </w:r>
      <w:r>
        <w:fldChar w:fldCharType="end"/>
      </w:r>
    </w:p>
    <w:p>
      <w:pPr>
        <w:pStyle w:val="TOC8"/>
        <w:rPr>
          <w:sz w:val="24"/>
          <w:szCs w:val="24"/>
        </w:rPr>
      </w:pPr>
      <w:r>
        <w:rPr>
          <w:szCs w:val="24"/>
        </w:rPr>
        <w:t>19.</w:t>
      </w:r>
      <w:r>
        <w:rPr>
          <w:szCs w:val="24"/>
        </w:rPr>
        <w:tab/>
        <w:t>Amount of grant</w:t>
      </w:r>
      <w:r>
        <w:tab/>
      </w:r>
      <w:r>
        <w:fldChar w:fldCharType="begin"/>
      </w:r>
      <w:r>
        <w:instrText xml:space="preserve"> PAGEREF _Toc265588777 \h </w:instrText>
      </w:r>
      <w:r>
        <w:fldChar w:fldCharType="separate"/>
      </w:r>
      <w:r>
        <w:t>28</w:t>
      </w:r>
      <w:r>
        <w:fldChar w:fldCharType="end"/>
      </w:r>
    </w:p>
    <w:p>
      <w:pPr>
        <w:pStyle w:val="TOC8"/>
        <w:rPr>
          <w:sz w:val="24"/>
          <w:szCs w:val="24"/>
        </w:rPr>
      </w:pPr>
      <w:r>
        <w:rPr>
          <w:szCs w:val="24"/>
        </w:rPr>
        <w:t>20.</w:t>
      </w:r>
      <w:r>
        <w:rPr>
          <w:szCs w:val="24"/>
        </w:rPr>
        <w:tab/>
        <w:t>Payment of grant</w:t>
      </w:r>
      <w:r>
        <w:tab/>
      </w:r>
      <w:r>
        <w:fldChar w:fldCharType="begin"/>
      </w:r>
      <w:r>
        <w:instrText xml:space="preserve"> PAGEREF _Toc265588778 \h </w:instrText>
      </w:r>
      <w:r>
        <w:fldChar w:fldCharType="separate"/>
      </w:r>
      <w:r>
        <w:t>29</w:t>
      </w:r>
      <w:r>
        <w:fldChar w:fldCharType="end"/>
      </w:r>
    </w:p>
    <w:p>
      <w:pPr>
        <w:pStyle w:val="TOC8"/>
        <w:rPr>
          <w:sz w:val="24"/>
          <w:szCs w:val="24"/>
        </w:rPr>
      </w:pPr>
      <w:r>
        <w:rPr>
          <w:szCs w:val="24"/>
        </w:rPr>
        <w:t>21.</w:t>
      </w:r>
      <w:r>
        <w:rPr>
          <w:szCs w:val="24"/>
        </w:rPr>
        <w:tab/>
        <w:t>Payment in anticipation of compliance with residence requirement</w:t>
      </w:r>
      <w:r>
        <w:tab/>
      </w:r>
      <w:r>
        <w:fldChar w:fldCharType="begin"/>
      </w:r>
      <w:r>
        <w:instrText xml:space="preserve"> PAGEREF _Toc265588779 \h </w:instrText>
      </w:r>
      <w:r>
        <w:fldChar w:fldCharType="separate"/>
      </w:r>
      <w:r>
        <w:t>29</w:t>
      </w:r>
      <w:r>
        <w:fldChar w:fldCharType="end"/>
      </w:r>
    </w:p>
    <w:p>
      <w:pPr>
        <w:pStyle w:val="TOC8"/>
        <w:rPr>
          <w:sz w:val="24"/>
          <w:szCs w:val="24"/>
        </w:rPr>
      </w:pPr>
      <w:r>
        <w:rPr>
          <w:szCs w:val="24"/>
        </w:rPr>
        <w:t>22.</w:t>
      </w:r>
      <w:r>
        <w:rPr>
          <w:szCs w:val="24"/>
        </w:rPr>
        <w:tab/>
        <w:t>Commissioner may impose conditions</w:t>
      </w:r>
      <w:r>
        <w:tab/>
      </w:r>
      <w:r>
        <w:fldChar w:fldCharType="begin"/>
      </w:r>
      <w:r>
        <w:instrText xml:space="preserve"> PAGEREF _Toc265588780 \h </w:instrText>
      </w:r>
      <w:r>
        <w:fldChar w:fldCharType="separate"/>
      </w:r>
      <w:r>
        <w:t>31</w:t>
      </w:r>
      <w:r>
        <w:fldChar w:fldCharType="end"/>
      </w:r>
    </w:p>
    <w:p>
      <w:pPr>
        <w:pStyle w:val="TOC8"/>
        <w:rPr>
          <w:sz w:val="24"/>
          <w:szCs w:val="24"/>
        </w:rPr>
      </w:pPr>
      <w:r>
        <w:rPr>
          <w:szCs w:val="24"/>
        </w:rPr>
        <w:t>23.</w:t>
      </w:r>
      <w:r>
        <w:rPr>
          <w:szCs w:val="24"/>
        </w:rPr>
        <w:tab/>
        <w:t>Death of applicant</w:t>
      </w:r>
      <w:r>
        <w:tab/>
      </w:r>
      <w:r>
        <w:fldChar w:fldCharType="begin"/>
      </w:r>
      <w:r>
        <w:instrText xml:space="preserve"> PAGEREF _Toc265588781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Power to correct decision</w:t>
      </w:r>
      <w:r>
        <w:tab/>
      </w:r>
      <w:r>
        <w:fldChar w:fldCharType="begin"/>
      </w:r>
      <w:r>
        <w:instrText xml:space="preserve"> PAGEREF _Toc265588782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Notice of decision</w:t>
      </w:r>
      <w:r>
        <w:tab/>
      </w:r>
      <w:r>
        <w:fldChar w:fldCharType="begin"/>
      </w:r>
      <w:r>
        <w:instrText xml:space="preserve"> PAGEREF _Toc265588783 \h </w:instrText>
      </w:r>
      <w:r>
        <w:fldChar w:fldCharType="separate"/>
      </w:r>
      <w:r>
        <w:t>33</w:t>
      </w:r>
      <w:r>
        <w:fldChar w:fldCharType="end"/>
      </w:r>
    </w:p>
    <w:p>
      <w:pPr>
        <w:pStyle w:val="TOC4"/>
        <w:tabs>
          <w:tab w:val="right" w:leader="dot" w:pos="7086"/>
        </w:tabs>
        <w:rPr>
          <w:b w:val="0"/>
          <w:sz w:val="24"/>
          <w:szCs w:val="24"/>
        </w:rPr>
      </w:pPr>
      <w:r>
        <w:rPr>
          <w:szCs w:val="26"/>
        </w:rPr>
        <w:t>Division 6 — Objections and review</w:t>
      </w:r>
    </w:p>
    <w:p>
      <w:pPr>
        <w:pStyle w:val="TOC6"/>
        <w:tabs>
          <w:tab w:val="right" w:leader="dot" w:pos="7086"/>
        </w:tabs>
        <w:rPr>
          <w:b w:val="0"/>
          <w:sz w:val="24"/>
          <w:szCs w:val="24"/>
        </w:rPr>
      </w:pPr>
      <w:r>
        <w:rPr>
          <w:szCs w:val="24"/>
        </w:rPr>
        <w:t>Subdivision 1 — Definitions</w:t>
      </w:r>
    </w:p>
    <w:p>
      <w:pPr>
        <w:pStyle w:val="TOC8"/>
        <w:rPr>
          <w:sz w:val="24"/>
          <w:szCs w:val="24"/>
        </w:rPr>
      </w:pPr>
      <w:r>
        <w:rPr>
          <w:szCs w:val="24"/>
        </w:rPr>
        <w:t>26.</w:t>
      </w:r>
      <w:r>
        <w:rPr>
          <w:szCs w:val="24"/>
        </w:rPr>
        <w:tab/>
        <w:t>Definitions</w:t>
      </w:r>
      <w:r>
        <w:tab/>
      </w:r>
      <w:r>
        <w:fldChar w:fldCharType="begin"/>
      </w:r>
      <w:r>
        <w:instrText xml:space="preserve"> PAGEREF _Toc265588786 \h </w:instrText>
      </w:r>
      <w:r>
        <w:fldChar w:fldCharType="separate"/>
      </w:r>
      <w:r>
        <w:t>34</w:t>
      </w:r>
      <w:r>
        <w:fldChar w:fldCharType="end"/>
      </w:r>
    </w:p>
    <w:p>
      <w:pPr>
        <w:pStyle w:val="TOC6"/>
        <w:tabs>
          <w:tab w:val="right" w:leader="dot" w:pos="7086"/>
        </w:tabs>
        <w:rPr>
          <w:b w:val="0"/>
          <w:sz w:val="24"/>
          <w:szCs w:val="24"/>
        </w:rPr>
      </w:pPr>
      <w:r>
        <w:rPr>
          <w:szCs w:val="24"/>
        </w:rPr>
        <w:t>Subdivision 2 — Objections</w:t>
      </w:r>
    </w:p>
    <w:p>
      <w:pPr>
        <w:pStyle w:val="TOC8"/>
        <w:rPr>
          <w:sz w:val="24"/>
          <w:szCs w:val="24"/>
        </w:rPr>
      </w:pPr>
      <w:r>
        <w:rPr>
          <w:szCs w:val="24"/>
        </w:rPr>
        <w:t>27.</w:t>
      </w:r>
      <w:r>
        <w:rPr>
          <w:szCs w:val="24"/>
        </w:rPr>
        <w:tab/>
        <w:t>Right to object and procedure for making objections</w:t>
      </w:r>
      <w:r>
        <w:tab/>
      </w:r>
      <w:r>
        <w:fldChar w:fldCharType="begin"/>
      </w:r>
      <w:r>
        <w:instrText xml:space="preserve"> PAGEREF _Toc265588788 \h </w:instrText>
      </w:r>
      <w:r>
        <w:fldChar w:fldCharType="separate"/>
      </w:r>
      <w:r>
        <w:t>34</w:t>
      </w:r>
      <w:r>
        <w:fldChar w:fldCharType="end"/>
      </w:r>
    </w:p>
    <w:p>
      <w:pPr>
        <w:pStyle w:val="TOC8"/>
        <w:rPr>
          <w:sz w:val="24"/>
          <w:szCs w:val="24"/>
        </w:rPr>
      </w:pPr>
      <w:r>
        <w:rPr>
          <w:szCs w:val="24"/>
        </w:rPr>
        <w:t>28.</w:t>
      </w:r>
      <w:r>
        <w:rPr>
          <w:szCs w:val="24"/>
        </w:rPr>
        <w:tab/>
        <w:t>Time for lodging objection</w:t>
      </w:r>
      <w:r>
        <w:tab/>
      </w:r>
      <w:r>
        <w:fldChar w:fldCharType="begin"/>
      </w:r>
      <w:r>
        <w:instrText xml:space="preserve"> PAGEREF _Toc265588789 \h </w:instrText>
      </w:r>
      <w:r>
        <w:fldChar w:fldCharType="separate"/>
      </w:r>
      <w:r>
        <w:t>35</w:t>
      </w:r>
      <w:r>
        <w:fldChar w:fldCharType="end"/>
      </w:r>
    </w:p>
    <w:p>
      <w:pPr>
        <w:pStyle w:val="TOC8"/>
        <w:rPr>
          <w:sz w:val="24"/>
          <w:szCs w:val="24"/>
        </w:rPr>
      </w:pPr>
      <w:r>
        <w:rPr>
          <w:szCs w:val="24"/>
        </w:rPr>
        <w:t>29</w:t>
      </w:r>
      <w:r>
        <w:rPr>
          <w:snapToGrid w:val="0"/>
          <w:szCs w:val="24"/>
        </w:rPr>
        <w:t>.</w:t>
      </w:r>
      <w:r>
        <w:rPr>
          <w:snapToGrid w:val="0"/>
          <w:szCs w:val="24"/>
        </w:rPr>
        <w:tab/>
        <w:t>Consideration of objection</w:t>
      </w:r>
      <w:r>
        <w:tab/>
      </w:r>
      <w:r>
        <w:fldChar w:fldCharType="begin"/>
      </w:r>
      <w:r>
        <w:instrText xml:space="preserve"> PAGEREF _Toc265588790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Decision on objection</w:t>
      </w:r>
      <w:r>
        <w:tab/>
      </w:r>
      <w:r>
        <w:fldChar w:fldCharType="begin"/>
      </w:r>
      <w:r>
        <w:instrText xml:space="preserve"> PAGEREF _Toc265588791 \h </w:instrText>
      </w:r>
      <w:r>
        <w:fldChar w:fldCharType="separate"/>
      </w:r>
      <w:r>
        <w:t>36</w:t>
      </w:r>
      <w:r>
        <w:fldChar w:fldCharType="end"/>
      </w:r>
    </w:p>
    <w:p>
      <w:pPr>
        <w:pStyle w:val="TOC6"/>
        <w:tabs>
          <w:tab w:val="right" w:leader="dot" w:pos="7086"/>
        </w:tabs>
        <w:rPr>
          <w:b w:val="0"/>
          <w:sz w:val="24"/>
          <w:szCs w:val="24"/>
        </w:rPr>
      </w:pPr>
      <w:r>
        <w:rPr>
          <w:snapToGrid w:val="0"/>
          <w:szCs w:val="24"/>
        </w:rPr>
        <w:t xml:space="preserve">Subdivision 3 — </w:t>
      </w:r>
      <w:r>
        <w:rPr>
          <w:szCs w:val="24"/>
        </w:rPr>
        <w:t>Review</w:t>
      </w:r>
    </w:p>
    <w:p>
      <w:pPr>
        <w:pStyle w:val="TOC8"/>
        <w:rPr>
          <w:sz w:val="24"/>
          <w:szCs w:val="24"/>
        </w:rPr>
      </w:pPr>
      <w:r>
        <w:rPr>
          <w:szCs w:val="24"/>
        </w:rPr>
        <w:t>31.</w:t>
      </w:r>
      <w:r>
        <w:rPr>
          <w:szCs w:val="24"/>
        </w:rPr>
        <w:tab/>
        <w:t>Right of review</w:t>
      </w:r>
      <w:r>
        <w:tab/>
      </w:r>
      <w:r>
        <w:fldChar w:fldCharType="begin"/>
      </w:r>
      <w:r>
        <w:instrText xml:space="preserve"> PAGEREF _Toc265588793 \h </w:instrText>
      </w:r>
      <w:r>
        <w:fldChar w:fldCharType="separate"/>
      </w:r>
      <w:r>
        <w:t>37</w:t>
      </w:r>
      <w:r>
        <w:fldChar w:fldCharType="end"/>
      </w:r>
    </w:p>
    <w:p>
      <w:pPr>
        <w:pStyle w:val="TOC8"/>
        <w:rPr>
          <w:sz w:val="24"/>
          <w:szCs w:val="24"/>
        </w:rPr>
      </w:pPr>
      <w:r>
        <w:rPr>
          <w:szCs w:val="24"/>
        </w:rPr>
        <w:t>32.</w:t>
      </w:r>
      <w:r>
        <w:rPr>
          <w:szCs w:val="24"/>
        </w:rPr>
        <w:tab/>
        <w:t>Payment following determination of review</w:t>
      </w:r>
      <w:r>
        <w:tab/>
      </w:r>
      <w:r>
        <w:fldChar w:fldCharType="begin"/>
      </w:r>
      <w:r>
        <w:instrText xml:space="preserve"> PAGEREF _Toc265588794 \h </w:instrText>
      </w:r>
      <w:r>
        <w:fldChar w:fldCharType="separate"/>
      </w:r>
      <w:r>
        <w:t>37</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Administration generally</w:t>
      </w:r>
    </w:p>
    <w:p>
      <w:pPr>
        <w:pStyle w:val="TOC8"/>
        <w:rPr>
          <w:sz w:val="24"/>
          <w:szCs w:val="24"/>
        </w:rPr>
      </w:pPr>
      <w:r>
        <w:rPr>
          <w:szCs w:val="24"/>
        </w:rPr>
        <w:t>34.</w:t>
      </w:r>
      <w:r>
        <w:rPr>
          <w:szCs w:val="24"/>
        </w:rPr>
        <w:tab/>
        <w:t>Administration of Act</w:t>
      </w:r>
      <w:r>
        <w:tab/>
      </w:r>
      <w:r>
        <w:fldChar w:fldCharType="begin"/>
      </w:r>
      <w:r>
        <w:instrText xml:space="preserve"> PAGEREF _Toc265588797 \h </w:instrText>
      </w:r>
      <w:r>
        <w:fldChar w:fldCharType="separate"/>
      </w:r>
      <w:r>
        <w:t>40</w:t>
      </w:r>
      <w:r>
        <w:fldChar w:fldCharType="end"/>
      </w:r>
    </w:p>
    <w:p>
      <w:pPr>
        <w:pStyle w:val="TOC8"/>
        <w:rPr>
          <w:sz w:val="24"/>
          <w:szCs w:val="24"/>
        </w:rPr>
      </w:pPr>
      <w:r>
        <w:rPr>
          <w:szCs w:val="24"/>
        </w:rPr>
        <w:t>35.</w:t>
      </w:r>
      <w:r>
        <w:rPr>
          <w:szCs w:val="24"/>
        </w:rPr>
        <w:tab/>
        <w:t>Delegation</w:t>
      </w:r>
      <w:r>
        <w:tab/>
      </w:r>
      <w:r>
        <w:fldChar w:fldCharType="begin"/>
      </w:r>
      <w:r>
        <w:instrText xml:space="preserve"> PAGEREF _Toc265588798 \h </w:instrText>
      </w:r>
      <w:r>
        <w:fldChar w:fldCharType="separate"/>
      </w:r>
      <w:r>
        <w:t>40</w:t>
      </w:r>
      <w:r>
        <w:fldChar w:fldCharType="end"/>
      </w:r>
    </w:p>
    <w:p>
      <w:pPr>
        <w:pStyle w:val="TOC8"/>
        <w:rPr>
          <w:sz w:val="24"/>
          <w:szCs w:val="24"/>
        </w:rPr>
      </w:pPr>
      <w:r>
        <w:rPr>
          <w:szCs w:val="24"/>
        </w:rPr>
        <w:t>36.</w:t>
      </w:r>
      <w:r>
        <w:rPr>
          <w:szCs w:val="24"/>
        </w:rPr>
        <w:tab/>
        <w:t>Authorised investigators</w:t>
      </w:r>
      <w:r>
        <w:tab/>
      </w:r>
      <w:r>
        <w:fldChar w:fldCharType="begin"/>
      </w:r>
      <w:r>
        <w:instrText xml:space="preserve"> PAGEREF _Toc265588799 \h </w:instrText>
      </w:r>
      <w:r>
        <w:fldChar w:fldCharType="separate"/>
      </w:r>
      <w:r>
        <w:t>41</w:t>
      </w:r>
      <w:r>
        <w:fldChar w:fldCharType="end"/>
      </w:r>
    </w:p>
    <w:p>
      <w:pPr>
        <w:pStyle w:val="TOC8"/>
        <w:rPr>
          <w:sz w:val="24"/>
          <w:szCs w:val="24"/>
        </w:rPr>
      </w:pPr>
      <w:r>
        <w:rPr>
          <w:szCs w:val="24"/>
        </w:rPr>
        <w:t>37.</w:t>
      </w:r>
      <w:r>
        <w:rPr>
          <w:szCs w:val="24"/>
        </w:rPr>
        <w:tab/>
        <w:t>Administration agreements</w:t>
      </w:r>
      <w:r>
        <w:tab/>
      </w:r>
      <w:r>
        <w:fldChar w:fldCharType="begin"/>
      </w:r>
      <w:r>
        <w:instrText xml:space="preserve"> PAGEREF _Toc265588800 \h </w:instrText>
      </w:r>
      <w:r>
        <w:fldChar w:fldCharType="separate"/>
      </w:r>
      <w:r>
        <w:t>41</w:t>
      </w:r>
      <w:r>
        <w:fldChar w:fldCharType="end"/>
      </w:r>
    </w:p>
    <w:p>
      <w:pPr>
        <w:pStyle w:val="TOC4"/>
        <w:tabs>
          <w:tab w:val="right" w:leader="dot" w:pos="7086"/>
        </w:tabs>
        <w:rPr>
          <w:b w:val="0"/>
          <w:sz w:val="24"/>
          <w:szCs w:val="24"/>
        </w:rPr>
      </w:pPr>
      <w:r>
        <w:rPr>
          <w:szCs w:val="26"/>
        </w:rPr>
        <w:t>Division 2 — Investigations</w:t>
      </w:r>
    </w:p>
    <w:p>
      <w:pPr>
        <w:pStyle w:val="TOC8"/>
        <w:rPr>
          <w:sz w:val="24"/>
          <w:szCs w:val="24"/>
        </w:rPr>
      </w:pPr>
      <w:r>
        <w:rPr>
          <w:szCs w:val="24"/>
        </w:rPr>
        <w:t>38.</w:t>
      </w:r>
      <w:r>
        <w:rPr>
          <w:szCs w:val="24"/>
        </w:rPr>
        <w:tab/>
        <w:t>Investigations</w:t>
      </w:r>
      <w:r>
        <w:tab/>
      </w:r>
      <w:r>
        <w:fldChar w:fldCharType="begin"/>
      </w:r>
      <w:r>
        <w:instrText xml:space="preserve"> PAGEREF _Toc265588802 \h </w:instrText>
      </w:r>
      <w:r>
        <w:fldChar w:fldCharType="separate"/>
      </w:r>
      <w:r>
        <w:t>42</w:t>
      </w:r>
      <w:r>
        <w:fldChar w:fldCharType="end"/>
      </w:r>
    </w:p>
    <w:p>
      <w:pPr>
        <w:pStyle w:val="TOC8"/>
        <w:rPr>
          <w:sz w:val="24"/>
          <w:szCs w:val="24"/>
        </w:rPr>
      </w:pPr>
      <w:r>
        <w:rPr>
          <w:szCs w:val="24"/>
        </w:rPr>
        <w:t>39</w:t>
      </w:r>
      <w:r>
        <w:rPr>
          <w:snapToGrid w:val="0"/>
          <w:szCs w:val="24"/>
        </w:rPr>
        <w:t>.</w:t>
      </w:r>
      <w:r>
        <w:rPr>
          <w:snapToGrid w:val="0"/>
          <w:szCs w:val="24"/>
        </w:rPr>
        <w:tab/>
        <w:t>Cross</w:t>
      </w:r>
      <w:r>
        <w:rPr>
          <w:snapToGrid w:val="0"/>
          <w:szCs w:val="24"/>
        </w:rPr>
        <w:noBreakHyphen/>
        <w:t>border investigations</w:t>
      </w:r>
      <w:r>
        <w:tab/>
      </w:r>
      <w:r>
        <w:fldChar w:fldCharType="begin"/>
      </w:r>
      <w:r>
        <w:instrText xml:space="preserve"> PAGEREF _Toc265588803 \h </w:instrText>
      </w:r>
      <w:r>
        <w:fldChar w:fldCharType="separate"/>
      </w:r>
      <w:r>
        <w:t>43</w:t>
      </w:r>
      <w:r>
        <w:fldChar w:fldCharType="end"/>
      </w:r>
    </w:p>
    <w:p>
      <w:pPr>
        <w:pStyle w:val="TOC8"/>
        <w:rPr>
          <w:sz w:val="24"/>
          <w:szCs w:val="24"/>
        </w:rPr>
      </w:pPr>
      <w:r>
        <w:rPr>
          <w:szCs w:val="24"/>
        </w:rPr>
        <w:t>40</w:t>
      </w:r>
      <w:r>
        <w:rPr>
          <w:snapToGrid w:val="0"/>
          <w:szCs w:val="24"/>
        </w:rPr>
        <w:t>.</w:t>
      </w:r>
      <w:r>
        <w:rPr>
          <w:snapToGrid w:val="0"/>
          <w:szCs w:val="24"/>
        </w:rPr>
        <w:tab/>
        <w:t>Power of investigation</w:t>
      </w:r>
      <w:r>
        <w:tab/>
      </w:r>
      <w:r>
        <w:fldChar w:fldCharType="begin"/>
      </w:r>
      <w:r>
        <w:instrText xml:space="preserve"> PAGEREF _Toc265588804 \h </w:instrText>
      </w:r>
      <w:r>
        <w:fldChar w:fldCharType="separate"/>
      </w:r>
      <w:r>
        <w:t>43</w:t>
      </w:r>
      <w:r>
        <w:fldChar w:fldCharType="end"/>
      </w:r>
    </w:p>
    <w:p>
      <w:pPr>
        <w:pStyle w:val="TOC8"/>
        <w:rPr>
          <w:sz w:val="24"/>
          <w:szCs w:val="24"/>
        </w:rPr>
      </w:pPr>
      <w:r>
        <w:rPr>
          <w:szCs w:val="24"/>
        </w:rPr>
        <w:t>41A.</w:t>
      </w:r>
      <w:r>
        <w:rPr>
          <w:szCs w:val="24"/>
        </w:rPr>
        <w:tab/>
        <w:t>Power to have valuation made</w:t>
      </w:r>
      <w:r>
        <w:tab/>
      </w:r>
      <w:r>
        <w:fldChar w:fldCharType="begin"/>
      </w:r>
      <w:r>
        <w:instrText xml:space="preserve"> PAGEREF _Toc265588805 \h </w:instrText>
      </w:r>
      <w:r>
        <w:fldChar w:fldCharType="separate"/>
      </w:r>
      <w:r>
        <w:t>43</w:t>
      </w:r>
      <w:r>
        <w:fldChar w:fldCharType="end"/>
      </w:r>
    </w:p>
    <w:p>
      <w:pPr>
        <w:pStyle w:val="TOC8"/>
        <w:rPr>
          <w:sz w:val="24"/>
          <w:szCs w:val="24"/>
        </w:rPr>
      </w:pPr>
      <w:r>
        <w:rPr>
          <w:szCs w:val="24"/>
        </w:rPr>
        <w:t>41.</w:t>
      </w:r>
      <w:r>
        <w:rPr>
          <w:szCs w:val="24"/>
        </w:rPr>
        <w:tab/>
        <w:t>Power to require person to attend for examination</w:t>
      </w:r>
      <w:r>
        <w:tab/>
      </w:r>
      <w:r>
        <w:fldChar w:fldCharType="begin"/>
      </w:r>
      <w:r>
        <w:instrText xml:space="preserve"> PAGEREF _Toc265588806 \h </w:instrText>
      </w:r>
      <w:r>
        <w:fldChar w:fldCharType="separate"/>
      </w:r>
      <w:r>
        <w:t>44</w:t>
      </w:r>
      <w:r>
        <w:fldChar w:fldCharType="end"/>
      </w:r>
    </w:p>
    <w:p>
      <w:pPr>
        <w:pStyle w:val="TOC8"/>
        <w:rPr>
          <w:sz w:val="24"/>
          <w:szCs w:val="24"/>
        </w:rPr>
      </w:pPr>
      <w:r>
        <w:rPr>
          <w:szCs w:val="24"/>
        </w:rPr>
        <w:t>42.</w:t>
      </w:r>
      <w:r>
        <w:rPr>
          <w:szCs w:val="24"/>
        </w:rPr>
        <w:tab/>
        <w:t>Entry of premises</w:t>
      </w:r>
      <w:r>
        <w:tab/>
      </w:r>
      <w:r>
        <w:fldChar w:fldCharType="begin"/>
      </w:r>
      <w:r>
        <w:instrText xml:space="preserve"> PAGEREF _Toc265588807 \h </w:instrText>
      </w:r>
      <w:r>
        <w:fldChar w:fldCharType="separate"/>
      </w:r>
      <w:r>
        <w:t>45</w:t>
      </w:r>
      <w:r>
        <w:fldChar w:fldCharType="end"/>
      </w:r>
    </w:p>
    <w:p>
      <w:pPr>
        <w:pStyle w:val="TOC8"/>
        <w:rPr>
          <w:sz w:val="24"/>
          <w:szCs w:val="24"/>
        </w:rPr>
      </w:pPr>
      <w:r>
        <w:rPr>
          <w:szCs w:val="24"/>
        </w:rPr>
        <w:t>43.</w:t>
      </w:r>
      <w:r>
        <w:rPr>
          <w:szCs w:val="24"/>
        </w:rPr>
        <w:tab/>
        <w:t>Powers of authorised investigator on entry of premises</w:t>
      </w:r>
      <w:r>
        <w:tab/>
      </w:r>
      <w:r>
        <w:fldChar w:fldCharType="begin"/>
      </w:r>
      <w:r>
        <w:instrText xml:space="preserve"> PAGEREF _Toc265588808 \h </w:instrText>
      </w:r>
      <w:r>
        <w:fldChar w:fldCharType="separate"/>
      </w:r>
      <w:r>
        <w:t>46</w:t>
      </w:r>
      <w:r>
        <w:fldChar w:fldCharType="end"/>
      </w:r>
    </w:p>
    <w:p>
      <w:pPr>
        <w:pStyle w:val="TOC8"/>
        <w:rPr>
          <w:sz w:val="24"/>
          <w:szCs w:val="24"/>
        </w:rPr>
      </w:pPr>
      <w:r>
        <w:rPr>
          <w:szCs w:val="24"/>
        </w:rPr>
        <w:t>44.</w:t>
      </w:r>
      <w:r>
        <w:rPr>
          <w:szCs w:val="24"/>
        </w:rPr>
        <w:tab/>
        <w:t>Warrants</w:t>
      </w:r>
      <w:r>
        <w:tab/>
      </w:r>
      <w:r>
        <w:fldChar w:fldCharType="begin"/>
      </w:r>
      <w:r>
        <w:instrText xml:space="preserve"> PAGEREF _Toc265588809 \h </w:instrText>
      </w:r>
      <w:r>
        <w:fldChar w:fldCharType="separate"/>
      </w:r>
      <w:r>
        <w:t>48</w:t>
      </w:r>
      <w:r>
        <w:fldChar w:fldCharType="end"/>
      </w:r>
    </w:p>
    <w:p>
      <w:pPr>
        <w:pStyle w:val="TOC8"/>
        <w:rPr>
          <w:sz w:val="24"/>
          <w:szCs w:val="24"/>
        </w:rPr>
      </w:pPr>
      <w:r>
        <w:rPr>
          <w:szCs w:val="24"/>
        </w:rPr>
        <w:t>45.</w:t>
      </w:r>
      <w:r>
        <w:rPr>
          <w:szCs w:val="24"/>
        </w:rPr>
        <w:tab/>
        <w:t>Use of force</w:t>
      </w:r>
      <w:r>
        <w:tab/>
      </w:r>
      <w:r>
        <w:fldChar w:fldCharType="begin"/>
      </w:r>
      <w:r>
        <w:instrText xml:space="preserve"> PAGEREF _Toc265588810 \h </w:instrText>
      </w:r>
      <w:r>
        <w:fldChar w:fldCharType="separate"/>
      </w:r>
      <w:r>
        <w:t>49</w:t>
      </w:r>
      <w:r>
        <w:fldChar w:fldCharType="end"/>
      </w:r>
    </w:p>
    <w:p>
      <w:pPr>
        <w:pStyle w:val="TOC8"/>
        <w:rPr>
          <w:sz w:val="24"/>
          <w:szCs w:val="24"/>
        </w:rPr>
      </w:pPr>
      <w:r>
        <w:rPr>
          <w:szCs w:val="24"/>
        </w:rPr>
        <w:t>46.</w:t>
      </w:r>
      <w:r>
        <w:rPr>
          <w:szCs w:val="24"/>
        </w:rPr>
        <w:tab/>
        <w:t>Self incrimination</w:t>
      </w:r>
      <w:r>
        <w:tab/>
      </w:r>
      <w:r>
        <w:fldChar w:fldCharType="begin"/>
      </w:r>
      <w:r>
        <w:instrText xml:space="preserve"> PAGEREF _Toc265588811 \h </w:instrText>
      </w:r>
      <w:r>
        <w:fldChar w:fldCharType="separate"/>
      </w:r>
      <w:r>
        <w:t>49</w:t>
      </w:r>
      <w:r>
        <w:fldChar w:fldCharType="end"/>
      </w:r>
    </w:p>
    <w:p>
      <w:pPr>
        <w:pStyle w:val="TOC2"/>
        <w:tabs>
          <w:tab w:val="right" w:leader="dot" w:pos="7086"/>
        </w:tabs>
        <w:rPr>
          <w:b w:val="0"/>
          <w:sz w:val="24"/>
          <w:szCs w:val="24"/>
        </w:rPr>
      </w:pPr>
      <w:r>
        <w:rPr>
          <w:szCs w:val="30"/>
        </w:rPr>
        <w:t>Part 4 — Miscellaneous</w:t>
      </w:r>
    </w:p>
    <w:p>
      <w:pPr>
        <w:pStyle w:val="TOC4"/>
        <w:tabs>
          <w:tab w:val="right" w:leader="dot" w:pos="7086"/>
        </w:tabs>
        <w:rPr>
          <w:b w:val="0"/>
          <w:sz w:val="24"/>
          <w:szCs w:val="24"/>
        </w:rPr>
      </w:pPr>
      <w:r>
        <w:rPr>
          <w:szCs w:val="26"/>
        </w:rPr>
        <w:t>Division 1 — Offences</w:t>
      </w:r>
    </w:p>
    <w:p>
      <w:pPr>
        <w:pStyle w:val="TOC8"/>
        <w:rPr>
          <w:sz w:val="24"/>
          <w:szCs w:val="24"/>
        </w:rPr>
      </w:pPr>
      <w:r>
        <w:rPr>
          <w:szCs w:val="24"/>
        </w:rPr>
        <w:t>47.</w:t>
      </w:r>
      <w:r>
        <w:rPr>
          <w:szCs w:val="24"/>
        </w:rPr>
        <w:tab/>
        <w:t>False or misleading information and documents</w:t>
      </w:r>
      <w:r>
        <w:tab/>
      </w:r>
      <w:r>
        <w:fldChar w:fldCharType="begin"/>
      </w:r>
      <w:r>
        <w:instrText xml:space="preserve"> PAGEREF _Toc265588814 \h </w:instrText>
      </w:r>
      <w:r>
        <w:fldChar w:fldCharType="separate"/>
      </w:r>
      <w:r>
        <w:t>51</w:t>
      </w:r>
      <w:r>
        <w:fldChar w:fldCharType="end"/>
      </w:r>
    </w:p>
    <w:p>
      <w:pPr>
        <w:pStyle w:val="TOC8"/>
        <w:rPr>
          <w:sz w:val="24"/>
          <w:szCs w:val="24"/>
        </w:rPr>
      </w:pPr>
      <w:r>
        <w:rPr>
          <w:szCs w:val="24"/>
        </w:rPr>
        <w:t>48.</w:t>
      </w:r>
      <w:r>
        <w:rPr>
          <w:szCs w:val="24"/>
        </w:rPr>
        <w:tab/>
        <w:t>Obstructing or misleading Commissioner or authorised investigator</w:t>
      </w:r>
      <w:r>
        <w:tab/>
      </w:r>
      <w:r>
        <w:fldChar w:fldCharType="begin"/>
      </w:r>
      <w:r>
        <w:instrText xml:space="preserve"> PAGEREF _Toc265588815 \h </w:instrText>
      </w:r>
      <w:r>
        <w:fldChar w:fldCharType="separate"/>
      </w:r>
      <w:r>
        <w:t>52</w:t>
      </w:r>
      <w:r>
        <w:fldChar w:fldCharType="end"/>
      </w:r>
    </w:p>
    <w:p>
      <w:pPr>
        <w:pStyle w:val="TOC4"/>
        <w:tabs>
          <w:tab w:val="right" w:leader="dot" w:pos="7086"/>
        </w:tabs>
        <w:rPr>
          <w:b w:val="0"/>
          <w:sz w:val="24"/>
          <w:szCs w:val="24"/>
        </w:rPr>
      </w:pPr>
      <w:r>
        <w:rPr>
          <w:szCs w:val="26"/>
        </w:rPr>
        <w:t>Division 2 — Evidentiary provisions</w:t>
      </w:r>
    </w:p>
    <w:p>
      <w:pPr>
        <w:pStyle w:val="TOC8"/>
        <w:rPr>
          <w:sz w:val="24"/>
          <w:szCs w:val="24"/>
        </w:rPr>
      </w:pPr>
      <w:r>
        <w:rPr>
          <w:szCs w:val="24"/>
        </w:rPr>
        <w:t>49.</w:t>
      </w:r>
      <w:r>
        <w:rPr>
          <w:szCs w:val="24"/>
        </w:rPr>
        <w:tab/>
        <w:t>Evidence</w:t>
      </w:r>
      <w:r>
        <w:tab/>
      </w:r>
      <w:r>
        <w:fldChar w:fldCharType="begin"/>
      </w:r>
      <w:r>
        <w:instrText xml:space="preserve"> PAGEREF _Toc265588817 \h </w:instrText>
      </w:r>
      <w:r>
        <w:fldChar w:fldCharType="separate"/>
      </w:r>
      <w:r>
        <w:t>52</w:t>
      </w:r>
      <w:r>
        <w:fldChar w:fldCharType="end"/>
      </w:r>
    </w:p>
    <w:p>
      <w:pPr>
        <w:pStyle w:val="TOC8"/>
        <w:rPr>
          <w:sz w:val="24"/>
          <w:szCs w:val="24"/>
        </w:rPr>
      </w:pPr>
      <w:r>
        <w:rPr>
          <w:szCs w:val="24"/>
        </w:rPr>
        <w:t>50.</w:t>
      </w:r>
      <w:r>
        <w:rPr>
          <w:szCs w:val="24"/>
        </w:rPr>
        <w:tab/>
        <w:t>Presumption of regularity</w:t>
      </w:r>
      <w:r>
        <w:tab/>
      </w:r>
      <w:r>
        <w:fldChar w:fldCharType="begin"/>
      </w:r>
      <w:r>
        <w:instrText xml:space="preserve"> PAGEREF _Toc265588818 \h </w:instrText>
      </w:r>
      <w:r>
        <w:fldChar w:fldCharType="separate"/>
      </w:r>
      <w:r>
        <w:t>53</w:t>
      </w:r>
      <w:r>
        <w:fldChar w:fldCharType="end"/>
      </w:r>
    </w:p>
    <w:p>
      <w:pPr>
        <w:pStyle w:val="TOC4"/>
        <w:tabs>
          <w:tab w:val="right" w:leader="dot" w:pos="7086"/>
        </w:tabs>
        <w:rPr>
          <w:b w:val="0"/>
          <w:sz w:val="24"/>
          <w:szCs w:val="24"/>
        </w:rPr>
      </w:pPr>
      <w:r>
        <w:rPr>
          <w:szCs w:val="26"/>
        </w:rPr>
        <w:t>Division 3 — Repayments and penalties</w:t>
      </w:r>
    </w:p>
    <w:p>
      <w:pPr>
        <w:pStyle w:val="TOC8"/>
        <w:rPr>
          <w:sz w:val="24"/>
          <w:szCs w:val="24"/>
        </w:rPr>
      </w:pPr>
      <w:r>
        <w:rPr>
          <w:szCs w:val="24"/>
        </w:rPr>
        <w:t>51.</w:t>
      </w:r>
      <w:r>
        <w:rPr>
          <w:szCs w:val="24"/>
        </w:rPr>
        <w:tab/>
        <w:t>Commissioner may require repayment and impose penalty</w:t>
      </w:r>
      <w:r>
        <w:tab/>
      </w:r>
      <w:r>
        <w:fldChar w:fldCharType="begin"/>
      </w:r>
      <w:r>
        <w:instrText xml:space="preserve"> PAGEREF _Toc265588820 \h </w:instrText>
      </w:r>
      <w:r>
        <w:fldChar w:fldCharType="separate"/>
      </w:r>
      <w:r>
        <w:t>53</w:t>
      </w:r>
      <w:r>
        <w:fldChar w:fldCharType="end"/>
      </w:r>
    </w:p>
    <w:p>
      <w:pPr>
        <w:pStyle w:val="TOC8"/>
        <w:rPr>
          <w:sz w:val="24"/>
          <w:szCs w:val="24"/>
        </w:rPr>
      </w:pPr>
      <w:r>
        <w:rPr>
          <w:szCs w:val="24"/>
        </w:rPr>
        <w:t>52.</w:t>
      </w:r>
      <w:r>
        <w:rPr>
          <w:szCs w:val="24"/>
        </w:rPr>
        <w:tab/>
        <w:t>Arrangements for instalments and extensions of time</w:t>
      </w:r>
      <w:r>
        <w:tab/>
      </w:r>
      <w:r>
        <w:fldChar w:fldCharType="begin"/>
      </w:r>
      <w:r>
        <w:instrText xml:space="preserve"> PAGEREF _Toc265588821 \h </w:instrText>
      </w:r>
      <w:r>
        <w:fldChar w:fldCharType="separate"/>
      </w:r>
      <w:r>
        <w:t>54</w:t>
      </w:r>
      <w:r>
        <w:fldChar w:fldCharType="end"/>
      </w:r>
    </w:p>
    <w:p>
      <w:pPr>
        <w:pStyle w:val="TOC8"/>
        <w:rPr>
          <w:sz w:val="24"/>
          <w:szCs w:val="24"/>
        </w:rPr>
      </w:pPr>
      <w:r>
        <w:rPr>
          <w:szCs w:val="24"/>
        </w:rPr>
        <w:t>53.</w:t>
      </w:r>
      <w:r>
        <w:rPr>
          <w:szCs w:val="24"/>
        </w:rPr>
        <w:tab/>
        <w:t>Recovery of certain amounts</w:t>
      </w:r>
      <w:r>
        <w:tab/>
      </w:r>
      <w:r>
        <w:fldChar w:fldCharType="begin"/>
      </w:r>
      <w:r>
        <w:instrText xml:space="preserve"> PAGEREF _Toc265588822 \h </w:instrText>
      </w:r>
      <w:r>
        <w:fldChar w:fldCharType="separate"/>
      </w:r>
      <w:r>
        <w:t>55</w:t>
      </w:r>
      <w:r>
        <w:fldChar w:fldCharType="end"/>
      </w:r>
    </w:p>
    <w:p>
      <w:pPr>
        <w:pStyle w:val="TOC8"/>
        <w:rPr>
          <w:sz w:val="24"/>
          <w:szCs w:val="24"/>
        </w:rPr>
      </w:pPr>
      <w:r>
        <w:rPr>
          <w:szCs w:val="24"/>
        </w:rPr>
        <w:t>54.</w:t>
      </w:r>
      <w:r>
        <w:rPr>
          <w:szCs w:val="24"/>
        </w:rPr>
        <w:tab/>
        <w:t>Writing off liability</w:t>
      </w:r>
      <w:r>
        <w:tab/>
      </w:r>
      <w:r>
        <w:fldChar w:fldCharType="begin"/>
      </w:r>
      <w:r>
        <w:instrText xml:space="preserve"> PAGEREF _Toc265588823 \h </w:instrText>
      </w:r>
      <w:r>
        <w:fldChar w:fldCharType="separate"/>
      </w:r>
      <w:r>
        <w:t>56</w:t>
      </w:r>
      <w:r>
        <w:fldChar w:fldCharType="end"/>
      </w:r>
    </w:p>
    <w:p>
      <w:pPr>
        <w:pStyle w:val="TOC4"/>
        <w:tabs>
          <w:tab w:val="right" w:leader="dot" w:pos="7086"/>
        </w:tabs>
        <w:rPr>
          <w:b w:val="0"/>
          <w:sz w:val="24"/>
          <w:szCs w:val="24"/>
        </w:rPr>
      </w:pPr>
      <w:r>
        <w:rPr>
          <w:szCs w:val="26"/>
        </w:rPr>
        <w:t>Division 4 — Charge on interest in home</w:t>
      </w:r>
    </w:p>
    <w:p>
      <w:pPr>
        <w:pStyle w:val="TOC8"/>
        <w:rPr>
          <w:sz w:val="24"/>
          <w:szCs w:val="24"/>
        </w:rPr>
      </w:pPr>
      <w:r>
        <w:rPr>
          <w:szCs w:val="24"/>
        </w:rPr>
        <w:t>55.</w:t>
      </w:r>
      <w:r>
        <w:rPr>
          <w:szCs w:val="24"/>
        </w:rPr>
        <w:tab/>
        <w:t>Lodgement of memorial and creation of charge</w:t>
      </w:r>
      <w:r>
        <w:tab/>
      </w:r>
      <w:r>
        <w:fldChar w:fldCharType="begin"/>
      </w:r>
      <w:r>
        <w:instrText xml:space="preserve"> PAGEREF _Toc265588825 \h </w:instrText>
      </w:r>
      <w:r>
        <w:fldChar w:fldCharType="separate"/>
      </w:r>
      <w:r>
        <w:t>56</w:t>
      </w:r>
      <w:r>
        <w:fldChar w:fldCharType="end"/>
      </w:r>
    </w:p>
    <w:p>
      <w:pPr>
        <w:pStyle w:val="TOC8"/>
        <w:rPr>
          <w:sz w:val="24"/>
          <w:szCs w:val="24"/>
        </w:rPr>
      </w:pPr>
      <w:r>
        <w:rPr>
          <w:szCs w:val="24"/>
        </w:rPr>
        <w:t>56.</w:t>
      </w:r>
      <w:r>
        <w:rPr>
          <w:szCs w:val="24"/>
        </w:rPr>
        <w:tab/>
        <w:t>Priority of charge</w:t>
      </w:r>
      <w:r>
        <w:tab/>
      </w:r>
      <w:r>
        <w:fldChar w:fldCharType="begin"/>
      </w:r>
      <w:r>
        <w:instrText xml:space="preserve"> PAGEREF _Toc265588826 \h </w:instrText>
      </w:r>
      <w:r>
        <w:fldChar w:fldCharType="separate"/>
      </w:r>
      <w:r>
        <w:t>58</w:t>
      </w:r>
      <w:r>
        <w:fldChar w:fldCharType="end"/>
      </w:r>
    </w:p>
    <w:p>
      <w:pPr>
        <w:pStyle w:val="TOC8"/>
        <w:rPr>
          <w:sz w:val="24"/>
          <w:szCs w:val="24"/>
        </w:rPr>
      </w:pPr>
      <w:r>
        <w:rPr>
          <w:szCs w:val="24"/>
        </w:rPr>
        <w:t>57.</w:t>
      </w:r>
      <w:r>
        <w:rPr>
          <w:szCs w:val="24"/>
        </w:rPr>
        <w:tab/>
        <w:t>Release of relevant interest from charge</w:t>
      </w:r>
      <w:r>
        <w:tab/>
      </w:r>
      <w:r>
        <w:fldChar w:fldCharType="begin"/>
      </w:r>
      <w:r>
        <w:instrText xml:space="preserve"> PAGEREF _Toc265588827 \h </w:instrText>
      </w:r>
      <w:r>
        <w:fldChar w:fldCharType="separate"/>
      </w:r>
      <w:r>
        <w:t>58</w:t>
      </w:r>
      <w:r>
        <w:fldChar w:fldCharType="end"/>
      </w:r>
    </w:p>
    <w:p>
      <w:pPr>
        <w:pStyle w:val="TOC8"/>
        <w:rPr>
          <w:sz w:val="24"/>
          <w:szCs w:val="24"/>
        </w:rPr>
      </w:pPr>
      <w:r>
        <w:rPr>
          <w:szCs w:val="24"/>
        </w:rPr>
        <w:t>58.</w:t>
      </w:r>
      <w:r>
        <w:rPr>
          <w:szCs w:val="24"/>
        </w:rPr>
        <w:tab/>
        <w:t>Order for sale of relevant interest</w:t>
      </w:r>
      <w:r>
        <w:tab/>
      </w:r>
      <w:r>
        <w:fldChar w:fldCharType="begin"/>
      </w:r>
      <w:r>
        <w:instrText xml:space="preserve"> PAGEREF _Toc265588828 \h </w:instrText>
      </w:r>
      <w:r>
        <w:fldChar w:fldCharType="separate"/>
      </w:r>
      <w:r>
        <w:t>58</w:t>
      </w:r>
      <w:r>
        <w:fldChar w:fldCharType="end"/>
      </w:r>
    </w:p>
    <w:p>
      <w:pPr>
        <w:pStyle w:val="TOC8"/>
        <w:rPr>
          <w:sz w:val="24"/>
          <w:szCs w:val="24"/>
        </w:rPr>
      </w:pPr>
      <w:r>
        <w:rPr>
          <w:szCs w:val="24"/>
        </w:rPr>
        <w:t>59.</w:t>
      </w:r>
      <w:r>
        <w:rPr>
          <w:szCs w:val="24"/>
        </w:rPr>
        <w:tab/>
        <w:t>Charge not to limit other means of enforcing payment</w:t>
      </w:r>
      <w:r>
        <w:tab/>
      </w:r>
      <w:r>
        <w:fldChar w:fldCharType="begin"/>
      </w:r>
      <w:r>
        <w:instrText xml:space="preserve"> PAGEREF _Toc265588829 \h </w:instrText>
      </w:r>
      <w:r>
        <w:fldChar w:fldCharType="separate"/>
      </w:r>
      <w:r>
        <w:t>60</w:t>
      </w:r>
      <w:r>
        <w:fldChar w:fldCharType="end"/>
      </w:r>
    </w:p>
    <w:p>
      <w:pPr>
        <w:pStyle w:val="TOC8"/>
        <w:rPr>
          <w:sz w:val="24"/>
          <w:szCs w:val="24"/>
        </w:rPr>
      </w:pPr>
      <w:r>
        <w:rPr>
          <w:szCs w:val="24"/>
        </w:rPr>
        <w:t>60.</w:t>
      </w:r>
      <w:r>
        <w:rPr>
          <w:szCs w:val="24"/>
        </w:rPr>
        <w:tab/>
        <w:t>Commissioner may require fees to be reimbursed</w:t>
      </w:r>
      <w:r>
        <w:tab/>
      </w:r>
      <w:r>
        <w:fldChar w:fldCharType="begin"/>
      </w:r>
      <w:r>
        <w:instrText xml:space="preserve"> PAGEREF _Toc265588830 \h </w:instrText>
      </w:r>
      <w:r>
        <w:fldChar w:fldCharType="separate"/>
      </w:r>
      <w:r>
        <w:t>60</w:t>
      </w:r>
      <w:r>
        <w:fldChar w:fldCharType="end"/>
      </w:r>
    </w:p>
    <w:p>
      <w:pPr>
        <w:pStyle w:val="TOC4"/>
        <w:tabs>
          <w:tab w:val="right" w:leader="dot" w:pos="7086"/>
        </w:tabs>
        <w:rPr>
          <w:b w:val="0"/>
          <w:sz w:val="24"/>
          <w:szCs w:val="24"/>
        </w:rPr>
      </w:pPr>
      <w:r>
        <w:rPr>
          <w:szCs w:val="26"/>
        </w:rPr>
        <w:t>Division 5 — Service of documents</w:t>
      </w:r>
    </w:p>
    <w:p>
      <w:pPr>
        <w:pStyle w:val="TOC8"/>
        <w:rPr>
          <w:sz w:val="24"/>
          <w:szCs w:val="24"/>
        </w:rPr>
      </w:pPr>
      <w:r>
        <w:rPr>
          <w:szCs w:val="24"/>
        </w:rPr>
        <w:t>61.</w:t>
      </w:r>
      <w:r>
        <w:rPr>
          <w:szCs w:val="24"/>
        </w:rPr>
        <w:tab/>
        <w:t>Service on joint applicants or agent or representative</w:t>
      </w:r>
      <w:r>
        <w:tab/>
      </w:r>
      <w:r>
        <w:fldChar w:fldCharType="begin"/>
      </w:r>
      <w:r>
        <w:instrText xml:space="preserve"> PAGEREF _Toc265588832 \h </w:instrText>
      </w:r>
      <w:r>
        <w:fldChar w:fldCharType="separate"/>
      </w:r>
      <w:r>
        <w:t>61</w:t>
      </w:r>
      <w:r>
        <w:fldChar w:fldCharType="end"/>
      </w:r>
    </w:p>
    <w:p>
      <w:pPr>
        <w:pStyle w:val="TOC8"/>
        <w:rPr>
          <w:sz w:val="24"/>
          <w:szCs w:val="24"/>
        </w:rPr>
      </w:pPr>
      <w:r>
        <w:rPr>
          <w:szCs w:val="24"/>
        </w:rPr>
        <w:t>62.</w:t>
      </w:r>
      <w:r>
        <w:rPr>
          <w:szCs w:val="24"/>
        </w:rPr>
        <w:tab/>
        <w:t>Method of service by Commissioner</w:t>
      </w:r>
      <w:r>
        <w:tab/>
      </w:r>
      <w:r>
        <w:fldChar w:fldCharType="begin"/>
      </w:r>
      <w:r>
        <w:instrText xml:space="preserve"> PAGEREF _Toc265588833 \h </w:instrText>
      </w:r>
      <w:r>
        <w:fldChar w:fldCharType="separate"/>
      </w:r>
      <w:r>
        <w:t>61</w:t>
      </w:r>
      <w:r>
        <w:fldChar w:fldCharType="end"/>
      </w:r>
    </w:p>
    <w:p>
      <w:pPr>
        <w:pStyle w:val="TOC8"/>
        <w:rPr>
          <w:sz w:val="24"/>
          <w:szCs w:val="24"/>
        </w:rPr>
      </w:pPr>
      <w:r>
        <w:rPr>
          <w:szCs w:val="24"/>
        </w:rPr>
        <w:t>63.</w:t>
      </w:r>
      <w:r>
        <w:rPr>
          <w:szCs w:val="24"/>
        </w:rPr>
        <w:tab/>
        <w:t>Service of court process</w:t>
      </w:r>
      <w:r>
        <w:tab/>
      </w:r>
      <w:r>
        <w:fldChar w:fldCharType="begin"/>
      </w:r>
      <w:r>
        <w:instrText xml:space="preserve"> PAGEREF _Toc265588834 \h </w:instrText>
      </w:r>
      <w:r>
        <w:fldChar w:fldCharType="separate"/>
      </w:r>
      <w:r>
        <w:t>62</w:t>
      </w:r>
      <w:r>
        <w:fldChar w:fldCharType="end"/>
      </w:r>
    </w:p>
    <w:p>
      <w:pPr>
        <w:pStyle w:val="TOC8"/>
        <w:rPr>
          <w:sz w:val="24"/>
          <w:szCs w:val="24"/>
        </w:rPr>
      </w:pPr>
      <w:r>
        <w:rPr>
          <w:szCs w:val="24"/>
        </w:rPr>
        <w:t>64.</w:t>
      </w:r>
      <w:r>
        <w:rPr>
          <w:szCs w:val="24"/>
        </w:rPr>
        <w:tab/>
        <w:t>Other enactments not limited</w:t>
      </w:r>
      <w:r>
        <w:tab/>
      </w:r>
      <w:r>
        <w:fldChar w:fldCharType="begin"/>
      </w:r>
      <w:r>
        <w:instrText xml:space="preserve"> PAGEREF _Toc265588835 \h </w:instrText>
      </w:r>
      <w:r>
        <w:fldChar w:fldCharType="separate"/>
      </w:r>
      <w:r>
        <w:t>63</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65.</w:t>
      </w:r>
      <w:r>
        <w:rPr>
          <w:szCs w:val="24"/>
        </w:rPr>
        <w:tab/>
        <w:t>Confidentiality</w:t>
      </w:r>
      <w:r>
        <w:tab/>
      </w:r>
      <w:r>
        <w:fldChar w:fldCharType="begin"/>
      </w:r>
      <w:r>
        <w:instrText xml:space="preserve"> PAGEREF _Toc265588837 \h </w:instrText>
      </w:r>
      <w:r>
        <w:fldChar w:fldCharType="separate"/>
      </w:r>
      <w:r>
        <w:t>63</w:t>
      </w:r>
      <w:r>
        <w:fldChar w:fldCharType="end"/>
      </w:r>
    </w:p>
    <w:p>
      <w:pPr>
        <w:pStyle w:val="TOC8"/>
        <w:rPr>
          <w:sz w:val="24"/>
          <w:szCs w:val="24"/>
        </w:rPr>
      </w:pPr>
      <w:r>
        <w:rPr>
          <w:szCs w:val="24"/>
        </w:rPr>
        <w:t>66.</w:t>
      </w:r>
      <w:r>
        <w:rPr>
          <w:szCs w:val="24"/>
        </w:rPr>
        <w:tab/>
        <w:t>Time for commencing prosecutions</w:t>
      </w:r>
      <w:r>
        <w:tab/>
      </w:r>
      <w:r>
        <w:fldChar w:fldCharType="begin"/>
      </w:r>
      <w:r>
        <w:instrText xml:space="preserve"> PAGEREF _Toc265588838 \h </w:instrText>
      </w:r>
      <w:r>
        <w:fldChar w:fldCharType="separate"/>
      </w:r>
      <w:r>
        <w:t>65</w:t>
      </w:r>
      <w:r>
        <w:fldChar w:fldCharType="end"/>
      </w:r>
    </w:p>
    <w:p>
      <w:pPr>
        <w:pStyle w:val="TOC8"/>
        <w:rPr>
          <w:sz w:val="24"/>
          <w:szCs w:val="24"/>
        </w:rPr>
      </w:pPr>
      <w:r>
        <w:rPr>
          <w:szCs w:val="24"/>
        </w:rPr>
        <w:t>67.</w:t>
      </w:r>
      <w:r>
        <w:rPr>
          <w:szCs w:val="24"/>
        </w:rPr>
        <w:tab/>
        <w:t>Protection from liability for wrongdoing</w:t>
      </w:r>
      <w:r>
        <w:tab/>
      </w:r>
      <w:r>
        <w:fldChar w:fldCharType="begin"/>
      </w:r>
      <w:r>
        <w:instrText xml:space="preserve"> PAGEREF _Toc265588839 \h </w:instrText>
      </w:r>
      <w:r>
        <w:fldChar w:fldCharType="separate"/>
      </w:r>
      <w:r>
        <w:t>65</w:t>
      </w:r>
      <w:r>
        <w:fldChar w:fldCharType="end"/>
      </w:r>
    </w:p>
    <w:p>
      <w:pPr>
        <w:pStyle w:val="TOC8"/>
        <w:rPr>
          <w:sz w:val="24"/>
          <w:szCs w:val="24"/>
        </w:rPr>
      </w:pPr>
      <w:r>
        <w:rPr>
          <w:szCs w:val="24"/>
        </w:rPr>
        <w:t>68.</w:t>
      </w:r>
      <w:r>
        <w:rPr>
          <w:szCs w:val="24"/>
        </w:rPr>
        <w:tab/>
        <w:t xml:space="preserve">Appropriation of </w:t>
      </w:r>
      <w:r>
        <w:rPr>
          <w:snapToGrid w:val="0"/>
          <w:szCs w:val="24"/>
        </w:rPr>
        <w:t>Consolidated Account</w:t>
      </w:r>
      <w:r>
        <w:tab/>
      </w:r>
      <w:r>
        <w:fldChar w:fldCharType="begin"/>
      </w:r>
      <w:r>
        <w:instrText xml:space="preserve"> PAGEREF _Toc265588840 \h </w:instrText>
      </w:r>
      <w:r>
        <w:fldChar w:fldCharType="separate"/>
      </w:r>
      <w:r>
        <w:t>66</w:t>
      </w:r>
      <w:r>
        <w:fldChar w:fldCharType="end"/>
      </w:r>
    </w:p>
    <w:p>
      <w:pPr>
        <w:pStyle w:val="TOC8"/>
        <w:rPr>
          <w:sz w:val="24"/>
          <w:szCs w:val="24"/>
        </w:rPr>
      </w:pPr>
      <w:r>
        <w:rPr>
          <w:szCs w:val="24"/>
        </w:rPr>
        <w:t>69.</w:t>
      </w:r>
      <w:r>
        <w:rPr>
          <w:szCs w:val="24"/>
        </w:rPr>
        <w:tab/>
        <w:t>Regulations</w:t>
      </w:r>
      <w:r>
        <w:tab/>
      </w:r>
      <w:r>
        <w:fldChar w:fldCharType="begin"/>
      </w:r>
      <w:r>
        <w:instrText xml:space="preserve"> PAGEREF _Toc265588841 \h </w:instrText>
      </w:r>
      <w:r>
        <w:fldChar w:fldCharType="separate"/>
      </w:r>
      <w:r>
        <w:t>66</w:t>
      </w:r>
      <w:r>
        <w:fldChar w:fldCharType="end"/>
      </w:r>
    </w:p>
    <w:p>
      <w:pPr>
        <w:pStyle w:val="TOC8"/>
        <w:rPr>
          <w:sz w:val="24"/>
          <w:szCs w:val="24"/>
        </w:rPr>
      </w:pPr>
      <w:r>
        <w:rPr>
          <w:szCs w:val="24"/>
        </w:rPr>
        <w:t>70.</w:t>
      </w:r>
      <w:r>
        <w:rPr>
          <w:szCs w:val="24"/>
        </w:rPr>
        <w:tab/>
        <w:t>Review of Act</w:t>
      </w:r>
      <w:r>
        <w:tab/>
      </w:r>
      <w:r>
        <w:fldChar w:fldCharType="begin"/>
      </w:r>
      <w:r>
        <w:instrText xml:space="preserve"> PAGEREF _Toc265588842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_Toc265588844 \h </w:instrText>
      </w:r>
      <w:r>
        <w:fldChar w:fldCharType="separate"/>
      </w:r>
      <w:r>
        <w:t>67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1" w:name="_Toc88880120"/>
      <w:bookmarkStart w:id="2" w:name="_Toc89519569"/>
      <w:bookmarkStart w:id="3" w:name="_Toc90883418"/>
      <w:bookmarkStart w:id="4" w:name="_Toc92523215"/>
      <w:bookmarkStart w:id="5" w:name="_Toc101164304"/>
      <w:bookmarkStart w:id="6" w:name="_Toc101235840"/>
      <w:bookmarkStart w:id="7" w:name="_Toc103655053"/>
      <w:bookmarkStart w:id="8" w:name="_Toc122255563"/>
      <w:bookmarkStart w:id="9" w:name="_Toc122255664"/>
      <w:bookmarkStart w:id="10" w:name="_Toc157854286"/>
      <w:bookmarkStart w:id="11" w:name="_Toc196800951"/>
      <w:bookmarkStart w:id="12" w:name="_Toc202511396"/>
      <w:bookmarkStart w:id="13" w:name="_Toc246329254"/>
      <w:bookmarkStart w:id="14" w:name="_Toc246394322"/>
      <w:bookmarkStart w:id="15" w:name="_Toc246394423"/>
      <w:bookmarkStart w:id="16" w:name="_Toc249330891"/>
      <w:bookmarkStart w:id="17" w:name="_Toc26558873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76650044"/>
      <w:bookmarkStart w:id="19" w:name="_Toc476727820"/>
      <w:bookmarkStart w:id="20" w:name="_Toc477076755"/>
      <w:bookmarkStart w:id="21" w:name="_Toc479399626"/>
      <w:bookmarkStart w:id="22" w:name="_Toc35401810"/>
      <w:bookmarkStart w:id="23" w:name="_Toc103655054"/>
      <w:bookmarkStart w:id="24" w:name="_Toc265588740"/>
      <w:r>
        <w:rPr>
          <w:rStyle w:val="CharSectno"/>
        </w:rPr>
        <w:t>1</w:t>
      </w:r>
      <w:r>
        <w:rPr>
          <w:snapToGrid w:val="0"/>
        </w:rPr>
        <w:t>.</w:t>
      </w:r>
      <w:r>
        <w:rPr>
          <w:snapToGrid w:val="0"/>
        </w:rPr>
        <w:tab/>
        <w:t>Short title</w:t>
      </w:r>
      <w:bookmarkEnd w:id="18"/>
      <w:bookmarkEnd w:id="19"/>
      <w:bookmarkEnd w:id="20"/>
      <w:bookmarkEnd w:id="21"/>
      <w:bookmarkEnd w:id="22"/>
      <w:bookmarkEnd w:id="23"/>
      <w:bookmarkEnd w:id="24"/>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25" w:name="_Toc476650045"/>
      <w:bookmarkStart w:id="26" w:name="_Toc476727821"/>
      <w:bookmarkStart w:id="27" w:name="_Toc477076756"/>
      <w:bookmarkStart w:id="28" w:name="_Toc479399627"/>
      <w:bookmarkStart w:id="29" w:name="_Toc35401811"/>
      <w:bookmarkStart w:id="30" w:name="_Toc103655055"/>
      <w:bookmarkStart w:id="31" w:name="_Toc265588741"/>
      <w:r>
        <w:rPr>
          <w:rStyle w:val="CharSectno"/>
        </w:rPr>
        <w:t>2</w:t>
      </w:r>
      <w:r>
        <w:rPr>
          <w:snapToGrid w:val="0"/>
        </w:rPr>
        <w:t>.</w:t>
      </w:r>
      <w:r>
        <w:rPr>
          <w:snapToGrid w:val="0"/>
        </w:rPr>
        <w:tab/>
        <w:t>Commencement</w:t>
      </w:r>
      <w:bookmarkEnd w:id="25"/>
      <w:bookmarkEnd w:id="26"/>
      <w:bookmarkEnd w:id="27"/>
      <w:bookmarkEnd w:id="28"/>
      <w:bookmarkEnd w:id="29"/>
      <w:bookmarkEnd w:id="30"/>
      <w:bookmarkEnd w:id="31"/>
    </w:p>
    <w:p>
      <w:pPr>
        <w:pStyle w:val="Subsection"/>
      </w:pPr>
      <w:r>
        <w:tab/>
      </w:r>
      <w:r>
        <w:tab/>
        <w:t>This Act comes into operation on 1 July 2000.</w:t>
      </w:r>
    </w:p>
    <w:p>
      <w:pPr>
        <w:pStyle w:val="Heading5"/>
      </w:pPr>
      <w:bookmarkStart w:id="32" w:name="_Toc476650046"/>
      <w:bookmarkStart w:id="33" w:name="_Toc476727822"/>
      <w:bookmarkStart w:id="34" w:name="_Toc477076757"/>
      <w:bookmarkStart w:id="35" w:name="_Toc479399628"/>
      <w:bookmarkStart w:id="36" w:name="_Toc35401812"/>
      <w:bookmarkStart w:id="37" w:name="_Toc103655056"/>
      <w:bookmarkStart w:id="38" w:name="_Toc265588742"/>
      <w:r>
        <w:rPr>
          <w:rStyle w:val="CharSectno"/>
        </w:rPr>
        <w:t>3</w:t>
      </w:r>
      <w:r>
        <w:t>.</w:t>
      </w:r>
      <w:r>
        <w:tab/>
        <w:t>Interpretation</w:t>
      </w:r>
      <w:bookmarkEnd w:id="32"/>
      <w:bookmarkEnd w:id="33"/>
      <w:bookmarkEnd w:id="34"/>
      <w:bookmarkEnd w:id="35"/>
      <w:bookmarkEnd w:id="36"/>
      <w:bookmarkEnd w:id="37"/>
      <w:bookmarkEnd w:id="38"/>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w:t>
      </w:r>
      <w:bookmarkStart w:id="39" w:name="_Hlt477341150"/>
      <w:r>
        <w:t>36</w:t>
      </w:r>
      <w:bookmarkEnd w:id="39"/>
      <w:r>
        <w:t>;</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w:t>
      </w:r>
      <w:bookmarkStart w:id="40" w:name="_Hlt478286875"/>
      <w:r>
        <w:t>2</w:t>
      </w:r>
      <w:bookmarkEnd w:id="40"/>
      <w:r>
        <w:t xml:space="preserve"> Division </w:t>
      </w:r>
      <w:bookmarkStart w:id="41" w:name="_Hlt478286927"/>
      <w:r>
        <w:t>2</w:t>
      </w:r>
      <w:bookmarkEnd w:id="41"/>
      <w:r>
        <w:t xml:space="preserve"> for determining whether an applicant for a first home owner grant is eligible for the grant;</w:t>
      </w:r>
    </w:p>
    <w:p>
      <w:pPr>
        <w:pStyle w:val="Defstart"/>
      </w:pPr>
      <w:r>
        <w:tab/>
      </w:r>
      <w:r>
        <w:rPr>
          <w:rStyle w:val="CharDefText"/>
        </w:rPr>
        <w:t>eligible transaction</w:t>
      </w:r>
      <w:r>
        <w:t xml:space="preserve"> has the meaning given by section 14(1);</w:t>
      </w:r>
    </w:p>
    <w:p>
      <w:pPr>
        <w:pStyle w:val="Defstart"/>
      </w:pPr>
      <w:r>
        <w:tab/>
      </w:r>
      <w:r>
        <w:rPr>
          <w:rStyle w:val="CharDefText"/>
        </w:rPr>
        <w:t>first home owner grant</w:t>
      </w:r>
      <w:r>
        <w:t xml:space="preserve"> means a grant authorised under section </w:t>
      </w:r>
      <w:bookmarkStart w:id="42" w:name="_Hlt477344219"/>
      <w:r>
        <w:t>18</w:t>
      </w:r>
      <w:bookmarkEnd w:id="42"/>
      <w:r>
        <w:t>;</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 No. 27 of 2009 s. 8 and 15; No. 17 of 2010 s. 18.]</w:t>
      </w:r>
    </w:p>
    <w:p>
      <w:pPr>
        <w:pStyle w:val="Heading5"/>
      </w:pPr>
      <w:bookmarkStart w:id="43" w:name="_Toc476650047"/>
      <w:bookmarkStart w:id="44" w:name="_Toc476727823"/>
      <w:bookmarkStart w:id="45" w:name="_Toc477076758"/>
      <w:bookmarkStart w:id="46" w:name="_Toc479399629"/>
      <w:bookmarkStart w:id="47" w:name="_Toc35401813"/>
      <w:bookmarkStart w:id="48" w:name="_Toc103655057"/>
      <w:bookmarkStart w:id="49" w:name="_Toc265588743"/>
      <w:r>
        <w:rPr>
          <w:rStyle w:val="CharSectno"/>
        </w:rPr>
        <w:t>4</w:t>
      </w:r>
      <w:r>
        <w:t>.</w:t>
      </w:r>
      <w:r>
        <w:tab/>
        <w:t>Meaning of “home”</w:t>
      </w:r>
      <w:bookmarkEnd w:id="43"/>
      <w:bookmarkEnd w:id="44"/>
      <w:bookmarkEnd w:id="45"/>
      <w:bookmarkEnd w:id="46"/>
      <w:bookmarkEnd w:id="47"/>
      <w:bookmarkEnd w:id="48"/>
      <w:bookmarkEnd w:id="49"/>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50" w:name="_Toc476650048"/>
      <w:bookmarkStart w:id="51" w:name="_Toc476727824"/>
      <w:bookmarkStart w:id="52" w:name="_Toc477076759"/>
      <w:bookmarkStart w:id="53" w:name="_Toc479399630"/>
      <w:bookmarkStart w:id="54" w:name="_Toc35401814"/>
      <w:bookmarkStart w:id="55" w:name="_Toc103655058"/>
      <w:bookmarkStart w:id="56" w:name="_Toc265588744"/>
      <w:r>
        <w:rPr>
          <w:rStyle w:val="CharSectno"/>
        </w:rPr>
        <w:t>5</w:t>
      </w:r>
      <w:r>
        <w:t>.</w:t>
      </w:r>
      <w:r>
        <w:tab/>
        <w:t>Meaning of “owner” of a home or “home owner”</w:t>
      </w:r>
      <w:bookmarkEnd w:id="50"/>
      <w:bookmarkEnd w:id="51"/>
      <w:bookmarkEnd w:id="52"/>
      <w:bookmarkEnd w:id="53"/>
      <w:bookmarkEnd w:id="54"/>
      <w:bookmarkEnd w:id="55"/>
      <w:bookmarkEnd w:id="56"/>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57" w:name="_Toc476650049"/>
      <w:bookmarkStart w:id="58" w:name="_Toc476727825"/>
      <w:bookmarkStart w:id="59" w:name="_Toc477076760"/>
      <w:bookmarkStart w:id="60" w:name="_Toc479399631"/>
      <w:bookmarkStart w:id="61" w:name="_Toc35401815"/>
      <w:bookmarkStart w:id="62" w:name="_Toc103655059"/>
      <w:bookmarkStart w:id="63" w:name="_Toc265588745"/>
      <w:r>
        <w:rPr>
          <w:rStyle w:val="CharSectno"/>
        </w:rPr>
        <w:t>6</w:t>
      </w:r>
      <w:r>
        <w:t>.</w:t>
      </w:r>
      <w:r>
        <w:tab/>
        <w:t>Meaning of “relevant interest”</w:t>
      </w:r>
      <w:bookmarkEnd w:id="57"/>
      <w:bookmarkEnd w:id="58"/>
      <w:bookmarkEnd w:id="59"/>
      <w:bookmarkEnd w:id="60"/>
      <w:bookmarkEnd w:id="61"/>
      <w:bookmarkEnd w:id="62"/>
      <w:bookmarkEnd w:id="63"/>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spacing w:before="60"/>
        <w:rPr>
          <w:snapToGrid w:val="0"/>
        </w:rPr>
      </w:pPr>
      <w:r>
        <w:rPr>
          <w:snapToGrid w:val="0"/>
        </w:rPr>
        <w:tab/>
        <w:t>(b)</w:t>
      </w:r>
      <w:r>
        <w:rPr>
          <w:snapToGrid w:val="0"/>
        </w:rPr>
        <w:tab/>
        <w:t>an interest held by a person is not a relevant interest if the person holds it subject to a trust; and</w:t>
      </w:r>
    </w:p>
    <w:p>
      <w:pPr>
        <w:pStyle w:val="Indenta"/>
        <w:spacing w:before="60"/>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spacing w:before="120"/>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spacing w:before="60"/>
      </w:pPr>
      <w:r>
        <w:rPr>
          <w:snapToGrid w:val="0"/>
        </w:rPr>
        <w:tab/>
        <w:t>(a)</w:t>
      </w:r>
      <w:r>
        <w:rPr>
          <w:snapToGrid w:val="0"/>
        </w:rPr>
        <w:tab/>
      </w:r>
      <w:r>
        <w:t>even though the interest does not conform with subsection (2); and</w:t>
      </w:r>
    </w:p>
    <w:p>
      <w:pPr>
        <w:pStyle w:val="Indenta"/>
        <w:spacing w:before="60"/>
      </w:pPr>
      <w:r>
        <w:tab/>
        <w:t>(b)</w:t>
      </w:r>
      <w:r>
        <w:tab/>
        <w:t>even though the interest may not be recognised at law or in equity as an interest in land.</w:t>
      </w:r>
    </w:p>
    <w:p>
      <w:pPr>
        <w:pStyle w:val="Subsection"/>
        <w:spacing w:before="120"/>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64" w:name="_Toc476650050"/>
      <w:bookmarkStart w:id="65" w:name="_Toc476727826"/>
      <w:bookmarkStart w:id="66" w:name="_Toc477076761"/>
      <w:bookmarkStart w:id="67" w:name="_Toc479399632"/>
      <w:bookmarkStart w:id="68" w:name="_Toc35401816"/>
      <w:bookmarkStart w:id="69" w:name="_Toc103655060"/>
      <w:bookmarkStart w:id="70" w:name="_Toc265588746"/>
      <w:r>
        <w:rPr>
          <w:rStyle w:val="CharSectno"/>
        </w:rPr>
        <w:t>7</w:t>
      </w:r>
      <w:r>
        <w:t>.</w:t>
      </w:r>
      <w:r>
        <w:tab/>
        <w:t>Meaning of an applicant’s “spouse”</w:t>
      </w:r>
      <w:bookmarkEnd w:id="64"/>
      <w:bookmarkEnd w:id="65"/>
      <w:bookmarkEnd w:id="66"/>
      <w:bookmarkEnd w:id="67"/>
      <w:bookmarkEnd w:id="68"/>
      <w:bookmarkEnd w:id="69"/>
      <w:bookmarkEnd w:id="70"/>
    </w:p>
    <w:p>
      <w:pPr>
        <w:pStyle w:val="Subsection"/>
        <w:spacing w:before="120"/>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spacing w:before="120"/>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spacing w:before="120"/>
      </w:pPr>
      <w:r>
        <w:tab/>
      </w:r>
      <w:r>
        <w:tab/>
        <w:t>the person to whom the applicant is married is taken not to be the applicant’s spouse.</w:t>
      </w:r>
    </w:p>
    <w:p>
      <w:pPr>
        <w:pStyle w:val="Footnotesection"/>
      </w:pPr>
      <w:bookmarkStart w:id="71" w:name="_Toc35401817"/>
      <w:r>
        <w:tab/>
        <w:t>[Section 7 amended by No. 61 of 2000 s. 4; No. 28 of 2003 s. 62; No. 27 of 2009 s. 15.]</w:t>
      </w:r>
    </w:p>
    <w:p>
      <w:pPr>
        <w:pStyle w:val="Heading5"/>
      </w:pPr>
      <w:bookmarkStart w:id="72" w:name="_Toc103655061"/>
      <w:bookmarkStart w:id="73" w:name="_Toc265588747"/>
      <w:r>
        <w:rPr>
          <w:rStyle w:val="CharSectno"/>
        </w:rPr>
        <w:t>7A</w:t>
      </w:r>
      <w:r>
        <w:t>.</w:t>
      </w:r>
      <w:r>
        <w:tab/>
        <w:t>Meaning of “Australian citizen”</w:t>
      </w:r>
      <w:bookmarkEnd w:id="71"/>
      <w:bookmarkEnd w:id="72"/>
      <w:bookmarkEnd w:id="73"/>
    </w:p>
    <w:p>
      <w:pPr>
        <w:pStyle w:val="Subsection"/>
      </w:pPr>
      <w:r>
        <w:tab/>
      </w:r>
      <w:r>
        <w:tab/>
        <w:t xml:space="preserve">A person is an </w:t>
      </w:r>
      <w:r>
        <w:rPr>
          <w:rStyle w:val="CharDefText"/>
        </w:rPr>
        <w:t>Australian citizen</w:t>
      </w:r>
      <w:r>
        <w:t xml:space="preserve"> for the purposes of an application for a first home owner grant if, on the commencement date of the transaction to which the application relates, the person is an Australian citizen under the </w:t>
      </w:r>
      <w:r>
        <w:rPr>
          <w:i/>
        </w:rPr>
        <w:t>Australian Citizenship Act 1948</w:t>
      </w:r>
      <w:r>
        <w:t xml:space="preserve"> of the Commonwealth.</w:t>
      </w:r>
    </w:p>
    <w:p>
      <w:pPr>
        <w:pStyle w:val="Footnotesection"/>
      </w:pPr>
      <w:r>
        <w:tab/>
        <w:t>[Section 7A inserted by No. 61 of 2000 s. 7(2); No. 27 of 2009 s. 15.]</w:t>
      </w:r>
    </w:p>
    <w:p>
      <w:pPr>
        <w:pStyle w:val="Heading5"/>
      </w:pPr>
      <w:bookmarkStart w:id="74" w:name="_Toc35401818"/>
      <w:bookmarkStart w:id="75" w:name="_Toc103655062"/>
      <w:bookmarkStart w:id="76" w:name="_Toc265588748"/>
      <w:r>
        <w:rPr>
          <w:rStyle w:val="CharSectno"/>
        </w:rPr>
        <w:t>7B</w:t>
      </w:r>
      <w:r>
        <w:t>.</w:t>
      </w:r>
      <w:r>
        <w:tab/>
        <w:t>Meaning of “permanent resident”</w:t>
      </w:r>
      <w:bookmarkEnd w:id="74"/>
      <w:bookmarkEnd w:id="75"/>
      <w:bookmarkEnd w:id="76"/>
    </w:p>
    <w:p>
      <w:pPr>
        <w:pStyle w:val="Subsection"/>
      </w:pPr>
      <w:r>
        <w:tab/>
      </w:r>
      <w:r>
        <w:tab/>
        <w:t xml:space="preserve">A person is a </w:t>
      </w:r>
      <w:r>
        <w:rPr>
          <w:rStyle w:val="CharDefText"/>
        </w:rPr>
        <w:t>permanent resident</w:t>
      </w:r>
      <w:r>
        <w:t xml:space="preserve"> for the purposes of an application for a first home owner grant if, on the commencement date of the transaction to which the application relates —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Footnotesection"/>
      </w:pPr>
      <w:r>
        <w:tab/>
        <w:t>[Section 7B inserted by No. 61 of 2000 s. 8(2); amended by No. 27 of 2009 s. 15.]</w:t>
      </w:r>
    </w:p>
    <w:p>
      <w:pPr>
        <w:pStyle w:val="Heading2"/>
      </w:pPr>
      <w:bookmarkStart w:id="77" w:name="_Toc88880130"/>
      <w:bookmarkStart w:id="78" w:name="_Toc89519579"/>
      <w:bookmarkStart w:id="79" w:name="_Toc90883428"/>
      <w:bookmarkStart w:id="80" w:name="_Toc92523225"/>
      <w:bookmarkStart w:id="81" w:name="_Toc101164314"/>
      <w:bookmarkStart w:id="82" w:name="_Toc101235850"/>
      <w:bookmarkStart w:id="83" w:name="_Toc103655063"/>
      <w:bookmarkStart w:id="84" w:name="_Toc122255573"/>
      <w:bookmarkStart w:id="85" w:name="_Toc122255674"/>
      <w:bookmarkStart w:id="86" w:name="_Toc157854296"/>
      <w:bookmarkStart w:id="87" w:name="_Toc196800961"/>
      <w:bookmarkStart w:id="88" w:name="_Toc202511406"/>
      <w:bookmarkStart w:id="89" w:name="_Toc246329264"/>
      <w:bookmarkStart w:id="90" w:name="_Toc246394332"/>
      <w:bookmarkStart w:id="91" w:name="_Toc246394433"/>
      <w:bookmarkStart w:id="92" w:name="_Toc249330901"/>
      <w:bookmarkStart w:id="93" w:name="_Toc265588749"/>
      <w:r>
        <w:rPr>
          <w:rStyle w:val="CharPartNo"/>
        </w:rPr>
        <w:t>Part 2</w:t>
      </w:r>
      <w:r>
        <w:t xml:space="preserve"> — </w:t>
      </w:r>
      <w:r>
        <w:rPr>
          <w:rStyle w:val="CharPartText"/>
        </w:rPr>
        <w:t>First home owner grant</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3"/>
      </w:pPr>
      <w:bookmarkStart w:id="94" w:name="_Toc88880131"/>
      <w:bookmarkStart w:id="95" w:name="_Toc89519580"/>
      <w:bookmarkStart w:id="96" w:name="_Toc90883429"/>
      <w:bookmarkStart w:id="97" w:name="_Toc92523226"/>
      <w:bookmarkStart w:id="98" w:name="_Toc101164315"/>
      <w:bookmarkStart w:id="99" w:name="_Toc101235851"/>
      <w:bookmarkStart w:id="100" w:name="_Toc103655064"/>
      <w:bookmarkStart w:id="101" w:name="_Toc122255574"/>
      <w:bookmarkStart w:id="102" w:name="_Toc122255675"/>
      <w:bookmarkStart w:id="103" w:name="_Toc157854297"/>
      <w:bookmarkStart w:id="104" w:name="_Toc196800962"/>
      <w:bookmarkStart w:id="105" w:name="_Toc202511407"/>
      <w:bookmarkStart w:id="106" w:name="_Toc246329265"/>
      <w:bookmarkStart w:id="107" w:name="_Toc246394333"/>
      <w:bookmarkStart w:id="108" w:name="_Toc246394434"/>
      <w:bookmarkStart w:id="109" w:name="_Toc249330902"/>
      <w:bookmarkStart w:id="110" w:name="_Toc265588750"/>
      <w:r>
        <w:rPr>
          <w:rStyle w:val="CharDivNo"/>
        </w:rPr>
        <w:t>Division 1</w:t>
      </w:r>
      <w:r>
        <w:t xml:space="preserve"> — </w:t>
      </w:r>
      <w:r>
        <w:rPr>
          <w:rStyle w:val="CharDivText"/>
        </w:rPr>
        <w:t>Entitlement to grant</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spacing w:before="180"/>
      </w:pPr>
      <w:bookmarkStart w:id="111" w:name="_Toc479399633"/>
      <w:bookmarkStart w:id="112" w:name="_Toc35401819"/>
      <w:bookmarkStart w:id="113" w:name="_Toc103655065"/>
      <w:bookmarkStart w:id="114" w:name="_Toc265588751"/>
      <w:r>
        <w:rPr>
          <w:rStyle w:val="CharSectno"/>
        </w:rPr>
        <w:t>8</w:t>
      </w:r>
      <w:r>
        <w:t>.</w:t>
      </w:r>
      <w:r>
        <w:tab/>
        <w:t>Entitlement to grant</w:t>
      </w:r>
      <w:bookmarkEnd w:id="111"/>
      <w:bookmarkEnd w:id="112"/>
      <w:bookmarkEnd w:id="113"/>
      <w:bookmarkEnd w:id="114"/>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pPr>
      <w:r>
        <w:tab/>
        <w:t>[Section 8 amended by No. 52 of 2004 s. 5.]</w:t>
      </w:r>
    </w:p>
    <w:p>
      <w:pPr>
        <w:pStyle w:val="Heading3"/>
      </w:pPr>
      <w:bookmarkStart w:id="115" w:name="_Toc88880133"/>
      <w:bookmarkStart w:id="116" w:name="_Toc89519582"/>
      <w:bookmarkStart w:id="117" w:name="_Toc90883431"/>
      <w:bookmarkStart w:id="118" w:name="_Toc92523228"/>
      <w:bookmarkStart w:id="119" w:name="_Toc101164317"/>
      <w:bookmarkStart w:id="120" w:name="_Toc101235853"/>
      <w:bookmarkStart w:id="121" w:name="_Toc103655066"/>
      <w:bookmarkStart w:id="122" w:name="_Toc122255576"/>
      <w:bookmarkStart w:id="123" w:name="_Toc122255677"/>
      <w:bookmarkStart w:id="124" w:name="_Toc157854299"/>
      <w:bookmarkStart w:id="125" w:name="_Toc196800964"/>
      <w:bookmarkStart w:id="126" w:name="_Toc202511409"/>
      <w:bookmarkStart w:id="127" w:name="_Toc246329267"/>
      <w:bookmarkStart w:id="128" w:name="_Toc246394335"/>
      <w:bookmarkStart w:id="129" w:name="_Toc246394436"/>
      <w:bookmarkStart w:id="130" w:name="_Toc249330904"/>
      <w:bookmarkStart w:id="131" w:name="_Toc265588752"/>
      <w:r>
        <w:rPr>
          <w:rStyle w:val="CharDivNo"/>
        </w:rPr>
        <w:t>Division 2</w:t>
      </w:r>
      <w:r>
        <w:rPr>
          <w:snapToGrid w:val="0"/>
        </w:rPr>
        <w:t xml:space="preserve"> — </w:t>
      </w:r>
      <w:r>
        <w:rPr>
          <w:rStyle w:val="CharDivText"/>
        </w:rPr>
        <w:t>Eligibility criteria (applicants)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spacing w:before="180"/>
      </w:pPr>
      <w:bookmarkStart w:id="132" w:name="_Toc476650052"/>
      <w:bookmarkStart w:id="133" w:name="_Toc476727828"/>
      <w:bookmarkStart w:id="134" w:name="_Toc477076763"/>
      <w:bookmarkStart w:id="135" w:name="_Toc479399634"/>
      <w:bookmarkStart w:id="136" w:name="_Toc35401820"/>
      <w:bookmarkStart w:id="137" w:name="_Toc103655067"/>
      <w:bookmarkStart w:id="138" w:name="_Toc265588753"/>
      <w:r>
        <w:rPr>
          <w:rStyle w:val="CharSectno"/>
        </w:rPr>
        <w:t>9</w:t>
      </w:r>
      <w:r>
        <w:rPr>
          <w:snapToGrid w:val="0"/>
        </w:rPr>
        <w:t>.</w:t>
      </w:r>
      <w:r>
        <w:rPr>
          <w:snapToGrid w:val="0"/>
        </w:rPr>
        <w:tab/>
        <w:t>Criterion 1 — applicant to be a natural person</w:t>
      </w:r>
      <w:bookmarkEnd w:id="132"/>
      <w:bookmarkEnd w:id="133"/>
      <w:bookmarkEnd w:id="134"/>
      <w:bookmarkEnd w:id="135"/>
      <w:bookmarkEnd w:id="136"/>
      <w:bookmarkEnd w:id="137"/>
      <w:bookmarkEnd w:id="138"/>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139" w:name="_Toc103655068"/>
      <w:bookmarkStart w:id="140" w:name="_Toc265588754"/>
      <w:bookmarkStart w:id="141" w:name="_Toc476650053"/>
      <w:bookmarkStart w:id="142" w:name="_Toc476727829"/>
      <w:bookmarkStart w:id="143" w:name="_Toc477076764"/>
      <w:bookmarkStart w:id="144" w:name="_Toc479399635"/>
      <w:bookmarkStart w:id="145" w:name="_Toc35401821"/>
      <w:r>
        <w:rPr>
          <w:rStyle w:val="CharSectno"/>
        </w:rPr>
        <w:t>9A</w:t>
      </w:r>
      <w:r>
        <w:t>.</w:t>
      </w:r>
      <w:r>
        <w:tab/>
        <w:t>Criterion 1A — applicant to be at least 18 years of age</w:t>
      </w:r>
      <w:bookmarkEnd w:id="139"/>
      <w:bookmarkEnd w:id="140"/>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146" w:name="_Toc103655069"/>
      <w:bookmarkStart w:id="147" w:name="_Toc265588755"/>
      <w:r>
        <w:rPr>
          <w:rStyle w:val="CharSectno"/>
        </w:rPr>
        <w:t>10</w:t>
      </w:r>
      <w:r>
        <w:t>.</w:t>
      </w:r>
      <w:r>
        <w:tab/>
        <w:t>Criterion 2 — applicant to be Australian citizen or permanent resident</w:t>
      </w:r>
      <w:bookmarkEnd w:id="141"/>
      <w:bookmarkEnd w:id="142"/>
      <w:bookmarkEnd w:id="143"/>
      <w:bookmarkEnd w:id="144"/>
      <w:bookmarkEnd w:id="145"/>
      <w:bookmarkEnd w:id="146"/>
      <w:bookmarkEnd w:id="147"/>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148" w:name="_Toc103655070"/>
      <w:bookmarkStart w:id="149" w:name="_Toc265588756"/>
      <w:bookmarkStart w:id="150" w:name="_Toc476727831"/>
      <w:bookmarkStart w:id="151" w:name="_Toc477076766"/>
      <w:bookmarkStart w:id="152" w:name="_Toc479399637"/>
      <w:bookmarkStart w:id="153" w:name="_Toc35401823"/>
      <w:r>
        <w:rPr>
          <w:rStyle w:val="CharSectno"/>
        </w:rPr>
        <w:t>11</w:t>
      </w:r>
      <w:r>
        <w:t>.</w:t>
      </w:r>
      <w:r>
        <w:tab/>
        <w:t>Criterion 3 — except in certain circumstances, applicant or applicant’s spouse or de facto partner must not have received another grant</w:t>
      </w:r>
      <w:bookmarkEnd w:id="148"/>
      <w:bookmarkEnd w:id="149"/>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154" w:name="_Toc103655071"/>
      <w:bookmarkStart w:id="155" w:name="_Toc265588757"/>
      <w:r>
        <w:rPr>
          <w:rStyle w:val="CharSectno"/>
        </w:rPr>
        <w:t>12</w:t>
      </w:r>
      <w:r>
        <w:t>.</w:t>
      </w:r>
      <w:r>
        <w:tab/>
        <w:t>Criterion 4 — applicant or applicant’s spouse or de facto partner must not have had relevant interest in residential property</w:t>
      </w:r>
      <w:bookmarkEnd w:id="150"/>
      <w:bookmarkEnd w:id="151"/>
      <w:bookmarkEnd w:id="152"/>
      <w:bookmarkEnd w:id="153"/>
      <w:bookmarkEnd w:id="154"/>
      <w:bookmarkEnd w:id="155"/>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 No. 27 of 2009 s. 15.]</w:t>
      </w:r>
    </w:p>
    <w:p>
      <w:pPr>
        <w:pStyle w:val="Heading5"/>
      </w:pPr>
      <w:bookmarkStart w:id="156" w:name="_Toc103655072"/>
      <w:bookmarkStart w:id="157" w:name="_Toc265588758"/>
      <w:r>
        <w:rPr>
          <w:rStyle w:val="CharSectno"/>
        </w:rPr>
        <w:t>13</w:t>
      </w:r>
      <w:r>
        <w:t>.</w:t>
      </w:r>
      <w:r>
        <w:tab/>
        <w:t>Criterion 5 — residence requirements</w:t>
      </w:r>
      <w:bookmarkEnd w:id="156"/>
      <w:bookmarkEnd w:id="157"/>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(3) in relation to the applicant, that shorter period.</w:t>
      </w:r>
    </w:p>
    <w:p>
      <w:pPr>
        <w:pStyle w:val="Subsection"/>
      </w:pPr>
      <w:r>
        <w:tab/>
        <w:t>(3)</w:t>
      </w:r>
      <w:r>
        <w:tab/>
        <w:t>The Commissioner may approve of the applicant complying with subsection (1) for a period shorter than 6 months if there are, in the Commissioner’s opinion, good reasons why the applicant cannot comply with subsection (1) for a period of 6 months.</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in relation to the applicant, that longer period.</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Footnotesection"/>
      </w:pPr>
      <w:r>
        <w:tab/>
        <w:t>[Section 13 inserted by No. 52 of 2004 s. 9.]</w:t>
      </w:r>
    </w:p>
    <w:p>
      <w:pPr>
        <w:pStyle w:val="Heading5"/>
      </w:pPr>
      <w:bookmarkStart w:id="158" w:name="_Toc103655073"/>
      <w:bookmarkStart w:id="159" w:name="_Toc265588759"/>
      <w:r>
        <w:rPr>
          <w:rStyle w:val="CharSectno"/>
        </w:rPr>
        <w:t>13A</w:t>
      </w:r>
      <w:r>
        <w:t>.</w:t>
      </w:r>
      <w:r>
        <w:tab/>
        <w:t>Criterion 6 — applicant must not have been convicted of an offence under this Act</w:t>
      </w:r>
      <w:bookmarkEnd w:id="158"/>
      <w:bookmarkEnd w:id="159"/>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160" w:name="_Toc88880143"/>
      <w:bookmarkStart w:id="161" w:name="_Toc89519590"/>
      <w:bookmarkStart w:id="162" w:name="_Toc90883439"/>
      <w:bookmarkStart w:id="163" w:name="_Toc92523236"/>
      <w:bookmarkStart w:id="164" w:name="_Toc101164325"/>
      <w:bookmarkStart w:id="165" w:name="_Toc101235861"/>
      <w:bookmarkStart w:id="166" w:name="_Toc103655074"/>
      <w:bookmarkStart w:id="167" w:name="_Toc122255584"/>
      <w:bookmarkStart w:id="168" w:name="_Toc122255685"/>
      <w:bookmarkStart w:id="169" w:name="_Toc157854307"/>
      <w:bookmarkStart w:id="170" w:name="_Toc196800972"/>
      <w:bookmarkStart w:id="171" w:name="_Toc202511417"/>
      <w:bookmarkStart w:id="172" w:name="_Toc246329275"/>
      <w:bookmarkStart w:id="173" w:name="_Toc246394343"/>
      <w:bookmarkStart w:id="174" w:name="_Toc246394444"/>
      <w:bookmarkStart w:id="175" w:name="_Toc249330912"/>
      <w:bookmarkStart w:id="176" w:name="_Toc265588760"/>
      <w:r>
        <w:rPr>
          <w:rStyle w:val="CharDivNo"/>
        </w:rPr>
        <w:t>Division 3</w:t>
      </w:r>
      <w:r>
        <w:t xml:space="preserve"> — </w:t>
      </w:r>
      <w:r>
        <w:rPr>
          <w:rStyle w:val="CharDivText"/>
        </w:rPr>
        <w:t>Eligible transactions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4"/>
      </w:pPr>
      <w:bookmarkStart w:id="177" w:name="_Toc88880144"/>
      <w:bookmarkStart w:id="178" w:name="_Toc89519591"/>
      <w:bookmarkStart w:id="179" w:name="_Toc90883440"/>
      <w:bookmarkStart w:id="180" w:name="_Toc92523237"/>
      <w:bookmarkStart w:id="181" w:name="_Toc101164326"/>
      <w:bookmarkStart w:id="182" w:name="_Toc101235862"/>
      <w:bookmarkStart w:id="183" w:name="_Toc103655075"/>
      <w:bookmarkStart w:id="184" w:name="_Toc122255585"/>
      <w:bookmarkStart w:id="185" w:name="_Toc122255686"/>
      <w:bookmarkStart w:id="186" w:name="_Toc157854308"/>
      <w:bookmarkStart w:id="187" w:name="_Toc196800973"/>
      <w:bookmarkStart w:id="188" w:name="_Toc202511418"/>
      <w:bookmarkStart w:id="189" w:name="_Toc246329276"/>
      <w:bookmarkStart w:id="190" w:name="_Toc246394344"/>
      <w:bookmarkStart w:id="191" w:name="_Toc246394445"/>
      <w:bookmarkStart w:id="192" w:name="_Toc249330913"/>
      <w:bookmarkStart w:id="193" w:name="_Toc265588761"/>
      <w:r>
        <w:t>Subdivision 1 — Eligible transactions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pPr>
      <w:r>
        <w:tab/>
        <w:t>[Heading inserted by No. 14 of 2001 s. 4.]</w:t>
      </w:r>
    </w:p>
    <w:p>
      <w:pPr>
        <w:pStyle w:val="Heading5"/>
      </w:pPr>
      <w:bookmarkStart w:id="194" w:name="_Toc476727833"/>
      <w:bookmarkStart w:id="195" w:name="_Toc477076768"/>
      <w:bookmarkStart w:id="196" w:name="_Toc479399639"/>
      <w:bookmarkStart w:id="197" w:name="_Toc35401825"/>
      <w:bookmarkStart w:id="198" w:name="_Toc103655076"/>
      <w:bookmarkStart w:id="199" w:name="_Toc265588762"/>
      <w:r>
        <w:rPr>
          <w:rStyle w:val="CharSectno"/>
        </w:rPr>
        <w:t>14</w:t>
      </w:r>
      <w:r>
        <w:t>.</w:t>
      </w:r>
      <w:r>
        <w:tab/>
        <w:t>Eligible transaction</w:t>
      </w:r>
      <w:bookmarkEnd w:id="194"/>
      <w:bookmarkEnd w:id="195"/>
      <w:bookmarkEnd w:id="196"/>
      <w:bookmarkEnd w:id="197"/>
      <w:bookmarkEnd w:id="198"/>
      <w:bookmarkEnd w:id="199"/>
    </w:p>
    <w:p>
      <w:pPr>
        <w:pStyle w:val="Subsection"/>
        <w:rPr>
          <w:rStyle w:val="CharDefText"/>
          <w:b w:val="0"/>
          <w:bCs/>
          <w:i w:val="0"/>
          <w:iCs/>
        </w:rPr>
      </w:pPr>
      <w:r>
        <w:tab/>
        <w:t>(1)</w:t>
      </w:r>
      <w:r>
        <w:tab/>
        <w:t xml:space="preserve">An </w:t>
      </w:r>
      <w:r>
        <w:rPr>
          <w:rStyle w:val="CharDefText"/>
        </w:rPr>
        <w:t xml:space="preserve">eligible transaction </w:t>
      </w:r>
      <w:r>
        <w:rPr>
          <w:rStyle w:val="CharDefText"/>
          <w:b w:val="0"/>
          <w:bCs/>
          <w:i w:val="0"/>
          <w:iCs/>
        </w:rPr>
        <w:t xml:space="preserve">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keepNext/>
        <w:spacing w:before="120"/>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keepNext/>
        <w:spacing w:before="120"/>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keepNext/>
        <w:spacing w:before="120"/>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bookmarkStart w:id="200" w:name="_Toc88880146"/>
      <w:bookmarkStart w:id="201" w:name="_Toc89519593"/>
      <w:bookmarkStart w:id="202" w:name="_Toc90883442"/>
      <w:bookmarkStart w:id="203" w:name="_Toc92523239"/>
      <w:bookmarkStart w:id="204" w:name="_Toc101164328"/>
      <w:bookmarkStart w:id="205" w:name="_Toc101235864"/>
      <w:bookmarkStart w:id="206" w:name="_Toc103655077"/>
      <w:bookmarkStart w:id="207" w:name="_Toc122255587"/>
      <w:bookmarkStart w:id="208" w:name="_Toc122255688"/>
      <w:bookmarkStart w:id="209" w:name="_Toc157854310"/>
      <w:bookmarkStart w:id="210" w:name="_Toc196800975"/>
      <w:bookmarkStart w:id="211" w:name="_Toc202511420"/>
      <w:bookmarkStart w:id="212" w:name="_Toc246329278"/>
      <w:bookmarkStart w:id="213" w:name="_Toc246394346"/>
      <w:bookmarkStart w:id="214" w:name="_Toc246394447"/>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Ednotesubsection"/>
      </w:pPr>
      <w:r>
        <w:tab/>
        <w:t>[(6)</w:t>
      </w:r>
      <w:r>
        <w:noBreakHyphen/>
        <w:t>(8)</w:t>
      </w:r>
      <w:r>
        <w:tab/>
        <w:t>deleted]</w:t>
      </w:r>
    </w:p>
    <w:p>
      <w:pPr>
        <w:pStyle w:val="Footnotesection"/>
      </w:pPr>
      <w:r>
        <w:tab/>
        <w:t>[Section 14 amended by No. 27 of 2009 s. 9.]</w:t>
      </w:r>
    </w:p>
    <w:p>
      <w:pPr>
        <w:pStyle w:val="Heading5"/>
      </w:pPr>
      <w:bookmarkStart w:id="215" w:name="_Toc265588763"/>
      <w:r>
        <w:rPr>
          <w:rStyle w:val="CharSectno"/>
        </w:rPr>
        <w:t>14AA</w:t>
      </w:r>
      <w:r>
        <w:t>.</w:t>
      </w:r>
      <w:r>
        <w:tab/>
        <w:t>Commencement and completion of transaction</w:t>
      </w:r>
      <w:bookmarkEnd w:id="215"/>
    </w:p>
    <w:p>
      <w:pPr>
        <w:pStyle w:val="Subsection"/>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pPr>
      <w:r>
        <w:tab/>
      </w:r>
      <w:r>
        <w:tab/>
        <w:t>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by No. 27 of 2009 s. 10.]</w:t>
      </w:r>
    </w:p>
    <w:p>
      <w:pPr>
        <w:pStyle w:val="Heading5"/>
      </w:pPr>
      <w:bookmarkStart w:id="216" w:name="_Toc265588764"/>
      <w:r>
        <w:rPr>
          <w:rStyle w:val="CharSectno"/>
        </w:rPr>
        <w:t>14AB</w:t>
      </w:r>
      <w:r>
        <w:t>.</w:t>
      </w:r>
      <w:r>
        <w:tab/>
        <w:t>Term used: consideration</w:t>
      </w:r>
      <w:bookmarkEnd w:id="216"/>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by No. 27 of 2009 s. 10.]</w:t>
      </w:r>
    </w:p>
    <w:p>
      <w:pPr>
        <w:pStyle w:val="Heading5"/>
      </w:pPr>
      <w:bookmarkStart w:id="217" w:name="_Toc265588765"/>
      <w:r>
        <w:rPr>
          <w:rStyle w:val="CharSectno"/>
        </w:rPr>
        <w:t>14AC</w:t>
      </w:r>
      <w:r>
        <w:t>.</w:t>
      </w:r>
      <w:r>
        <w:tab/>
        <w:t>Term used: total value</w:t>
      </w:r>
      <w:bookmarkEnd w:id="217"/>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by No. 27 of 2009 s. 10.]</w:t>
      </w:r>
    </w:p>
    <w:p>
      <w:pPr>
        <w:pStyle w:val="Heading5"/>
      </w:pPr>
      <w:bookmarkStart w:id="218" w:name="_Toc265588766"/>
      <w:r>
        <w:rPr>
          <w:rStyle w:val="CharSectno"/>
        </w:rPr>
        <w:t>14AD</w:t>
      </w:r>
      <w:r>
        <w:t>.</w:t>
      </w:r>
      <w:r>
        <w:tab/>
        <w:t>Term used: cap amount</w:t>
      </w:r>
      <w:bookmarkEnd w:id="218"/>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by No. 27 of 2009 s. 10.]</w:t>
      </w:r>
    </w:p>
    <w:p>
      <w:pPr>
        <w:pStyle w:val="Heading5"/>
      </w:pPr>
      <w:bookmarkStart w:id="219" w:name="_Toc265588767"/>
      <w:r>
        <w:rPr>
          <w:rStyle w:val="CharSectno"/>
        </w:rPr>
        <w:t>14AE</w:t>
      </w:r>
      <w:r>
        <w:t>.</w:t>
      </w:r>
      <w:r>
        <w:tab/>
        <w:t>Term used: unencumbered value</w:t>
      </w:r>
      <w:bookmarkEnd w:id="219"/>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by No. 27 of 2009 s. 10.]</w:t>
      </w:r>
    </w:p>
    <w:p>
      <w:pPr>
        <w:pStyle w:val="Heading4"/>
      </w:pPr>
      <w:bookmarkStart w:id="220" w:name="_Toc249330920"/>
      <w:bookmarkStart w:id="221" w:name="_Toc265588768"/>
      <w:r>
        <w:t>Subdivision 2 — Special eligible transactions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20"/>
      <w:bookmarkEnd w:id="221"/>
    </w:p>
    <w:p>
      <w:pPr>
        <w:pStyle w:val="Footnoteheading"/>
      </w:pPr>
      <w:r>
        <w:tab/>
        <w:t>[Heading inserted by No. 14 of 2001 s. 5.]</w:t>
      </w:r>
    </w:p>
    <w:p>
      <w:pPr>
        <w:pStyle w:val="Heading5"/>
      </w:pPr>
      <w:bookmarkStart w:id="222" w:name="_Toc245793440"/>
      <w:bookmarkStart w:id="223" w:name="_Toc246319948"/>
      <w:bookmarkStart w:id="224" w:name="_Toc265588769"/>
      <w:bookmarkStart w:id="225" w:name="_Toc35401827"/>
      <w:bookmarkStart w:id="226" w:name="_Toc103655079"/>
      <w:r>
        <w:rPr>
          <w:rStyle w:val="CharSectno"/>
        </w:rPr>
        <w:t>14A</w:t>
      </w:r>
      <w:r>
        <w:t>.</w:t>
      </w:r>
      <w:r>
        <w:tab/>
        <w:t>Terms used</w:t>
      </w:r>
      <w:bookmarkEnd w:id="222"/>
      <w:bookmarkEnd w:id="223"/>
      <w:bookmarkEnd w:id="224"/>
      <w:r>
        <w:t xml:space="preserve"> </w:t>
      </w:r>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Indent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w:t>
      </w:r>
    </w:p>
    <w:p>
      <w:pPr>
        <w:pStyle w:val="Defstart"/>
      </w:pPr>
      <w:r>
        <w:tab/>
      </w:r>
      <w:r>
        <w:rPr>
          <w:rStyle w:val="CharDefText"/>
        </w:rPr>
        <w:t>special eligible transaction</w:t>
      </w:r>
      <w:r>
        <w:t xml:space="preserve"> means an eligible transaction of a class referred to in section 14B;</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Footnotesection"/>
      </w:pPr>
      <w:r>
        <w:tab/>
        <w:t>[Section 14A inserted by No. 27 of 2009 s. 4.]</w:t>
      </w:r>
    </w:p>
    <w:p>
      <w:pPr>
        <w:pStyle w:val="Heading5"/>
      </w:pPr>
      <w:bookmarkStart w:id="227" w:name="_Toc265588770"/>
      <w:r>
        <w:rPr>
          <w:rStyle w:val="CharSectno"/>
        </w:rPr>
        <w:t>14B</w:t>
      </w:r>
      <w:r>
        <w:t>.</w:t>
      </w:r>
      <w:r>
        <w:tab/>
        <w:t>Special eligible transactions</w:t>
      </w:r>
      <w:bookmarkEnd w:id="225"/>
      <w:bookmarkEnd w:id="226"/>
      <w:bookmarkEnd w:id="227"/>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rPr>
          <w:rStyle w:val="CharDefText"/>
          <w:b w:val="0"/>
          <w:bCs/>
          <w:i w:val="0"/>
          <w:iCs/>
        </w:rPr>
      </w:pPr>
      <w:r>
        <w:tab/>
        <w:t>(3)</w:t>
      </w:r>
      <w:r>
        <w:tab/>
        <w:t xml:space="preserve">A </w:t>
      </w:r>
      <w:r>
        <w:rPr>
          <w:rStyle w:val="CharDefText"/>
          <w:bCs/>
          <w:iCs/>
        </w:rPr>
        <w:t>class 5</w:t>
      </w:r>
      <w:r>
        <w:rPr>
          <w:rStyle w:val="CharDefText"/>
        </w:rPr>
        <w:t xml:space="preserve"> eligible transaction </w:t>
      </w:r>
      <w:r>
        <w:rPr>
          <w:rStyle w:val="CharDefText"/>
          <w:b w:val="0"/>
          <w:bCs/>
          <w:i w:val="0"/>
          <w:iCs/>
        </w:rPr>
        <w:t xml:space="preserve">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(4A)</w:t>
      </w:r>
      <w:r>
        <w:tab/>
        <w:t>A</w:t>
      </w:r>
      <w:r>
        <w:rPr>
          <w:rStyle w:val="CharDefText"/>
        </w:rPr>
        <w:t xml:space="preserve"> class 6 eligible transaction i</w:t>
      </w:r>
      <w:r>
        <w:t>s an eligible transaction the commencement date of which is not before 1 October 2009 and not after the cut-off date that is a contract for the purchase of an established home.</w:t>
      </w:r>
    </w:p>
    <w:p>
      <w:pPr>
        <w:pStyle w:val="Subsection"/>
      </w:pPr>
      <w:r>
        <w:tab/>
        <w:t>(4B)</w:t>
      </w:r>
      <w:r>
        <w:tab/>
        <w:t>A</w:t>
      </w:r>
      <w:r>
        <w:rPr>
          <w:rStyle w:val="CharDefText"/>
        </w:rPr>
        <w:t xml:space="preserve"> class 7 eligible transaction i</w:t>
      </w:r>
      <w:r>
        <w:t>s an eligible transaction the commencement date of which is not before 1 October 2009 and not after the cut-off date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The Commissioner may extend the period within which building work is to begin under subsection (3)(b)(i) or (4B)(b)(i) or be completed under subsection (3)(b)(ii), (3)(c), (4B)(b)(ii), (4B)(c) or (6)(a) if the Commissioner is satisfied that the delay is caused by circumstances beyond the control of the parties.</w:t>
      </w:r>
    </w:p>
    <w:p>
      <w:pPr>
        <w:pStyle w:val="Subsection"/>
        <w:spacing w:before="200"/>
      </w:pPr>
      <w:r>
        <w:tab/>
        <w:t>(5)</w:t>
      </w:r>
      <w:r>
        <w:tab/>
        <w:t xml:space="preserve">For the purposes of this section, building work — </w:t>
      </w:r>
    </w:p>
    <w:p>
      <w:pPr>
        <w:pStyle w:val="Indenta"/>
        <w:spacing w:before="100"/>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spacing w:before="100"/>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before 14 October 2008, in respect of a class 4, class 5, class 6 or class 7 eligible transaction.</w:t>
      </w:r>
    </w:p>
    <w:p>
      <w:pPr>
        <w:pStyle w:val="Footnotesection"/>
      </w:pPr>
      <w:r>
        <w:tab/>
        <w:t>[Section 14B inserted by No. 14 of 2001 s. 5; amended by No. 13 of 2003 s. 5; No. 27 of 2009 s. 5.]</w:t>
      </w:r>
    </w:p>
    <w:p>
      <w:pPr>
        <w:pStyle w:val="Heading3"/>
      </w:pPr>
      <w:bookmarkStart w:id="228" w:name="_Toc88880149"/>
      <w:bookmarkStart w:id="229" w:name="_Toc89519596"/>
      <w:bookmarkStart w:id="230" w:name="_Toc90883445"/>
      <w:bookmarkStart w:id="231" w:name="_Toc92523242"/>
      <w:bookmarkStart w:id="232" w:name="_Toc101164331"/>
      <w:bookmarkStart w:id="233" w:name="_Toc101235867"/>
      <w:bookmarkStart w:id="234" w:name="_Toc103655080"/>
      <w:bookmarkStart w:id="235" w:name="_Toc122255590"/>
      <w:bookmarkStart w:id="236" w:name="_Toc122255691"/>
      <w:bookmarkStart w:id="237" w:name="_Toc157854313"/>
      <w:bookmarkStart w:id="238" w:name="_Toc196800978"/>
      <w:bookmarkStart w:id="239" w:name="_Toc202511423"/>
      <w:bookmarkStart w:id="240" w:name="_Toc246329282"/>
      <w:bookmarkStart w:id="241" w:name="_Toc246394349"/>
      <w:bookmarkStart w:id="242" w:name="_Toc246394450"/>
      <w:bookmarkStart w:id="243" w:name="_Toc249330923"/>
      <w:bookmarkStart w:id="244" w:name="_Toc265588771"/>
      <w:r>
        <w:rPr>
          <w:rStyle w:val="CharDivNo"/>
        </w:rPr>
        <w:t>Division 4</w:t>
      </w:r>
      <w:r>
        <w:t xml:space="preserve"> — </w:t>
      </w:r>
      <w:r>
        <w:rPr>
          <w:rStyle w:val="CharDivText"/>
        </w:rPr>
        <w:t>Application for the grant</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476727834"/>
      <w:bookmarkStart w:id="246" w:name="_Toc477076769"/>
      <w:bookmarkStart w:id="247" w:name="_Toc479399640"/>
      <w:bookmarkStart w:id="248" w:name="_Toc35401828"/>
      <w:bookmarkStart w:id="249" w:name="_Toc103655081"/>
      <w:bookmarkStart w:id="250" w:name="_Toc265588772"/>
      <w:r>
        <w:rPr>
          <w:rStyle w:val="CharSectno"/>
        </w:rPr>
        <w:t>15</w:t>
      </w:r>
      <w:r>
        <w:t>.</w:t>
      </w:r>
      <w:r>
        <w:tab/>
        <w:t>Application for grant</w:t>
      </w:r>
      <w:bookmarkEnd w:id="245"/>
      <w:bookmarkEnd w:id="246"/>
      <w:bookmarkEnd w:id="247"/>
      <w:bookmarkEnd w:id="248"/>
      <w:bookmarkEnd w:id="249"/>
      <w:bookmarkEnd w:id="250"/>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by No. 27 of 2009 s. 15.]</w:t>
      </w:r>
    </w:p>
    <w:p>
      <w:pPr>
        <w:pStyle w:val="Heading5"/>
      </w:pPr>
      <w:bookmarkStart w:id="251" w:name="_Toc476727835"/>
      <w:bookmarkStart w:id="252" w:name="_Toc477076770"/>
      <w:bookmarkStart w:id="253" w:name="_Toc479399641"/>
      <w:bookmarkStart w:id="254" w:name="_Toc35401829"/>
      <w:bookmarkStart w:id="255" w:name="_Toc103655082"/>
      <w:bookmarkStart w:id="256" w:name="_Toc265588773"/>
      <w:r>
        <w:rPr>
          <w:rStyle w:val="CharSectno"/>
        </w:rPr>
        <w:t>16</w:t>
      </w:r>
      <w:r>
        <w:t>.</w:t>
      </w:r>
      <w:r>
        <w:tab/>
        <w:t>Interested persons</w:t>
      </w:r>
      <w:bookmarkEnd w:id="251"/>
      <w:bookmarkEnd w:id="252"/>
      <w:bookmarkEnd w:id="253"/>
      <w:bookmarkEnd w:id="254"/>
      <w:bookmarkEnd w:id="255"/>
      <w:bookmarkEnd w:id="256"/>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by No. 27 of 2009 s. 15.]</w:t>
      </w:r>
    </w:p>
    <w:p>
      <w:pPr>
        <w:pStyle w:val="Heading5"/>
      </w:pPr>
      <w:bookmarkStart w:id="257" w:name="_Toc476727836"/>
      <w:bookmarkStart w:id="258" w:name="_Toc477076771"/>
      <w:bookmarkStart w:id="259" w:name="_Toc479399642"/>
      <w:bookmarkStart w:id="260" w:name="_Toc35401830"/>
      <w:bookmarkStart w:id="261" w:name="_Toc103655083"/>
      <w:bookmarkStart w:id="262" w:name="_Toc265588774"/>
      <w:r>
        <w:rPr>
          <w:rStyle w:val="CharSectno"/>
        </w:rPr>
        <w:t>17</w:t>
      </w:r>
      <w:r>
        <w:t>.</w:t>
      </w:r>
      <w:r>
        <w:tab/>
        <w:t>Application on behalf of person under legal disability</w:t>
      </w:r>
      <w:bookmarkEnd w:id="257"/>
      <w:bookmarkEnd w:id="258"/>
      <w:bookmarkEnd w:id="259"/>
      <w:bookmarkEnd w:id="260"/>
      <w:bookmarkEnd w:id="261"/>
      <w:bookmarkEnd w:id="262"/>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263" w:name="_Toc88880153"/>
      <w:bookmarkStart w:id="264" w:name="_Toc89519600"/>
      <w:bookmarkStart w:id="265" w:name="_Toc90883449"/>
      <w:bookmarkStart w:id="266" w:name="_Toc92523246"/>
      <w:bookmarkStart w:id="267" w:name="_Toc101164335"/>
      <w:bookmarkStart w:id="268" w:name="_Toc101235871"/>
      <w:bookmarkStart w:id="269" w:name="_Toc103655084"/>
      <w:bookmarkStart w:id="270" w:name="_Toc122255594"/>
      <w:bookmarkStart w:id="271" w:name="_Toc122255695"/>
      <w:bookmarkStart w:id="272" w:name="_Toc157854317"/>
      <w:bookmarkStart w:id="273" w:name="_Toc196800982"/>
      <w:bookmarkStart w:id="274" w:name="_Toc202511427"/>
      <w:bookmarkStart w:id="275" w:name="_Toc246329286"/>
      <w:bookmarkStart w:id="276" w:name="_Toc246394353"/>
      <w:bookmarkStart w:id="277" w:name="_Toc246394454"/>
      <w:bookmarkStart w:id="278" w:name="_Toc249330927"/>
      <w:bookmarkStart w:id="279" w:name="_Toc265588775"/>
      <w:r>
        <w:rPr>
          <w:rStyle w:val="CharDivNo"/>
        </w:rPr>
        <w:t>Division 5</w:t>
      </w:r>
      <w:r>
        <w:t xml:space="preserve"> — </w:t>
      </w:r>
      <w:r>
        <w:rPr>
          <w:rStyle w:val="CharDivText"/>
        </w:rPr>
        <w:t>Decision on application</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476727837"/>
      <w:bookmarkStart w:id="281" w:name="_Toc477076772"/>
      <w:bookmarkStart w:id="282" w:name="_Toc479399643"/>
      <w:bookmarkStart w:id="283" w:name="_Toc35401831"/>
      <w:bookmarkStart w:id="284" w:name="_Toc103655085"/>
      <w:bookmarkStart w:id="285" w:name="_Toc265588776"/>
      <w:r>
        <w:rPr>
          <w:rStyle w:val="CharSectno"/>
        </w:rPr>
        <w:t>18</w:t>
      </w:r>
      <w:r>
        <w:t>.</w:t>
      </w:r>
      <w:r>
        <w:tab/>
        <w:t>Commissioner to authorise payment of grant</w:t>
      </w:r>
      <w:bookmarkEnd w:id="280"/>
      <w:bookmarkEnd w:id="281"/>
      <w:bookmarkEnd w:id="282"/>
      <w:bookmarkEnd w:id="283"/>
      <w:bookmarkEnd w:id="284"/>
      <w:bookmarkEnd w:id="285"/>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bookmarkStart w:id="286" w:name="_Toc476727838"/>
      <w:bookmarkStart w:id="287" w:name="_Toc477076773"/>
      <w:bookmarkStart w:id="288" w:name="_Toc479399644"/>
      <w:bookmarkStart w:id="289" w:name="_Toc35401832"/>
      <w:bookmarkStart w:id="290" w:name="_Toc103655086"/>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by No. 27 of 2009 s. 11.]</w:t>
      </w:r>
    </w:p>
    <w:p>
      <w:pPr>
        <w:pStyle w:val="Heading5"/>
      </w:pPr>
      <w:bookmarkStart w:id="291" w:name="_Toc265588777"/>
      <w:r>
        <w:rPr>
          <w:rStyle w:val="CharSectno"/>
        </w:rPr>
        <w:t>19</w:t>
      </w:r>
      <w:r>
        <w:t>.</w:t>
      </w:r>
      <w:r>
        <w:tab/>
        <w:t>Amount of grant</w:t>
      </w:r>
      <w:bookmarkEnd w:id="286"/>
      <w:bookmarkEnd w:id="287"/>
      <w:bookmarkEnd w:id="288"/>
      <w:bookmarkEnd w:id="289"/>
      <w:bookmarkEnd w:id="290"/>
      <w:bookmarkEnd w:id="291"/>
    </w:p>
    <w:p>
      <w:pPr>
        <w:pStyle w:val="Subsection"/>
      </w:pPr>
      <w:r>
        <w:tab/>
        <w:t>(1)</w:t>
      </w:r>
      <w:r>
        <w:tab/>
        <w:t xml:space="preserve">The amount of a first home owner grant is the lesser of the following — </w:t>
      </w:r>
    </w:p>
    <w:p>
      <w:pPr>
        <w:pStyle w:val="Indenta"/>
      </w:pPr>
      <w:r>
        <w:tab/>
        <w:t>(a)</w:t>
      </w:r>
      <w:r>
        <w:tab/>
        <w:t>the consideration for the transaction;</w:t>
      </w:r>
    </w:p>
    <w:p>
      <w:pPr>
        <w:pStyle w:val="Indenta"/>
      </w:pPr>
      <w:r>
        <w:tab/>
        <w:t>(b)</w:t>
      </w:r>
      <w:r>
        <w:tab/>
        <w:t>$7 000.</w:t>
      </w:r>
    </w:p>
    <w:p>
      <w:pPr>
        <w:pStyle w:val="Subsection"/>
      </w:pPr>
      <w:r>
        <w:tab/>
        <w:t>(2)</w:t>
      </w:r>
      <w:r>
        <w:tab/>
        <w:t xml:space="preserve">Despite subsection (1),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Indenta"/>
      </w:pPr>
      <w:r>
        <w:tab/>
        <w:t>(e)</w:t>
      </w:r>
      <w:r>
        <w:tab/>
        <w:t>in the case of a class 6 eligible transaction within the meaning of section 14B — $10 500; or</w:t>
      </w:r>
    </w:p>
    <w:p>
      <w:pPr>
        <w:pStyle w:val="Indenta"/>
      </w:pPr>
      <w:r>
        <w:tab/>
        <w:t>(f)</w:t>
      </w:r>
      <w:r>
        <w:tab/>
        <w:t>in the case of a class 7 eligible transaction within the meaning of section 14B — $14 000.</w:t>
      </w:r>
    </w:p>
    <w:p>
      <w:pPr>
        <w:pStyle w:val="Footnotesection"/>
      </w:pPr>
      <w:r>
        <w:tab/>
        <w:t>[Section 19 amended by No. 14 of 2001 s. 6; No. 13 of 2003 s. 6; No. 27 of 2009 s. 6; No. 27 of 2009 s. 15.]</w:t>
      </w:r>
    </w:p>
    <w:p>
      <w:pPr>
        <w:pStyle w:val="Heading5"/>
      </w:pPr>
      <w:bookmarkStart w:id="292" w:name="_Toc476727839"/>
      <w:bookmarkStart w:id="293" w:name="_Toc477076774"/>
      <w:bookmarkStart w:id="294" w:name="_Toc479399645"/>
      <w:bookmarkStart w:id="295" w:name="_Toc35401833"/>
      <w:bookmarkStart w:id="296" w:name="_Toc103655087"/>
      <w:bookmarkStart w:id="297" w:name="_Toc265588778"/>
      <w:r>
        <w:rPr>
          <w:rStyle w:val="CharSectno"/>
        </w:rPr>
        <w:t>20</w:t>
      </w:r>
      <w:r>
        <w:t>.</w:t>
      </w:r>
      <w:r>
        <w:tab/>
        <w:t>Payment of grant</w:t>
      </w:r>
      <w:bookmarkEnd w:id="292"/>
      <w:bookmarkEnd w:id="293"/>
      <w:bookmarkEnd w:id="294"/>
      <w:bookmarkEnd w:id="295"/>
      <w:bookmarkEnd w:id="296"/>
      <w:bookmarkEnd w:id="297"/>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pPr>
      <w:bookmarkStart w:id="298" w:name="_Toc476727840"/>
      <w:bookmarkStart w:id="299" w:name="_Toc477076775"/>
      <w:bookmarkStart w:id="300" w:name="_Toc479399646"/>
      <w:bookmarkStart w:id="301" w:name="_Toc35401834"/>
      <w:bookmarkStart w:id="302" w:name="_Toc103655088"/>
      <w:bookmarkStart w:id="303" w:name="_Toc265588779"/>
      <w:r>
        <w:rPr>
          <w:rStyle w:val="CharSectno"/>
        </w:rPr>
        <w:t>21</w:t>
      </w:r>
      <w:r>
        <w:t>.</w:t>
      </w:r>
      <w:r>
        <w:tab/>
        <w:t>Payment in anticipation of compliance with residence requirement</w:t>
      </w:r>
      <w:bookmarkEnd w:id="298"/>
      <w:bookmarkEnd w:id="299"/>
      <w:bookmarkEnd w:id="300"/>
      <w:bookmarkEnd w:id="301"/>
      <w:bookmarkEnd w:id="302"/>
      <w:bookmarkEnd w:id="303"/>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304" w:name="_Toc479399647"/>
      <w:bookmarkStart w:id="305"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306" w:name="_Toc103655089"/>
      <w:bookmarkStart w:id="307" w:name="_Toc265588780"/>
      <w:r>
        <w:rPr>
          <w:rStyle w:val="CharSectno"/>
        </w:rPr>
        <w:t>22</w:t>
      </w:r>
      <w:r>
        <w:t>.</w:t>
      </w:r>
      <w:r>
        <w:tab/>
        <w:t>Commissioner may impose conditions</w:t>
      </w:r>
      <w:bookmarkEnd w:id="304"/>
      <w:bookmarkEnd w:id="305"/>
      <w:bookmarkEnd w:id="306"/>
      <w:bookmarkEnd w:id="307"/>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308" w:name="_Hlt476728030"/>
      <w:r>
        <w:t>2)</w:t>
      </w:r>
      <w:bookmarkEnd w:id="308"/>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309" w:name="_Toc477076777"/>
      <w:bookmarkStart w:id="310" w:name="_Toc479399648"/>
      <w:bookmarkStart w:id="311" w:name="_Toc35401836"/>
      <w:bookmarkStart w:id="312" w:name="_Toc103655090"/>
      <w:bookmarkStart w:id="313" w:name="_Toc265588781"/>
      <w:r>
        <w:rPr>
          <w:rStyle w:val="CharSectno"/>
        </w:rPr>
        <w:t>23</w:t>
      </w:r>
      <w:r>
        <w:t>.</w:t>
      </w:r>
      <w:r>
        <w:tab/>
        <w:t>Death of applicant</w:t>
      </w:r>
      <w:bookmarkEnd w:id="309"/>
      <w:bookmarkEnd w:id="310"/>
      <w:bookmarkEnd w:id="311"/>
      <w:bookmarkEnd w:id="312"/>
      <w:bookmarkEnd w:id="313"/>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314" w:name="_Toc477076778"/>
      <w:bookmarkStart w:id="315" w:name="_Toc479399649"/>
      <w:bookmarkStart w:id="316"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317" w:name="_Toc103655091"/>
      <w:bookmarkStart w:id="318" w:name="_Toc265588782"/>
      <w:r>
        <w:rPr>
          <w:rStyle w:val="CharSectno"/>
        </w:rPr>
        <w:t>24</w:t>
      </w:r>
      <w:r>
        <w:rPr>
          <w:snapToGrid w:val="0"/>
        </w:rPr>
        <w:t>.</w:t>
      </w:r>
      <w:r>
        <w:rPr>
          <w:snapToGrid w:val="0"/>
        </w:rPr>
        <w:tab/>
        <w:t>Power to correct decision</w:t>
      </w:r>
      <w:bookmarkEnd w:id="314"/>
      <w:bookmarkEnd w:id="315"/>
      <w:bookmarkEnd w:id="316"/>
      <w:bookmarkEnd w:id="317"/>
      <w:bookmarkEnd w:id="318"/>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319" w:name="_Toc477076779"/>
      <w:bookmarkStart w:id="320" w:name="_Toc479399650"/>
      <w:bookmarkStart w:id="321" w:name="_Toc35401838"/>
      <w:bookmarkStart w:id="322" w:name="_Toc103655092"/>
      <w:bookmarkStart w:id="323" w:name="_Toc265588783"/>
      <w:r>
        <w:rPr>
          <w:rStyle w:val="CharSectno"/>
        </w:rPr>
        <w:t>25</w:t>
      </w:r>
      <w:r>
        <w:rPr>
          <w:snapToGrid w:val="0"/>
        </w:rPr>
        <w:t>.</w:t>
      </w:r>
      <w:r>
        <w:rPr>
          <w:snapToGrid w:val="0"/>
        </w:rPr>
        <w:tab/>
        <w:t>Notice of decision</w:t>
      </w:r>
      <w:bookmarkEnd w:id="319"/>
      <w:bookmarkEnd w:id="320"/>
      <w:bookmarkEnd w:id="321"/>
      <w:bookmarkEnd w:id="322"/>
      <w:bookmarkEnd w:id="323"/>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324" w:name="_Toc88880162"/>
      <w:bookmarkStart w:id="325" w:name="_Toc89519609"/>
      <w:bookmarkStart w:id="326" w:name="_Toc90883458"/>
      <w:bookmarkStart w:id="327" w:name="_Toc92523255"/>
      <w:bookmarkStart w:id="328" w:name="_Toc101164344"/>
      <w:bookmarkStart w:id="329" w:name="_Toc101235880"/>
      <w:bookmarkStart w:id="330" w:name="_Toc103655093"/>
      <w:bookmarkStart w:id="331" w:name="_Toc122255603"/>
      <w:bookmarkStart w:id="332" w:name="_Toc122255704"/>
      <w:bookmarkStart w:id="333" w:name="_Toc157854326"/>
      <w:bookmarkStart w:id="334" w:name="_Toc196800991"/>
      <w:bookmarkStart w:id="335" w:name="_Toc202511436"/>
      <w:bookmarkStart w:id="336" w:name="_Toc246329295"/>
      <w:bookmarkStart w:id="337" w:name="_Toc246394362"/>
      <w:bookmarkStart w:id="338" w:name="_Toc246394463"/>
      <w:bookmarkStart w:id="339" w:name="_Toc249330936"/>
      <w:bookmarkStart w:id="340" w:name="_Toc265588784"/>
      <w:r>
        <w:rPr>
          <w:rStyle w:val="CharDivNo"/>
        </w:rPr>
        <w:t>Division 6</w:t>
      </w:r>
      <w:r>
        <w:t xml:space="preserve"> — </w:t>
      </w:r>
      <w:r>
        <w:rPr>
          <w:rStyle w:val="CharDivText"/>
        </w:rPr>
        <w:t xml:space="preserve">Objections and </w:t>
      </w:r>
      <w:bookmarkEnd w:id="324"/>
      <w:bookmarkEnd w:id="325"/>
      <w:r>
        <w:rPr>
          <w:rStyle w:val="CharDivText"/>
        </w:rPr>
        <w:t>review</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pPr>
      <w:r>
        <w:tab/>
        <w:t>[Heading amended by No. 55 of 2004 s. 374.]</w:t>
      </w:r>
    </w:p>
    <w:p>
      <w:pPr>
        <w:pStyle w:val="Heading4"/>
      </w:pPr>
      <w:bookmarkStart w:id="341" w:name="_Toc88880163"/>
      <w:bookmarkStart w:id="342" w:name="_Toc89519610"/>
      <w:bookmarkStart w:id="343" w:name="_Toc90883459"/>
      <w:bookmarkStart w:id="344" w:name="_Toc92523256"/>
      <w:bookmarkStart w:id="345" w:name="_Toc101164345"/>
      <w:bookmarkStart w:id="346" w:name="_Toc101235881"/>
      <w:bookmarkStart w:id="347" w:name="_Toc103655094"/>
      <w:bookmarkStart w:id="348" w:name="_Toc122255604"/>
      <w:bookmarkStart w:id="349" w:name="_Toc122255705"/>
      <w:bookmarkStart w:id="350" w:name="_Toc157854327"/>
      <w:bookmarkStart w:id="351" w:name="_Toc196800992"/>
      <w:bookmarkStart w:id="352" w:name="_Toc202511437"/>
      <w:bookmarkStart w:id="353" w:name="_Toc246329296"/>
      <w:bookmarkStart w:id="354" w:name="_Toc246394363"/>
      <w:bookmarkStart w:id="355" w:name="_Toc246394464"/>
      <w:bookmarkStart w:id="356" w:name="_Toc249330937"/>
      <w:bookmarkStart w:id="357" w:name="_Toc265588785"/>
      <w:r>
        <w:t>Subdivision 1 — Definitions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477076780"/>
      <w:bookmarkStart w:id="359" w:name="_Toc479399651"/>
      <w:bookmarkStart w:id="360" w:name="_Toc35401839"/>
      <w:bookmarkStart w:id="361" w:name="_Toc103655095"/>
      <w:bookmarkStart w:id="362" w:name="_Toc265588786"/>
      <w:r>
        <w:rPr>
          <w:rStyle w:val="CharSectno"/>
        </w:rPr>
        <w:t>26</w:t>
      </w:r>
      <w:r>
        <w:t>.</w:t>
      </w:r>
      <w:r>
        <w:tab/>
        <w:t>Definition</w:t>
      </w:r>
      <w:bookmarkEnd w:id="358"/>
      <w:r>
        <w:t>s</w:t>
      </w:r>
      <w:bookmarkEnd w:id="359"/>
      <w:bookmarkEnd w:id="360"/>
      <w:bookmarkEnd w:id="361"/>
      <w:bookmarkEnd w:id="362"/>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Indenta"/>
      </w:pPr>
      <w:r>
        <w:tab/>
        <w:t>(c)</w:t>
      </w:r>
      <w:r>
        <w:tab/>
        <w:t>a requirement to repay an amount paid on an application because of a failure to comply with a condition referred to in section 18(3) or 21(2); and</w:t>
      </w:r>
    </w:p>
    <w:p>
      <w:pPr>
        <w:pStyle w:val="Indenta"/>
      </w:pPr>
      <w:r>
        <w:tab/>
        <w:t>(d)</w:t>
      </w:r>
      <w:r>
        <w:tab/>
        <w:t>an imposition of a penalty under section 18(5), 21(5) or 51(2) or (3);</w:t>
      </w:r>
    </w:p>
    <w:p>
      <w:pPr>
        <w:pStyle w:val="Defstart"/>
      </w:pPr>
      <w:r>
        <w:tab/>
      </w:r>
      <w:r>
        <w:rPr>
          <w:rStyle w:val="CharDefText"/>
        </w:rPr>
        <w:t>objector</w:t>
      </w:r>
      <w:r>
        <w:t xml:space="preserve"> means a person who makes an objection under section </w:t>
      </w:r>
      <w:bookmarkStart w:id="363" w:name="_Hlt478898308"/>
      <w:r>
        <w:t>27</w:t>
      </w:r>
      <w:bookmarkEnd w:id="363"/>
      <w:r>
        <w:t>.</w:t>
      </w:r>
    </w:p>
    <w:p>
      <w:pPr>
        <w:pStyle w:val="Footnotesection"/>
      </w:pPr>
      <w:r>
        <w:tab/>
        <w:t>[Section 26 amended by No. 13 of 2003 s. 8; No. 27 of 2009 s. 16; No. 27 of 2009 s. 12.]</w:t>
      </w:r>
    </w:p>
    <w:p>
      <w:pPr>
        <w:pStyle w:val="Heading4"/>
      </w:pPr>
      <w:bookmarkStart w:id="364" w:name="_Toc88880165"/>
      <w:bookmarkStart w:id="365" w:name="_Toc89519612"/>
      <w:bookmarkStart w:id="366" w:name="_Toc90883461"/>
      <w:bookmarkStart w:id="367" w:name="_Toc92523258"/>
      <w:bookmarkStart w:id="368" w:name="_Toc101164347"/>
      <w:bookmarkStart w:id="369" w:name="_Toc101235883"/>
      <w:bookmarkStart w:id="370" w:name="_Toc103655096"/>
      <w:bookmarkStart w:id="371" w:name="_Toc122255606"/>
      <w:bookmarkStart w:id="372" w:name="_Toc122255707"/>
      <w:bookmarkStart w:id="373" w:name="_Toc157854329"/>
      <w:bookmarkStart w:id="374" w:name="_Toc196800994"/>
      <w:bookmarkStart w:id="375" w:name="_Toc202511439"/>
      <w:bookmarkStart w:id="376" w:name="_Toc246329298"/>
      <w:bookmarkStart w:id="377" w:name="_Toc246394365"/>
      <w:bookmarkStart w:id="378" w:name="_Toc246394466"/>
      <w:bookmarkStart w:id="379" w:name="_Toc249330939"/>
      <w:bookmarkStart w:id="380" w:name="_Toc265588787"/>
      <w:r>
        <w:t>Subdivision 2 — Objections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477076781"/>
      <w:bookmarkStart w:id="382" w:name="_Toc479399652"/>
      <w:bookmarkStart w:id="383" w:name="_Toc35401840"/>
      <w:bookmarkStart w:id="384" w:name="_Toc103655097"/>
      <w:bookmarkStart w:id="385" w:name="_Toc265588788"/>
      <w:r>
        <w:rPr>
          <w:rStyle w:val="CharSectno"/>
        </w:rPr>
        <w:t>27</w:t>
      </w:r>
      <w:r>
        <w:t>.</w:t>
      </w:r>
      <w:r>
        <w:tab/>
        <w:t>Right to object and procedure for making objections</w:t>
      </w:r>
      <w:bookmarkEnd w:id="381"/>
      <w:bookmarkEnd w:id="382"/>
      <w:bookmarkEnd w:id="383"/>
      <w:bookmarkEnd w:id="384"/>
      <w:bookmarkEnd w:id="385"/>
    </w:p>
    <w:p>
      <w:pPr>
        <w:pStyle w:val="Subsection"/>
      </w:pPr>
      <w:r>
        <w:tab/>
        <w:t>(1)</w:t>
      </w:r>
      <w:r>
        <w:tab/>
        <w:t>An applicant for a first home owner grant who is dissatisfied with the Commissioner’s decision on the application may object to the decision.</w:t>
      </w:r>
    </w:p>
    <w:p>
      <w:pPr>
        <w:pStyle w:val="Subsection"/>
        <w:keepNext/>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386" w:name="_Toc477076782"/>
      <w:bookmarkStart w:id="387" w:name="_Toc479399653"/>
      <w:bookmarkStart w:id="388" w:name="_Toc35401841"/>
      <w:bookmarkStart w:id="389" w:name="_Toc103655098"/>
      <w:bookmarkStart w:id="390" w:name="_Toc265588789"/>
      <w:r>
        <w:rPr>
          <w:rStyle w:val="CharSectno"/>
        </w:rPr>
        <w:t>28</w:t>
      </w:r>
      <w:r>
        <w:t>.</w:t>
      </w:r>
      <w:r>
        <w:tab/>
        <w:t>Time for lodging objection</w:t>
      </w:r>
      <w:bookmarkEnd w:id="386"/>
      <w:bookmarkEnd w:id="387"/>
      <w:bookmarkEnd w:id="388"/>
      <w:bookmarkEnd w:id="389"/>
      <w:bookmarkEnd w:id="390"/>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Subsection"/>
        <w:spacing w:before="120"/>
      </w:pPr>
      <w:r>
        <w:rPr>
          <w:snapToGrid w:val="0"/>
        </w:rPr>
        <w:tab/>
        <w:t>(2)</w:t>
      </w:r>
      <w:r>
        <w:rPr>
          <w:snapToGrid w:val="0"/>
        </w:rPr>
        <w:tab/>
      </w:r>
      <w:r>
        <w:t>However, the Commissioner may, on application by the objector, extend the time for lodging an objection.</w:t>
      </w:r>
    </w:p>
    <w:p>
      <w:pPr>
        <w:pStyle w:val="Subsection"/>
        <w:spacing w:before="120"/>
      </w:pPr>
      <w:r>
        <w:rPr>
          <w:snapToGrid w:val="0"/>
        </w:rPr>
        <w:tab/>
        <w:t>(3)</w:t>
      </w:r>
      <w:r>
        <w:rPr>
          <w:snapToGrid w:val="0"/>
        </w:rPr>
        <w:tab/>
      </w:r>
      <w:r>
        <w:t>An application for an extension of time is to set out fully and in detail the grounds on which the objector asks for an extension of time.</w:t>
      </w:r>
    </w:p>
    <w:p>
      <w:pPr>
        <w:pStyle w:val="Footnotesection"/>
      </w:pPr>
      <w:r>
        <w:tab/>
        <w:t>[Section 28 amended by No. 27 of 2009 s. 7.]</w:t>
      </w:r>
    </w:p>
    <w:p>
      <w:pPr>
        <w:pStyle w:val="Heading5"/>
        <w:spacing w:before="180"/>
      </w:pPr>
      <w:bookmarkStart w:id="391" w:name="_Toc477076783"/>
      <w:bookmarkStart w:id="392" w:name="_Toc479399654"/>
      <w:bookmarkStart w:id="393" w:name="_Toc35401842"/>
      <w:bookmarkStart w:id="394" w:name="_Toc103655099"/>
      <w:bookmarkStart w:id="395" w:name="_Toc265588790"/>
      <w:r>
        <w:rPr>
          <w:rStyle w:val="CharSectno"/>
        </w:rPr>
        <w:t>29</w:t>
      </w:r>
      <w:r>
        <w:rPr>
          <w:snapToGrid w:val="0"/>
        </w:rPr>
        <w:t>.</w:t>
      </w:r>
      <w:r>
        <w:rPr>
          <w:snapToGrid w:val="0"/>
        </w:rPr>
        <w:tab/>
        <w:t>Consideration of objection</w:t>
      </w:r>
      <w:bookmarkEnd w:id="391"/>
      <w:bookmarkEnd w:id="392"/>
      <w:bookmarkEnd w:id="393"/>
      <w:bookmarkEnd w:id="394"/>
      <w:bookmarkEnd w:id="395"/>
    </w:p>
    <w:p>
      <w:pPr>
        <w:pStyle w:val="Subsection"/>
        <w:spacing w:before="120"/>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spacing w:before="120"/>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spacing w:before="180"/>
      </w:pPr>
      <w:bookmarkStart w:id="396" w:name="_Toc477076784"/>
      <w:bookmarkStart w:id="397" w:name="_Toc479399655"/>
      <w:bookmarkStart w:id="398" w:name="_Toc35401843"/>
      <w:bookmarkStart w:id="399" w:name="_Toc103655100"/>
      <w:bookmarkStart w:id="400" w:name="_Toc265588791"/>
      <w:r>
        <w:rPr>
          <w:rStyle w:val="CharSectno"/>
        </w:rPr>
        <w:t>30</w:t>
      </w:r>
      <w:r>
        <w:rPr>
          <w:snapToGrid w:val="0"/>
        </w:rPr>
        <w:t>.</w:t>
      </w:r>
      <w:r>
        <w:rPr>
          <w:snapToGrid w:val="0"/>
        </w:rPr>
        <w:tab/>
        <w:t>Decision on objection</w:t>
      </w:r>
      <w:bookmarkEnd w:id="396"/>
      <w:bookmarkEnd w:id="397"/>
      <w:bookmarkEnd w:id="398"/>
      <w:bookmarkEnd w:id="399"/>
      <w:bookmarkEnd w:id="400"/>
    </w:p>
    <w:p>
      <w:pPr>
        <w:pStyle w:val="Subsection"/>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spacing w:before="120"/>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spacing w:before="120"/>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bookmarkStart w:id="401" w:name="_Toc88880170"/>
      <w:bookmarkStart w:id="402" w:name="_Toc89519617"/>
      <w:bookmarkStart w:id="403" w:name="_Toc90883466"/>
      <w:bookmarkStart w:id="404" w:name="_Toc92523263"/>
      <w:bookmarkStart w:id="405" w:name="_Toc101164352"/>
      <w:bookmarkStart w:id="406" w:name="_Toc101235888"/>
      <w:bookmarkStart w:id="407" w:name="_Toc103655101"/>
      <w:bookmarkStart w:id="408" w:name="_Toc122255611"/>
      <w:bookmarkStart w:id="409" w:name="_Toc122255712"/>
      <w:bookmarkStart w:id="410" w:name="_Toc157854334"/>
      <w:bookmarkStart w:id="411" w:name="_Toc196800999"/>
      <w:bookmarkStart w:id="412" w:name="_Toc202511444"/>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by No. 27 of 2009 s. 17.]</w:t>
      </w:r>
    </w:p>
    <w:p>
      <w:pPr>
        <w:pStyle w:val="Heading4"/>
        <w:spacing w:before="200"/>
      </w:pPr>
      <w:bookmarkStart w:id="413" w:name="_Toc246329303"/>
      <w:bookmarkStart w:id="414" w:name="_Toc246394370"/>
      <w:bookmarkStart w:id="415" w:name="_Toc246394471"/>
      <w:bookmarkStart w:id="416" w:name="_Toc249330944"/>
      <w:bookmarkStart w:id="417" w:name="_Toc265588792"/>
      <w:r>
        <w:rPr>
          <w:snapToGrid w:val="0"/>
        </w:rPr>
        <w:t xml:space="preserve">Subdivision 3 — </w:t>
      </w:r>
      <w:bookmarkEnd w:id="401"/>
      <w:bookmarkEnd w:id="402"/>
      <w:r>
        <w:t>Review</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spacing w:before="100"/>
      </w:pPr>
      <w:r>
        <w:tab/>
        <w:t>[Heading amended by No. 55 of 2004 s. 375.]</w:t>
      </w:r>
    </w:p>
    <w:p>
      <w:pPr>
        <w:pStyle w:val="Heading5"/>
        <w:spacing w:before="180"/>
      </w:pPr>
      <w:bookmarkStart w:id="418" w:name="_Toc103655102"/>
      <w:bookmarkStart w:id="419" w:name="_Toc265588793"/>
      <w:r>
        <w:rPr>
          <w:rStyle w:val="CharSectno"/>
        </w:rPr>
        <w:t>31</w:t>
      </w:r>
      <w:r>
        <w:t>.</w:t>
      </w:r>
      <w:r>
        <w:tab/>
        <w:t>Right of review</w:t>
      </w:r>
      <w:bookmarkEnd w:id="418"/>
      <w:bookmarkEnd w:id="419"/>
    </w:p>
    <w:p>
      <w:pPr>
        <w:pStyle w:val="Subsection"/>
        <w:spacing w:before="120"/>
      </w:pPr>
      <w:r>
        <w:tab/>
        <w:t>(1)</w:t>
      </w:r>
      <w:r>
        <w:tab/>
        <w:t>An objector who is dissatisfied with the Commissioner’s decision on the objection may apply to the State Administrative Tribunal for a review of the decision.</w:t>
      </w:r>
    </w:p>
    <w:p>
      <w:pPr>
        <w:pStyle w:val="Subsection"/>
      </w:pPr>
      <w:r>
        <w:tab/>
        <w:t>(2)</w:t>
      </w:r>
      <w:r>
        <w:tab/>
        <w:t>An application for review is to be made within 60 days after the date on which notice of the decision on the objection is given to the objector.</w:t>
      </w:r>
    </w:p>
    <w:p>
      <w:pPr>
        <w:pStyle w:val="Footnotesection"/>
      </w:pPr>
      <w:r>
        <w:tab/>
        <w:t>[Section 31 amended by No. 55 of 2004 s. 376.]</w:t>
      </w:r>
    </w:p>
    <w:p>
      <w:pPr>
        <w:pStyle w:val="Heading5"/>
      </w:pPr>
      <w:bookmarkStart w:id="420" w:name="_Toc245793463"/>
      <w:bookmarkStart w:id="421" w:name="_Toc246319971"/>
      <w:bookmarkStart w:id="422" w:name="_Toc265588794"/>
      <w:r>
        <w:rPr>
          <w:rStyle w:val="CharSectno"/>
        </w:rPr>
        <w:t>32</w:t>
      </w:r>
      <w:r>
        <w:t>.</w:t>
      </w:r>
      <w:r>
        <w:tab/>
        <w:t>Payment following determination of review</w:t>
      </w:r>
      <w:bookmarkEnd w:id="420"/>
      <w:bookmarkEnd w:id="421"/>
      <w:bookmarkEnd w:id="422"/>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by No. 27 of 2009 s. 18.]</w:t>
      </w:r>
    </w:p>
    <w:p>
      <w:pPr>
        <w:pStyle w:val="Footnoteheading"/>
      </w:pPr>
      <w:r>
        <w:tab/>
        <w:t>[Heading deleted by No. 55 of 2004 s. 378.]</w:t>
      </w:r>
    </w:p>
    <w:p>
      <w:pPr>
        <w:pStyle w:val="Ednotesection"/>
      </w:pPr>
      <w:r>
        <w:t>[</w:t>
      </w:r>
      <w:r>
        <w:rPr>
          <w:b/>
        </w:rPr>
        <w:t>33.</w:t>
      </w:r>
      <w:r>
        <w:tab/>
      </w:r>
      <w:r>
        <w:tab/>
        <w:t>Deleted by No. 55 of 2004 s. 379.]</w:t>
      </w:r>
    </w:p>
    <w:p>
      <w:pPr>
        <w:pStyle w:val="Heading2"/>
      </w:pPr>
      <w:bookmarkStart w:id="423" w:name="_Toc88880175"/>
      <w:bookmarkStart w:id="424" w:name="_Toc89519622"/>
      <w:bookmarkStart w:id="425" w:name="_Toc90883471"/>
      <w:bookmarkStart w:id="426" w:name="_Toc92523266"/>
      <w:bookmarkStart w:id="427" w:name="_Toc101164355"/>
      <w:bookmarkStart w:id="428" w:name="_Toc101235891"/>
      <w:bookmarkStart w:id="429" w:name="_Toc103655104"/>
      <w:bookmarkStart w:id="430" w:name="_Toc122255614"/>
      <w:bookmarkStart w:id="431" w:name="_Toc122255715"/>
      <w:bookmarkStart w:id="432" w:name="_Toc157854337"/>
      <w:bookmarkStart w:id="433" w:name="_Toc196801002"/>
      <w:bookmarkStart w:id="434" w:name="_Toc202511447"/>
      <w:bookmarkStart w:id="435" w:name="_Toc246329308"/>
      <w:bookmarkStart w:id="436" w:name="_Toc246394373"/>
      <w:bookmarkStart w:id="437" w:name="_Toc246394474"/>
      <w:bookmarkStart w:id="438" w:name="_Toc249330947"/>
      <w:bookmarkStart w:id="439" w:name="_Toc265588795"/>
      <w:r>
        <w:rPr>
          <w:rStyle w:val="CharPartNo"/>
        </w:rPr>
        <w:t>Part 3</w:t>
      </w:r>
      <w:r>
        <w:t xml:space="preserve"> — </w:t>
      </w:r>
      <w:r>
        <w:rPr>
          <w:rStyle w:val="CharPartText"/>
        </w:rPr>
        <w:t>Administration</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3"/>
      </w:pPr>
      <w:bookmarkStart w:id="440" w:name="_Toc88880176"/>
      <w:bookmarkStart w:id="441" w:name="_Toc89519623"/>
      <w:bookmarkStart w:id="442" w:name="_Toc90883472"/>
      <w:bookmarkStart w:id="443" w:name="_Toc92523267"/>
      <w:bookmarkStart w:id="444" w:name="_Toc101164356"/>
      <w:bookmarkStart w:id="445" w:name="_Toc101235892"/>
      <w:bookmarkStart w:id="446" w:name="_Toc103655105"/>
      <w:bookmarkStart w:id="447" w:name="_Toc122255615"/>
      <w:bookmarkStart w:id="448" w:name="_Toc122255716"/>
      <w:bookmarkStart w:id="449" w:name="_Toc157854338"/>
      <w:bookmarkStart w:id="450" w:name="_Toc196801003"/>
      <w:bookmarkStart w:id="451" w:name="_Toc202511448"/>
      <w:bookmarkStart w:id="452" w:name="_Toc246329309"/>
      <w:bookmarkStart w:id="453" w:name="_Toc246394374"/>
      <w:bookmarkStart w:id="454" w:name="_Toc246394475"/>
      <w:bookmarkStart w:id="455" w:name="_Toc249330948"/>
      <w:bookmarkStart w:id="456" w:name="_Toc265588796"/>
      <w:r>
        <w:rPr>
          <w:rStyle w:val="CharDivNo"/>
        </w:rPr>
        <w:t>Division 1</w:t>
      </w:r>
      <w:r>
        <w:t xml:space="preserve"> — </w:t>
      </w:r>
      <w:r>
        <w:rPr>
          <w:rStyle w:val="CharDivText"/>
        </w:rPr>
        <w:t>Administration generally</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pPr>
      <w:bookmarkStart w:id="457" w:name="_Toc265588797"/>
      <w:bookmarkStart w:id="458" w:name="_Toc479399660"/>
      <w:bookmarkStart w:id="459" w:name="_Toc35401848"/>
      <w:bookmarkStart w:id="460" w:name="_Toc103655107"/>
      <w:r>
        <w:rPr>
          <w:rStyle w:val="CharSectno"/>
        </w:rPr>
        <w:t>34</w:t>
      </w:r>
      <w:r>
        <w:t>.</w:t>
      </w:r>
      <w:r>
        <w:tab/>
        <w:t>Administration of Act</w:t>
      </w:r>
      <w:bookmarkEnd w:id="457"/>
    </w:p>
    <w:p>
      <w:pPr>
        <w:pStyle w:val="Subsection"/>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pPr>
      <w:bookmarkStart w:id="461" w:name="_Toc265588798"/>
      <w:r>
        <w:rPr>
          <w:rStyle w:val="CharSectno"/>
        </w:rPr>
        <w:t>35</w:t>
      </w:r>
      <w:r>
        <w:t>.</w:t>
      </w:r>
      <w:r>
        <w:tab/>
        <w:t>Delegation</w:t>
      </w:r>
      <w:bookmarkEnd w:id="458"/>
      <w:bookmarkEnd w:id="459"/>
      <w:bookmarkEnd w:id="460"/>
      <w:bookmarkEnd w:id="461"/>
    </w:p>
    <w:p>
      <w:pPr>
        <w:pStyle w:val="Subsection"/>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462" w:name="_Hlt477944963"/>
      <w:r>
        <w:t>37</w:t>
      </w:r>
      <w:bookmarkEnd w:id="462"/>
      <w:r>
        <w:t xml:space="preserve"> limits the ability of the Commissioner to act through the Commissioner’s officers and agents in the normal course of business.</w:t>
      </w:r>
    </w:p>
    <w:p>
      <w:pPr>
        <w:pStyle w:val="Heading5"/>
      </w:pPr>
      <w:bookmarkStart w:id="463" w:name="_Toc479399661"/>
      <w:bookmarkStart w:id="464" w:name="_Toc35401849"/>
      <w:bookmarkStart w:id="465" w:name="_Toc103655108"/>
      <w:bookmarkStart w:id="466" w:name="_Toc265588799"/>
      <w:r>
        <w:rPr>
          <w:rStyle w:val="CharSectno"/>
        </w:rPr>
        <w:t>36</w:t>
      </w:r>
      <w:r>
        <w:t>.</w:t>
      </w:r>
      <w:r>
        <w:tab/>
        <w:t>Authorised investigators</w:t>
      </w:r>
      <w:bookmarkEnd w:id="463"/>
      <w:bookmarkEnd w:id="464"/>
      <w:bookmarkEnd w:id="465"/>
      <w:bookmarkEnd w:id="466"/>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467" w:name="_Toc479399662"/>
      <w:bookmarkStart w:id="468" w:name="_Toc35401850"/>
      <w:bookmarkStart w:id="469" w:name="_Toc103655109"/>
      <w:bookmarkStart w:id="470" w:name="_Toc265588800"/>
      <w:r>
        <w:rPr>
          <w:rStyle w:val="CharSectno"/>
        </w:rPr>
        <w:t>37</w:t>
      </w:r>
      <w:r>
        <w:t>.</w:t>
      </w:r>
      <w:r>
        <w:tab/>
        <w:t>Administration agreements</w:t>
      </w:r>
      <w:bookmarkEnd w:id="467"/>
      <w:bookmarkEnd w:id="468"/>
      <w:bookmarkEnd w:id="469"/>
      <w:bookmarkEnd w:id="470"/>
    </w:p>
    <w:p>
      <w:pPr>
        <w:pStyle w:val="Subsection"/>
      </w:pPr>
      <w:r>
        <w:tab/>
        <w:t>(1)</w:t>
      </w:r>
      <w:r>
        <w:tab/>
        <w:t>Without limiting section </w:t>
      </w:r>
      <w:bookmarkStart w:id="471" w:name="_Hlt477944233"/>
      <w:r>
        <w:t>35</w:t>
      </w:r>
      <w:bookmarkEnd w:id="471"/>
      <w:r>
        <w:t xml:space="preserve">,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472" w:name="_Toc88880181"/>
      <w:bookmarkStart w:id="473" w:name="_Toc89519628"/>
      <w:bookmarkStart w:id="474" w:name="_Toc90883477"/>
      <w:bookmarkStart w:id="475" w:name="_Toc92523272"/>
      <w:bookmarkStart w:id="476" w:name="_Toc101164361"/>
      <w:bookmarkStart w:id="477" w:name="_Toc101235897"/>
      <w:bookmarkStart w:id="478" w:name="_Toc103655110"/>
      <w:bookmarkStart w:id="479" w:name="_Toc122255620"/>
      <w:bookmarkStart w:id="480" w:name="_Toc122255721"/>
      <w:bookmarkStart w:id="481" w:name="_Toc157854343"/>
      <w:bookmarkStart w:id="482" w:name="_Toc196801008"/>
      <w:bookmarkStart w:id="483" w:name="_Toc202511453"/>
      <w:bookmarkStart w:id="484" w:name="_Toc246329314"/>
      <w:bookmarkStart w:id="485" w:name="_Toc246394379"/>
      <w:bookmarkStart w:id="486" w:name="_Toc246394480"/>
      <w:bookmarkStart w:id="487" w:name="_Toc249330953"/>
      <w:bookmarkStart w:id="488" w:name="_Toc265588801"/>
      <w:r>
        <w:rPr>
          <w:rStyle w:val="CharDivNo"/>
        </w:rPr>
        <w:t>Division 2</w:t>
      </w:r>
      <w:r>
        <w:t xml:space="preserve"> — </w:t>
      </w:r>
      <w:r>
        <w:rPr>
          <w:rStyle w:val="CharDivText"/>
        </w:rPr>
        <w:t>Investigations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479399663"/>
      <w:bookmarkStart w:id="490" w:name="_Toc35401851"/>
      <w:bookmarkStart w:id="491" w:name="_Toc103655111"/>
      <w:bookmarkStart w:id="492" w:name="_Toc265588802"/>
      <w:r>
        <w:rPr>
          <w:rStyle w:val="CharSectno"/>
        </w:rPr>
        <w:t>38</w:t>
      </w:r>
      <w:r>
        <w:t>.</w:t>
      </w:r>
      <w:r>
        <w:tab/>
        <w:t>Investigations</w:t>
      </w:r>
      <w:bookmarkEnd w:id="489"/>
      <w:bookmarkEnd w:id="490"/>
      <w:bookmarkEnd w:id="491"/>
      <w:bookmarkEnd w:id="492"/>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493" w:name="_Toc479399664"/>
      <w:bookmarkStart w:id="494" w:name="_Toc35401852"/>
      <w:bookmarkStart w:id="495" w:name="_Toc103655112"/>
      <w:bookmarkStart w:id="496" w:name="_Toc265588803"/>
      <w:r>
        <w:rPr>
          <w:rStyle w:val="CharSectno"/>
        </w:rPr>
        <w:t>39</w:t>
      </w:r>
      <w:r>
        <w:rPr>
          <w:snapToGrid w:val="0"/>
        </w:rPr>
        <w:t>.</w:t>
      </w:r>
      <w:r>
        <w:rPr>
          <w:snapToGrid w:val="0"/>
        </w:rPr>
        <w:tab/>
        <w:t>Cross</w:t>
      </w:r>
      <w:r>
        <w:rPr>
          <w:snapToGrid w:val="0"/>
        </w:rPr>
        <w:noBreakHyphen/>
        <w:t>border investigations</w:t>
      </w:r>
      <w:bookmarkEnd w:id="493"/>
      <w:bookmarkEnd w:id="494"/>
      <w:bookmarkEnd w:id="495"/>
      <w:bookmarkEnd w:id="496"/>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497" w:name="_Toc479399665"/>
      <w:bookmarkStart w:id="498" w:name="_Toc35401853"/>
      <w:bookmarkStart w:id="499" w:name="_Toc103655113"/>
      <w:bookmarkStart w:id="500" w:name="_Toc265588804"/>
      <w:r>
        <w:rPr>
          <w:rStyle w:val="CharSectno"/>
        </w:rPr>
        <w:t>40</w:t>
      </w:r>
      <w:r>
        <w:rPr>
          <w:snapToGrid w:val="0"/>
        </w:rPr>
        <w:t>.</w:t>
      </w:r>
      <w:r>
        <w:rPr>
          <w:snapToGrid w:val="0"/>
        </w:rPr>
        <w:tab/>
        <w:t>Power of investigation</w:t>
      </w:r>
      <w:bookmarkEnd w:id="497"/>
      <w:bookmarkEnd w:id="498"/>
      <w:bookmarkEnd w:id="499"/>
      <w:bookmarkEnd w:id="500"/>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501" w:name="_Toc265588805"/>
      <w:bookmarkStart w:id="502" w:name="_Toc479399666"/>
      <w:bookmarkStart w:id="503" w:name="_Toc35401854"/>
      <w:bookmarkStart w:id="504" w:name="_Toc103655114"/>
      <w:r>
        <w:rPr>
          <w:rStyle w:val="CharSectno"/>
        </w:rPr>
        <w:t>41A.</w:t>
      </w:r>
      <w:r>
        <w:rPr>
          <w:rStyle w:val="CharSectno"/>
        </w:rPr>
        <w:tab/>
        <w:t>P</w:t>
      </w:r>
      <w:r>
        <w:t>ower to have valuation made</w:t>
      </w:r>
      <w:bookmarkEnd w:id="501"/>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by No. 27 of 2009 s. 13.]</w:t>
      </w:r>
    </w:p>
    <w:p>
      <w:pPr>
        <w:pStyle w:val="Heading5"/>
      </w:pPr>
      <w:bookmarkStart w:id="505" w:name="_Toc265588806"/>
      <w:r>
        <w:rPr>
          <w:rStyle w:val="CharSectno"/>
        </w:rPr>
        <w:t>41</w:t>
      </w:r>
      <w:r>
        <w:t>.</w:t>
      </w:r>
      <w:r>
        <w:tab/>
        <w:t>Power to require person to attend for examination</w:t>
      </w:r>
      <w:bookmarkEnd w:id="502"/>
      <w:bookmarkEnd w:id="503"/>
      <w:bookmarkEnd w:id="504"/>
      <w:bookmarkEnd w:id="505"/>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506" w:name="_Toc479399667"/>
      <w:bookmarkStart w:id="507" w:name="_Toc35401855"/>
      <w:bookmarkStart w:id="508" w:name="_Toc103655115"/>
      <w:bookmarkStart w:id="509" w:name="_Toc265588807"/>
      <w:r>
        <w:rPr>
          <w:rStyle w:val="CharSectno"/>
        </w:rPr>
        <w:t>42</w:t>
      </w:r>
      <w:r>
        <w:t>.</w:t>
      </w:r>
      <w:r>
        <w:tab/>
        <w:t>Entry of premises</w:t>
      </w:r>
      <w:bookmarkEnd w:id="506"/>
      <w:bookmarkEnd w:id="507"/>
      <w:bookmarkEnd w:id="508"/>
      <w:bookmarkEnd w:id="509"/>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510" w:name="_Toc479399668"/>
      <w:bookmarkStart w:id="511" w:name="_Toc35401856"/>
      <w:bookmarkStart w:id="512" w:name="_Toc103655116"/>
      <w:bookmarkStart w:id="513" w:name="_Toc265588808"/>
      <w:r>
        <w:rPr>
          <w:rStyle w:val="CharSectno"/>
        </w:rPr>
        <w:t>43</w:t>
      </w:r>
      <w:r>
        <w:t>.</w:t>
      </w:r>
      <w:r>
        <w:tab/>
        <w:t>Powers of authorised investigator on entry of premises</w:t>
      </w:r>
      <w:bookmarkEnd w:id="510"/>
      <w:bookmarkEnd w:id="511"/>
      <w:bookmarkEnd w:id="512"/>
      <w:bookmarkEnd w:id="513"/>
    </w:p>
    <w:p>
      <w:pPr>
        <w:pStyle w:val="Subsection"/>
        <w:keepNext/>
      </w:pPr>
      <w:r>
        <w:tab/>
        <w:t>(1)</w:t>
      </w:r>
      <w:r>
        <w:tab/>
        <w:t>An authorised investigator wh</w:t>
      </w:r>
      <w:bookmarkStart w:id="514" w:name="_Hlt477236643"/>
      <w:r>
        <w:t>o enters premises under section 42</w:t>
      </w:r>
      <w:bookmarkEnd w:id="514"/>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515" w:name="_Toc479399669"/>
      <w:bookmarkStart w:id="516" w:name="_Toc35401857"/>
      <w:bookmarkStart w:id="517" w:name="_Toc103655117"/>
      <w:bookmarkStart w:id="518" w:name="_Toc265588809"/>
      <w:r>
        <w:rPr>
          <w:rStyle w:val="CharSectno"/>
        </w:rPr>
        <w:t>44</w:t>
      </w:r>
      <w:r>
        <w:t>.</w:t>
      </w:r>
      <w:r>
        <w:tab/>
        <w:t>Warrants</w:t>
      </w:r>
      <w:bookmarkEnd w:id="515"/>
      <w:bookmarkEnd w:id="516"/>
      <w:bookmarkEnd w:id="517"/>
      <w:bookmarkEnd w:id="518"/>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519" w:name="_Toc479399670"/>
      <w:bookmarkStart w:id="520" w:name="_Toc35401858"/>
      <w:r>
        <w:tab/>
        <w:t>[Section 44 amended by No. 84 of 2004 s. 80.]</w:t>
      </w:r>
    </w:p>
    <w:p>
      <w:pPr>
        <w:pStyle w:val="Heading5"/>
      </w:pPr>
      <w:bookmarkStart w:id="521" w:name="_Toc103655118"/>
      <w:bookmarkStart w:id="522" w:name="_Toc265588810"/>
      <w:r>
        <w:rPr>
          <w:rStyle w:val="CharSectno"/>
        </w:rPr>
        <w:t>45</w:t>
      </w:r>
      <w:r>
        <w:t>.</w:t>
      </w:r>
      <w:r>
        <w:tab/>
        <w:t>Use of force</w:t>
      </w:r>
      <w:bookmarkEnd w:id="519"/>
      <w:bookmarkEnd w:id="520"/>
      <w:bookmarkEnd w:id="521"/>
      <w:bookmarkEnd w:id="522"/>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523" w:name="_Toc479399671"/>
      <w:bookmarkStart w:id="524" w:name="_Toc35401859"/>
      <w:bookmarkStart w:id="525" w:name="_Toc103655119"/>
      <w:bookmarkStart w:id="526" w:name="_Toc265588811"/>
      <w:r>
        <w:rPr>
          <w:rStyle w:val="CharSectno"/>
        </w:rPr>
        <w:t>46</w:t>
      </w:r>
      <w:r>
        <w:t>.</w:t>
      </w:r>
      <w:r>
        <w:tab/>
        <w:t>Self incrimination</w:t>
      </w:r>
      <w:bookmarkEnd w:id="523"/>
      <w:bookmarkEnd w:id="524"/>
      <w:bookmarkEnd w:id="525"/>
      <w:bookmarkEnd w:id="526"/>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527" w:name="_Toc88880191"/>
      <w:bookmarkStart w:id="528" w:name="_Toc89519638"/>
      <w:bookmarkStart w:id="529" w:name="_Toc90883487"/>
      <w:bookmarkStart w:id="530" w:name="_Toc92523282"/>
      <w:bookmarkStart w:id="531" w:name="_Toc101164371"/>
      <w:bookmarkStart w:id="532" w:name="_Toc101235907"/>
      <w:bookmarkStart w:id="533" w:name="_Toc103655120"/>
      <w:bookmarkStart w:id="534" w:name="_Toc122255630"/>
      <w:bookmarkStart w:id="535" w:name="_Toc122255731"/>
      <w:bookmarkStart w:id="536" w:name="_Toc157854353"/>
      <w:bookmarkStart w:id="537" w:name="_Toc196801018"/>
      <w:bookmarkStart w:id="538" w:name="_Toc202511463"/>
      <w:bookmarkStart w:id="539" w:name="_Toc246329324"/>
      <w:bookmarkStart w:id="540" w:name="_Toc246394389"/>
      <w:bookmarkStart w:id="541" w:name="_Toc246394490"/>
      <w:bookmarkStart w:id="542" w:name="_Toc249330964"/>
      <w:bookmarkStart w:id="543" w:name="_Toc265588812"/>
      <w:r>
        <w:rPr>
          <w:rStyle w:val="CharPartNo"/>
        </w:rPr>
        <w:t>Part 4</w:t>
      </w:r>
      <w:r>
        <w:t xml:space="preserve"> — </w:t>
      </w:r>
      <w:r>
        <w:rPr>
          <w:rStyle w:val="CharPartText"/>
        </w:rPr>
        <w:t>Miscellaneous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3"/>
      </w:pPr>
      <w:bookmarkStart w:id="544" w:name="_Toc88880192"/>
      <w:bookmarkStart w:id="545" w:name="_Toc89519639"/>
      <w:bookmarkStart w:id="546" w:name="_Toc90883488"/>
      <w:bookmarkStart w:id="547" w:name="_Toc92523283"/>
      <w:bookmarkStart w:id="548" w:name="_Toc101164372"/>
      <w:bookmarkStart w:id="549" w:name="_Toc101235908"/>
      <w:bookmarkStart w:id="550" w:name="_Toc103655121"/>
      <w:bookmarkStart w:id="551" w:name="_Toc122255631"/>
      <w:bookmarkStart w:id="552" w:name="_Toc122255732"/>
      <w:bookmarkStart w:id="553" w:name="_Toc157854354"/>
      <w:bookmarkStart w:id="554" w:name="_Toc196801019"/>
      <w:bookmarkStart w:id="555" w:name="_Toc202511464"/>
      <w:bookmarkStart w:id="556" w:name="_Toc246329325"/>
      <w:bookmarkStart w:id="557" w:name="_Toc246394390"/>
      <w:bookmarkStart w:id="558" w:name="_Toc246394491"/>
      <w:bookmarkStart w:id="559" w:name="_Toc249330965"/>
      <w:bookmarkStart w:id="560" w:name="_Toc265588813"/>
      <w:r>
        <w:rPr>
          <w:rStyle w:val="CharDivNo"/>
        </w:rPr>
        <w:t>Division 1</w:t>
      </w:r>
      <w:r>
        <w:t xml:space="preserve"> — </w:t>
      </w:r>
      <w:r>
        <w:rPr>
          <w:rStyle w:val="CharDivText"/>
        </w:rPr>
        <w:t>Offences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479399672"/>
      <w:bookmarkStart w:id="562" w:name="_Toc35401860"/>
      <w:bookmarkStart w:id="563" w:name="_Toc103655122"/>
      <w:bookmarkStart w:id="564" w:name="_Toc265588814"/>
      <w:r>
        <w:rPr>
          <w:rStyle w:val="CharSectno"/>
        </w:rPr>
        <w:t>47</w:t>
      </w:r>
      <w:r>
        <w:t>.</w:t>
      </w:r>
      <w:r>
        <w:tab/>
        <w:t>False or misleading information and documents</w:t>
      </w:r>
      <w:bookmarkEnd w:id="561"/>
      <w:bookmarkEnd w:id="562"/>
      <w:bookmarkEnd w:id="563"/>
      <w:bookmarkEnd w:id="564"/>
    </w:p>
    <w:p>
      <w:pPr>
        <w:pStyle w:val="Subsection"/>
        <w:spacing w:before="120"/>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pPr>
      <w:bookmarkStart w:id="565" w:name="_Toc479399673"/>
      <w:bookmarkStart w:id="566" w:name="_Toc35401861"/>
      <w:r>
        <w:tab/>
        <w:t>[Section 47 amended by No. 52 of 2004 s. 13.]</w:t>
      </w:r>
    </w:p>
    <w:p>
      <w:pPr>
        <w:pStyle w:val="Heading5"/>
      </w:pPr>
      <w:bookmarkStart w:id="567" w:name="_Toc103655123"/>
      <w:bookmarkStart w:id="568" w:name="_Toc265588815"/>
      <w:r>
        <w:rPr>
          <w:rStyle w:val="CharSectno"/>
        </w:rPr>
        <w:t>48</w:t>
      </w:r>
      <w:r>
        <w:t>.</w:t>
      </w:r>
      <w:r>
        <w:tab/>
        <w:t>Obstructing or misleading Commissioner or authorised investigator</w:t>
      </w:r>
      <w:bookmarkEnd w:id="565"/>
      <w:bookmarkEnd w:id="566"/>
      <w:bookmarkEnd w:id="567"/>
      <w:bookmarkEnd w:id="568"/>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569" w:name="_Toc88880195"/>
      <w:bookmarkStart w:id="570" w:name="_Toc89519642"/>
      <w:bookmarkStart w:id="571" w:name="_Toc90883491"/>
      <w:bookmarkStart w:id="572" w:name="_Toc92523286"/>
      <w:bookmarkStart w:id="573" w:name="_Toc101164375"/>
      <w:bookmarkStart w:id="574" w:name="_Toc101235911"/>
      <w:bookmarkStart w:id="575" w:name="_Toc103655124"/>
      <w:bookmarkStart w:id="576" w:name="_Toc122255634"/>
      <w:bookmarkStart w:id="577" w:name="_Toc122255735"/>
      <w:bookmarkStart w:id="578" w:name="_Toc157854357"/>
      <w:bookmarkStart w:id="579" w:name="_Toc196801022"/>
      <w:bookmarkStart w:id="580" w:name="_Toc202511467"/>
      <w:bookmarkStart w:id="581" w:name="_Toc246329328"/>
      <w:bookmarkStart w:id="582" w:name="_Toc246394393"/>
      <w:bookmarkStart w:id="583" w:name="_Toc246394494"/>
      <w:bookmarkStart w:id="584" w:name="_Toc249330968"/>
      <w:bookmarkStart w:id="585" w:name="_Toc265588816"/>
      <w:r>
        <w:rPr>
          <w:rStyle w:val="CharDivNo"/>
        </w:rPr>
        <w:t>Division 2</w:t>
      </w:r>
      <w:r>
        <w:t xml:space="preserve"> — </w:t>
      </w:r>
      <w:r>
        <w:rPr>
          <w:rStyle w:val="CharDivText"/>
        </w:rPr>
        <w:t>Evidentiary provisions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pPr>
      <w:bookmarkStart w:id="586" w:name="_Toc479399674"/>
      <w:bookmarkStart w:id="587" w:name="_Toc35401862"/>
      <w:bookmarkStart w:id="588" w:name="_Toc103655125"/>
      <w:bookmarkStart w:id="589" w:name="_Toc265588817"/>
      <w:r>
        <w:rPr>
          <w:rStyle w:val="CharSectno"/>
        </w:rPr>
        <w:t>49</w:t>
      </w:r>
      <w:r>
        <w:t>.</w:t>
      </w:r>
      <w:r>
        <w:tab/>
        <w:t>Evidence</w:t>
      </w:r>
      <w:bookmarkEnd w:id="586"/>
      <w:bookmarkEnd w:id="587"/>
      <w:bookmarkEnd w:id="588"/>
      <w:bookmarkEnd w:id="589"/>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590" w:name="_Toc479399675"/>
      <w:bookmarkStart w:id="591" w:name="_Toc35401863"/>
      <w:bookmarkStart w:id="592" w:name="_Toc103655126"/>
      <w:bookmarkStart w:id="593" w:name="_Toc265588818"/>
      <w:r>
        <w:rPr>
          <w:rStyle w:val="CharSectno"/>
        </w:rPr>
        <w:t>50</w:t>
      </w:r>
      <w:r>
        <w:t>.</w:t>
      </w:r>
      <w:r>
        <w:tab/>
        <w:t>Presumption of regularity</w:t>
      </w:r>
      <w:bookmarkEnd w:id="590"/>
      <w:bookmarkEnd w:id="591"/>
      <w:bookmarkEnd w:id="592"/>
      <w:bookmarkEnd w:id="593"/>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594" w:name="_Toc88880198"/>
      <w:bookmarkStart w:id="595" w:name="_Toc89519645"/>
      <w:bookmarkStart w:id="596" w:name="_Toc90883494"/>
      <w:bookmarkStart w:id="597" w:name="_Toc92523289"/>
      <w:bookmarkStart w:id="598" w:name="_Toc101164378"/>
      <w:bookmarkStart w:id="599" w:name="_Toc101235914"/>
      <w:bookmarkStart w:id="600" w:name="_Toc103655127"/>
      <w:bookmarkStart w:id="601" w:name="_Toc122255637"/>
      <w:bookmarkStart w:id="602" w:name="_Toc122255738"/>
      <w:bookmarkStart w:id="603" w:name="_Toc157854360"/>
      <w:bookmarkStart w:id="604" w:name="_Toc196801025"/>
      <w:bookmarkStart w:id="605" w:name="_Toc202511470"/>
      <w:bookmarkStart w:id="606" w:name="_Toc246329331"/>
      <w:bookmarkStart w:id="607" w:name="_Toc246394396"/>
      <w:bookmarkStart w:id="608" w:name="_Toc246394497"/>
      <w:bookmarkStart w:id="609" w:name="_Toc249330971"/>
      <w:bookmarkStart w:id="610" w:name="_Toc265588819"/>
      <w:r>
        <w:rPr>
          <w:rStyle w:val="CharDivNo"/>
        </w:rPr>
        <w:t>Division 3</w:t>
      </w:r>
      <w:r>
        <w:t xml:space="preserve"> — </w:t>
      </w:r>
      <w:r>
        <w:rPr>
          <w:rStyle w:val="CharDivText"/>
        </w:rPr>
        <w:t>Repayments and penalties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pPr>
      <w:bookmarkStart w:id="611" w:name="_Toc479399676"/>
      <w:bookmarkStart w:id="612" w:name="_Toc35401864"/>
      <w:bookmarkStart w:id="613" w:name="_Toc103655128"/>
      <w:bookmarkStart w:id="614" w:name="_Toc265588820"/>
      <w:r>
        <w:rPr>
          <w:rStyle w:val="CharSectno"/>
        </w:rPr>
        <w:t>51</w:t>
      </w:r>
      <w:r>
        <w:t>.</w:t>
      </w:r>
      <w:r>
        <w:tab/>
        <w:t>Commissioner may require repayment and impose penalty</w:t>
      </w:r>
      <w:bookmarkEnd w:id="611"/>
      <w:bookmarkEnd w:id="612"/>
      <w:bookmarkEnd w:id="613"/>
      <w:bookmarkEnd w:id="614"/>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615" w:name="_Toc479399677"/>
      <w:bookmarkStart w:id="616" w:name="_Toc35401865"/>
      <w:bookmarkStart w:id="617" w:name="_Toc103655129"/>
      <w:bookmarkStart w:id="618" w:name="_Toc265588821"/>
      <w:r>
        <w:rPr>
          <w:rStyle w:val="CharSectno"/>
        </w:rPr>
        <w:t>52</w:t>
      </w:r>
      <w:r>
        <w:t>.</w:t>
      </w:r>
      <w:r>
        <w:tab/>
        <w:t>Arrangements for instalments and extensions of time</w:t>
      </w:r>
      <w:bookmarkEnd w:id="615"/>
      <w:bookmarkEnd w:id="616"/>
      <w:bookmarkEnd w:id="617"/>
      <w:bookmarkEnd w:id="618"/>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18, 21 or 51 (a </w:t>
      </w:r>
      <w:r>
        <w:rPr>
          <w:rStyle w:val="CharDefText"/>
        </w:rPr>
        <w:t>required repayment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 No. 27 of 2009 s. 14.]</w:t>
      </w:r>
    </w:p>
    <w:p>
      <w:pPr>
        <w:pStyle w:val="Heading5"/>
      </w:pPr>
      <w:bookmarkStart w:id="619" w:name="_Toc479399678"/>
      <w:bookmarkStart w:id="620" w:name="_Toc35401866"/>
      <w:bookmarkStart w:id="621" w:name="_Toc103655130"/>
      <w:bookmarkStart w:id="622" w:name="_Toc265588822"/>
      <w:r>
        <w:rPr>
          <w:rStyle w:val="CharSectno"/>
        </w:rPr>
        <w:t>53</w:t>
      </w:r>
      <w:r>
        <w:t>.</w:t>
      </w:r>
      <w:r>
        <w:tab/>
        <w:t>Recovery of certain amounts</w:t>
      </w:r>
      <w:bookmarkEnd w:id="619"/>
      <w:bookmarkEnd w:id="620"/>
      <w:bookmarkEnd w:id="621"/>
      <w:bookmarkEnd w:id="622"/>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623" w:name="_Toc479399679"/>
      <w:bookmarkStart w:id="624" w:name="_Toc35401867"/>
      <w:bookmarkStart w:id="625" w:name="_Toc103655131"/>
      <w:bookmarkStart w:id="626" w:name="_Toc265588823"/>
      <w:r>
        <w:rPr>
          <w:rStyle w:val="CharSectno"/>
        </w:rPr>
        <w:t>54</w:t>
      </w:r>
      <w:r>
        <w:t>.</w:t>
      </w:r>
      <w:r>
        <w:tab/>
        <w:t>Writing off liability</w:t>
      </w:r>
      <w:bookmarkEnd w:id="623"/>
      <w:bookmarkEnd w:id="624"/>
      <w:bookmarkEnd w:id="625"/>
      <w:bookmarkEnd w:id="626"/>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 17.]</w:t>
      </w:r>
    </w:p>
    <w:p>
      <w:pPr>
        <w:pStyle w:val="Heading3"/>
      </w:pPr>
      <w:bookmarkStart w:id="627" w:name="_Toc88880203"/>
      <w:bookmarkStart w:id="628" w:name="_Toc89519650"/>
      <w:bookmarkStart w:id="629" w:name="_Toc90883499"/>
      <w:bookmarkStart w:id="630" w:name="_Toc92523294"/>
      <w:bookmarkStart w:id="631" w:name="_Toc101164383"/>
      <w:bookmarkStart w:id="632" w:name="_Toc101235919"/>
      <w:bookmarkStart w:id="633" w:name="_Toc103655132"/>
      <w:bookmarkStart w:id="634" w:name="_Toc122255642"/>
      <w:bookmarkStart w:id="635" w:name="_Toc122255743"/>
      <w:bookmarkStart w:id="636" w:name="_Toc157854365"/>
      <w:bookmarkStart w:id="637" w:name="_Toc196801030"/>
      <w:bookmarkStart w:id="638" w:name="_Toc202511475"/>
      <w:bookmarkStart w:id="639" w:name="_Toc246329336"/>
      <w:bookmarkStart w:id="640" w:name="_Toc246394401"/>
      <w:bookmarkStart w:id="641" w:name="_Toc246394502"/>
      <w:bookmarkStart w:id="642" w:name="_Toc249330976"/>
      <w:bookmarkStart w:id="643" w:name="_Toc265588824"/>
      <w:r>
        <w:rPr>
          <w:rStyle w:val="CharDivNo"/>
        </w:rPr>
        <w:t>Division 4</w:t>
      </w:r>
      <w:r>
        <w:t xml:space="preserve"> — </w:t>
      </w:r>
      <w:r>
        <w:rPr>
          <w:rStyle w:val="CharDivText"/>
        </w:rPr>
        <w:t>Charge on interest in home</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pPr>
      <w:bookmarkStart w:id="644" w:name="_Toc479399680"/>
      <w:bookmarkStart w:id="645" w:name="_Toc35401868"/>
      <w:bookmarkStart w:id="646" w:name="_Toc103655133"/>
      <w:bookmarkStart w:id="647" w:name="_Toc265588825"/>
      <w:r>
        <w:rPr>
          <w:rStyle w:val="CharSectno"/>
        </w:rPr>
        <w:t>55</w:t>
      </w:r>
      <w:r>
        <w:t>.</w:t>
      </w:r>
      <w:r>
        <w:tab/>
        <w:t>Lodgement of memorial and creation of charge</w:t>
      </w:r>
      <w:bookmarkEnd w:id="644"/>
      <w:bookmarkEnd w:id="645"/>
      <w:bookmarkEnd w:id="646"/>
      <w:bookmarkEnd w:id="647"/>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by No. 27 of 2009 s. 19.]</w:t>
      </w:r>
    </w:p>
    <w:p>
      <w:pPr>
        <w:pStyle w:val="Heading5"/>
      </w:pPr>
      <w:bookmarkStart w:id="648" w:name="_Toc479399681"/>
      <w:bookmarkStart w:id="649" w:name="_Toc35401869"/>
      <w:bookmarkStart w:id="650" w:name="_Toc103655134"/>
      <w:bookmarkStart w:id="651" w:name="_Toc265588826"/>
      <w:r>
        <w:rPr>
          <w:rStyle w:val="CharSectno"/>
        </w:rPr>
        <w:t>56</w:t>
      </w:r>
      <w:r>
        <w:t>.</w:t>
      </w:r>
      <w:r>
        <w:tab/>
        <w:t>Priority of charge</w:t>
      </w:r>
      <w:bookmarkEnd w:id="648"/>
      <w:bookmarkEnd w:id="649"/>
      <w:bookmarkEnd w:id="650"/>
      <w:bookmarkEnd w:id="651"/>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652" w:name="_Toc479399682"/>
      <w:bookmarkStart w:id="653" w:name="_Toc35401870"/>
      <w:bookmarkStart w:id="654" w:name="_Toc103655135"/>
      <w:bookmarkStart w:id="655" w:name="_Toc265588827"/>
      <w:r>
        <w:rPr>
          <w:rStyle w:val="CharSectno"/>
        </w:rPr>
        <w:t>57</w:t>
      </w:r>
      <w:r>
        <w:t>.</w:t>
      </w:r>
      <w:r>
        <w:tab/>
        <w:t>Release of relevant interest from charge</w:t>
      </w:r>
      <w:bookmarkEnd w:id="652"/>
      <w:bookmarkEnd w:id="653"/>
      <w:bookmarkEnd w:id="654"/>
      <w:bookmarkEnd w:id="655"/>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656" w:name="_Toc479399683"/>
      <w:bookmarkStart w:id="657" w:name="_Toc35401871"/>
      <w:bookmarkStart w:id="658" w:name="_Toc103655136"/>
      <w:bookmarkStart w:id="659" w:name="_Toc265588828"/>
      <w:r>
        <w:rPr>
          <w:rStyle w:val="CharSectno"/>
        </w:rPr>
        <w:t>58</w:t>
      </w:r>
      <w:r>
        <w:t>.</w:t>
      </w:r>
      <w:r>
        <w:tab/>
        <w:t>Order for sale of relevant interest</w:t>
      </w:r>
      <w:bookmarkEnd w:id="656"/>
      <w:bookmarkEnd w:id="657"/>
      <w:bookmarkEnd w:id="658"/>
      <w:bookmarkEnd w:id="659"/>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660" w:name="_Toc479399684"/>
      <w:bookmarkStart w:id="661" w:name="_Toc35401872"/>
      <w:bookmarkStart w:id="662" w:name="_Toc103655137"/>
      <w:bookmarkStart w:id="663" w:name="_Toc265588829"/>
      <w:r>
        <w:rPr>
          <w:rStyle w:val="CharSectno"/>
        </w:rPr>
        <w:t>59</w:t>
      </w:r>
      <w:r>
        <w:t>.</w:t>
      </w:r>
      <w:r>
        <w:tab/>
        <w:t>Charge not to limit other means of enforcing payment</w:t>
      </w:r>
      <w:bookmarkEnd w:id="660"/>
      <w:bookmarkEnd w:id="661"/>
      <w:bookmarkEnd w:id="662"/>
      <w:bookmarkEnd w:id="663"/>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664" w:name="_Toc479399685"/>
      <w:bookmarkStart w:id="665" w:name="_Toc35401873"/>
      <w:bookmarkStart w:id="666" w:name="_Toc103655138"/>
      <w:bookmarkStart w:id="667" w:name="_Toc265588830"/>
      <w:r>
        <w:rPr>
          <w:rStyle w:val="CharSectno"/>
        </w:rPr>
        <w:t>60</w:t>
      </w:r>
      <w:r>
        <w:t>.</w:t>
      </w:r>
      <w:r>
        <w:tab/>
        <w:t>Commissioner may require fees to be reimbursed</w:t>
      </w:r>
      <w:bookmarkEnd w:id="664"/>
      <w:bookmarkEnd w:id="665"/>
      <w:bookmarkEnd w:id="666"/>
      <w:bookmarkEnd w:id="667"/>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668" w:name="_Toc88880210"/>
      <w:bookmarkStart w:id="669" w:name="_Toc89519657"/>
      <w:bookmarkStart w:id="670" w:name="_Toc90883506"/>
      <w:bookmarkStart w:id="671" w:name="_Toc92523301"/>
      <w:bookmarkStart w:id="672" w:name="_Toc101164390"/>
      <w:bookmarkStart w:id="673" w:name="_Toc101235926"/>
      <w:bookmarkStart w:id="674" w:name="_Toc103655139"/>
      <w:bookmarkStart w:id="675" w:name="_Toc122255649"/>
      <w:bookmarkStart w:id="676" w:name="_Toc122255750"/>
      <w:bookmarkStart w:id="677" w:name="_Toc157854372"/>
      <w:bookmarkStart w:id="678" w:name="_Toc196801037"/>
      <w:bookmarkStart w:id="679" w:name="_Toc202511482"/>
      <w:bookmarkStart w:id="680" w:name="_Toc246329343"/>
      <w:bookmarkStart w:id="681" w:name="_Toc246394408"/>
      <w:bookmarkStart w:id="682" w:name="_Toc246394509"/>
      <w:bookmarkStart w:id="683" w:name="_Toc249330983"/>
      <w:bookmarkStart w:id="684" w:name="_Toc265588831"/>
      <w:r>
        <w:rPr>
          <w:rStyle w:val="CharDivNo"/>
        </w:rPr>
        <w:t>Division 5</w:t>
      </w:r>
      <w:r>
        <w:t xml:space="preserve"> — </w:t>
      </w:r>
      <w:r>
        <w:rPr>
          <w:rStyle w:val="CharDivText"/>
        </w:rPr>
        <w:t>Service of documents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5"/>
      </w:pPr>
      <w:bookmarkStart w:id="685" w:name="_Toc479399686"/>
      <w:bookmarkStart w:id="686" w:name="_Toc35401874"/>
      <w:bookmarkStart w:id="687" w:name="_Toc103655140"/>
      <w:bookmarkStart w:id="688" w:name="_Toc265588832"/>
      <w:r>
        <w:rPr>
          <w:rStyle w:val="CharSectno"/>
        </w:rPr>
        <w:t>61</w:t>
      </w:r>
      <w:r>
        <w:t>.</w:t>
      </w:r>
      <w:r>
        <w:tab/>
        <w:t>Service on joint applicants or agent or representative</w:t>
      </w:r>
      <w:bookmarkEnd w:id="685"/>
      <w:bookmarkEnd w:id="686"/>
      <w:bookmarkEnd w:id="687"/>
      <w:bookmarkEnd w:id="688"/>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689" w:name="_Toc465565650"/>
      <w:bookmarkStart w:id="690" w:name="_Toc479399687"/>
      <w:bookmarkStart w:id="691" w:name="_Toc35401875"/>
      <w:bookmarkStart w:id="692" w:name="_Toc103655141"/>
      <w:bookmarkStart w:id="693" w:name="_Toc265588833"/>
      <w:r>
        <w:rPr>
          <w:rStyle w:val="CharSectno"/>
        </w:rPr>
        <w:t>62</w:t>
      </w:r>
      <w:r>
        <w:t>.</w:t>
      </w:r>
      <w:r>
        <w:tab/>
        <w:t>Method of service by Commissioner</w:t>
      </w:r>
      <w:bookmarkEnd w:id="689"/>
      <w:bookmarkEnd w:id="690"/>
      <w:bookmarkEnd w:id="691"/>
      <w:bookmarkEnd w:id="692"/>
      <w:bookmarkEnd w:id="693"/>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the notice or document is sent by post to an address outside Australia — a further 10 business days are to be allowed.</w:t>
      </w:r>
    </w:p>
    <w:p>
      <w:pPr>
        <w:pStyle w:val="Heading5"/>
      </w:pPr>
      <w:bookmarkStart w:id="694" w:name="_Toc465565651"/>
      <w:bookmarkStart w:id="695" w:name="_Toc479399688"/>
      <w:bookmarkStart w:id="696" w:name="_Toc35401876"/>
      <w:bookmarkStart w:id="697" w:name="_Toc103655142"/>
      <w:bookmarkStart w:id="698" w:name="_Toc265588834"/>
      <w:r>
        <w:rPr>
          <w:rStyle w:val="CharSectno"/>
        </w:rPr>
        <w:t>63</w:t>
      </w:r>
      <w:r>
        <w:t>.</w:t>
      </w:r>
      <w:r>
        <w:tab/>
        <w:t>Service of court process</w:t>
      </w:r>
      <w:bookmarkEnd w:id="694"/>
      <w:bookmarkEnd w:id="695"/>
      <w:bookmarkEnd w:id="696"/>
      <w:bookmarkEnd w:id="697"/>
      <w:bookmarkEnd w:id="698"/>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699" w:name="_Toc465565652"/>
      <w:bookmarkStart w:id="700" w:name="_Toc479399689"/>
      <w:bookmarkStart w:id="701" w:name="_Toc35401877"/>
      <w:bookmarkStart w:id="702" w:name="_Toc103655143"/>
      <w:bookmarkStart w:id="703" w:name="_Toc265588835"/>
      <w:r>
        <w:rPr>
          <w:rStyle w:val="CharSectno"/>
        </w:rPr>
        <w:t>64</w:t>
      </w:r>
      <w:r>
        <w:t>.</w:t>
      </w:r>
      <w:r>
        <w:tab/>
      </w:r>
      <w:bookmarkEnd w:id="699"/>
      <w:r>
        <w:t>Other enactments not limited</w:t>
      </w:r>
      <w:bookmarkEnd w:id="700"/>
      <w:bookmarkEnd w:id="701"/>
      <w:bookmarkEnd w:id="702"/>
      <w:bookmarkEnd w:id="703"/>
    </w:p>
    <w:p>
      <w:pPr>
        <w:pStyle w:val="Subsection"/>
      </w:pPr>
      <w:r>
        <w:tab/>
      </w:r>
      <w:r>
        <w:tab/>
        <w:t>This Division does not limit any other enactment that provides for the service of documents.</w:t>
      </w:r>
    </w:p>
    <w:p>
      <w:pPr>
        <w:pStyle w:val="Heading3"/>
      </w:pPr>
      <w:bookmarkStart w:id="704" w:name="_Toc88880215"/>
      <w:bookmarkStart w:id="705" w:name="_Toc89519662"/>
      <w:bookmarkStart w:id="706" w:name="_Toc90883511"/>
      <w:bookmarkStart w:id="707" w:name="_Toc92523306"/>
      <w:bookmarkStart w:id="708" w:name="_Toc101164395"/>
      <w:bookmarkStart w:id="709" w:name="_Toc101235931"/>
      <w:bookmarkStart w:id="710" w:name="_Toc103655144"/>
      <w:bookmarkStart w:id="711" w:name="_Toc122255654"/>
      <w:bookmarkStart w:id="712" w:name="_Toc122255755"/>
      <w:bookmarkStart w:id="713" w:name="_Toc157854377"/>
      <w:bookmarkStart w:id="714" w:name="_Toc196801042"/>
      <w:bookmarkStart w:id="715" w:name="_Toc202511487"/>
      <w:bookmarkStart w:id="716" w:name="_Toc246329348"/>
      <w:bookmarkStart w:id="717" w:name="_Toc246394413"/>
      <w:bookmarkStart w:id="718" w:name="_Toc246394514"/>
      <w:bookmarkStart w:id="719" w:name="_Toc249330988"/>
      <w:bookmarkStart w:id="720" w:name="_Toc265588836"/>
      <w:r>
        <w:rPr>
          <w:rStyle w:val="CharDivNo"/>
        </w:rPr>
        <w:t>Division 6</w:t>
      </w:r>
      <w:r>
        <w:t xml:space="preserve"> — </w:t>
      </w:r>
      <w:r>
        <w:rPr>
          <w:rStyle w:val="CharDivText"/>
        </w:rPr>
        <w:t>General</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5"/>
      </w:pPr>
      <w:bookmarkStart w:id="721" w:name="_Toc479399690"/>
      <w:bookmarkStart w:id="722" w:name="_Toc35401878"/>
      <w:bookmarkStart w:id="723" w:name="_Toc103655145"/>
      <w:bookmarkStart w:id="724" w:name="_Toc265588837"/>
      <w:r>
        <w:rPr>
          <w:rStyle w:val="CharSectno"/>
        </w:rPr>
        <w:t>65</w:t>
      </w:r>
      <w:r>
        <w:t>.</w:t>
      </w:r>
      <w:r>
        <w:tab/>
        <w:t>Confidentiality</w:t>
      </w:r>
      <w:bookmarkEnd w:id="721"/>
      <w:bookmarkEnd w:id="722"/>
      <w:bookmarkEnd w:id="723"/>
      <w:bookmarkEnd w:id="724"/>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 No. 17 of 2010 s. 19.]</w:t>
      </w:r>
    </w:p>
    <w:p>
      <w:pPr>
        <w:pStyle w:val="Heading5"/>
      </w:pPr>
      <w:bookmarkStart w:id="725" w:name="_Toc479399691"/>
      <w:bookmarkStart w:id="726" w:name="_Toc35401879"/>
      <w:bookmarkStart w:id="727" w:name="_Toc103655146"/>
      <w:bookmarkStart w:id="728" w:name="_Toc265588838"/>
      <w:r>
        <w:rPr>
          <w:rStyle w:val="CharSectno"/>
        </w:rPr>
        <w:t>66</w:t>
      </w:r>
      <w:r>
        <w:t>.</w:t>
      </w:r>
      <w:r>
        <w:tab/>
        <w:t>Time for commencing prosecutions</w:t>
      </w:r>
      <w:bookmarkEnd w:id="725"/>
      <w:bookmarkEnd w:id="726"/>
      <w:bookmarkEnd w:id="727"/>
      <w:bookmarkEnd w:id="728"/>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729" w:name="_Toc479399692"/>
      <w:bookmarkStart w:id="730" w:name="_Toc35401880"/>
      <w:bookmarkStart w:id="731" w:name="_Toc103655147"/>
      <w:bookmarkStart w:id="732" w:name="_Toc265588839"/>
      <w:r>
        <w:rPr>
          <w:rStyle w:val="CharSectno"/>
        </w:rPr>
        <w:t>67</w:t>
      </w:r>
      <w:r>
        <w:t>.</w:t>
      </w:r>
      <w:r>
        <w:tab/>
        <w:t>Protection from liability for wrongdoing</w:t>
      </w:r>
      <w:bookmarkEnd w:id="729"/>
      <w:bookmarkEnd w:id="730"/>
      <w:bookmarkEnd w:id="731"/>
      <w:bookmarkEnd w:id="732"/>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733" w:name="_Toc479399693"/>
      <w:bookmarkStart w:id="734" w:name="_Toc35401881"/>
      <w:bookmarkStart w:id="735" w:name="_Toc103655148"/>
      <w:bookmarkStart w:id="736" w:name="_Toc265588840"/>
      <w:r>
        <w:rPr>
          <w:rStyle w:val="CharSectno"/>
        </w:rPr>
        <w:t>68</w:t>
      </w:r>
      <w:r>
        <w:t>.</w:t>
      </w:r>
      <w:r>
        <w:tab/>
        <w:t xml:space="preserve">Appropriation of </w:t>
      </w:r>
      <w:bookmarkEnd w:id="733"/>
      <w:bookmarkEnd w:id="734"/>
      <w:bookmarkEnd w:id="735"/>
      <w:r>
        <w:rPr>
          <w:snapToGrid w:val="0"/>
        </w:rPr>
        <w:t>Consolidated Account</w:t>
      </w:r>
      <w:bookmarkEnd w:id="736"/>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737" w:name="_Toc479399694"/>
      <w:bookmarkStart w:id="738" w:name="_Toc35401882"/>
      <w:bookmarkStart w:id="739" w:name="_Toc103655149"/>
      <w:bookmarkStart w:id="740" w:name="_Toc265588841"/>
      <w:r>
        <w:rPr>
          <w:rStyle w:val="CharSectno"/>
        </w:rPr>
        <w:t>69</w:t>
      </w:r>
      <w:r>
        <w:t>.</w:t>
      </w:r>
      <w:r>
        <w:tab/>
        <w:t>Regulations</w:t>
      </w:r>
      <w:bookmarkEnd w:id="737"/>
      <w:bookmarkEnd w:id="738"/>
      <w:bookmarkEnd w:id="739"/>
      <w:bookmarkEnd w:id="74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741" w:name="_Toc479399695"/>
      <w:bookmarkStart w:id="742" w:name="_Toc35401883"/>
      <w:bookmarkStart w:id="743" w:name="_Toc103655150"/>
      <w:bookmarkStart w:id="744" w:name="_Toc265588842"/>
      <w:r>
        <w:rPr>
          <w:rStyle w:val="CharSectno"/>
        </w:rPr>
        <w:t>70</w:t>
      </w:r>
      <w:r>
        <w:t>.</w:t>
      </w:r>
      <w:r>
        <w:tab/>
        <w:t>Review of Act</w:t>
      </w:r>
      <w:bookmarkEnd w:id="741"/>
      <w:bookmarkEnd w:id="742"/>
      <w:bookmarkEnd w:id="743"/>
      <w:bookmarkEnd w:id="744"/>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745" w:name="_Toc88880222"/>
      <w:bookmarkStart w:id="746" w:name="_Toc89519669"/>
      <w:bookmarkStart w:id="747" w:name="_Toc90883518"/>
      <w:bookmarkStart w:id="748" w:name="_Toc92523313"/>
      <w:bookmarkStart w:id="749" w:name="_Toc101164402"/>
      <w:bookmarkStart w:id="750" w:name="_Toc101235938"/>
      <w:bookmarkStart w:id="751" w:name="_Toc103655151"/>
      <w:bookmarkStart w:id="752" w:name="_Toc122255661"/>
      <w:bookmarkStart w:id="753" w:name="_Toc122255762"/>
      <w:bookmarkStart w:id="754" w:name="_Toc157854384"/>
      <w:bookmarkStart w:id="755" w:name="_Toc196801049"/>
      <w:bookmarkStart w:id="756" w:name="_Toc202511494"/>
      <w:bookmarkStart w:id="757" w:name="_Toc246329355"/>
      <w:bookmarkStart w:id="758" w:name="_Toc246394420"/>
      <w:bookmarkStart w:id="759" w:name="_Toc246394521"/>
      <w:bookmarkStart w:id="760" w:name="_Toc249330995"/>
      <w:bookmarkStart w:id="761" w:name="_Toc265588843"/>
      <w:r>
        <w:t>Notes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Act 2000</w:t>
      </w:r>
      <w:r>
        <w:rPr>
          <w:snapToGrid w:val="0"/>
        </w:rPr>
        <w:t xml:space="preserve"> and includes the amendments made by the other written laws referred to in the following table </w:t>
      </w:r>
      <w:r>
        <w:rPr>
          <w:rFonts w:ascii="Times" w:hAnsi="Times"/>
          <w:snapToGrid w:val="0"/>
          <w:vertAlign w:val="superscript"/>
        </w:rPr>
        <w:t>6</w:t>
      </w:r>
      <w:r>
        <w:rPr>
          <w:snapToGrid w:val="0"/>
        </w:rPr>
        <w:t>.  The table also contains information about any reprint.</w:t>
      </w:r>
    </w:p>
    <w:p>
      <w:pPr>
        <w:pStyle w:val="nHeading3"/>
      </w:pPr>
      <w:bookmarkStart w:id="762" w:name="_Toc103655152"/>
      <w:bookmarkStart w:id="763" w:name="_Toc265588844"/>
      <w:r>
        <w:t>Compilation table</w:t>
      </w:r>
      <w:bookmarkEnd w:id="762"/>
      <w:bookmarkEnd w:id="763"/>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 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t>balance: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 s. 2(3));</w:t>
            </w:r>
            <w:r>
              <w:rPr>
                <w:sz w:val="19"/>
              </w:rPr>
              <w:br/>
              <w:t>s. 5 (except s. 5(5)) and 6: 9 Oct 2001 (see s. 2(2));</w:t>
            </w:r>
            <w:r>
              <w:rPr>
                <w:sz w:val="19"/>
              </w:rPr>
              <w:br/>
              <w:t>balance: 17 Apr 2003 (see 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 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(includes amendments listed above)</w:t>
            </w:r>
          </w:p>
        </w:tc>
      </w:tr>
      <w:tr>
        <w:trPr>
          <w:cantSplit/>
        </w:trPr>
        <w:tc>
          <w:tcPr>
            <w:tcW w:w="2308" w:type="dxa"/>
          </w:tcPr>
          <w:p>
            <w:pPr>
              <w:pStyle w:val="nTable"/>
              <w:spacing w:after="40"/>
              <w:rPr>
                <w:sz w:val="19"/>
              </w:rPr>
            </w:pPr>
            <w:r>
              <w:rPr>
                <w:i/>
                <w:iCs/>
                <w:sz w:val="19"/>
              </w:rPr>
              <w:t>First Home Owner Grant Amendment Act 2005</w:t>
            </w:r>
            <w:r>
              <w:rPr>
                <w:sz w:val="19"/>
              </w:rPr>
              <w:t xml:space="preserve"> </w:t>
            </w:r>
            <w:r>
              <w:rPr>
                <w:sz w:val="19"/>
                <w:vertAlign w:val="superscript"/>
              </w:rPr>
              <w:t>7</w:t>
            </w:r>
          </w:p>
        </w:tc>
        <w:tc>
          <w:tcPr>
            <w:tcW w:w="1200" w:type="dxa"/>
          </w:tcPr>
          <w:p>
            <w:pPr>
              <w:pStyle w:val="nTable"/>
              <w:spacing w:after="40"/>
              <w:rPr>
                <w:sz w:val="19"/>
              </w:rPr>
            </w:pPr>
            <w:r>
              <w:rPr>
                <w:sz w:val="19"/>
              </w:rPr>
              <w:t>26 of 2005</w:t>
            </w:r>
          </w:p>
        </w:tc>
        <w:tc>
          <w:tcPr>
            <w:tcW w:w="1200" w:type="dxa"/>
          </w:tcPr>
          <w:p>
            <w:pPr>
              <w:pStyle w:val="nTable"/>
              <w:spacing w:after="40"/>
              <w:rPr>
                <w:sz w:val="19"/>
              </w:rPr>
            </w:pPr>
            <w:r>
              <w:rPr>
                <w:sz w:val="19"/>
              </w:rPr>
              <w:t>12 Dec 2005</w:t>
            </w:r>
          </w:p>
        </w:tc>
        <w:tc>
          <w:tcPr>
            <w:tcW w:w="2379" w:type="dxa"/>
          </w:tcPr>
          <w:p>
            <w:pPr>
              <w:pStyle w:val="nTable"/>
              <w:spacing w:after="40"/>
              <w:rPr>
                <w:sz w:val="19"/>
              </w:rPr>
            </w:pPr>
            <w:r>
              <w:rPr>
                <w:sz w:val="19"/>
              </w:rPr>
              <w:t>Act other than s. 4: 12 Dec 2005 (see s. 2(1));</w:t>
            </w:r>
          </w:p>
          <w:p>
            <w:pPr>
              <w:pStyle w:val="nTable"/>
              <w:spacing w:after="40"/>
              <w:rPr>
                <w:sz w:val="19"/>
              </w:rPr>
            </w:pPr>
            <w:r>
              <w:rPr>
                <w:sz w:val="19"/>
              </w:rPr>
              <w:t>s. 4: 1 Jul 2000 (see s. 2(2))</w:t>
            </w:r>
          </w:p>
        </w:tc>
      </w:tr>
      <w:tr>
        <w:trPr>
          <w:cantSplit/>
        </w:trPr>
        <w:tc>
          <w:tcPr>
            <w:tcW w:w="2308" w:type="dxa"/>
          </w:tcPr>
          <w:p>
            <w:pPr>
              <w:pStyle w:val="nTable"/>
              <w:spacing w:after="40"/>
              <w:rPr>
                <w:i/>
                <w:iCs/>
                <w:sz w:val="19"/>
              </w:rPr>
            </w:pPr>
            <w:r>
              <w:rPr>
                <w:i/>
                <w:snapToGrid w:val="0"/>
                <w:sz w:val="19"/>
                <w:lang w:val="en-US"/>
              </w:rPr>
              <w:t xml:space="preserve">Financial Legislation Amendment and Repeal Act 2006 </w:t>
            </w:r>
            <w:r>
              <w:rPr>
                <w:iCs/>
                <w:snapToGrid w:val="0"/>
                <w:sz w:val="19"/>
                <w:lang w:val="en-US"/>
              </w:rPr>
              <w:t>s. 4, 5(1) and 17</w:t>
            </w:r>
          </w:p>
        </w:tc>
        <w:tc>
          <w:tcPr>
            <w:tcW w:w="1200" w:type="dxa"/>
          </w:tcPr>
          <w:p>
            <w:pPr>
              <w:pStyle w:val="nTable"/>
              <w:spacing w:after="40"/>
              <w:rPr>
                <w:sz w:val="19"/>
              </w:rPr>
            </w:pPr>
            <w:r>
              <w:rPr>
                <w:snapToGrid w:val="0"/>
                <w:sz w:val="19"/>
                <w:lang w:val="en-US"/>
              </w:rPr>
              <w:t xml:space="preserve">77 of 2006 </w:t>
            </w:r>
          </w:p>
        </w:tc>
        <w:tc>
          <w:tcPr>
            <w:tcW w:w="1200" w:type="dxa"/>
          </w:tcPr>
          <w:p>
            <w:pPr>
              <w:pStyle w:val="nTable"/>
              <w:spacing w:after="40"/>
              <w:rPr>
                <w:sz w:val="19"/>
              </w:rPr>
            </w:pPr>
            <w:r>
              <w:rPr>
                <w:snapToGrid w:val="0"/>
                <w:sz w:val="19"/>
                <w:lang w:val="en-US"/>
              </w:rPr>
              <w:t>21 Dec 2006</w:t>
            </w:r>
          </w:p>
        </w:tc>
        <w:tc>
          <w:tcPr>
            <w:tcW w:w="2379"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308"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33</w:t>
            </w:r>
          </w:p>
        </w:tc>
        <w:tc>
          <w:tcPr>
            <w:tcW w:w="1200" w:type="dxa"/>
          </w:tcPr>
          <w:p>
            <w:pPr>
              <w:pStyle w:val="nTable"/>
              <w:spacing w:after="40"/>
              <w:rPr>
                <w:snapToGrid w:val="0"/>
                <w:sz w:val="19"/>
                <w:lang w:val="en-US"/>
              </w:rPr>
            </w:pPr>
            <w:r>
              <w:rPr>
                <w:snapToGrid w:val="0"/>
                <w:sz w:val="19"/>
                <w:lang w:val="en-US"/>
              </w:rPr>
              <w:t>31 of 2008</w:t>
            </w:r>
          </w:p>
        </w:tc>
        <w:tc>
          <w:tcPr>
            <w:tcW w:w="1200" w:type="dxa"/>
          </w:tcPr>
          <w:p>
            <w:pPr>
              <w:pStyle w:val="nTable"/>
              <w:spacing w:after="40"/>
              <w:rPr>
                <w:snapToGrid w:val="0"/>
                <w:sz w:val="19"/>
                <w:lang w:val="en-US"/>
              </w:rPr>
            </w:pPr>
            <w:r>
              <w:rPr>
                <w:snapToGrid w:val="0"/>
                <w:sz w:val="19"/>
                <w:lang w:val="en-US"/>
              </w:rPr>
              <w:t>27 Jun 2008</w:t>
            </w:r>
          </w:p>
        </w:tc>
        <w:tc>
          <w:tcPr>
            <w:tcW w:w="2379" w:type="dxa"/>
          </w:tcPr>
          <w:p>
            <w:pPr>
              <w:pStyle w:val="nTable"/>
              <w:spacing w:after="40"/>
              <w:rPr>
                <w:snapToGrid w:val="0"/>
                <w:sz w:val="19"/>
                <w:lang w:val="en-US"/>
              </w:rPr>
            </w:pPr>
            <w:r>
              <w:rPr>
                <w:snapToGrid w:val="0"/>
                <w:sz w:val="19"/>
                <w:lang w:val="en-US"/>
              </w:rPr>
              <w:t>28 Jun 2008 (see s. 2(b))</w:t>
            </w:r>
          </w:p>
        </w:tc>
      </w:tr>
      <w:tr>
        <w:trPr>
          <w:cantSplit/>
        </w:trPr>
        <w:tc>
          <w:tcPr>
            <w:tcW w:w="2308" w:type="dxa"/>
          </w:tcPr>
          <w:p>
            <w:pPr>
              <w:pStyle w:val="nTable"/>
              <w:spacing w:after="40"/>
              <w:rPr>
                <w:i/>
                <w:snapToGrid w:val="0"/>
                <w:sz w:val="19"/>
                <w:lang w:val="en-US"/>
              </w:rPr>
            </w:pPr>
            <w:r>
              <w:rPr>
                <w:i/>
                <w:snapToGrid w:val="0"/>
                <w:sz w:val="19"/>
                <w:lang w:val="en-US"/>
              </w:rPr>
              <w:t>First Home Owner Grant Amendment Act 2009</w:t>
            </w:r>
            <w:r>
              <w:rPr>
                <w:snapToGrid w:val="0"/>
                <w:sz w:val="19"/>
                <w:lang w:val="en-US"/>
              </w:rPr>
              <w:t xml:space="preserve"> </w:t>
            </w:r>
          </w:p>
        </w:tc>
        <w:tc>
          <w:tcPr>
            <w:tcW w:w="1200" w:type="dxa"/>
          </w:tcPr>
          <w:p>
            <w:pPr>
              <w:pStyle w:val="nTable"/>
              <w:spacing w:after="40"/>
              <w:rPr>
                <w:snapToGrid w:val="0"/>
                <w:sz w:val="19"/>
                <w:lang w:val="en-US"/>
              </w:rPr>
            </w:pPr>
            <w:r>
              <w:rPr>
                <w:snapToGrid w:val="0"/>
                <w:sz w:val="19"/>
                <w:lang w:val="en-US"/>
              </w:rPr>
              <w:t>27 of 2009</w:t>
            </w:r>
          </w:p>
        </w:tc>
        <w:tc>
          <w:tcPr>
            <w:tcW w:w="1200" w:type="dxa"/>
          </w:tcPr>
          <w:p>
            <w:pPr>
              <w:pStyle w:val="nTable"/>
              <w:spacing w:after="40"/>
              <w:rPr>
                <w:snapToGrid w:val="0"/>
                <w:sz w:val="19"/>
                <w:lang w:val="en-US"/>
              </w:rPr>
            </w:pPr>
            <w:r>
              <w:rPr>
                <w:sz w:val="19"/>
              </w:rPr>
              <w:t>17 Nov 2009</w:t>
            </w:r>
          </w:p>
        </w:tc>
        <w:tc>
          <w:tcPr>
            <w:tcW w:w="2379" w:type="dxa"/>
          </w:tcPr>
          <w:p>
            <w:pPr>
              <w:pStyle w:val="nTable"/>
              <w:spacing w:after="40"/>
              <w:rPr>
                <w:snapToGrid w:val="0"/>
                <w:sz w:val="19"/>
                <w:lang w:val="en-US"/>
              </w:rPr>
            </w:pPr>
            <w:r>
              <w:rPr>
                <w:snapToGrid w:val="0"/>
                <w:sz w:val="19"/>
                <w:lang w:val="en-US"/>
              </w:rPr>
              <w:t>s. 3 and Pt. 2: 14 Oct 2008 (see s. 2(b));</w:t>
            </w:r>
            <w:r>
              <w:rPr>
                <w:snapToGrid w:val="0"/>
                <w:sz w:val="19"/>
                <w:lang w:val="en-US"/>
              </w:rPr>
              <w:br/>
              <w:t>s. 1 and 2: 17 Nov 2009 (see s. 2(a));</w:t>
            </w:r>
            <w:r>
              <w:rPr>
                <w:snapToGrid w:val="0"/>
                <w:sz w:val="19"/>
                <w:lang w:val="en-US"/>
              </w:rPr>
              <w:br/>
              <w:t>Pt. 4: 18 Nov 2009 (see s. 2(d));</w:t>
            </w:r>
            <w:r>
              <w:rPr>
                <w:snapToGrid w:val="0"/>
                <w:sz w:val="19"/>
                <w:lang w:val="en-US"/>
              </w:rPr>
              <w:br/>
              <w:t xml:space="preserve">Pt. 3: 1 Jan 2010 (see s. 2(c) and </w:t>
            </w:r>
            <w:r>
              <w:rPr>
                <w:i/>
                <w:iCs/>
                <w:snapToGrid w:val="0"/>
                <w:sz w:val="19"/>
                <w:lang w:val="en-US"/>
              </w:rPr>
              <w:t>Gazette</w:t>
            </w:r>
            <w:r>
              <w:rPr>
                <w:snapToGrid w:val="0"/>
                <w:sz w:val="19"/>
                <w:lang w:val="en-US"/>
              </w:rPr>
              <w:t xml:space="preserve"> 22 Dec 2009 p. 5253)</w:t>
            </w:r>
          </w:p>
        </w:tc>
      </w:tr>
      <w:tr>
        <w:trPr>
          <w:cantSplit/>
        </w:trPr>
        <w:tc>
          <w:tcPr>
            <w:tcW w:w="2308" w:type="dxa"/>
            <w:tcBorders>
              <w:bottom w:val="single" w:sz="4" w:space="0" w:color="auto"/>
            </w:tcBorders>
          </w:tcPr>
          <w:p>
            <w:pPr>
              <w:pStyle w:val="nTable"/>
              <w:spacing w:after="40"/>
              <w:rPr>
                <w:iCs/>
                <w:snapToGrid w:val="0"/>
                <w:sz w:val="19"/>
                <w:lang w:val="en-US"/>
              </w:rPr>
            </w:pPr>
            <w:r>
              <w:rPr>
                <w:i/>
                <w:snapToGrid w:val="0"/>
                <w:sz w:val="19"/>
                <w:lang w:val="en-US"/>
              </w:rPr>
              <w:t>Revenue Laws Amendment and Repeal Act 2010</w:t>
            </w:r>
            <w:r>
              <w:rPr>
                <w:iCs/>
                <w:snapToGrid w:val="0"/>
                <w:sz w:val="19"/>
                <w:lang w:val="en-US"/>
              </w:rPr>
              <w:t xml:space="preserve"> Pt. 3</w:t>
            </w:r>
          </w:p>
        </w:tc>
        <w:tc>
          <w:tcPr>
            <w:tcW w:w="1200" w:type="dxa"/>
            <w:tcBorders>
              <w:bottom w:val="single" w:sz="4" w:space="0" w:color="auto"/>
            </w:tcBorders>
          </w:tcPr>
          <w:p>
            <w:pPr>
              <w:pStyle w:val="nTable"/>
              <w:spacing w:after="40"/>
              <w:rPr>
                <w:snapToGrid w:val="0"/>
                <w:sz w:val="19"/>
                <w:lang w:val="en-US"/>
              </w:rPr>
            </w:pPr>
            <w:r>
              <w:rPr>
                <w:snapToGrid w:val="0"/>
                <w:sz w:val="19"/>
                <w:lang w:val="en-US"/>
              </w:rPr>
              <w:t>17 of 2010</w:t>
            </w:r>
          </w:p>
        </w:tc>
        <w:tc>
          <w:tcPr>
            <w:tcW w:w="1200" w:type="dxa"/>
            <w:tcBorders>
              <w:bottom w:val="single" w:sz="4" w:space="0" w:color="auto"/>
            </w:tcBorders>
          </w:tcPr>
          <w:p>
            <w:pPr>
              <w:pStyle w:val="nTable"/>
              <w:spacing w:after="40"/>
              <w:rPr>
                <w:sz w:val="19"/>
              </w:rPr>
            </w:pPr>
            <w:r>
              <w:rPr>
                <w:sz w:val="19"/>
              </w:rPr>
              <w:t>25 Jun 2010</w:t>
            </w:r>
          </w:p>
        </w:tc>
        <w:tc>
          <w:tcPr>
            <w:tcW w:w="2379" w:type="dxa"/>
            <w:tcBorders>
              <w:bottom w:val="single" w:sz="4" w:space="0" w:color="auto"/>
            </w:tcBorders>
          </w:tcPr>
          <w:p>
            <w:pPr>
              <w:pStyle w:val="nTable"/>
              <w:spacing w:after="40"/>
              <w:rPr>
                <w:snapToGrid w:val="0"/>
                <w:sz w:val="19"/>
                <w:lang w:val="en-US"/>
              </w:rPr>
            </w:pPr>
            <w:r>
              <w:rPr>
                <w:snapToGrid w:val="0"/>
                <w:sz w:val="19"/>
                <w:lang w:val="en-US"/>
              </w:rPr>
              <w:t>26 Jun 2010 (see s. 2(b))</w:t>
            </w:r>
          </w:p>
        </w:tc>
      </w:tr>
    </w:tbl>
    <w:p>
      <w:pPr>
        <w:pStyle w:val="nSubsection"/>
        <w:spacing w:before="120"/>
        <w:rPr>
          <w:i/>
        </w:rPr>
      </w:pPr>
      <w:bookmarkStart w:id="764" w:name="UpToHere"/>
      <w:bookmarkEnd w:id="764"/>
      <w:r>
        <w:rPr>
          <w:vertAlign w:val="superscript"/>
        </w:rPr>
        <w:t>2</w:t>
      </w:r>
      <w:r>
        <w:tab/>
        <w:t xml:space="preserve">The </w:t>
      </w:r>
      <w:r>
        <w:rPr>
          <w:i/>
        </w:rPr>
        <w:t>First Home Owner Grant Amendment Act 2001</w:t>
      </w:r>
      <w:r>
        <w:t xml:space="preserve"> s. 7</w:t>
      </w:r>
      <w:r>
        <w:rPr>
          <w:i/>
        </w:rPr>
        <w:t xml:space="preserve"> </w:t>
      </w:r>
      <w:r>
        <w:t>reads as follows:</w:t>
      </w:r>
    </w:p>
    <w:p>
      <w:pPr>
        <w:pStyle w:val="MiscOpen"/>
      </w:pPr>
      <w:r>
        <w:t>“</w:t>
      </w:r>
    </w:p>
    <w:p>
      <w:pPr>
        <w:pStyle w:val="nzHeading5"/>
      </w:pPr>
      <w:bookmarkStart w:id="765" w:name="_Toc516566117"/>
      <w:r>
        <w:rPr>
          <w:rStyle w:val="CharSectno"/>
        </w:rPr>
        <w:t>7</w:t>
      </w:r>
      <w:r>
        <w:t>.</w:t>
      </w:r>
      <w:r>
        <w:tab/>
        <w:t>Saving of right to object</w:t>
      </w:r>
      <w:bookmarkEnd w:id="765"/>
    </w:p>
    <w:p>
      <w:pPr>
        <w:pStyle w:val="nzSubsection"/>
      </w:pPr>
      <w:r>
        <w:tab/>
        <w:t>(1)</w:t>
      </w:r>
      <w:r>
        <w:tab/>
        <w:t xml:space="preserve">Section 28 of the </w:t>
      </w:r>
      <w:r>
        <w:rPr>
          <w:i/>
        </w:rPr>
        <w:t>First Home Owner Grant Act 2000</w:t>
      </w:r>
      <w:r>
        <w:t xml:space="preserve"> applies in relation to an application for a first home owner grant for an eligible transaction that is a special eligible transaction as if subsection (1) of that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2001</w:t>
      </w:r>
      <w:r>
        <w:t xml:space="preserve"> received the Royal Assent.</w:t>
      </w:r>
    </w:p>
    <w:p>
      <w:pPr>
        <w:pStyle w:val="MiscClose"/>
        <w:ind w:right="376"/>
      </w:pPr>
      <w:r>
        <w:t xml:space="preserve">    ”.</w:t>
      </w:r>
    </w:p>
    <w:p>
      <w:pPr>
        <w:pStyle w:val="nzSubsection"/>
      </w:pPr>
      <w:r>
        <w:tab/>
        <w:t>(2)</w:t>
      </w:r>
      <w:r>
        <w:tab/>
        <w:t xml:space="preserve">In subsection (1) — </w:t>
      </w:r>
    </w:p>
    <w:p>
      <w:pPr>
        <w:pStyle w:val="nzDefstart"/>
      </w:pPr>
      <w:r>
        <w:tab/>
      </w:r>
      <w:r>
        <w:rPr>
          <w:rStyle w:val="CharDefText"/>
        </w:rPr>
        <w:t>eligible transaction</w:t>
      </w:r>
      <w:r>
        <w:t xml:space="preserve">, </w:t>
      </w:r>
      <w:r>
        <w:rPr>
          <w:rStyle w:val="CharDefText"/>
        </w:rPr>
        <w:t>first home owner grant</w:t>
      </w:r>
      <w:r>
        <w:t xml:space="preserve"> and </w:t>
      </w:r>
      <w:r>
        <w:rPr>
          <w:rStyle w:val="CharDefText"/>
        </w:rPr>
        <w:t>special eligible transaction</w:t>
      </w:r>
      <w:r>
        <w:rPr>
          <w:b/>
        </w:rPr>
        <w:t xml:space="preserve"> </w:t>
      </w:r>
      <w:r>
        <w:t xml:space="preserve">each has the same meaning as it has in the </w:t>
      </w:r>
      <w:r>
        <w:rPr>
          <w:i/>
        </w:rPr>
        <w:t>First Home Owner Grant Act 2000</w:t>
      </w:r>
      <w:r>
        <w:t>, as amended by this Act.</w:t>
      </w:r>
    </w:p>
    <w:p>
      <w:pPr>
        <w:pStyle w:val="MiscClose"/>
      </w:pPr>
      <w:r>
        <w:t>”.</w:t>
      </w:r>
    </w:p>
    <w:p>
      <w:pPr>
        <w:pStyle w:val="nSubsection"/>
        <w:keepNext/>
        <w:keepLines/>
      </w:pPr>
      <w:r>
        <w:rPr>
          <w:vertAlign w:val="superscript"/>
        </w:rPr>
        <w:t>3</w:t>
      </w:r>
      <w:r>
        <w:tab/>
        <w:t xml:space="preserve">The </w:t>
      </w:r>
      <w:r>
        <w:rPr>
          <w:i/>
        </w:rPr>
        <w:t>First Home Owner Grant Amendment Act 2003</w:t>
      </w:r>
      <w:r>
        <w:t xml:space="preserve"> s. 10 reads as follows:</w:t>
      </w:r>
    </w:p>
    <w:p>
      <w:pPr>
        <w:pStyle w:val="MiscOpen"/>
      </w:pPr>
      <w:r>
        <w:t>“</w:t>
      </w:r>
    </w:p>
    <w:p>
      <w:pPr>
        <w:pStyle w:val="nzHeading5"/>
      </w:pPr>
      <w:bookmarkStart w:id="766" w:name="_Toc37572436"/>
      <w:r>
        <w:rPr>
          <w:rStyle w:val="CharSectno"/>
        </w:rPr>
        <w:t>10</w:t>
      </w:r>
      <w:r>
        <w:t>.</w:t>
      </w:r>
      <w:r>
        <w:tab/>
        <w:t>Saving of right to object</w:t>
      </w:r>
      <w:bookmarkEnd w:id="766"/>
    </w:p>
    <w:p>
      <w:pPr>
        <w:pStyle w:val="nzSubsection"/>
      </w:pPr>
      <w:r>
        <w:tab/>
        <w:t>(1)</w:t>
      </w:r>
      <w:r>
        <w:tab/>
        <w:t xml:space="preserve">Section 28 (the </w:t>
      </w:r>
      <w:r>
        <w:rPr>
          <w:rStyle w:val="CharDefText"/>
        </w:rPr>
        <w:t>relevant section</w:t>
      </w:r>
      <w:r>
        <w:t xml:space="preserve">) of the </w:t>
      </w:r>
      <w:r>
        <w:rPr>
          <w:i/>
        </w:rPr>
        <w:t>First Home Owner Grant Act 2000</w:t>
      </w:r>
      <w:r>
        <w:t xml:space="preserve"> applies in relation to an application for a first home owner grant for an eligible transaction that is — </w:t>
      </w:r>
    </w:p>
    <w:p>
      <w:pPr>
        <w:pStyle w:val="nzIndenta"/>
      </w:pPr>
      <w:r>
        <w:tab/>
        <w:t>(a)</w:t>
      </w:r>
      <w:r>
        <w:tab/>
        <w:t>a class 1 eligible transaction, but only to the extent that the objection referred to in the relevant section relates to a date referred to in section 14B(5)(a) of that Act;</w:t>
      </w:r>
    </w:p>
    <w:p>
      <w:pPr>
        <w:pStyle w:val="nzIndenta"/>
      </w:pPr>
      <w:r>
        <w:tab/>
        <w:t>(b)</w:t>
      </w:r>
      <w:r>
        <w:tab/>
        <w:t xml:space="preserve">a class 2 eligible transaction, but only to the extent that the objection referred to in the relevant section relates to — </w:t>
      </w:r>
    </w:p>
    <w:p>
      <w:pPr>
        <w:pStyle w:val="nzIndenti"/>
      </w:pPr>
      <w:r>
        <w:tab/>
        <w:t>(i)</w:t>
      </w:r>
      <w:r>
        <w:tab/>
        <w:t>a period referred to in section 14B(1a)(b) of that Act; or</w:t>
      </w:r>
    </w:p>
    <w:p>
      <w:pPr>
        <w:pStyle w:val="nzIndenti"/>
      </w:pPr>
      <w:r>
        <w:tab/>
        <w:t>(ii)</w:t>
      </w:r>
      <w:r>
        <w:tab/>
        <w:t>a date referred to in section 14B(5)(a) of that Act;</w:t>
      </w:r>
    </w:p>
    <w:p>
      <w:pPr>
        <w:pStyle w:val="nzIndenta"/>
      </w:pPr>
      <w:r>
        <w:tab/>
      </w:r>
      <w:r>
        <w:tab/>
        <w:t>or</w:t>
      </w:r>
    </w:p>
    <w:p>
      <w:pPr>
        <w:pStyle w:val="nzIndenta"/>
      </w:pPr>
      <w:r>
        <w:tab/>
        <w:t>(c)</w:t>
      </w:r>
      <w:r>
        <w:tab/>
        <w:t>a class 3 eligible transaction,</w:t>
      </w:r>
    </w:p>
    <w:p>
      <w:pPr>
        <w:pStyle w:val="nzSubsection"/>
      </w:pPr>
      <w:r>
        <w:tab/>
      </w:r>
      <w:r>
        <w:tab/>
        <w:t xml:space="preserve">as if subsection (1) of the relevant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2003</w:t>
      </w:r>
      <w:r>
        <w:t xml:space="preserve"> received the Royal Assent.</w:t>
      </w:r>
    </w:p>
    <w:p>
      <w:pPr>
        <w:pStyle w:val="MiscClose"/>
        <w:ind w:right="256"/>
      </w:pPr>
      <w:r>
        <w:t xml:space="preserve">    ”.</w:t>
      </w:r>
    </w:p>
    <w:p>
      <w:pPr>
        <w:pStyle w:val="nzSubsection"/>
      </w:pPr>
      <w:r>
        <w:tab/>
        <w:t>(2)</w:t>
      </w:r>
      <w:r>
        <w:tab/>
        <w:t xml:space="preserve">In subsection (1) — </w:t>
      </w:r>
    </w:p>
    <w:p>
      <w:pPr>
        <w:pStyle w:val="nzDefstart"/>
      </w:pPr>
      <w:r>
        <w:tab/>
      </w:r>
      <w:r>
        <w:rPr>
          <w:rStyle w:val="CharDefText"/>
        </w:rPr>
        <w:t>class 1 eligible transaction</w:t>
      </w:r>
      <w:r>
        <w:t xml:space="preserve">, </w:t>
      </w:r>
      <w:r>
        <w:rPr>
          <w:rStyle w:val="CharDefText"/>
        </w:rPr>
        <w:t>class 2 eligible transaction</w:t>
      </w:r>
      <w:r>
        <w:t xml:space="preserve">, </w:t>
      </w:r>
      <w:r>
        <w:rPr>
          <w:rStyle w:val="CharDefText"/>
        </w:rPr>
        <w:t>class 3 eligible transaction</w:t>
      </w:r>
      <w:r>
        <w:t xml:space="preserve">, </w:t>
      </w:r>
      <w:r>
        <w:rPr>
          <w:rStyle w:val="CharDefText"/>
        </w:rPr>
        <w:t>eligible transaction</w:t>
      </w:r>
      <w:r>
        <w:t xml:space="preserve"> and</w:t>
      </w:r>
      <w:r>
        <w:rPr>
          <w:b/>
        </w:rPr>
        <w:t xml:space="preserve"> </w:t>
      </w:r>
      <w:r>
        <w:t xml:space="preserve"> </w:t>
      </w:r>
      <w:r>
        <w:rPr>
          <w:rStyle w:val="CharDefText"/>
        </w:rPr>
        <w:t>first home owner grant</w:t>
      </w:r>
      <w:r>
        <w:rPr>
          <w:b/>
        </w:rPr>
        <w:t xml:space="preserve"> </w:t>
      </w:r>
      <w:r>
        <w:t xml:space="preserve">each has the same meaning as it has in the </w:t>
      </w:r>
      <w:r>
        <w:rPr>
          <w:i/>
        </w:rPr>
        <w:t>First Home Owner Grant Act 2000</w:t>
      </w:r>
      <w:r>
        <w:t>;</w:t>
      </w:r>
    </w:p>
    <w:p>
      <w:pPr>
        <w:pStyle w:val="nzDefstart"/>
      </w:pPr>
      <w:r>
        <w:tab/>
      </w:r>
      <w:r>
        <w:rPr>
          <w:rStyle w:val="CharDefText"/>
        </w:rPr>
        <w:t>First Home Owner Grant Act 2000</w:t>
      </w:r>
      <w:r>
        <w:t xml:space="preserve"> means that Act as amended by this Act.</w:t>
      </w:r>
    </w:p>
    <w:p>
      <w:pPr>
        <w:pStyle w:val="MiscClose"/>
      </w:pPr>
      <w:r>
        <w:t>”.</w:t>
      </w:r>
    </w:p>
    <w:p>
      <w:pPr>
        <w:pStyle w:val="nSubsection"/>
        <w:keepNext/>
      </w:pPr>
      <w:r>
        <w:rPr>
          <w:vertAlign w:val="superscript"/>
        </w:rPr>
        <w:t>4</w:t>
      </w:r>
      <w:r>
        <w:tab/>
        <w:t xml:space="preserve">The </w:t>
      </w:r>
      <w:r>
        <w:rPr>
          <w:i/>
        </w:rPr>
        <w:t>First Home Owner Grant Amendment Act 2004</w:t>
      </w:r>
      <w:r>
        <w:t xml:space="preserve"> Pt. 3 reads as follows:</w:t>
      </w:r>
    </w:p>
    <w:p>
      <w:pPr>
        <w:pStyle w:val="MiscOpen"/>
      </w:pPr>
      <w:r>
        <w:t>“</w:t>
      </w:r>
    </w:p>
    <w:p>
      <w:pPr>
        <w:pStyle w:val="nzHeading2"/>
      </w:pPr>
      <w:bookmarkStart w:id="767" w:name="_Toc72739703"/>
      <w:bookmarkStart w:id="768" w:name="_Toc72740279"/>
      <w:bookmarkStart w:id="769" w:name="_Toc73361696"/>
      <w:bookmarkStart w:id="770" w:name="_Toc73362080"/>
      <w:bookmarkStart w:id="771" w:name="_Toc73412968"/>
      <w:bookmarkStart w:id="772" w:name="_Toc73435222"/>
      <w:bookmarkStart w:id="773" w:name="_Toc73437775"/>
      <w:bookmarkStart w:id="774" w:name="_Toc73437869"/>
      <w:bookmarkStart w:id="775" w:name="_Toc73438965"/>
      <w:bookmarkStart w:id="776" w:name="_Toc73440425"/>
      <w:bookmarkStart w:id="777" w:name="_Toc73441628"/>
      <w:bookmarkStart w:id="778" w:name="_Toc73446345"/>
      <w:bookmarkStart w:id="779" w:name="_Toc73933442"/>
      <w:bookmarkStart w:id="780" w:name="_Toc73933634"/>
      <w:bookmarkStart w:id="781" w:name="_Toc73938664"/>
      <w:bookmarkStart w:id="782" w:name="_Toc74034737"/>
      <w:bookmarkStart w:id="783" w:name="_Toc74036623"/>
      <w:bookmarkStart w:id="784" w:name="_Toc74037233"/>
      <w:bookmarkStart w:id="785" w:name="_Toc74041612"/>
      <w:bookmarkStart w:id="786" w:name="_Toc75334777"/>
      <w:bookmarkStart w:id="787" w:name="_Toc75335719"/>
      <w:bookmarkStart w:id="788" w:name="_Toc75662765"/>
      <w:bookmarkStart w:id="789" w:name="_Toc75662788"/>
      <w:r>
        <w:rPr>
          <w:rStyle w:val="CharPartNo"/>
        </w:rPr>
        <w:t>Part 3</w:t>
      </w:r>
      <w:r>
        <w:rPr>
          <w:rStyle w:val="CharDivNo"/>
        </w:rPr>
        <w:t> </w:t>
      </w:r>
      <w:r>
        <w:t>—</w:t>
      </w:r>
      <w:r>
        <w:rPr>
          <w:rStyle w:val="CharDivText"/>
        </w:rPr>
        <w:t> </w:t>
      </w:r>
      <w:r>
        <w:rPr>
          <w:rStyle w:val="CharPartText"/>
        </w:rPr>
        <w:t>Transitional provisions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nzHeading5"/>
      </w:pPr>
      <w:bookmarkStart w:id="790" w:name="_Toc87936204"/>
      <w:r>
        <w:rPr>
          <w:rStyle w:val="CharSectno"/>
        </w:rPr>
        <w:t>15</w:t>
      </w:r>
      <w:r>
        <w:t>.</w:t>
      </w:r>
      <w:r>
        <w:tab/>
        <w:t>Definitions</w:t>
      </w:r>
      <w:bookmarkEnd w:id="790"/>
    </w:p>
    <w:p>
      <w:pPr>
        <w:pStyle w:val="nzSubsection"/>
      </w:pPr>
      <w:r>
        <w:tab/>
      </w:r>
      <w:r>
        <w:tab/>
        <w:t xml:space="preserve">A term used in this Part that is defined in the </w:t>
      </w:r>
      <w:r>
        <w:rPr>
          <w:i/>
        </w:rPr>
        <w:t>First Home Owner Grant Act 2000</w:t>
      </w:r>
      <w:r>
        <w:t xml:space="preserve"> has the same meaning in this Part as it has in that Act.</w:t>
      </w:r>
    </w:p>
    <w:p>
      <w:pPr>
        <w:pStyle w:val="nzHeading5"/>
      </w:pPr>
      <w:bookmarkStart w:id="791" w:name="_Toc87936205"/>
      <w:r>
        <w:rPr>
          <w:rStyle w:val="CharSectno"/>
        </w:rPr>
        <w:t>16</w:t>
      </w:r>
      <w:r>
        <w:t>.</w:t>
      </w:r>
      <w:r>
        <w:tab/>
        <w:t>Application of amendments to minimum age requirements</w:t>
      </w:r>
      <w:bookmarkEnd w:id="791"/>
    </w:p>
    <w:p>
      <w:pPr>
        <w:pStyle w:val="nzSubsection"/>
      </w:pPr>
      <w:r>
        <w:tab/>
      </w:r>
      <w:r>
        <w:tab/>
        <w:t xml:space="preserve">Despite the amendments effected by section 6,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nzHeading5"/>
      </w:pPr>
      <w:bookmarkStart w:id="792" w:name="_Toc87936206"/>
      <w:r>
        <w:rPr>
          <w:rStyle w:val="CharSectno"/>
        </w:rPr>
        <w:t>17</w:t>
      </w:r>
      <w:r>
        <w:t>.</w:t>
      </w:r>
      <w:r>
        <w:tab/>
        <w:t>Application of amendments to residence requirements</w:t>
      </w:r>
      <w:bookmarkEnd w:id="792"/>
      <w:r>
        <w:t xml:space="preserve"> </w:t>
      </w:r>
    </w:p>
    <w:p>
      <w:pPr>
        <w:pStyle w:val="nzSubsection"/>
      </w:pPr>
      <w:r>
        <w:tab/>
      </w:r>
      <w:r>
        <w:tab/>
        <w:t xml:space="preserve">Despite the amendments effected by section 9,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20</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7</w:t>
      </w:r>
      <w:r>
        <w:tab/>
        <w:t xml:space="preserve">The </w:t>
      </w:r>
      <w:r>
        <w:rPr>
          <w:i/>
          <w:iCs/>
        </w:rPr>
        <w:t>First Home Owner Grant Amendment Act 2005</w:t>
      </w:r>
      <w:r>
        <w:t xml:space="preserve"> Pt. 3 reads as follows:</w:t>
      </w:r>
    </w:p>
    <w:p>
      <w:pPr>
        <w:pStyle w:val="MiscOpen"/>
      </w:pPr>
      <w:r>
        <w:t>“</w:t>
      </w:r>
    </w:p>
    <w:p>
      <w:pPr>
        <w:pStyle w:val="nzHeading2"/>
      </w:pPr>
      <w:bookmarkStart w:id="793" w:name="_Toc101931255"/>
      <w:bookmarkStart w:id="794" w:name="_Toc101931273"/>
      <w:bookmarkStart w:id="795" w:name="_Toc101931285"/>
      <w:bookmarkStart w:id="796" w:name="_Toc101936278"/>
      <w:bookmarkStart w:id="797" w:name="_Toc101938047"/>
      <w:bookmarkStart w:id="798" w:name="_Toc101953003"/>
      <w:bookmarkStart w:id="799" w:name="_Toc102799184"/>
      <w:bookmarkStart w:id="800" w:name="_Toc102801771"/>
      <w:bookmarkStart w:id="801" w:name="_Toc102884595"/>
      <w:bookmarkStart w:id="802" w:name="_Toc105401272"/>
      <w:bookmarkStart w:id="803" w:name="_Toc105404558"/>
      <w:bookmarkStart w:id="804" w:name="_Toc105557594"/>
      <w:bookmarkStart w:id="805" w:name="_Toc105565343"/>
      <w:bookmarkStart w:id="806" w:name="_Toc105576533"/>
      <w:bookmarkStart w:id="807" w:name="_Toc106004080"/>
      <w:bookmarkStart w:id="808" w:name="_Toc107115538"/>
      <w:bookmarkStart w:id="809" w:name="_Toc107117439"/>
      <w:bookmarkStart w:id="810" w:name="_Toc107134556"/>
      <w:bookmarkStart w:id="811" w:name="_Toc122254449"/>
      <w:r>
        <w:rPr>
          <w:rStyle w:val="CharPartNo"/>
        </w:rPr>
        <w:t>Part 3</w:t>
      </w:r>
      <w:r>
        <w:t> — </w:t>
      </w:r>
      <w:r>
        <w:rPr>
          <w:rStyle w:val="CharPartText"/>
        </w:rPr>
        <w:t>Transitional provisions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nzHeading3"/>
      </w:pPr>
      <w:bookmarkStart w:id="812" w:name="_Toc105565344"/>
      <w:bookmarkStart w:id="813" w:name="_Toc105576534"/>
      <w:bookmarkStart w:id="814" w:name="_Toc106004081"/>
      <w:bookmarkStart w:id="815" w:name="_Toc107115539"/>
      <w:bookmarkStart w:id="816" w:name="_Toc107117440"/>
      <w:bookmarkStart w:id="817" w:name="_Toc107134557"/>
      <w:bookmarkStart w:id="818" w:name="_Toc122254450"/>
      <w:bookmarkStart w:id="819" w:name="_Toc101868191"/>
      <w:bookmarkStart w:id="820" w:name="_Toc101868334"/>
      <w:bookmarkStart w:id="821" w:name="_Toc101931256"/>
      <w:bookmarkStart w:id="822" w:name="_Toc101931274"/>
      <w:bookmarkStart w:id="823" w:name="_Toc101931286"/>
      <w:bookmarkStart w:id="824" w:name="_Toc101936279"/>
      <w:bookmarkStart w:id="825" w:name="_Toc101938048"/>
      <w:bookmarkStart w:id="826" w:name="_Toc101953004"/>
      <w:bookmarkStart w:id="827" w:name="_Toc102799185"/>
      <w:bookmarkStart w:id="828" w:name="_Toc102801772"/>
      <w:bookmarkStart w:id="829" w:name="_Toc102884596"/>
      <w:bookmarkStart w:id="830" w:name="_Toc105401273"/>
      <w:bookmarkStart w:id="831" w:name="_Toc105404559"/>
      <w:bookmarkStart w:id="832" w:name="_Toc105557595"/>
      <w:r>
        <w:rPr>
          <w:rStyle w:val="CharDivNo"/>
        </w:rPr>
        <w:t>Division 1</w:t>
      </w:r>
      <w:r>
        <w:t> — </w:t>
      </w:r>
      <w:r>
        <w:rPr>
          <w:rStyle w:val="CharDivText"/>
        </w:rPr>
        <w:t>First home owner grant</w:t>
      </w:r>
      <w:bookmarkEnd w:id="812"/>
      <w:bookmarkEnd w:id="813"/>
      <w:bookmarkEnd w:id="814"/>
      <w:bookmarkEnd w:id="815"/>
      <w:bookmarkEnd w:id="816"/>
      <w:bookmarkEnd w:id="817"/>
      <w:bookmarkEnd w:id="818"/>
    </w:p>
    <w:p>
      <w:pPr>
        <w:pStyle w:val="nzHeading5"/>
      </w:pPr>
      <w:bookmarkStart w:id="833" w:name="_Toc107134558"/>
      <w:bookmarkStart w:id="834" w:name="_Toc122254451"/>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Sectno"/>
        </w:rPr>
        <w:t>5</w:t>
      </w:r>
      <w:r>
        <w:t>.</w:t>
      </w:r>
      <w:r>
        <w:tab/>
        <w:t>Terms used in this Division</w:t>
      </w:r>
      <w:bookmarkEnd w:id="833"/>
      <w:bookmarkEnd w:id="834"/>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835" w:name="_Toc107134559"/>
      <w:bookmarkStart w:id="836" w:name="_Toc122254452"/>
      <w:r>
        <w:rPr>
          <w:rStyle w:val="CharSectno"/>
        </w:rPr>
        <w:t>6</w:t>
      </w:r>
      <w:r>
        <w:t>.</w:t>
      </w:r>
      <w:r>
        <w:tab/>
        <w:t>Application of amendments to FHOG Act section 12</w:t>
      </w:r>
      <w:bookmarkEnd w:id="835"/>
      <w:bookmarkEnd w:id="836"/>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837" w:name="_Toc107134560"/>
      <w:bookmarkStart w:id="838" w:name="_Toc122254453"/>
      <w:r>
        <w:rPr>
          <w:rStyle w:val="CharSectno"/>
        </w:rPr>
        <w:t>7</w:t>
      </w:r>
      <w:r>
        <w:t>.</w:t>
      </w:r>
      <w:r>
        <w:tab/>
        <w:t>Application of amendments to FHOG Act section 15</w:t>
      </w:r>
      <w:bookmarkEnd w:id="837"/>
      <w:bookmarkEnd w:id="838"/>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839" w:name="_Toc107134561"/>
      <w:bookmarkStart w:id="840" w:name="_Toc122254454"/>
      <w:r>
        <w:rPr>
          <w:rStyle w:val="CharSectno"/>
        </w:rPr>
        <w:t>8</w:t>
      </w:r>
      <w:r>
        <w:t>.</w:t>
      </w:r>
      <w:r>
        <w:tab/>
        <w:t>Application of amendments to existing first home owner grants</w:t>
      </w:r>
      <w:bookmarkEnd w:id="839"/>
      <w:bookmarkEnd w:id="840"/>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841" w:name="_Toc105565349"/>
      <w:bookmarkStart w:id="842" w:name="_Toc105576539"/>
      <w:bookmarkStart w:id="843" w:name="_Toc106004086"/>
      <w:bookmarkStart w:id="844" w:name="_Toc107115544"/>
      <w:bookmarkStart w:id="845" w:name="_Toc107117445"/>
      <w:bookmarkStart w:id="846" w:name="_Toc107134562"/>
      <w:bookmarkStart w:id="847" w:name="_Toc122254455"/>
      <w:bookmarkStart w:id="848" w:name="_Toc101931259"/>
      <w:bookmarkStart w:id="849" w:name="_Toc101931277"/>
      <w:bookmarkStart w:id="850" w:name="_Toc101931289"/>
      <w:bookmarkStart w:id="851" w:name="_Toc101936282"/>
      <w:bookmarkStart w:id="852" w:name="_Toc101938051"/>
      <w:bookmarkStart w:id="853" w:name="_Toc101953009"/>
      <w:bookmarkStart w:id="854" w:name="_Toc102799190"/>
      <w:bookmarkStart w:id="855" w:name="_Toc102801777"/>
      <w:bookmarkStart w:id="856" w:name="_Toc102884601"/>
      <w:bookmarkStart w:id="857" w:name="_Toc105401278"/>
      <w:bookmarkStart w:id="858" w:name="_Toc105404564"/>
      <w:bookmarkStart w:id="859" w:name="_Toc105557600"/>
      <w:r>
        <w:rPr>
          <w:rStyle w:val="CharDivNo"/>
        </w:rPr>
        <w:t>Division 2</w:t>
      </w:r>
      <w:r>
        <w:t> — </w:t>
      </w:r>
      <w:r>
        <w:rPr>
          <w:rStyle w:val="CharDivText"/>
        </w:rPr>
        <w:t>Stamp duty</w:t>
      </w:r>
      <w:bookmarkEnd w:id="841"/>
      <w:bookmarkEnd w:id="842"/>
      <w:bookmarkEnd w:id="843"/>
      <w:bookmarkEnd w:id="844"/>
      <w:bookmarkEnd w:id="845"/>
      <w:bookmarkEnd w:id="846"/>
      <w:bookmarkEnd w:id="847"/>
    </w:p>
    <w:p>
      <w:pPr>
        <w:pStyle w:val="nzHeading5"/>
      </w:pPr>
      <w:bookmarkStart w:id="860" w:name="_Toc107134563"/>
      <w:bookmarkStart w:id="861" w:name="_Toc122254456"/>
      <w:bookmarkEnd w:id="848"/>
      <w:bookmarkEnd w:id="849"/>
      <w:bookmarkEnd w:id="850"/>
      <w:bookmarkEnd w:id="851"/>
      <w:bookmarkEnd w:id="852"/>
      <w:bookmarkEnd w:id="853"/>
      <w:bookmarkEnd w:id="854"/>
      <w:bookmarkEnd w:id="855"/>
      <w:bookmarkEnd w:id="856"/>
      <w:bookmarkEnd w:id="857"/>
      <w:bookmarkEnd w:id="858"/>
      <w:bookmarkEnd w:id="859"/>
      <w:r>
        <w:rPr>
          <w:rStyle w:val="CharSectno"/>
        </w:rPr>
        <w:t>9</w:t>
      </w:r>
      <w:r>
        <w:t>.</w:t>
      </w:r>
      <w:r>
        <w:tab/>
        <w:t>Terms used in this Division</w:t>
      </w:r>
      <w:bookmarkEnd w:id="860"/>
      <w:bookmarkEnd w:id="861"/>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862" w:name="_Toc107134564"/>
      <w:bookmarkStart w:id="863"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862"/>
      <w:bookmarkEnd w:id="863"/>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First Home Owner Grant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8040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5081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D07A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9254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pStyle w:val="ListNumber"/>
      <w:lvlText w:val="%1."/>
      <w:lvlJc w:val="left"/>
      <w:pPr>
        <w:tabs>
          <w:tab w:val="num" w:pos="360"/>
        </w:tabs>
        <w:ind w:left="360" w:hanging="360"/>
      </w:pPr>
    </w:lvl>
  </w:abstractNum>
  <w:abstractNum w:abstractNumId="9">
    <w:nsid w:val="FFFFFF89"/>
    <w:multiLevelType w:val="singleLevel"/>
    <w:tmpl w:val="562E8A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BD44C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34C31B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1132"/>
    <w:docVar w:name="WAFER_20151210141132" w:val="RemoveTrackChanges"/>
    <w:docVar w:name="WAFER_20151210141132_GUID" w:val="b7ece6ea-86dc-4d46-a8dd-c35b378ea9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18553</Words>
  <Characters>88689</Characters>
  <Application>Microsoft Office Word</Application>
  <DocSecurity>0</DocSecurity>
  <Lines>2463</Lines>
  <Paragraphs>1411</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105831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2000 - 01-i0-02</dc:title>
  <dc:subject/>
  <dc:creator/>
  <cp:keywords/>
  <dc:description/>
  <cp:lastModifiedBy>svcMRProcess</cp:lastModifiedBy>
  <cp:revision>4</cp:revision>
  <cp:lastPrinted>2005-05-25T06:20:00Z</cp:lastPrinted>
  <dcterms:created xsi:type="dcterms:W3CDTF">2018-08-29T06:05:00Z</dcterms:created>
  <dcterms:modified xsi:type="dcterms:W3CDTF">2018-08-29T06:05:00Z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20100626</vt:lpwstr>
  </property>
  <property fmtid="{D5CDD505-2E9C-101B-9397-08002B2CF9AE}" pid="4" name="DocumentType">
    <vt:lpwstr>Act</vt:lpwstr>
  </property>
  <property fmtid="{D5CDD505-2E9C-101B-9397-08002B2CF9AE}" pid="5" name="OwlsUID">
    <vt:i4>2000</vt:i4>
  </property>
  <property fmtid="{D5CDD505-2E9C-101B-9397-08002B2CF9AE}" pid="6" name="AsAtDate">
    <vt:lpwstr>26 Jun 2010</vt:lpwstr>
  </property>
  <property fmtid="{D5CDD505-2E9C-101B-9397-08002B2CF9AE}" pid="7" name="Suffix">
    <vt:lpwstr>01-i0-02</vt:lpwstr>
  </property>
</Properties>
</file>