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Water Agencies (Powers) Act 1984</w:t>
      </w:r>
    </w:p>
    <w:p>
      <w:pPr>
        <w:pStyle w:val="NameofActRegPage1"/>
        <w:spacing w:before="1980" w:after="4200"/>
        <w:ind w:left="482"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Water Agencies (Charges) By-laws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Water Agencies (Charges) By-laws 1987</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_Toc265743449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w:t>
      </w:r>
      <w:r>
        <w:tab/>
      </w:r>
      <w:r>
        <w:fldChar w:fldCharType="begin"/>
      </w:r>
      <w:r>
        <w:instrText xml:space="preserve"> PAGEREF _Toc265743450 \h </w:instrText>
      </w:r>
      <w:r>
        <w:fldChar w:fldCharType="separate"/>
      </w:r>
      <w:r>
        <w:t>1</w:t>
      </w:r>
      <w:r>
        <w:fldChar w:fldCharType="end"/>
      </w:r>
    </w:p>
    <w:p>
      <w:pPr>
        <w:pStyle w:val="TOC2"/>
        <w:tabs>
          <w:tab w:val="right" w:leader="dot" w:pos="7086"/>
        </w:tabs>
        <w:rPr>
          <w:b w:val="0"/>
          <w:sz w:val="24"/>
          <w:szCs w:val="24"/>
        </w:rPr>
      </w:pPr>
      <w:r>
        <w:rPr>
          <w:szCs w:val="30"/>
        </w:rPr>
        <w:t>Part 1 — General</w:t>
      </w:r>
    </w:p>
    <w:p>
      <w:pPr>
        <w:pStyle w:val="TOC8"/>
        <w:rPr>
          <w:sz w:val="24"/>
          <w:szCs w:val="24"/>
        </w:rPr>
      </w:pPr>
      <w:r>
        <w:rPr>
          <w:szCs w:val="24"/>
        </w:rPr>
        <w:t>3</w:t>
      </w:r>
      <w:r>
        <w:rPr>
          <w:snapToGrid w:val="0"/>
          <w:szCs w:val="24"/>
        </w:rPr>
        <w:t>.</w:t>
      </w:r>
      <w:r>
        <w:rPr>
          <w:snapToGrid w:val="0"/>
          <w:szCs w:val="24"/>
        </w:rPr>
        <w:tab/>
        <w:t>Proportionate charges for part of year</w:t>
      </w:r>
      <w:r>
        <w:tab/>
      </w:r>
      <w:r>
        <w:fldChar w:fldCharType="begin"/>
      </w:r>
      <w:r>
        <w:instrText xml:space="preserve"> PAGEREF _Toc265743452 \h </w:instrText>
      </w:r>
      <w:r>
        <w:fldChar w:fldCharType="separate"/>
      </w:r>
      <w:r>
        <w:t>9</w:t>
      </w:r>
      <w:r>
        <w:fldChar w:fldCharType="end"/>
      </w:r>
    </w:p>
    <w:p>
      <w:pPr>
        <w:pStyle w:val="TOC8"/>
        <w:rPr>
          <w:sz w:val="24"/>
          <w:szCs w:val="24"/>
        </w:rPr>
      </w:pPr>
      <w:r>
        <w:rPr>
          <w:szCs w:val="24"/>
        </w:rPr>
        <w:t>3A</w:t>
      </w:r>
      <w:r>
        <w:rPr>
          <w:snapToGrid w:val="0"/>
          <w:szCs w:val="24"/>
        </w:rPr>
        <w:t>.</w:t>
      </w:r>
      <w:r>
        <w:rPr>
          <w:snapToGrid w:val="0"/>
          <w:szCs w:val="24"/>
        </w:rPr>
        <w:tab/>
        <w:t>Minimum charge prior to revaluation</w:t>
      </w:r>
      <w:r>
        <w:tab/>
      </w:r>
      <w:r>
        <w:fldChar w:fldCharType="begin"/>
      </w:r>
      <w:r>
        <w:instrText xml:space="preserve"> PAGEREF _Toc265743453 \h </w:instrText>
      </w:r>
      <w:r>
        <w:fldChar w:fldCharType="separate"/>
      </w:r>
      <w:r>
        <w:t>10</w:t>
      </w:r>
      <w:r>
        <w:fldChar w:fldCharType="end"/>
      </w:r>
    </w:p>
    <w:p>
      <w:pPr>
        <w:pStyle w:val="TOC8"/>
        <w:rPr>
          <w:sz w:val="24"/>
          <w:szCs w:val="24"/>
        </w:rPr>
      </w:pPr>
      <w:r>
        <w:rPr>
          <w:szCs w:val="24"/>
        </w:rPr>
        <w:t>4</w:t>
      </w:r>
      <w:r>
        <w:rPr>
          <w:snapToGrid w:val="0"/>
          <w:szCs w:val="24"/>
        </w:rPr>
        <w:t>.</w:t>
      </w:r>
      <w:r>
        <w:rPr>
          <w:snapToGrid w:val="0"/>
          <w:szCs w:val="24"/>
        </w:rPr>
        <w:tab/>
        <w:t>Exempt land</w:t>
      </w:r>
      <w:r>
        <w:tab/>
      </w:r>
      <w:r>
        <w:fldChar w:fldCharType="begin"/>
      </w:r>
      <w:r>
        <w:instrText xml:space="preserve"> PAGEREF _Toc265743454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Separately assessable residential land</w:t>
      </w:r>
      <w:r>
        <w:tab/>
      </w:r>
      <w:r>
        <w:fldChar w:fldCharType="begin"/>
      </w:r>
      <w:r>
        <w:instrText xml:space="preserve"> PAGEREF _Toc265743455 \h </w:instrText>
      </w:r>
      <w:r>
        <w:fldChar w:fldCharType="separate"/>
      </w:r>
      <w:r>
        <w:t>13</w:t>
      </w:r>
      <w:r>
        <w:fldChar w:fldCharType="end"/>
      </w:r>
    </w:p>
    <w:p>
      <w:pPr>
        <w:pStyle w:val="TOC8"/>
        <w:rPr>
          <w:sz w:val="24"/>
          <w:szCs w:val="24"/>
        </w:rPr>
      </w:pPr>
      <w:r>
        <w:rPr>
          <w:szCs w:val="24"/>
        </w:rPr>
        <w:t>6</w:t>
      </w:r>
      <w:r>
        <w:rPr>
          <w:snapToGrid w:val="0"/>
          <w:szCs w:val="24"/>
        </w:rPr>
        <w:t>.</w:t>
      </w:r>
      <w:r>
        <w:rPr>
          <w:snapToGrid w:val="0"/>
          <w:szCs w:val="24"/>
        </w:rPr>
        <w:tab/>
        <w:t>Estimation upon meter malfunction or of non</w:t>
      </w:r>
      <w:r>
        <w:rPr>
          <w:snapToGrid w:val="0"/>
          <w:szCs w:val="24"/>
        </w:rPr>
        <w:noBreakHyphen/>
        <w:t>metered quantity</w:t>
      </w:r>
      <w:r>
        <w:tab/>
      </w:r>
      <w:r>
        <w:fldChar w:fldCharType="begin"/>
      </w:r>
      <w:r>
        <w:instrText xml:space="preserve"> PAGEREF _Toc265743456 \h </w:instrText>
      </w:r>
      <w:r>
        <w:fldChar w:fldCharType="separate"/>
      </w:r>
      <w:r>
        <w:t>14</w:t>
      </w:r>
      <w:r>
        <w:fldChar w:fldCharType="end"/>
      </w:r>
    </w:p>
    <w:p>
      <w:pPr>
        <w:pStyle w:val="TOC8"/>
        <w:rPr>
          <w:sz w:val="24"/>
          <w:szCs w:val="24"/>
        </w:rPr>
      </w:pPr>
      <w:r>
        <w:rPr>
          <w:szCs w:val="24"/>
        </w:rPr>
        <w:t>7</w:t>
      </w:r>
      <w:r>
        <w:rPr>
          <w:snapToGrid w:val="0"/>
          <w:szCs w:val="24"/>
        </w:rPr>
        <w:t>.</w:t>
      </w:r>
      <w:r>
        <w:rPr>
          <w:snapToGrid w:val="0"/>
          <w:szCs w:val="24"/>
        </w:rPr>
        <w:tab/>
        <w:t>Manner of payment of charges other than quantity and single capital infrastructure charges</w:t>
      </w:r>
      <w:r>
        <w:tab/>
      </w:r>
      <w:r>
        <w:fldChar w:fldCharType="begin"/>
      </w:r>
      <w:r>
        <w:instrText xml:space="preserve"> PAGEREF _Toc265743457 \h </w:instrText>
      </w:r>
      <w:r>
        <w:fldChar w:fldCharType="separate"/>
      </w:r>
      <w:r>
        <w:t>15</w:t>
      </w:r>
      <w:r>
        <w:fldChar w:fldCharType="end"/>
      </w:r>
    </w:p>
    <w:p>
      <w:pPr>
        <w:pStyle w:val="TOC8"/>
        <w:rPr>
          <w:sz w:val="24"/>
          <w:szCs w:val="24"/>
        </w:rPr>
      </w:pPr>
      <w:r>
        <w:rPr>
          <w:szCs w:val="24"/>
        </w:rPr>
        <w:t>7A</w:t>
      </w:r>
      <w:r>
        <w:rPr>
          <w:snapToGrid w:val="0"/>
          <w:szCs w:val="24"/>
        </w:rPr>
        <w:t>.</w:t>
      </w:r>
      <w:r>
        <w:rPr>
          <w:snapToGrid w:val="0"/>
          <w:szCs w:val="24"/>
        </w:rPr>
        <w:tab/>
        <w:t>Manner of payment of quantity charges</w:t>
      </w:r>
      <w:r>
        <w:tab/>
      </w:r>
      <w:r>
        <w:fldChar w:fldCharType="begin"/>
      </w:r>
      <w:r>
        <w:instrText xml:space="preserve"> PAGEREF _Toc265743458 \h </w:instrText>
      </w:r>
      <w:r>
        <w:fldChar w:fldCharType="separate"/>
      </w:r>
      <w:r>
        <w:t>17</w:t>
      </w:r>
      <w:r>
        <w:fldChar w:fldCharType="end"/>
      </w:r>
    </w:p>
    <w:p>
      <w:pPr>
        <w:pStyle w:val="TOC8"/>
        <w:rPr>
          <w:sz w:val="24"/>
          <w:szCs w:val="24"/>
        </w:rPr>
      </w:pPr>
      <w:r>
        <w:rPr>
          <w:szCs w:val="24"/>
        </w:rPr>
        <w:t>7B</w:t>
      </w:r>
      <w:r>
        <w:rPr>
          <w:snapToGrid w:val="0"/>
          <w:szCs w:val="24"/>
        </w:rPr>
        <w:t>.</w:t>
      </w:r>
      <w:r>
        <w:rPr>
          <w:snapToGrid w:val="0"/>
          <w:szCs w:val="24"/>
        </w:rPr>
        <w:tab/>
        <w:t>Manner of payment of single capital infrastructure charges</w:t>
      </w:r>
      <w:r>
        <w:tab/>
      </w:r>
      <w:r>
        <w:fldChar w:fldCharType="begin"/>
      </w:r>
      <w:r>
        <w:instrText xml:space="preserve"> PAGEREF _Toc265743459 \h </w:instrText>
      </w:r>
      <w:r>
        <w:fldChar w:fldCharType="separate"/>
      </w:r>
      <w:r>
        <w:t>17</w:t>
      </w:r>
      <w:r>
        <w:fldChar w:fldCharType="end"/>
      </w:r>
    </w:p>
    <w:p>
      <w:pPr>
        <w:pStyle w:val="TOC8"/>
        <w:rPr>
          <w:sz w:val="24"/>
          <w:szCs w:val="24"/>
        </w:rPr>
      </w:pPr>
      <w:r>
        <w:rPr>
          <w:szCs w:val="24"/>
        </w:rPr>
        <w:t>8.</w:t>
      </w:r>
      <w:r>
        <w:rPr>
          <w:szCs w:val="24"/>
        </w:rPr>
        <w:tab/>
        <w:t>Special arrangements</w:t>
      </w:r>
      <w:r>
        <w:tab/>
      </w:r>
      <w:r>
        <w:fldChar w:fldCharType="begin"/>
      </w:r>
      <w:r>
        <w:instrText xml:space="preserve"> PAGEREF _Toc265743460 \h </w:instrText>
      </w:r>
      <w:r>
        <w:fldChar w:fldCharType="separate"/>
      </w:r>
      <w:r>
        <w:t>17</w:t>
      </w:r>
      <w:r>
        <w:fldChar w:fldCharType="end"/>
      </w:r>
    </w:p>
    <w:p>
      <w:pPr>
        <w:pStyle w:val="TOC8"/>
        <w:rPr>
          <w:sz w:val="24"/>
          <w:szCs w:val="24"/>
        </w:rPr>
      </w:pPr>
      <w:r>
        <w:rPr>
          <w:szCs w:val="24"/>
        </w:rPr>
        <w:t>8A</w:t>
      </w:r>
      <w:r>
        <w:rPr>
          <w:snapToGrid w:val="0"/>
          <w:szCs w:val="24"/>
        </w:rPr>
        <w:t>.</w:t>
      </w:r>
      <w:r>
        <w:rPr>
          <w:snapToGrid w:val="0"/>
          <w:szCs w:val="24"/>
        </w:rPr>
        <w:tab/>
        <w:t>Concessional charges for retirement village residents</w:t>
      </w:r>
      <w:r>
        <w:tab/>
      </w:r>
      <w:r>
        <w:fldChar w:fldCharType="begin"/>
      </w:r>
      <w:r>
        <w:instrText xml:space="preserve"> PAGEREF _Toc265743461 \h </w:instrText>
      </w:r>
      <w:r>
        <w:fldChar w:fldCharType="separate"/>
      </w:r>
      <w:r>
        <w:t>18</w:t>
      </w:r>
      <w:r>
        <w:fldChar w:fldCharType="end"/>
      </w:r>
    </w:p>
    <w:p>
      <w:pPr>
        <w:pStyle w:val="TOC8"/>
        <w:rPr>
          <w:sz w:val="24"/>
          <w:szCs w:val="24"/>
        </w:rPr>
      </w:pPr>
      <w:r>
        <w:rPr>
          <w:szCs w:val="24"/>
        </w:rPr>
        <w:t>8B.</w:t>
      </w:r>
      <w:r>
        <w:rPr>
          <w:szCs w:val="24"/>
        </w:rPr>
        <w:tab/>
        <w:t>Government trading organisation and non</w:t>
      </w:r>
      <w:r>
        <w:rPr>
          <w:szCs w:val="24"/>
        </w:rPr>
        <w:noBreakHyphen/>
        <w:t>commercial Government property</w:t>
      </w:r>
      <w:r>
        <w:tab/>
      </w:r>
      <w:r>
        <w:fldChar w:fldCharType="begin"/>
      </w:r>
      <w:r>
        <w:instrText xml:space="preserve"> PAGEREF _Toc265743462 \h </w:instrText>
      </w:r>
      <w:r>
        <w:fldChar w:fldCharType="separate"/>
      </w:r>
      <w:r>
        <w:t>19</w:t>
      </w:r>
      <w:r>
        <w:fldChar w:fldCharType="end"/>
      </w:r>
    </w:p>
    <w:p>
      <w:pPr>
        <w:pStyle w:val="TOC8"/>
        <w:rPr>
          <w:sz w:val="24"/>
          <w:szCs w:val="24"/>
        </w:rPr>
      </w:pPr>
      <w:r>
        <w:rPr>
          <w:szCs w:val="24"/>
        </w:rPr>
        <w:t>8BA</w:t>
      </w:r>
      <w:r>
        <w:rPr>
          <w:snapToGrid w:val="0"/>
          <w:szCs w:val="24"/>
        </w:rPr>
        <w:t>.</w:t>
      </w:r>
      <w:r>
        <w:rPr>
          <w:snapToGrid w:val="0"/>
          <w:szCs w:val="24"/>
        </w:rPr>
        <w:tab/>
        <w:t>Annual charges to Government trading organisations that supply water to lessees or ships</w:t>
      </w:r>
      <w:r>
        <w:tab/>
      </w:r>
      <w:r>
        <w:fldChar w:fldCharType="begin"/>
      </w:r>
      <w:r>
        <w:instrText xml:space="preserve"> PAGEREF _Toc265743463 \h </w:instrText>
      </w:r>
      <w:r>
        <w:fldChar w:fldCharType="separate"/>
      </w:r>
      <w:r>
        <w:t>19</w:t>
      </w:r>
      <w:r>
        <w:fldChar w:fldCharType="end"/>
      </w:r>
    </w:p>
    <w:p>
      <w:pPr>
        <w:pStyle w:val="TOC8"/>
        <w:rPr>
          <w:sz w:val="24"/>
          <w:szCs w:val="24"/>
        </w:rPr>
      </w:pPr>
      <w:r>
        <w:rPr>
          <w:szCs w:val="24"/>
        </w:rPr>
        <w:t>9</w:t>
      </w:r>
      <w:r>
        <w:rPr>
          <w:snapToGrid w:val="0"/>
          <w:szCs w:val="24"/>
        </w:rPr>
        <w:t>.</w:t>
      </w:r>
      <w:r>
        <w:rPr>
          <w:snapToGrid w:val="0"/>
          <w:szCs w:val="24"/>
        </w:rPr>
        <w:tab/>
        <w:t>Interest on overdue amounts</w:t>
      </w:r>
      <w:r>
        <w:tab/>
      </w:r>
      <w:r>
        <w:fldChar w:fldCharType="begin"/>
      </w:r>
      <w:r>
        <w:instrText xml:space="preserve"> PAGEREF _Toc265743464 \h </w:instrText>
      </w:r>
      <w:r>
        <w:fldChar w:fldCharType="separate"/>
      </w:r>
      <w:r>
        <w:t>21</w:t>
      </w:r>
      <w:r>
        <w:fldChar w:fldCharType="end"/>
      </w:r>
    </w:p>
    <w:p>
      <w:pPr>
        <w:pStyle w:val="TOC8"/>
        <w:rPr>
          <w:sz w:val="24"/>
          <w:szCs w:val="24"/>
        </w:rPr>
      </w:pPr>
      <w:r>
        <w:rPr>
          <w:szCs w:val="24"/>
        </w:rPr>
        <w:t>9A</w:t>
      </w:r>
      <w:r>
        <w:rPr>
          <w:snapToGrid w:val="0"/>
          <w:szCs w:val="24"/>
        </w:rPr>
        <w:t>.</w:t>
      </w:r>
      <w:r>
        <w:rPr>
          <w:snapToGrid w:val="0"/>
          <w:szCs w:val="24"/>
        </w:rPr>
        <w:tab/>
        <w:t>Amounts rounded</w:t>
      </w:r>
      <w:r>
        <w:tab/>
      </w:r>
      <w:r>
        <w:fldChar w:fldCharType="begin"/>
      </w:r>
      <w:r>
        <w:instrText xml:space="preserve"> PAGEREF _Toc265743465 \h </w:instrText>
      </w:r>
      <w:r>
        <w:fldChar w:fldCharType="separate"/>
      </w:r>
      <w:r>
        <w:t>21</w:t>
      </w:r>
      <w:r>
        <w:fldChar w:fldCharType="end"/>
      </w:r>
    </w:p>
    <w:p>
      <w:pPr>
        <w:pStyle w:val="TOC8"/>
        <w:rPr>
          <w:sz w:val="24"/>
          <w:szCs w:val="24"/>
        </w:rPr>
      </w:pPr>
      <w:r>
        <w:rPr>
          <w:szCs w:val="24"/>
        </w:rPr>
        <w:t>9B.</w:t>
      </w:r>
      <w:r>
        <w:rPr>
          <w:szCs w:val="24"/>
        </w:rPr>
        <w:tab/>
        <w:t>Calculations, including maxima, for various GRV based charges</w:t>
      </w:r>
      <w:r>
        <w:tab/>
      </w:r>
      <w:r>
        <w:fldChar w:fldCharType="begin"/>
      </w:r>
      <w:r>
        <w:instrText xml:space="preserve"> PAGEREF _Toc265743466 \h </w:instrText>
      </w:r>
      <w:r>
        <w:fldChar w:fldCharType="separate"/>
      </w:r>
      <w:r>
        <w:t>21</w:t>
      </w:r>
      <w:r>
        <w:fldChar w:fldCharType="end"/>
      </w:r>
    </w:p>
    <w:p>
      <w:pPr>
        <w:pStyle w:val="TOC2"/>
        <w:tabs>
          <w:tab w:val="right" w:leader="dot" w:pos="7086"/>
        </w:tabs>
        <w:rPr>
          <w:b w:val="0"/>
          <w:sz w:val="24"/>
          <w:szCs w:val="24"/>
        </w:rPr>
      </w:pPr>
      <w:r>
        <w:rPr>
          <w:szCs w:val="30"/>
        </w:rPr>
        <w:t>Part 2 — Water supply</w:t>
      </w:r>
    </w:p>
    <w:p>
      <w:pPr>
        <w:pStyle w:val="TOC4"/>
        <w:tabs>
          <w:tab w:val="right" w:leader="dot" w:pos="7086"/>
        </w:tabs>
        <w:rPr>
          <w:b w:val="0"/>
          <w:sz w:val="24"/>
          <w:szCs w:val="24"/>
        </w:rPr>
      </w:pPr>
      <w:r>
        <w:rPr>
          <w:spacing w:val="-4"/>
          <w:szCs w:val="26"/>
        </w:rPr>
        <w:t>Division 1</w:t>
      </w:r>
      <w:r>
        <w:rPr>
          <w:snapToGrid w:val="0"/>
          <w:spacing w:val="-4"/>
          <w:szCs w:val="26"/>
        </w:rPr>
        <w:t> — </w:t>
      </w:r>
      <w:r>
        <w:rPr>
          <w:spacing w:val="-4"/>
          <w:szCs w:val="26"/>
        </w:rPr>
        <w:t xml:space="preserve">Water supply other than under </w:t>
      </w:r>
      <w:r>
        <w:rPr>
          <w:i/>
          <w:spacing w:val="-4"/>
          <w:szCs w:val="26"/>
        </w:rPr>
        <w:t>Rights in Water and Irrigation Act 1914</w:t>
      </w:r>
    </w:p>
    <w:p>
      <w:pPr>
        <w:pStyle w:val="TOC8"/>
        <w:rPr>
          <w:sz w:val="24"/>
          <w:szCs w:val="24"/>
        </w:rPr>
      </w:pPr>
      <w:r>
        <w:rPr>
          <w:szCs w:val="24"/>
        </w:rPr>
        <w:t>10</w:t>
      </w:r>
      <w:r>
        <w:rPr>
          <w:snapToGrid w:val="0"/>
          <w:szCs w:val="24"/>
        </w:rPr>
        <w:t>.</w:t>
      </w:r>
      <w:r>
        <w:rPr>
          <w:snapToGrid w:val="0"/>
          <w:szCs w:val="24"/>
        </w:rPr>
        <w:tab/>
        <w:t>Certain matters to be disregarded</w:t>
      </w:r>
      <w:r>
        <w:tab/>
      </w:r>
      <w:r>
        <w:fldChar w:fldCharType="begin"/>
      </w:r>
      <w:r>
        <w:instrText xml:space="preserve"> PAGEREF _Toc265743469 \h </w:instrText>
      </w:r>
      <w:r>
        <w:fldChar w:fldCharType="separate"/>
      </w:r>
      <w:r>
        <w:t>23</w:t>
      </w:r>
      <w:r>
        <w:fldChar w:fldCharType="end"/>
      </w:r>
    </w:p>
    <w:p>
      <w:pPr>
        <w:pStyle w:val="TOC8"/>
        <w:rPr>
          <w:sz w:val="24"/>
          <w:szCs w:val="24"/>
        </w:rPr>
      </w:pPr>
      <w:r>
        <w:rPr>
          <w:szCs w:val="24"/>
        </w:rPr>
        <w:t>11</w:t>
      </w:r>
      <w:r>
        <w:rPr>
          <w:snapToGrid w:val="0"/>
          <w:szCs w:val="24"/>
        </w:rPr>
        <w:t>.</w:t>
      </w:r>
      <w:r>
        <w:rPr>
          <w:snapToGrid w:val="0"/>
          <w:szCs w:val="24"/>
        </w:rPr>
        <w:tab/>
        <w:t>Land subject to water supply charges under this Division</w:t>
      </w:r>
      <w:r>
        <w:tab/>
      </w:r>
      <w:r>
        <w:fldChar w:fldCharType="begin"/>
      </w:r>
      <w:r>
        <w:instrText xml:space="preserve"> PAGEREF _Toc265743470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Exempt land</w:t>
      </w:r>
      <w:r>
        <w:tab/>
      </w:r>
      <w:r>
        <w:fldChar w:fldCharType="begin"/>
      </w:r>
      <w:r>
        <w:instrText xml:space="preserve"> PAGEREF _Toc265743471 \h </w:instrText>
      </w:r>
      <w:r>
        <w:fldChar w:fldCharType="separate"/>
      </w:r>
      <w:r>
        <w:t>23</w:t>
      </w:r>
      <w:r>
        <w:fldChar w:fldCharType="end"/>
      </w:r>
    </w:p>
    <w:p>
      <w:pPr>
        <w:pStyle w:val="TOC8"/>
        <w:rPr>
          <w:sz w:val="24"/>
          <w:szCs w:val="24"/>
        </w:rPr>
      </w:pPr>
      <w:r>
        <w:rPr>
          <w:szCs w:val="24"/>
        </w:rPr>
        <w:t>13.</w:t>
      </w:r>
      <w:r>
        <w:rPr>
          <w:szCs w:val="24"/>
        </w:rPr>
        <w:tab/>
        <w:t>Classification of land</w:t>
      </w:r>
      <w:r>
        <w:tab/>
      </w:r>
      <w:r>
        <w:fldChar w:fldCharType="begin"/>
      </w:r>
      <w:r>
        <w:instrText xml:space="preserve"> PAGEREF _Toc265743472 \h </w:instrText>
      </w:r>
      <w:r>
        <w:fldChar w:fldCharType="separate"/>
      </w:r>
      <w:r>
        <w:t>24</w:t>
      </w:r>
      <w:r>
        <w:fldChar w:fldCharType="end"/>
      </w:r>
    </w:p>
    <w:p>
      <w:pPr>
        <w:pStyle w:val="TOC8"/>
        <w:rPr>
          <w:sz w:val="24"/>
          <w:szCs w:val="24"/>
        </w:rPr>
      </w:pPr>
      <w:r>
        <w:rPr>
          <w:szCs w:val="24"/>
        </w:rPr>
        <w:t>14</w:t>
      </w:r>
      <w:r>
        <w:rPr>
          <w:snapToGrid w:val="0"/>
          <w:szCs w:val="24"/>
        </w:rPr>
        <w:t>.</w:t>
      </w:r>
      <w:r>
        <w:rPr>
          <w:snapToGrid w:val="0"/>
          <w:szCs w:val="24"/>
        </w:rPr>
        <w:tab/>
        <w:t>Indexation of certain valuations</w:t>
      </w:r>
      <w:r>
        <w:tab/>
      </w:r>
      <w:r>
        <w:fldChar w:fldCharType="begin"/>
      </w:r>
      <w:r>
        <w:instrText xml:space="preserve"> PAGEREF _Toc265743473 \h </w:instrText>
      </w:r>
      <w:r>
        <w:fldChar w:fldCharType="separate"/>
      </w:r>
      <w:r>
        <w:t>26</w:t>
      </w:r>
      <w:r>
        <w:fldChar w:fldCharType="end"/>
      </w:r>
    </w:p>
    <w:p>
      <w:pPr>
        <w:pStyle w:val="TOC8"/>
        <w:rPr>
          <w:sz w:val="24"/>
          <w:szCs w:val="24"/>
        </w:rPr>
      </w:pPr>
      <w:r>
        <w:rPr>
          <w:szCs w:val="24"/>
        </w:rPr>
        <w:t>16</w:t>
      </w:r>
      <w:r>
        <w:rPr>
          <w:snapToGrid w:val="0"/>
          <w:szCs w:val="24"/>
        </w:rPr>
        <w:t>.</w:t>
      </w:r>
      <w:r>
        <w:rPr>
          <w:snapToGrid w:val="0"/>
          <w:szCs w:val="24"/>
        </w:rPr>
        <w:tab/>
        <w:t>Discrete residential units</w:t>
      </w:r>
      <w:r>
        <w:tab/>
      </w:r>
      <w:r>
        <w:fldChar w:fldCharType="begin"/>
      </w:r>
      <w:r>
        <w:instrText xml:space="preserve"> PAGEREF _Toc265743474 \h </w:instrText>
      </w:r>
      <w:r>
        <w:fldChar w:fldCharType="separate"/>
      </w:r>
      <w:r>
        <w:t>27</w:t>
      </w:r>
      <w:r>
        <w:fldChar w:fldCharType="end"/>
      </w:r>
    </w:p>
    <w:p>
      <w:pPr>
        <w:pStyle w:val="TOC8"/>
        <w:rPr>
          <w:sz w:val="24"/>
          <w:szCs w:val="24"/>
        </w:rPr>
      </w:pPr>
      <w:r>
        <w:rPr>
          <w:szCs w:val="24"/>
        </w:rPr>
        <w:t>17</w:t>
      </w:r>
      <w:r>
        <w:rPr>
          <w:snapToGrid w:val="0"/>
          <w:szCs w:val="24"/>
        </w:rPr>
        <w:t>.</w:t>
      </w:r>
      <w:r>
        <w:rPr>
          <w:snapToGrid w:val="0"/>
          <w:szCs w:val="24"/>
        </w:rPr>
        <w:tab/>
        <w:t>Quantity charges for the supply of water</w:t>
      </w:r>
      <w:r>
        <w:tab/>
      </w:r>
      <w:r>
        <w:fldChar w:fldCharType="begin"/>
      </w:r>
      <w:r>
        <w:instrText xml:space="preserve"> PAGEREF _Toc265743475 \h </w:instrText>
      </w:r>
      <w:r>
        <w:fldChar w:fldCharType="separate"/>
      </w:r>
      <w:r>
        <w:t>27</w:t>
      </w:r>
      <w:r>
        <w:fldChar w:fldCharType="end"/>
      </w:r>
    </w:p>
    <w:p>
      <w:pPr>
        <w:pStyle w:val="TOC8"/>
        <w:rPr>
          <w:sz w:val="24"/>
          <w:szCs w:val="24"/>
        </w:rPr>
      </w:pPr>
      <w:r>
        <w:rPr>
          <w:szCs w:val="24"/>
        </w:rPr>
        <w:t>17A</w:t>
      </w:r>
      <w:r>
        <w:rPr>
          <w:snapToGrid w:val="0"/>
          <w:szCs w:val="24"/>
        </w:rPr>
        <w:t>.</w:t>
      </w:r>
      <w:r>
        <w:rPr>
          <w:snapToGrid w:val="0"/>
          <w:szCs w:val="24"/>
        </w:rPr>
        <w:tab/>
        <w:t>Caravan parks</w:t>
      </w:r>
      <w:r>
        <w:tab/>
      </w:r>
      <w:r>
        <w:fldChar w:fldCharType="begin"/>
      </w:r>
      <w:r>
        <w:instrText xml:space="preserve"> PAGEREF _Toc265743476 \h </w:instrText>
      </w:r>
      <w:r>
        <w:fldChar w:fldCharType="separate"/>
      </w:r>
      <w:r>
        <w:t>28</w:t>
      </w:r>
      <w:r>
        <w:fldChar w:fldCharType="end"/>
      </w:r>
    </w:p>
    <w:p>
      <w:pPr>
        <w:pStyle w:val="TOC8"/>
        <w:rPr>
          <w:sz w:val="24"/>
          <w:szCs w:val="24"/>
        </w:rPr>
      </w:pPr>
      <w:r>
        <w:rPr>
          <w:szCs w:val="24"/>
        </w:rPr>
        <w:t>17B.</w:t>
      </w:r>
      <w:r>
        <w:rPr>
          <w:szCs w:val="24"/>
        </w:rPr>
        <w:tab/>
      </w:r>
      <w:r>
        <w:rPr>
          <w:snapToGrid w:val="0"/>
          <w:szCs w:val="24"/>
        </w:rPr>
        <w:t>Metropolitan non</w:t>
      </w:r>
      <w:r>
        <w:rPr>
          <w:snapToGrid w:val="0"/>
          <w:szCs w:val="24"/>
        </w:rPr>
        <w:noBreakHyphen/>
        <w:t xml:space="preserve">residential </w:t>
      </w:r>
      <w:r>
        <w:rPr>
          <w:szCs w:val="24"/>
        </w:rPr>
        <w:t>or commercial residential</w:t>
      </w:r>
      <w:r>
        <w:rPr>
          <w:snapToGrid w:val="0"/>
          <w:szCs w:val="24"/>
        </w:rPr>
        <w:t xml:space="preserve"> property water supply charges</w:t>
      </w:r>
      <w:r>
        <w:tab/>
      </w:r>
      <w:r>
        <w:fldChar w:fldCharType="begin"/>
      </w:r>
      <w:r>
        <w:instrText xml:space="preserve"> PAGEREF _Toc265743477 \h </w:instrText>
      </w:r>
      <w:r>
        <w:fldChar w:fldCharType="separate"/>
      </w:r>
      <w:r>
        <w:t>30</w:t>
      </w:r>
      <w:r>
        <w:fldChar w:fldCharType="end"/>
      </w:r>
    </w:p>
    <w:p>
      <w:pPr>
        <w:pStyle w:val="TOC8"/>
        <w:rPr>
          <w:sz w:val="24"/>
          <w:szCs w:val="24"/>
        </w:rPr>
      </w:pPr>
      <w:r>
        <w:rPr>
          <w:szCs w:val="24"/>
        </w:rPr>
        <w:t>17C.</w:t>
      </w:r>
      <w:r>
        <w:rPr>
          <w:szCs w:val="24"/>
        </w:rPr>
        <w:tab/>
        <w:t>Non</w:t>
      </w:r>
      <w:r>
        <w:rPr>
          <w:szCs w:val="24"/>
        </w:rPr>
        <w:noBreakHyphen/>
        <w:t>metropolitan, non</w:t>
      </w:r>
      <w:r>
        <w:rPr>
          <w:szCs w:val="24"/>
        </w:rPr>
        <w:noBreakHyphen/>
        <w:t>strata titled, Commercial or Industrial property water supply charges</w:t>
      </w:r>
      <w:r>
        <w:tab/>
      </w:r>
      <w:r>
        <w:fldChar w:fldCharType="begin"/>
      </w:r>
      <w:r>
        <w:instrText xml:space="preserve"> PAGEREF _Toc265743478 \h </w:instrText>
      </w:r>
      <w:r>
        <w:fldChar w:fldCharType="separate"/>
      </w:r>
      <w:r>
        <w:t>30</w:t>
      </w:r>
      <w:r>
        <w:fldChar w:fldCharType="end"/>
      </w:r>
    </w:p>
    <w:p>
      <w:pPr>
        <w:pStyle w:val="TOC8"/>
        <w:rPr>
          <w:sz w:val="24"/>
          <w:szCs w:val="24"/>
        </w:rPr>
      </w:pPr>
      <w:r>
        <w:rPr>
          <w:szCs w:val="24"/>
        </w:rPr>
        <w:t>17D</w:t>
      </w:r>
      <w:r>
        <w:rPr>
          <w:snapToGrid w:val="0"/>
          <w:szCs w:val="24"/>
        </w:rPr>
        <w:t>.</w:t>
      </w:r>
      <w:r>
        <w:rPr>
          <w:snapToGrid w:val="0"/>
          <w:szCs w:val="24"/>
        </w:rPr>
        <w:tab/>
        <w:t>Various non</w:t>
      </w:r>
      <w:r>
        <w:rPr>
          <w:snapToGrid w:val="0"/>
          <w:szCs w:val="24"/>
        </w:rPr>
        <w:noBreakHyphen/>
        <w:t>metropolitan water supply charges and classifications</w:t>
      </w:r>
      <w:r>
        <w:tab/>
      </w:r>
      <w:r>
        <w:fldChar w:fldCharType="begin"/>
      </w:r>
      <w:r>
        <w:instrText xml:space="preserve"> PAGEREF _Toc265743479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Concessional non</w:t>
      </w:r>
      <w:r>
        <w:rPr>
          <w:snapToGrid w:val="0"/>
          <w:szCs w:val="24"/>
        </w:rPr>
        <w:noBreakHyphen/>
        <w:t>metropolitan quantity charge</w:t>
      </w:r>
      <w:r>
        <w:tab/>
      </w:r>
      <w:r>
        <w:fldChar w:fldCharType="begin"/>
      </w:r>
      <w:r>
        <w:instrText xml:space="preserve"> PAGEREF _Toc265743480 \h </w:instrText>
      </w:r>
      <w:r>
        <w:fldChar w:fldCharType="separate"/>
      </w:r>
      <w:r>
        <w:t>32</w:t>
      </w:r>
      <w:r>
        <w:fldChar w:fldCharType="end"/>
      </w:r>
    </w:p>
    <w:p>
      <w:pPr>
        <w:pStyle w:val="TOC8"/>
        <w:rPr>
          <w:sz w:val="24"/>
          <w:szCs w:val="24"/>
        </w:rPr>
      </w:pPr>
      <w:r>
        <w:rPr>
          <w:szCs w:val="24"/>
        </w:rPr>
        <w:t>18A</w:t>
      </w:r>
      <w:r>
        <w:rPr>
          <w:snapToGrid w:val="0"/>
          <w:szCs w:val="24"/>
        </w:rPr>
        <w:t>.</w:t>
      </w:r>
      <w:r>
        <w:rPr>
          <w:snapToGrid w:val="0"/>
          <w:szCs w:val="24"/>
        </w:rPr>
        <w:tab/>
        <w:t>Concessional metropolitan quantity charge</w:t>
      </w:r>
      <w:r>
        <w:tab/>
      </w:r>
      <w:r>
        <w:fldChar w:fldCharType="begin"/>
      </w:r>
      <w:r>
        <w:instrText xml:space="preserve"> PAGEREF _Toc265743481 \h </w:instrText>
      </w:r>
      <w:r>
        <w:fldChar w:fldCharType="separate"/>
      </w:r>
      <w:r>
        <w:t>34</w:t>
      </w:r>
      <w:r>
        <w:fldChar w:fldCharType="end"/>
      </w:r>
    </w:p>
    <w:p>
      <w:pPr>
        <w:pStyle w:val="TOC8"/>
        <w:rPr>
          <w:sz w:val="24"/>
          <w:szCs w:val="24"/>
        </w:rPr>
      </w:pPr>
      <w:r>
        <w:rPr>
          <w:szCs w:val="24"/>
        </w:rPr>
        <w:t>18B</w:t>
      </w:r>
      <w:r>
        <w:rPr>
          <w:snapToGrid w:val="0"/>
          <w:szCs w:val="24"/>
        </w:rPr>
        <w:t>.</w:t>
      </w:r>
      <w:r>
        <w:rPr>
          <w:snapToGrid w:val="0"/>
          <w:szCs w:val="24"/>
        </w:rPr>
        <w:tab/>
        <w:t>Residential multi</w:t>
      </w:r>
      <w:r>
        <w:rPr>
          <w:snapToGrid w:val="0"/>
          <w:szCs w:val="24"/>
        </w:rPr>
        <w:noBreakHyphen/>
        <w:t>unit properties — rebates for eligible pensioners</w:t>
      </w:r>
      <w:r>
        <w:tab/>
      </w:r>
      <w:r>
        <w:fldChar w:fldCharType="begin"/>
      </w:r>
      <w:r>
        <w:instrText xml:space="preserve"> PAGEREF _Toc265743482 \h </w:instrText>
      </w:r>
      <w:r>
        <w:fldChar w:fldCharType="separate"/>
      </w:r>
      <w:r>
        <w:t>35</w:t>
      </w:r>
      <w:r>
        <w:fldChar w:fldCharType="end"/>
      </w:r>
    </w:p>
    <w:p>
      <w:pPr>
        <w:pStyle w:val="TOC8"/>
        <w:rPr>
          <w:sz w:val="24"/>
          <w:szCs w:val="24"/>
        </w:rPr>
      </w:pPr>
      <w:r>
        <w:rPr>
          <w:szCs w:val="24"/>
        </w:rPr>
        <w:t>19A</w:t>
      </w:r>
      <w:r>
        <w:rPr>
          <w:snapToGrid w:val="0"/>
          <w:szCs w:val="24"/>
        </w:rPr>
        <w:t>.</w:t>
      </w:r>
      <w:r>
        <w:rPr>
          <w:snapToGrid w:val="0"/>
          <w:szCs w:val="24"/>
        </w:rPr>
        <w:tab/>
        <w:t>Capital infrastructure charges</w:t>
      </w:r>
      <w:r>
        <w:tab/>
      </w:r>
      <w:r>
        <w:fldChar w:fldCharType="begin"/>
      </w:r>
      <w:r>
        <w:instrText xml:space="preserve"> PAGEREF _Toc265743483 \h </w:instrText>
      </w:r>
      <w:r>
        <w:fldChar w:fldCharType="separate"/>
      </w:r>
      <w:r>
        <w:t>37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 xml:space="preserve">Water supply under </w:t>
      </w:r>
      <w:r>
        <w:rPr>
          <w:i/>
          <w:szCs w:val="26"/>
        </w:rPr>
        <w:t>Rights in Water and Irrigation Act 1914</w:t>
      </w:r>
      <w:r>
        <w:rPr>
          <w:szCs w:val="26"/>
        </w:rPr>
        <w:t xml:space="preserve"> other than for irrigation</w:t>
      </w:r>
    </w:p>
    <w:p>
      <w:pPr>
        <w:pStyle w:val="TOC8"/>
        <w:rPr>
          <w:sz w:val="24"/>
          <w:szCs w:val="24"/>
        </w:rPr>
      </w:pPr>
      <w:r>
        <w:rPr>
          <w:szCs w:val="24"/>
        </w:rPr>
        <w:t>20</w:t>
      </w:r>
      <w:r>
        <w:rPr>
          <w:snapToGrid w:val="0"/>
          <w:szCs w:val="24"/>
        </w:rPr>
        <w:t>.</w:t>
      </w:r>
      <w:r>
        <w:rPr>
          <w:snapToGrid w:val="0"/>
          <w:szCs w:val="24"/>
        </w:rPr>
        <w:tab/>
        <w:t>Land subject to water supply charges under this Division</w:t>
      </w:r>
      <w:r>
        <w:tab/>
      </w:r>
      <w:r>
        <w:fldChar w:fldCharType="begin"/>
      </w:r>
      <w:r>
        <w:instrText xml:space="preserve"> PAGEREF _Toc265743485 \h </w:instrText>
      </w:r>
      <w:r>
        <w:fldChar w:fldCharType="separate"/>
      </w:r>
      <w:r>
        <w:t>38</w:t>
      </w:r>
      <w:r>
        <w:fldChar w:fldCharType="end"/>
      </w:r>
    </w:p>
    <w:p>
      <w:pPr>
        <w:pStyle w:val="TOC2"/>
        <w:tabs>
          <w:tab w:val="right" w:leader="dot" w:pos="7086"/>
        </w:tabs>
        <w:rPr>
          <w:b w:val="0"/>
          <w:sz w:val="24"/>
          <w:szCs w:val="24"/>
        </w:rPr>
      </w:pPr>
      <w:r>
        <w:rPr>
          <w:szCs w:val="30"/>
        </w:rPr>
        <w:t>Part 3 — Sewerage</w:t>
      </w:r>
    </w:p>
    <w:p>
      <w:pPr>
        <w:pStyle w:val="TOC8"/>
        <w:rPr>
          <w:sz w:val="24"/>
          <w:szCs w:val="24"/>
        </w:rPr>
      </w:pPr>
      <w:r>
        <w:rPr>
          <w:szCs w:val="24"/>
        </w:rPr>
        <w:t>21A.</w:t>
      </w:r>
      <w:r>
        <w:rPr>
          <w:szCs w:val="24"/>
        </w:rPr>
        <w:tab/>
        <w:t>Terms used</w:t>
      </w:r>
      <w:r>
        <w:tab/>
      </w:r>
      <w:r>
        <w:fldChar w:fldCharType="begin"/>
      </w:r>
      <w:r>
        <w:instrText xml:space="preserve"> PAGEREF _Toc265743487 \h </w:instrText>
      </w:r>
      <w:r>
        <w:fldChar w:fldCharType="separate"/>
      </w:r>
      <w:r>
        <w:t>40</w:t>
      </w:r>
      <w:r>
        <w:fldChar w:fldCharType="end"/>
      </w:r>
    </w:p>
    <w:p>
      <w:pPr>
        <w:pStyle w:val="TOC8"/>
        <w:rPr>
          <w:sz w:val="24"/>
          <w:szCs w:val="24"/>
        </w:rPr>
      </w:pPr>
      <w:r>
        <w:rPr>
          <w:szCs w:val="24"/>
        </w:rPr>
        <w:t>21</w:t>
      </w:r>
      <w:r>
        <w:rPr>
          <w:snapToGrid w:val="0"/>
          <w:szCs w:val="24"/>
        </w:rPr>
        <w:t>.</w:t>
      </w:r>
      <w:r>
        <w:rPr>
          <w:snapToGrid w:val="0"/>
          <w:szCs w:val="24"/>
        </w:rPr>
        <w:tab/>
        <w:t>Land subject to sewerage charges</w:t>
      </w:r>
      <w:r>
        <w:tab/>
      </w:r>
      <w:r>
        <w:fldChar w:fldCharType="begin"/>
      </w:r>
      <w:r>
        <w:instrText xml:space="preserve"> PAGEREF _Toc265743488 \h </w:instrText>
      </w:r>
      <w:r>
        <w:fldChar w:fldCharType="separate"/>
      </w:r>
      <w:r>
        <w:t>40</w:t>
      </w:r>
      <w:r>
        <w:fldChar w:fldCharType="end"/>
      </w:r>
    </w:p>
    <w:p>
      <w:pPr>
        <w:pStyle w:val="TOC8"/>
        <w:rPr>
          <w:sz w:val="24"/>
          <w:szCs w:val="24"/>
        </w:rPr>
      </w:pPr>
      <w:r>
        <w:rPr>
          <w:szCs w:val="24"/>
        </w:rPr>
        <w:t>22</w:t>
      </w:r>
      <w:r>
        <w:rPr>
          <w:snapToGrid w:val="0"/>
          <w:szCs w:val="24"/>
        </w:rPr>
        <w:t>.</w:t>
      </w:r>
      <w:r>
        <w:rPr>
          <w:snapToGrid w:val="0"/>
          <w:szCs w:val="24"/>
        </w:rPr>
        <w:tab/>
        <w:t>Exempt land</w:t>
      </w:r>
      <w:r>
        <w:tab/>
      </w:r>
      <w:r>
        <w:fldChar w:fldCharType="begin"/>
      </w:r>
      <w:r>
        <w:instrText xml:space="preserve"> PAGEREF _Toc265743489 \h </w:instrText>
      </w:r>
      <w:r>
        <w:fldChar w:fldCharType="separate"/>
      </w:r>
      <w:r>
        <w:t>41</w:t>
      </w:r>
      <w:r>
        <w:fldChar w:fldCharType="end"/>
      </w:r>
    </w:p>
    <w:p>
      <w:pPr>
        <w:pStyle w:val="TOC8"/>
        <w:rPr>
          <w:sz w:val="24"/>
          <w:szCs w:val="24"/>
        </w:rPr>
      </w:pPr>
      <w:r>
        <w:rPr>
          <w:szCs w:val="24"/>
        </w:rPr>
        <w:t>23.</w:t>
      </w:r>
      <w:r>
        <w:rPr>
          <w:szCs w:val="24"/>
        </w:rPr>
        <w:tab/>
        <w:t>Classification of land</w:t>
      </w:r>
      <w:r>
        <w:tab/>
      </w:r>
      <w:r>
        <w:fldChar w:fldCharType="begin"/>
      </w:r>
      <w:r>
        <w:instrText xml:space="preserve"> PAGEREF _Toc265743490 \h </w:instrText>
      </w:r>
      <w:r>
        <w:fldChar w:fldCharType="separate"/>
      </w:r>
      <w:r>
        <w:t>41</w:t>
      </w:r>
      <w:r>
        <w:fldChar w:fldCharType="end"/>
      </w:r>
    </w:p>
    <w:p>
      <w:pPr>
        <w:pStyle w:val="TOC8"/>
        <w:rPr>
          <w:sz w:val="24"/>
          <w:szCs w:val="24"/>
        </w:rPr>
      </w:pPr>
      <w:r>
        <w:rPr>
          <w:szCs w:val="24"/>
        </w:rPr>
        <w:t>24</w:t>
      </w:r>
      <w:r>
        <w:rPr>
          <w:snapToGrid w:val="0"/>
          <w:szCs w:val="24"/>
        </w:rPr>
        <w:t>.</w:t>
      </w:r>
      <w:r>
        <w:rPr>
          <w:snapToGrid w:val="0"/>
          <w:szCs w:val="24"/>
        </w:rPr>
        <w:tab/>
        <w:t>Indexation of certain valuations</w:t>
      </w:r>
      <w:r>
        <w:tab/>
      </w:r>
      <w:r>
        <w:fldChar w:fldCharType="begin"/>
      </w:r>
      <w:r>
        <w:instrText xml:space="preserve"> PAGEREF _Toc265743491 \h </w:instrText>
      </w:r>
      <w:r>
        <w:fldChar w:fldCharType="separate"/>
      </w:r>
      <w:r>
        <w:t>42</w:t>
      </w:r>
      <w:r>
        <w:fldChar w:fldCharType="end"/>
      </w:r>
    </w:p>
    <w:p>
      <w:pPr>
        <w:pStyle w:val="TOC8"/>
        <w:rPr>
          <w:sz w:val="24"/>
          <w:szCs w:val="24"/>
        </w:rPr>
      </w:pPr>
      <w:r>
        <w:rPr>
          <w:szCs w:val="24"/>
        </w:rPr>
        <w:t>25A</w:t>
      </w:r>
      <w:r>
        <w:rPr>
          <w:snapToGrid w:val="0"/>
          <w:szCs w:val="24"/>
        </w:rPr>
        <w:t>.</w:t>
      </w:r>
      <w:r>
        <w:rPr>
          <w:snapToGrid w:val="0"/>
          <w:szCs w:val="24"/>
        </w:rPr>
        <w:tab/>
        <w:t>Metered metropolitan non</w:t>
      </w:r>
      <w:r>
        <w:rPr>
          <w:snapToGrid w:val="0"/>
          <w:szCs w:val="24"/>
        </w:rPr>
        <w:noBreakHyphen/>
        <w:t>residential property sewerage charges</w:t>
      </w:r>
      <w:r>
        <w:tab/>
      </w:r>
      <w:r>
        <w:fldChar w:fldCharType="begin"/>
      </w:r>
      <w:r>
        <w:instrText xml:space="preserve"> PAGEREF _Toc265743492 \h </w:instrText>
      </w:r>
      <w:r>
        <w:fldChar w:fldCharType="separate"/>
      </w:r>
      <w:r>
        <w:t>43</w:t>
      </w:r>
      <w:r>
        <w:fldChar w:fldCharType="end"/>
      </w:r>
    </w:p>
    <w:p>
      <w:pPr>
        <w:pStyle w:val="TOC8"/>
        <w:rPr>
          <w:sz w:val="24"/>
          <w:szCs w:val="24"/>
        </w:rPr>
      </w:pPr>
      <w:r>
        <w:rPr>
          <w:szCs w:val="24"/>
        </w:rPr>
        <w:t>25B</w:t>
      </w:r>
      <w:r>
        <w:rPr>
          <w:snapToGrid w:val="0"/>
          <w:szCs w:val="24"/>
        </w:rPr>
        <w:t>.</w:t>
      </w:r>
      <w:r>
        <w:rPr>
          <w:snapToGrid w:val="0"/>
          <w:szCs w:val="24"/>
        </w:rPr>
        <w:tab/>
        <w:t>Un</w:t>
      </w:r>
      <w:r>
        <w:rPr>
          <w:snapToGrid w:val="0"/>
          <w:szCs w:val="24"/>
        </w:rPr>
        <w:noBreakHyphen/>
        <w:t>metered or unconnected metropolitan non</w:t>
      </w:r>
      <w:r>
        <w:rPr>
          <w:snapToGrid w:val="0"/>
          <w:szCs w:val="24"/>
        </w:rPr>
        <w:noBreakHyphen/>
        <w:t>residential property sewerage charges</w:t>
      </w:r>
      <w:r>
        <w:tab/>
      </w:r>
      <w:r>
        <w:fldChar w:fldCharType="begin"/>
      </w:r>
      <w:r>
        <w:instrText xml:space="preserve"> PAGEREF _Toc265743493 \h </w:instrText>
      </w:r>
      <w:r>
        <w:fldChar w:fldCharType="separate"/>
      </w:r>
      <w:r>
        <w:t>45</w:t>
      </w:r>
      <w:r>
        <w:fldChar w:fldCharType="end"/>
      </w:r>
    </w:p>
    <w:p>
      <w:pPr>
        <w:pStyle w:val="TOC8"/>
        <w:rPr>
          <w:sz w:val="24"/>
          <w:szCs w:val="24"/>
        </w:rPr>
      </w:pPr>
      <w:r>
        <w:rPr>
          <w:szCs w:val="24"/>
        </w:rPr>
        <w:t>25C</w:t>
      </w:r>
      <w:r>
        <w:rPr>
          <w:snapToGrid w:val="0"/>
          <w:szCs w:val="24"/>
        </w:rPr>
        <w:t>.</w:t>
      </w:r>
      <w:r>
        <w:rPr>
          <w:snapToGrid w:val="0"/>
          <w:szCs w:val="24"/>
        </w:rPr>
        <w:tab/>
        <w:t>Charging for shared sewerage fixtures on metropolitan non</w:t>
      </w:r>
      <w:r>
        <w:rPr>
          <w:snapToGrid w:val="0"/>
          <w:szCs w:val="24"/>
        </w:rPr>
        <w:noBreakHyphen/>
        <w:t>residential property</w:t>
      </w:r>
      <w:r>
        <w:tab/>
      </w:r>
      <w:r>
        <w:fldChar w:fldCharType="begin"/>
      </w:r>
      <w:r>
        <w:instrText xml:space="preserve"> PAGEREF _Toc265743494 \h </w:instrText>
      </w:r>
      <w:r>
        <w:fldChar w:fldCharType="separate"/>
      </w:r>
      <w:r>
        <w:t>45</w:t>
      </w:r>
      <w:r>
        <w:fldChar w:fldCharType="end"/>
      </w:r>
    </w:p>
    <w:p>
      <w:pPr>
        <w:pStyle w:val="TOC8"/>
        <w:rPr>
          <w:sz w:val="24"/>
          <w:szCs w:val="24"/>
        </w:rPr>
      </w:pPr>
      <w:r>
        <w:rPr>
          <w:szCs w:val="24"/>
        </w:rPr>
        <w:t>26.</w:t>
      </w:r>
      <w:r>
        <w:rPr>
          <w:szCs w:val="24"/>
        </w:rPr>
        <w:tab/>
      </w:r>
      <w:r>
        <w:rPr>
          <w:snapToGrid w:val="0"/>
          <w:szCs w:val="24"/>
        </w:rPr>
        <w:t xml:space="preserve">Metered country </w:t>
      </w:r>
      <w:r>
        <w:rPr>
          <w:szCs w:val="24"/>
        </w:rPr>
        <w:t>non</w:t>
      </w:r>
      <w:r>
        <w:rPr>
          <w:szCs w:val="24"/>
        </w:rPr>
        <w:noBreakHyphen/>
        <w:t>residential or commercial residential</w:t>
      </w:r>
      <w:r>
        <w:rPr>
          <w:snapToGrid w:val="0"/>
          <w:szCs w:val="24"/>
        </w:rPr>
        <w:t xml:space="preserve"> property sewerage charges</w:t>
      </w:r>
      <w:r>
        <w:tab/>
      </w:r>
      <w:r>
        <w:fldChar w:fldCharType="begin"/>
      </w:r>
      <w:r>
        <w:instrText xml:space="preserve"> PAGEREF _Toc265743495 \h </w:instrText>
      </w:r>
      <w:r>
        <w:fldChar w:fldCharType="separate"/>
      </w:r>
      <w:r>
        <w:t>46</w:t>
      </w:r>
      <w:r>
        <w:fldChar w:fldCharType="end"/>
      </w:r>
    </w:p>
    <w:p>
      <w:pPr>
        <w:pStyle w:val="TOC8"/>
        <w:rPr>
          <w:sz w:val="24"/>
          <w:szCs w:val="24"/>
        </w:rPr>
      </w:pPr>
      <w:r>
        <w:rPr>
          <w:szCs w:val="24"/>
        </w:rPr>
        <w:t>26A.</w:t>
      </w:r>
      <w:r>
        <w:rPr>
          <w:szCs w:val="24"/>
        </w:rPr>
        <w:tab/>
        <w:t>Un</w:t>
      </w:r>
      <w:r>
        <w:rPr>
          <w:szCs w:val="24"/>
        </w:rPr>
        <w:noBreakHyphen/>
        <w:t xml:space="preserve">metered or unconnected </w:t>
      </w:r>
      <w:r>
        <w:rPr>
          <w:snapToGrid w:val="0"/>
          <w:szCs w:val="24"/>
        </w:rPr>
        <w:t>country non</w:t>
      </w:r>
      <w:r>
        <w:rPr>
          <w:snapToGrid w:val="0"/>
          <w:szCs w:val="24"/>
        </w:rPr>
        <w:noBreakHyphen/>
        <w:t>residential or commercial residential</w:t>
      </w:r>
      <w:r>
        <w:rPr>
          <w:szCs w:val="24"/>
        </w:rPr>
        <w:t xml:space="preserve"> property sewerage charges</w:t>
      </w:r>
      <w:r>
        <w:tab/>
      </w:r>
      <w:r>
        <w:fldChar w:fldCharType="begin"/>
      </w:r>
      <w:r>
        <w:instrText xml:space="preserve"> PAGEREF _Toc265743496 \h </w:instrText>
      </w:r>
      <w:r>
        <w:fldChar w:fldCharType="separate"/>
      </w:r>
      <w:r>
        <w:t>48</w:t>
      </w:r>
      <w:r>
        <w:fldChar w:fldCharType="end"/>
      </w:r>
    </w:p>
    <w:p>
      <w:pPr>
        <w:pStyle w:val="TOC8"/>
        <w:rPr>
          <w:sz w:val="24"/>
          <w:szCs w:val="24"/>
        </w:rPr>
      </w:pPr>
      <w:r>
        <w:rPr>
          <w:szCs w:val="24"/>
        </w:rPr>
        <w:t>26B.</w:t>
      </w:r>
      <w:r>
        <w:rPr>
          <w:szCs w:val="24"/>
        </w:rPr>
        <w:tab/>
        <w:t xml:space="preserve">Charging for shared sewerage fixtures on </w:t>
      </w:r>
      <w:r>
        <w:rPr>
          <w:snapToGrid w:val="0"/>
          <w:szCs w:val="24"/>
        </w:rPr>
        <w:t xml:space="preserve">country </w:t>
      </w:r>
      <w:r>
        <w:rPr>
          <w:szCs w:val="24"/>
        </w:rPr>
        <w:t>non</w:t>
      </w:r>
      <w:r>
        <w:rPr>
          <w:szCs w:val="24"/>
        </w:rPr>
        <w:noBreakHyphen/>
        <w:t>residential or commercial residential property</w:t>
      </w:r>
      <w:r>
        <w:tab/>
      </w:r>
      <w:r>
        <w:fldChar w:fldCharType="begin"/>
      </w:r>
      <w:r>
        <w:instrText xml:space="preserve"> PAGEREF _Toc265743497 \h </w:instrText>
      </w:r>
      <w:r>
        <w:fldChar w:fldCharType="separate"/>
      </w:r>
      <w:r>
        <w:t>48</w:t>
      </w:r>
      <w:r>
        <w:fldChar w:fldCharType="end"/>
      </w:r>
    </w:p>
    <w:p>
      <w:pPr>
        <w:pStyle w:val="TOC2"/>
        <w:tabs>
          <w:tab w:val="right" w:leader="dot" w:pos="7086"/>
        </w:tabs>
        <w:rPr>
          <w:b w:val="0"/>
          <w:sz w:val="24"/>
          <w:szCs w:val="24"/>
        </w:rPr>
      </w:pPr>
      <w:r>
        <w:rPr>
          <w:szCs w:val="30"/>
        </w:rPr>
        <w:t>Part 4 — Drainage</w:t>
      </w:r>
    </w:p>
    <w:p>
      <w:pPr>
        <w:pStyle w:val="TOC8"/>
        <w:rPr>
          <w:sz w:val="24"/>
          <w:szCs w:val="24"/>
        </w:rPr>
      </w:pPr>
      <w:r>
        <w:rPr>
          <w:szCs w:val="24"/>
        </w:rPr>
        <w:t>27</w:t>
      </w:r>
      <w:r>
        <w:rPr>
          <w:snapToGrid w:val="0"/>
          <w:szCs w:val="24"/>
        </w:rPr>
        <w:t>.</w:t>
      </w:r>
      <w:r>
        <w:rPr>
          <w:snapToGrid w:val="0"/>
          <w:szCs w:val="24"/>
        </w:rPr>
        <w:tab/>
        <w:t>Land subject to drainage charges</w:t>
      </w:r>
      <w:r>
        <w:tab/>
      </w:r>
      <w:r>
        <w:fldChar w:fldCharType="begin"/>
      </w:r>
      <w:r>
        <w:instrText xml:space="preserve"> PAGEREF _Toc265743499 \h </w:instrText>
      </w:r>
      <w:r>
        <w:fldChar w:fldCharType="separate"/>
      </w:r>
      <w:r>
        <w:t>50</w:t>
      </w:r>
      <w:r>
        <w:fldChar w:fldCharType="end"/>
      </w:r>
    </w:p>
    <w:p>
      <w:pPr>
        <w:pStyle w:val="TOC8"/>
        <w:rPr>
          <w:sz w:val="24"/>
          <w:szCs w:val="24"/>
        </w:rPr>
      </w:pPr>
      <w:r>
        <w:rPr>
          <w:szCs w:val="24"/>
        </w:rPr>
        <w:t>28</w:t>
      </w:r>
      <w:r>
        <w:rPr>
          <w:snapToGrid w:val="0"/>
          <w:szCs w:val="24"/>
        </w:rPr>
        <w:t>.</w:t>
      </w:r>
      <w:r>
        <w:rPr>
          <w:snapToGrid w:val="0"/>
          <w:szCs w:val="24"/>
        </w:rPr>
        <w:tab/>
        <w:t>Exempt land</w:t>
      </w:r>
      <w:r>
        <w:tab/>
      </w:r>
      <w:r>
        <w:fldChar w:fldCharType="begin"/>
      </w:r>
      <w:r>
        <w:instrText xml:space="preserve"> PAGEREF _Toc265743500 \h </w:instrText>
      </w:r>
      <w:r>
        <w:fldChar w:fldCharType="separate"/>
      </w:r>
      <w:r>
        <w:t>50</w:t>
      </w:r>
      <w:r>
        <w:fldChar w:fldCharType="end"/>
      </w:r>
    </w:p>
    <w:p>
      <w:pPr>
        <w:pStyle w:val="TOC8"/>
        <w:rPr>
          <w:sz w:val="24"/>
          <w:szCs w:val="24"/>
        </w:rPr>
      </w:pPr>
      <w:r>
        <w:rPr>
          <w:szCs w:val="24"/>
        </w:rPr>
        <w:t>29.</w:t>
      </w:r>
      <w:r>
        <w:rPr>
          <w:szCs w:val="24"/>
        </w:rPr>
        <w:tab/>
        <w:t>Classification of land</w:t>
      </w:r>
      <w:r>
        <w:tab/>
      </w:r>
      <w:r>
        <w:fldChar w:fldCharType="begin"/>
      </w:r>
      <w:r>
        <w:instrText xml:space="preserve"> PAGEREF _Toc265743501 \h </w:instrText>
      </w:r>
      <w:r>
        <w:fldChar w:fldCharType="separate"/>
      </w:r>
      <w:r>
        <w:t>51</w:t>
      </w:r>
      <w:r>
        <w:fldChar w:fldCharType="end"/>
      </w:r>
    </w:p>
    <w:p>
      <w:pPr>
        <w:pStyle w:val="TOC2"/>
        <w:tabs>
          <w:tab w:val="right" w:leader="dot" w:pos="7086"/>
        </w:tabs>
        <w:rPr>
          <w:b w:val="0"/>
          <w:sz w:val="24"/>
          <w:szCs w:val="24"/>
        </w:rPr>
      </w:pPr>
      <w:r>
        <w:rPr>
          <w:szCs w:val="30"/>
        </w:rPr>
        <w:t>Part 5 — Irrigation</w:t>
      </w:r>
    </w:p>
    <w:p>
      <w:pPr>
        <w:pStyle w:val="TOC8"/>
        <w:rPr>
          <w:sz w:val="24"/>
          <w:szCs w:val="24"/>
        </w:rPr>
      </w:pPr>
      <w:r>
        <w:rPr>
          <w:szCs w:val="24"/>
        </w:rPr>
        <w:t>31</w:t>
      </w:r>
      <w:r>
        <w:rPr>
          <w:snapToGrid w:val="0"/>
          <w:szCs w:val="24"/>
        </w:rPr>
        <w:t>.</w:t>
      </w:r>
      <w:r>
        <w:rPr>
          <w:snapToGrid w:val="0"/>
          <w:szCs w:val="24"/>
        </w:rPr>
        <w:tab/>
        <w:t>Land subject to irrigation charges</w:t>
      </w:r>
      <w:r>
        <w:tab/>
      </w:r>
      <w:r>
        <w:fldChar w:fldCharType="begin"/>
      </w:r>
      <w:r>
        <w:instrText xml:space="preserve"> PAGEREF _Toc265743503 \h </w:instrText>
      </w:r>
      <w:r>
        <w:fldChar w:fldCharType="separate"/>
      </w:r>
      <w:r>
        <w:t>52</w:t>
      </w:r>
      <w:r>
        <w:fldChar w:fldCharType="end"/>
      </w:r>
    </w:p>
    <w:p>
      <w:pPr>
        <w:pStyle w:val="TOC8"/>
        <w:rPr>
          <w:sz w:val="24"/>
          <w:szCs w:val="24"/>
        </w:rPr>
      </w:pPr>
      <w:r>
        <w:rPr>
          <w:szCs w:val="24"/>
        </w:rPr>
        <w:t>32</w:t>
      </w:r>
      <w:r>
        <w:rPr>
          <w:snapToGrid w:val="0"/>
          <w:szCs w:val="24"/>
        </w:rPr>
        <w:t>.</w:t>
      </w:r>
      <w:r>
        <w:rPr>
          <w:snapToGrid w:val="0"/>
          <w:szCs w:val="24"/>
        </w:rPr>
        <w:tab/>
        <w:t>Exempt land</w:t>
      </w:r>
      <w:r>
        <w:tab/>
      </w:r>
      <w:r>
        <w:fldChar w:fldCharType="begin"/>
      </w:r>
      <w:r>
        <w:instrText xml:space="preserve"> PAGEREF _Toc265743504 \h </w:instrText>
      </w:r>
      <w:r>
        <w:fldChar w:fldCharType="separate"/>
      </w:r>
      <w:r>
        <w:t>52</w:t>
      </w:r>
      <w:r>
        <w:fldChar w:fldCharType="end"/>
      </w:r>
    </w:p>
    <w:p>
      <w:pPr>
        <w:pStyle w:val="TOC8"/>
        <w:rPr>
          <w:sz w:val="24"/>
          <w:szCs w:val="24"/>
        </w:rPr>
      </w:pPr>
      <w:r>
        <w:rPr>
          <w:szCs w:val="24"/>
        </w:rPr>
        <w:t>33.</w:t>
      </w:r>
      <w:r>
        <w:rPr>
          <w:szCs w:val="24"/>
        </w:rPr>
        <w:tab/>
        <w:t>Charge options for land in Carnarvon Irrigation District</w:t>
      </w:r>
      <w:r>
        <w:tab/>
      </w:r>
      <w:r>
        <w:fldChar w:fldCharType="begin"/>
      </w:r>
      <w:r>
        <w:instrText xml:space="preserve"> PAGEREF _Toc265743505 \h </w:instrText>
      </w:r>
      <w:r>
        <w:fldChar w:fldCharType="separate"/>
      </w:r>
      <w:r>
        <w:t>52</w:t>
      </w:r>
      <w:r>
        <w:fldChar w:fldCharType="end"/>
      </w:r>
    </w:p>
    <w:p>
      <w:pPr>
        <w:pStyle w:val="TOC2"/>
        <w:tabs>
          <w:tab w:val="right" w:leader="dot" w:pos="7086"/>
        </w:tabs>
        <w:rPr>
          <w:b w:val="0"/>
          <w:sz w:val="24"/>
          <w:szCs w:val="24"/>
        </w:rPr>
      </w:pPr>
      <w:r>
        <w:rPr>
          <w:szCs w:val="28"/>
        </w:rPr>
        <w:t xml:space="preserve">Schedule 1 — Charges for water supply other than under the </w:t>
      </w:r>
      <w:r>
        <w:rPr>
          <w:i/>
          <w:iCs/>
          <w:szCs w:val="28"/>
        </w:rPr>
        <w:t>Rights in Water and Irrigation Act 1914</w:t>
      </w:r>
      <w:r>
        <w:rPr>
          <w:szCs w:val="28"/>
        </w:rPr>
        <w:t xml:space="preserve"> for 2010/2011</w:t>
      </w:r>
    </w:p>
    <w:p>
      <w:pPr>
        <w:pStyle w:val="TOC4"/>
        <w:tabs>
          <w:tab w:val="right" w:leader="dot" w:pos="7086"/>
        </w:tabs>
        <w:rPr>
          <w:b w:val="0"/>
          <w:sz w:val="24"/>
          <w:szCs w:val="24"/>
        </w:rPr>
      </w:pPr>
      <w:r>
        <w:rPr>
          <w:szCs w:val="24"/>
        </w:rPr>
        <w:t>Division 1</w:t>
      </w:r>
      <w:r>
        <w:rPr>
          <w:b w:val="0"/>
          <w:szCs w:val="24"/>
        </w:rPr>
        <w:t> — </w:t>
      </w:r>
      <w:r>
        <w:rPr>
          <w:szCs w:val="24"/>
        </w:rPr>
        <w:t>Fixed charges</w:t>
      </w:r>
    </w:p>
    <w:p>
      <w:pPr>
        <w:pStyle w:val="TOC8"/>
        <w:rPr>
          <w:sz w:val="24"/>
          <w:szCs w:val="24"/>
        </w:rPr>
      </w:pPr>
      <w:r>
        <w:rPr>
          <w:szCs w:val="22"/>
        </w:rPr>
        <w:tab/>
        <w:t>1.</w:t>
      </w:r>
      <w:r>
        <w:tab/>
      </w:r>
      <w:r>
        <w:fldChar w:fldCharType="begin"/>
      </w:r>
      <w:r>
        <w:instrText xml:space="preserve"> PAGEREF _Toc265743508 \h </w:instrText>
      </w:r>
      <w:r>
        <w:fldChar w:fldCharType="separate"/>
      </w:r>
      <w:r>
        <w:t>54</w:t>
      </w:r>
      <w:r>
        <w:fldChar w:fldCharType="end"/>
      </w:r>
    </w:p>
    <w:p>
      <w:pPr>
        <w:pStyle w:val="TOC8"/>
        <w:rPr>
          <w:sz w:val="24"/>
          <w:szCs w:val="24"/>
        </w:rPr>
      </w:pPr>
      <w:r>
        <w:rPr>
          <w:szCs w:val="22"/>
        </w:rPr>
        <w:tab/>
        <w:t>Residential</w:t>
      </w:r>
      <w:r>
        <w:tab/>
      </w:r>
      <w:r>
        <w:fldChar w:fldCharType="begin"/>
      </w:r>
      <w:r>
        <w:instrText xml:space="preserve"> PAGEREF _Toc265743509 \h </w:instrText>
      </w:r>
      <w:r>
        <w:fldChar w:fldCharType="separate"/>
      </w:r>
      <w:r>
        <w:t>54</w:t>
      </w:r>
      <w:r>
        <w:fldChar w:fldCharType="end"/>
      </w:r>
    </w:p>
    <w:p>
      <w:pPr>
        <w:pStyle w:val="TOC8"/>
        <w:rPr>
          <w:sz w:val="24"/>
          <w:szCs w:val="24"/>
        </w:rPr>
      </w:pPr>
      <w:r>
        <w:rPr>
          <w:szCs w:val="22"/>
        </w:rPr>
        <w:tab/>
        <w:t>2.</w:t>
      </w:r>
      <w:r>
        <w:tab/>
      </w:r>
      <w:r>
        <w:fldChar w:fldCharType="begin"/>
      </w:r>
      <w:r>
        <w:instrText xml:space="preserve"> PAGEREF _Toc265743510 \h </w:instrText>
      </w:r>
      <w:r>
        <w:fldChar w:fldCharType="separate"/>
      </w:r>
      <w:r>
        <w:t>54</w:t>
      </w:r>
      <w:r>
        <w:fldChar w:fldCharType="end"/>
      </w:r>
    </w:p>
    <w:p>
      <w:pPr>
        <w:pStyle w:val="TOC8"/>
        <w:rPr>
          <w:sz w:val="24"/>
          <w:szCs w:val="24"/>
        </w:rPr>
      </w:pPr>
      <w:r>
        <w:tab/>
        <w:t>Metropolitan residential garden supply</w:t>
      </w:r>
      <w:r>
        <w:tab/>
      </w:r>
      <w:r>
        <w:fldChar w:fldCharType="begin"/>
      </w:r>
      <w:r>
        <w:instrText xml:space="preserve"> PAGEREF _Toc265743511 \h </w:instrText>
      </w:r>
      <w:r>
        <w:fldChar w:fldCharType="separate"/>
      </w:r>
      <w:r>
        <w:t>54</w:t>
      </w:r>
      <w:r>
        <w:fldChar w:fldCharType="end"/>
      </w:r>
    </w:p>
    <w:p>
      <w:pPr>
        <w:pStyle w:val="TOC8"/>
        <w:rPr>
          <w:sz w:val="24"/>
          <w:szCs w:val="24"/>
        </w:rPr>
      </w:pPr>
      <w:r>
        <w:rPr>
          <w:szCs w:val="22"/>
        </w:rPr>
        <w:tab/>
        <w:t>3.</w:t>
      </w:r>
      <w:r>
        <w:tab/>
      </w:r>
      <w:r>
        <w:fldChar w:fldCharType="begin"/>
      </w:r>
      <w:r>
        <w:instrText xml:space="preserve"> PAGEREF _Toc265743512 \h </w:instrText>
      </w:r>
      <w:r>
        <w:fldChar w:fldCharType="separate"/>
      </w:r>
      <w:r>
        <w:t>54</w:t>
      </w:r>
      <w:r>
        <w:fldChar w:fldCharType="end"/>
      </w:r>
    </w:p>
    <w:p>
      <w:pPr>
        <w:pStyle w:val="TOC8"/>
        <w:rPr>
          <w:sz w:val="24"/>
          <w:szCs w:val="24"/>
        </w:rPr>
      </w:pPr>
      <w:r>
        <w:rPr>
          <w:szCs w:val="22"/>
        </w:rPr>
        <w:tab/>
        <w:t>Connected metropolitan exempt</w:t>
      </w:r>
      <w:r>
        <w:tab/>
      </w:r>
      <w:r>
        <w:fldChar w:fldCharType="begin"/>
      </w:r>
      <w:r>
        <w:instrText xml:space="preserve"> PAGEREF _Toc265743513 \h </w:instrText>
      </w:r>
      <w:r>
        <w:fldChar w:fldCharType="separate"/>
      </w:r>
      <w:r>
        <w:t>54</w:t>
      </w:r>
      <w:r>
        <w:fldChar w:fldCharType="end"/>
      </w:r>
    </w:p>
    <w:p>
      <w:pPr>
        <w:pStyle w:val="TOC8"/>
        <w:rPr>
          <w:sz w:val="24"/>
          <w:szCs w:val="24"/>
        </w:rPr>
      </w:pPr>
      <w:r>
        <w:rPr>
          <w:szCs w:val="22"/>
        </w:rPr>
        <w:tab/>
        <w:t>4.</w:t>
      </w:r>
      <w:r>
        <w:tab/>
      </w:r>
      <w:r>
        <w:fldChar w:fldCharType="begin"/>
      </w:r>
      <w:r>
        <w:instrText xml:space="preserve"> PAGEREF _Toc265743514 \h </w:instrText>
      </w:r>
      <w:r>
        <w:fldChar w:fldCharType="separate"/>
      </w:r>
      <w:r>
        <w:t>55</w:t>
      </w:r>
      <w:r>
        <w:fldChar w:fldCharType="end"/>
      </w:r>
    </w:p>
    <w:p>
      <w:pPr>
        <w:pStyle w:val="TOC8"/>
        <w:rPr>
          <w:sz w:val="24"/>
          <w:szCs w:val="24"/>
        </w:rPr>
      </w:pPr>
      <w:r>
        <w:tab/>
        <w:t>Strata</w:t>
      </w:r>
      <w:r>
        <w:noBreakHyphen/>
        <w:t>titled (or long</w:t>
      </w:r>
      <w:r>
        <w:noBreakHyphen/>
        <w:t>term residential) caravan bays</w:t>
      </w:r>
      <w:r>
        <w:tab/>
      </w:r>
      <w:r>
        <w:fldChar w:fldCharType="begin"/>
      </w:r>
      <w:r>
        <w:instrText xml:space="preserve"> PAGEREF _Toc265743515 \h </w:instrText>
      </w:r>
      <w:r>
        <w:fldChar w:fldCharType="separate"/>
      </w:r>
      <w:r>
        <w:t>55</w:t>
      </w:r>
      <w:r>
        <w:fldChar w:fldCharType="end"/>
      </w:r>
    </w:p>
    <w:p>
      <w:pPr>
        <w:pStyle w:val="TOC8"/>
        <w:rPr>
          <w:sz w:val="24"/>
          <w:szCs w:val="24"/>
        </w:rPr>
      </w:pPr>
      <w:r>
        <w:rPr>
          <w:szCs w:val="22"/>
        </w:rPr>
        <w:tab/>
        <w:t>5.</w:t>
      </w:r>
      <w:r>
        <w:tab/>
      </w:r>
      <w:r>
        <w:fldChar w:fldCharType="begin"/>
      </w:r>
      <w:r>
        <w:instrText xml:space="preserve"> PAGEREF _Toc265743516 \h </w:instrText>
      </w:r>
      <w:r>
        <w:fldChar w:fldCharType="separate"/>
      </w:r>
      <w:r>
        <w:t>55</w:t>
      </w:r>
      <w:r>
        <w:fldChar w:fldCharType="end"/>
      </w:r>
    </w:p>
    <w:p>
      <w:pPr>
        <w:pStyle w:val="TOC8"/>
        <w:rPr>
          <w:sz w:val="24"/>
          <w:szCs w:val="24"/>
        </w:rPr>
      </w:pPr>
      <w:r>
        <w:tab/>
        <w:t>Strata</w:t>
      </w:r>
      <w:r>
        <w:noBreakHyphen/>
        <w:t>titled storage unit and strata</w:t>
      </w:r>
      <w:r>
        <w:noBreakHyphen/>
        <w:t>titled parking bay</w:t>
      </w:r>
      <w:r>
        <w:tab/>
      </w:r>
      <w:r>
        <w:fldChar w:fldCharType="begin"/>
      </w:r>
      <w:r>
        <w:instrText xml:space="preserve"> PAGEREF _Toc265743517 \h </w:instrText>
      </w:r>
      <w:r>
        <w:fldChar w:fldCharType="separate"/>
      </w:r>
      <w:r>
        <w:t>55</w:t>
      </w:r>
      <w:r>
        <w:fldChar w:fldCharType="end"/>
      </w:r>
    </w:p>
    <w:p>
      <w:pPr>
        <w:pStyle w:val="TOC8"/>
        <w:rPr>
          <w:sz w:val="24"/>
          <w:szCs w:val="24"/>
        </w:rPr>
      </w:pPr>
      <w:r>
        <w:rPr>
          <w:szCs w:val="22"/>
        </w:rPr>
        <w:tab/>
        <w:t>6.</w:t>
      </w:r>
      <w:r>
        <w:tab/>
      </w:r>
      <w:r>
        <w:fldChar w:fldCharType="begin"/>
      </w:r>
      <w:r>
        <w:instrText xml:space="preserve"> PAGEREF _Toc265743518 \h </w:instrText>
      </w:r>
      <w:r>
        <w:fldChar w:fldCharType="separate"/>
      </w:r>
      <w:r>
        <w:t>55</w:t>
      </w:r>
      <w:r>
        <w:fldChar w:fldCharType="end"/>
      </w:r>
    </w:p>
    <w:p>
      <w:pPr>
        <w:pStyle w:val="TOC8"/>
        <w:rPr>
          <w:sz w:val="24"/>
          <w:szCs w:val="24"/>
        </w:rPr>
      </w:pPr>
      <w:r>
        <w:tab/>
        <w:t>Non</w:t>
      </w:r>
      <w:r>
        <w:noBreakHyphen/>
        <w:t>residential strata</w:t>
      </w:r>
      <w:r>
        <w:noBreakHyphen/>
        <w:t>titled units that share a service</w:t>
      </w:r>
      <w:r>
        <w:tab/>
      </w:r>
      <w:r>
        <w:fldChar w:fldCharType="begin"/>
      </w:r>
      <w:r>
        <w:instrText xml:space="preserve"> PAGEREF _Toc265743519 \h </w:instrText>
      </w:r>
      <w:r>
        <w:fldChar w:fldCharType="separate"/>
      </w:r>
      <w:r>
        <w:t>55</w:t>
      </w:r>
      <w:r>
        <w:fldChar w:fldCharType="end"/>
      </w:r>
    </w:p>
    <w:p>
      <w:pPr>
        <w:pStyle w:val="TOC8"/>
        <w:rPr>
          <w:sz w:val="24"/>
          <w:szCs w:val="24"/>
        </w:rPr>
      </w:pPr>
      <w:r>
        <w:rPr>
          <w:szCs w:val="22"/>
        </w:rPr>
        <w:tab/>
        <w:t>7.</w:t>
      </w:r>
      <w:r>
        <w:tab/>
      </w:r>
      <w:r>
        <w:fldChar w:fldCharType="begin"/>
      </w:r>
      <w:r>
        <w:instrText xml:space="preserve"> PAGEREF _Toc265743520 \h </w:instrText>
      </w:r>
      <w:r>
        <w:fldChar w:fldCharType="separate"/>
      </w:r>
      <w:r>
        <w:t>55</w:t>
      </w:r>
      <w:r>
        <w:fldChar w:fldCharType="end"/>
      </w:r>
    </w:p>
    <w:p>
      <w:pPr>
        <w:pStyle w:val="TOC8"/>
        <w:rPr>
          <w:sz w:val="24"/>
          <w:szCs w:val="24"/>
        </w:rPr>
      </w:pPr>
      <w:r>
        <w:rPr>
          <w:szCs w:val="22"/>
        </w:rPr>
        <w:tab/>
        <w:t>Community residential</w:t>
      </w:r>
      <w:r>
        <w:tab/>
      </w:r>
      <w:r>
        <w:fldChar w:fldCharType="begin"/>
      </w:r>
      <w:r>
        <w:instrText xml:space="preserve"> PAGEREF _Toc265743521 \h </w:instrText>
      </w:r>
      <w:r>
        <w:fldChar w:fldCharType="separate"/>
      </w:r>
      <w:r>
        <w:t>55</w:t>
      </w:r>
      <w:r>
        <w:fldChar w:fldCharType="end"/>
      </w:r>
    </w:p>
    <w:p>
      <w:pPr>
        <w:pStyle w:val="TOC8"/>
        <w:rPr>
          <w:sz w:val="24"/>
          <w:szCs w:val="24"/>
        </w:rPr>
      </w:pPr>
      <w:r>
        <w:rPr>
          <w:szCs w:val="22"/>
        </w:rPr>
        <w:tab/>
        <w:t>8.</w:t>
      </w:r>
      <w:r>
        <w:tab/>
      </w:r>
      <w:r>
        <w:fldChar w:fldCharType="begin"/>
      </w:r>
      <w:r>
        <w:instrText xml:space="preserve"> PAGEREF _Toc265743522 \h </w:instrText>
      </w:r>
      <w:r>
        <w:fldChar w:fldCharType="separate"/>
      </w:r>
      <w:r>
        <w:t>56</w:t>
      </w:r>
      <w:r>
        <w:fldChar w:fldCharType="end"/>
      </w:r>
    </w:p>
    <w:p>
      <w:pPr>
        <w:pStyle w:val="TOC8"/>
        <w:rPr>
          <w:sz w:val="24"/>
          <w:szCs w:val="24"/>
        </w:rPr>
      </w:pPr>
      <w:r>
        <w:rPr>
          <w:szCs w:val="22"/>
        </w:rPr>
        <w:tab/>
        <w:t>Semi</w:t>
      </w:r>
      <w:r>
        <w:rPr>
          <w:szCs w:val="22"/>
        </w:rPr>
        <w:noBreakHyphen/>
        <w:t>rural residential</w:t>
      </w:r>
      <w:r>
        <w:tab/>
      </w:r>
      <w:r>
        <w:fldChar w:fldCharType="begin"/>
      </w:r>
      <w:r>
        <w:instrText xml:space="preserve"> PAGEREF _Toc265743523 \h </w:instrText>
      </w:r>
      <w:r>
        <w:fldChar w:fldCharType="separate"/>
      </w:r>
      <w:r>
        <w:t>56</w:t>
      </w:r>
      <w:r>
        <w:fldChar w:fldCharType="end"/>
      </w:r>
    </w:p>
    <w:p>
      <w:pPr>
        <w:pStyle w:val="TOC8"/>
        <w:rPr>
          <w:sz w:val="24"/>
          <w:szCs w:val="24"/>
        </w:rPr>
      </w:pPr>
      <w:r>
        <w:rPr>
          <w:szCs w:val="22"/>
        </w:rPr>
        <w:tab/>
        <w:t>9.</w:t>
      </w:r>
      <w:r>
        <w:tab/>
      </w:r>
      <w:r>
        <w:fldChar w:fldCharType="begin"/>
      </w:r>
      <w:r>
        <w:instrText xml:space="preserve"> PAGEREF _Toc265743524 \h </w:instrText>
      </w:r>
      <w:r>
        <w:fldChar w:fldCharType="separate"/>
      </w:r>
      <w:r>
        <w:t>56</w:t>
      </w:r>
      <w:r>
        <w:fldChar w:fldCharType="end"/>
      </w:r>
    </w:p>
    <w:p>
      <w:pPr>
        <w:pStyle w:val="TOC8"/>
        <w:rPr>
          <w:sz w:val="24"/>
          <w:szCs w:val="24"/>
        </w:rPr>
      </w:pPr>
      <w:r>
        <w:tab/>
        <w:t>Connected non</w:t>
      </w:r>
      <w:r>
        <w:noBreakHyphen/>
        <w:t>metropolitan exempt</w:t>
      </w:r>
      <w:r>
        <w:tab/>
      </w:r>
      <w:r>
        <w:fldChar w:fldCharType="begin"/>
      </w:r>
      <w:r>
        <w:instrText xml:space="preserve"> PAGEREF _Toc265743525 \h </w:instrText>
      </w:r>
      <w:r>
        <w:fldChar w:fldCharType="separate"/>
      </w:r>
      <w:r>
        <w:t>56</w:t>
      </w:r>
      <w:r>
        <w:fldChar w:fldCharType="end"/>
      </w:r>
    </w:p>
    <w:p>
      <w:pPr>
        <w:pStyle w:val="TOC8"/>
        <w:rPr>
          <w:sz w:val="24"/>
          <w:szCs w:val="24"/>
        </w:rPr>
      </w:pPr>
      <w:r>
        <w:rPr>
          <w:szCs w:val="22"/>
        </w:rPr>
        <w:tab/>
        <w:t>10.</w:t>
      </w:r>
      <w:r>
        <w:tab/>
      </w:r>
      <w:r>
        <w:fldChar w:fldCharType="begin"/>
      </w:r>
      <w:r>
        <w:instrText xml:space="preserve"> PAGEREF _Toc265743526 \h </w:instrText>
      </w:r>
      <w:r>
        <w:fldChar w:fldCharType="separate"/>
      </w:r>
      <w:r>
        <w:t>56</w:t>
      </w:r>
      <w:r>
        <w:fldChar w:fldCharType="end"/>
      </w:r>
    </w:p>
    <w:p>
      <w:pPr>
        <w:pStyle w:val="TOC8"/>
        <w:rPr>
          <w:sz w:val="24"/>
          <w:szCs w:val="24"/>
        </w:rPr>
      </w:pPr>
      <w:r>
        <w:tab/>
        <w:t>Non</w:t>
      </w:r>
      <w:r>
        <w:noBreakHyphen/>
        <w:t>metropolitan non</w:t>
      </w:r>
      <w:r>
        <w:noBreakHyphen/>
        <w:t>residential or commercial residential</w:t>
      </w:r>
      <w:r>
        <w:tab/>
      </w:r>
      <w:r>
        <w:fldChar w:fldCharType="begin"/>
      </w:r>
      <w:r>
        <w:instrText xml:space="preserve"> PAGEREF _Toc265743527 \h </w:instrText>
      </w:r>
      <w:r>
        <w:fldChar w:fldCharType="separate"/>
      </w:r>
      <w:r>
        <w:t>56</w:t>
      </w:r>
      <w:r>
        <w:fldChar w:fldCharType="end"/>
      </w:r>
    </w:p>
    <w:p>
      <w:pPr>
        <w:pStyle w:val="TOC8"/>
        <w:rPr>
          <w:sz w:val="24"/>
          <w:szCs w:val="24"/>
        </w:rPr>
      </w:pPr>
      <w:r>
        <w:rPr>
          <w:szCs w:val="22"/>
        </w:rPr>
        <w:tab/>
        <w:t>11.</w:t>
      </w:r>
      <w:r>
        <w:tab/>
      </w:r>
      <w:r>
        <w:fldChar w:fldCharType="begin"/>
      </w:r>
      <w:r>
        <w:instrText xml:space="preserve"> PAGEREF _Toc265743528 \h </w:instrText>
      </w:r>
      <w:r>
        <w:fldChar w:fldCharType="separate"/>
      </w:r>
      <w:r>
        <w:t>57</w:t>
      </w:r>
      <w:r>
        <w:fldChar w:fldCharType="end"/>
      </w:r>
    </w:p>
    <w:p>
      <w:pPr>
        <w:pStyle w:val="TOC8"/>
        <w:rPr>
          <w:sz w:val="24"/>
          <w:szCs w:val="24"/>
        </w:rPr>
      </w:pPr>
      <w:r>
        <w:rPr>
          <w:szCs w:val="22"/>
        </w:rPr>
        <w:tab/>
        <w:t>Stock</w:t>
      </w:r>
      <w:r>
        <w:tab/>
      </w:r>
      <w:r>
        <w:fldChar w:fldCharType="begin"/>
      </w:r>
      <w:r>
        <w:instrText xml:space="preserve"> PAGEREF _Toc265743529 \h </w:instrText>
      </w:r>
      <w:r>
        <w:fldChar w:fldCharType="separate"/>
      </w:r>
      <w:r>
        <w:t>57</w:t>
      </w:r>
      <w:r>
        <w:fldChar w:fldCharType="end"/>
      </w:r>
    </w:p>
    <w:p>
      <w:pPr>
        <w:pStyle w:val="TOC8"/>
        <w:rPr>
          <w:sz w:val="24"/>
          <w:szCs w:val="24"/>
        </w:rPr>
      </w:pPr>
      <w:r>
        <w:rPr>
          <w:szCs w:val="22"/>
        </w:rPr>
        <w:tab/>
        <w:t>12.</w:t>
      </w:r>
      <w:r>
        <w:tab/>
      </w:r>
      <w:r>
        <w:fldChar w:fldCharType="begin"/>
      </w:r>
      <w:r>
        <w:instrText xml:space="preserve"> PAGEREF _Toc265743530 \h </w:instrText>
      </w:r>
      <w:r>
        <w:fldChar w:fldCharType="separate"/>
      </w:r>
      <w:r>
        <w:t>57</w:t>
      </w:r>
      <w:r>
        <w:fldChar w:fldCharType="end"/>
      </w:r>
    </w:p>
    <w:p>
      <w:pPr>
        <w:pStyle w:val="TOC8"/>
        <w:rPr>
          <w:sz w:val="24"/>
          <w:szCs w:val="24"/>
        </w:rPr>
      </w:pPr>
      <w:r>
        <w:rPr>
          <w:szCs w:val="22"/>
        </w:rPr>
        <w:tab/>
        <w:t>Additional connections</w:t>
      </w:r>
      <w:r>
        <w:tab/>
      </w:r>
      <w:r>
        <w:fldChar w:fldCharType="begin"/>
      </w:r>
      <w:r>
        <w:instrText xml:space="preserve"> PAGEREF _Toc265743531 \h </w:instrText>
      </w:r>
      <w:r>
        <w:fldChar w:fldCharType="separate"/>
      </w:r>
      <w:r>
        <w:t>57</w:t>
      </w:r>
      <w:r>
        <w:fldChar w:fldCharType="end"/>
      </w:r>
    </w:p>
    <w:p>
      <w:pPr>
        <w:pStyle w:val="TOC8"/>
        <w:rPr>
          <w:sz w:val="24"/>
          <w:szCs w:val="24"/>
        </w:rPr>
      </w:pPr>
      <w:r>
        <w:rPr>
          <w:szCs w:val="22"/>
        </w:rPr>
        <w:tab/>
        <w:t>13.</w:t>
      </w:r>
      <w:r>
        <w:tab/>
      </w:r>
      <w:r>
        <w:fldChar w:fldCharType="begin"/>
      </w:r>
      <w:r>
        <w:instrText xml:space="preserve"> PAGEREF _Toc265743532 \h </w:instrText>
      </w:r>
      <w:r>
        <w:fldChar w:fldCharType="separate"/>
      </w:r>
      <w:r>
        <w:t>58</w:t>
      </w:r>
      <w:r>
        <w:fldChar w:fldCharType="end"/>
      </w:r>
    </w:p>
    <w:p>
      <w:pPr>
        <w:pStyle w:val="TOC8"/>
        <w:rPr>
          <w:sz w:val="24"/>
          <w:szCs w:val="24"/>
        </w:rPr>
      </w:pPr>
      <w:r>
        <w:rPr>
          <w:szCs w:val="22"/>
        </w:rPr>
        <w:tab/>
        <w:t>Shipping (non</w:t>
      </w:r>
      <w:r>
        <w:rPr>
          <w:szCs w:val="22"/>
        </w:rPr>
        <w:noBreakHyphen/>
        <w:t>metropolitan)</w:t>
      </w:r>
      <w:r>
        <w:tab/>
      </w:r>
      <w:r>
        <w:fldChar w:fldCharType="begin"/>
      </w:r>
      <w:r>
        <w:instrText xml:space="preserve"> PAGEREF _Toc265743533 \h </w:instrText>
      </w:r>
      <w:r>
        <w:fldChar w:fldCharType="separate"/>
      </w:r>
      <w:r>
        <w:t>58</w:t>
      </w:r>
      <w:r>
        <w:fldChar w:fldCharType="end"/>
      </w:r>
    </w:p>
    <w:p>
      <w:pPr>
        <w:pStyle w:val="TOC8"/>
        <w:rPr>
          <w:sz w:val="24"/>
          <w:szCs w:val="24"/>
        </w:rPr>
      </w:pPr>
      <w:r>
        <w:rPr>
          <w:szCs w:val="22"/>
        </w:rPr>
        <w:tab/>
        <w:t>14.</w:t>
      </w:r>
      <w:r>
        <w:tab/>
      </w:r>
      <w:r>
        <w:fldChar w:fldCharType="begin"/>
      </w:r>
      <w:r>
        <w:instrText xml:space="preserve"> PAGEREF _Toc265743534 \h </w:instrText>
      </w:r>
      <w:r>
        <w:fldChar w:fldCharType="separate"/>
      </w:r>
      <w:r>
        <w:t>58</w:t>
      </w:r>
      <w:r>
        <w:fldChar w:fldCharType="end"/>
      </w:r>
    </w:p>
    <w:p>
      <w:pPr>
        <w:pStyle w:val="TOC8"/>
        <w:rPr>
          <w:sz w:val="24"/>
          <w:szCs w:val="24"/>
        </w:rPr>
      </w:pPr>
      <w:r>
        <w:rPr>
          <w:szCs w:val="22"/>
        </w:rPr>
        <w:tab/>
        <w:t>Local government standpipes</w:t>
      </w:r>
      <w:r>
        <w:tab/>
      </w:r>
      <w:r>
        <w:fldChar w:fldCharType="begin"/>
      </w:r>
      <w:r>
        <w:instrText xml:space="preserve"> PAGEREF _Toc265743535 \h </w:instrText>
      </w:r>
      <w:r>
        <w:fldChar w:fldCharType="separate"/>
      </w:r>
      <w:r>
        <w:t>58</w:t>
      </w:r>
      <w:r>
        <w:fldChar w:fldCharType="end"/>
      </w:r>
    </w:p>
    <w:p>
      <w:pPr>
        <w:pStyle w:val="TOC8"/>
        <w:rPr>
          <w:sz w:val="24"/>
          <w:szCs w:val="24"/>
        </w:rPr>
      </w:pPr>
      <w:r>
        <w:rPr>
          <w:szCs w:val="22"/>
        </w:rPr>
        <w:tab/>
        <w:t>15.</w:t>
      </w:r>
      <w:r>
        <w:tab/>
      </w:r>
      <w:r>
        <w:fldChar w:fldCharType="begin"/>
      </w:r>
      <w:r>
        <w:instrText xml:space="preserve"> PAGEREF _Toc265743536 \h </w:instrText>
      </w:r>
      <w:r>
        <w:fldChar w:fldCharType="separate"/>
      </w:r>
      <w:r>
        <w:t>58</w:t>
      </w:r>
      <w:r>
        <w:fldChar w:fldCharType="end"/>
      </w:r>
    </w:p>
    <w:p>
      <w:pPr>
        <w:pStyle w:val="TOC8"/>
        <w:rPr>
          <w:sz w:val="24"/>
          <w:szCs w:val="24"/>
        </w:rPr>
      </w:pPr>
      <w:r>
        <w:rPr>
          <w:szCs w:val="22"/>
        </w:rPr>
        <w:tab/>
        <w:t>Firefighting connections</w:t>
      </w:r>
      <w:r>
        <w:tab/>
      </w:r>
      <w:r>
        <w:fldChar w:fldCharType="begin"/>
      </w:r>
      <w:r>
        <w:instrText xml:space="preserve"> PAGEREF _Toc265743537 \h </w:instrText>
      </w:r>
      <w:r>
        <w:fldChar w:fldCharType="separate"/>
      </w:r>
      <w:r>
        <w:t>58</w:t>
      </w:r>
      <w:r>
        <w:fldChar w:fldCharType="end"/>
      </w:r>
    </w:p>
    <w:p>
      <w:pPr>
        <w:pStyle w:val="TOC8"/>
        <w:rPr>
          <w:sz w:val="24"/>
          <w:szCs w:val="24"/>
        </w:rPr>
      </w:pPr>
      <w:r>
        <w:rPr>
          <w:szCs w:val="22"/>
        </w:rPr>
        <w:tab/>
        <w:t>16.</w:t>
      </w:r>
      <w:r>
        <w:tab/>
      </w:r>
      <w:r>
        <w:fldChar w:fldCharType="begin"/>
      </w:r>
      <w:r>
        <w:instrText xml:space="preserve"> PAGEREF _Toc265743538 \h </w:instrText>
      </w:r>
      <w:r>
        <w:fldChar w:fldCharType="separate"/>
      </w:r>
      <w:r>
        <w:t>58</w:t>
      </w:r>
      <w:r>
        <w:fldChar w:fldCharType="end"/>
      </w:r>
    </w:p>
    <w:p>
      <w:pPr>
        <w:pStyle w:val="TOC8"/>
        <w:rPr>
          <w:sz w:val="24"/>
          <w:szCs w:val="24"/>
        </w:rPr>
      </w:pPr>
      <w:r>
        <w:rPr>
          <w:szCs w:val="22"/>
        </w:rPr>
        <w:tab/>
        <w:t>Farmland</w:t>
      </w:r>
      <w:r>
        <w:tab/>
      </w:r>
      <w:r>
        <w:fldChar w:fldCharType="begin"/>
      </w:r>
      <w:r>
        <w:instrText xml:space="preserve"> PAGEREF _Toc265743539 \h </w:instrText>
      </w:r>
      <w:r>
        <w:fldChar w:fldCharType="separate"/>
      </w:r>
      <w:r>
        <w:t>58</w:t>
      </w:r>
      <w:r>
        <w:fldChar w:fldCharType="end"/>
      </w:r>
    </w:p>
    <w:p>
      <w:pPr>
        <w:pStyle w:val="TOC8"/>
        <w:rPr>
          <w:sz w:val="24"/>
          <w:szCs w:val="24"/>
        </w:rPr>
      </w:pPr>
      <w:r>
        <w:rPr>
          <w:szCs w:val="22"/>
        </w:rPr>
        <w:tab/>
        <w:t>17.</w:t>
      </w:r>
      <w:r>
        <w:tab/>
      </w:r>
      <w:r>
        <w:fldChar w:fldCharType="begin"/>
      </w:r>
      <w:r>
        <w:instrText xml:space="preserve"> PAGEREF _Toc265743540 \h </w:instrText>
      </w:r>
      <w:r>
        <w:fldChar w:fldCharType="separate"/>
      </w:r>
      <w:r>
        <w:t>58</w:t>
      </w:r>
      <w:r>
        <w:fldChar w:fldCharType="end"/>
      </w:r>
    </w:p>
    <w:p>
      <w:pPr>
        <w:pStyle w:val="TOC8"/>
        <w:rPr>
          <w:sz w:val="24"/>
          <w:szCs w:val="24"/>
        </w:rPr>
      </w:pPr>
      <w:r>
        <w:tab/>
        <w:t>Metropolitan non</w:t>
      </w:r>
      <w:r>
        <w:noBreakHyphen/>
        <w:t>residential (except strata</w:t>
      </w:r>
      <w:r>
        <w:noBreakHyphen/>
        <w:t>titled units that share a service)</w:t>
      </w:r>
      <w:r>
        <w:tab/>
      </w:r>
      <w:r>
        <w:fldChar w:fldCharType="begin"/>
      </w:r>
      <w:r>
        <w:instrText xml:space="preserve"> PAGEREF _Toc265743541 \h </w:instrText>
      </w:r>
      <w:r>
        <w:fldChar w:fldCharType="separate"/>
      </w:r>
      <w:r>
        <w:t>58</w:t>
      </w:r>
      <w:r>
        <w:fldChar w:fldCharType="end"/>
      </w:r>
    </w:p>
    <w:p>
      <w:pPr>
        <w:pStyle w:val="TOC8"/>
        <w:rPr>
          <w:sz w:val="24"/>
          <w:szCs w:val="24"/>
        </w:rPr>
      </w:pPr>
      <w:r>
        <w:rPr>
          <w:szCs w:val="22"/>
        </w:rPr>
        <w:tab/>
        <w:t>18.</w:t>
      </w:r>
      <w:r>
        <w:tab/>
      </w:r>
      <w:r>
        <w:fldChar w:fldCharType="begin"/>
      </w:r>
      <w:r>
        <w:instrText xml:space="preserve"> PAGEREF _Toc265743542 \h </w:instrText>
      </w:r>
      <w:r>
        <w:fldChar w:fldCharType="separate"/>
      </w:r>
      <w:r>
        <w:t>59</w:t>
      </w:r>
      <w:r>
        <w:fldChar w:fldCharType="end"/>
      </w:r>
    </w:p>
    <w:p>
      <w:pPr>
        <w:pStyle w:val="TOC8"/>
        <w:rPr>
          <w:sz w:val="24"/>
          <w:szCs w:val="24"/>
        </w:rPr>
      </w:pPr>
      <w:r>
        <w:rPr>
          <w:szCs w:val="22"/>
        </w:rPr>
        <w:tab/>
        <w:t>Vacant land</w:t>
      </w:r>
      <w:r>
        <w:tab/>
      </w:r>
      <w:r>
        <w:fldChar w:fldCharType="begin"/>
      </w:r>
      <w:r>
        <w:instrText xml:space="preserve"> PAGEREF _Toc265743543 \h </w:instrText>
      </w:r>
      <w:r>
        <w:fldChar w:fldCharType="separate"/>
      </w:r>
      <w:r>
        <w:t>59</w:t>
      </w:r>
      <w:r>
        <w:fldChar w:fldCharType="end"/>
      </w:r>
    </w:p>
    <w:p>
      <w:pPr>
        <w:pStyle w:val="TOC8"/>
        <w:rPr>
          <w:sz w:val="24"/>
          <w:szCs w:val="24"/>
        </w:rPr>
      </w:pPr>
      <w:r>
        <w:rPr>
          <w:szCs w:val="22"/>
        </w:rPr>
        <w:tab/>
        <w:t>19.</w:t>
      </w:r>
      <w:r>
        <w:tab/>
      </w:r>
      <w:r>
        <w:fldChar w:fldCharType="begin"/>
      </w:r>
      <w:r>
        <w:instrText xml:space="preserve"> PAGEREF _Toc265743544 \h </w:instrText>
      </w:r>
      <w:r>
        <w:fldChar w:fldCharType="separate"/>
      </w:r>
      <w:r>
        <w:t>59</w:t>
      </w:r>
      <w:r>
        <w:fldChar w:fldCharType="end"/>
      </w:r>
    </w:p>
    <w:p>
      <w:pPr>
        <w:pStyle w:val="TOC8"/>
        <w:rPr>
          <w:sz w:val="24"/>
          <w:szCs w:val="24"/>
        </w:rPr>
      </w:pPr>
      <w:r>
        <w:tab/>
        <w:t>Garden supply for metropolitan vacant land</w:t>
      </w:r>
      <w:r>
        <w:tab/>
      </w:r>
      <w:r>
        <w:fldChar w:fldCharType="begin"/>
      </w:r>
      <w:r>
        <w:instrText xml:space="preserve"> PAGEREF _Toc265743545 \h </w:instrText>
      </w:r>
      <w:r>
        <w:fldChar w:fldCharType="separate"/>
      </w:r>
      <w:r>
        <w:t>59</w:t>
      </w:r>
      <w:r>
        <w:fldChar w:fldCharType="end"/>
      </w:r>
    </w:p>
    <w:p>
      <w:pPr>
        <w:pStyle w:val="TOC4"/>
        <w:tabs>
          <w:tab w:val="right" w:leader="dot" w:pos="7086"/>
        </w:tabs>
        <w:rPr>
          <w:b w:val="0"/>
          <w:sz w:val="24"/>
          <w:szCs w:val="24"/>
        </w:rPr>
      </w:pPr>
      <w:r>
        <w:rPr>
          <w:szCs w:val="24"/>
        </w:rPr>
        <w:t>Division 2</w:t>
      </w:r>
      <w:r>
        <w:rPr>
          <w:b w:val="0"/>
          <w:szCs w:val="24"/>
        </w:rPr>
        <w:t> — </w:t>
      </w:r>
      <w:r>
        <w:rPr>
          <w:szCs w:val="24"/>
        </w:rPr>
        <w:t>Quantity charges</w:t>
      </w:r>
    </w:p>
    <w:p>
      <w:pPr>
        <w:pStyle w:val="TOC8"/>
        <w:rPr>
          <w:sz w:val="24"/>
          <w:szCs w:val="24"/>
        </w:rPr>
      </w:pPr>
      <w:r>
        <w:rPr>
          <w:szCs w:val="22"/>
        </w:rPr>
        <w:tab/>
        <w:t>20.</w:t>
      </w:r>
      <w:r>
        <w:tab/>
      </w:r>
      <w:r>
        <w:fldChar w:fldCharType="begin"/>
      </w:r>
      <w:r>
        <w:instrText xml:space="preserve"> PAGEREF _Toc265743547 \h </w:instrText>
      </w:r>
      <w:r>
        <w:fldChar w:fldCharType="separate"/>
      </w:r>
      <w:r>
        <w:t>60</w:t>
      </w:r>
      <w:r>
        <w:fldChar w:fldCharType="end"/>
      </w:r>
    </w:p>
    <w:p>
      <w:pPr>
        <w:pStyle w:val="TOC8"/>
        <w:rPr>
          <w:sz w:val="24"/>
          <w:szCs w:val="24"/>
        </w:rPr>
      </w:pPr>
      <w:r>
        <w:rPr>
          <w:szCs w:val="22"/>
        </w:rPr>
        <w:tab/>
        <w:t>Metropolitan residential</w:t>
      </w:r>
      <w:r>
        <w:tab/>
      </w:r>
      <w:r>
        <w:fldChar w:fldCharType="begin"/>
      </w:r>
      <w:r>
        <w:instrText xml:space="preserve"> PAGEREF _Toc265743548 \h </w:instrText>
      </w:r>
      <w:r>
        <w:fldChar w:fldCharType="separate"/>
      </w:r>
      <w:r>
        <w:t>60</w:t>
      </w:r>
      <w:r>
        <w:fldChar w:fldCharType="end"/>
      </w:r>
    </w:p>
    <w:p>
      <w:pPr>
        <w:pStyle w:val="TOC8"/>
        <w:rPr>
          <w:sz w:val="24"/>
          <w:szCs w:val="24"/>
        </w:rPr>
      </w:pPr>
      <w:r>
        <w:rPr>
          <w:szCs w:val="22"/>
        </w:rPr>
        <w:tab/>
        <w:t>21.</w:t>
      </w:r>
      <w:r>
        <w:tab/>
      </w:r>
      <w:r>
        <w:fldChar w:fldCharType="begin"/>
      </w:r>
      <w:r>
        <w:instrText xml:space="preserve"> PAGEREF _Toc265743549 \h </w:instrText>
      </w:r>
      <w:r>
        <w:fldChar w:fldCharType="separate"/>
      </w:r>
      <w:r>
        <w:t>60</w:t>
      </w:r>
      <w:r>
        <w:fldChar w:fldCharType="end"/>
      </w:r>
    </w:p>
    <w:p>
      <w:pPr>
        <w:pStyle w:val="TOC8"/>
        <w:rPr>
          <w:sz w:val="24"/>
          <w:szCs w:val="24"/>
        </w:rPr>
      </w:pPr>
      <w:r>
        <w:tab/>
        <w:t>Metropolitan semi</w:t>
      </w:r>
      <w:r>
        <w:noBreakHyphen/>
        <w:t>rural residential</w:t>
      </w:r>
      <w:r>
        <w:tab/>
      </w:r>
      <w:r>
        <w:fldChar w:fldCharType="begin"/>
      </w:r>
      <w:r>
        <w:instrText xml:space="preserve"> PAGEREF _Toc265743550 \h </w:instrText>
      </w:r>
      <w:r>
        <w:fldChar w:fldCharType="separate"/>
      </w:r>
      <w:r>
        <w:t>60</w:t>
      </w:r>
      <w:r>
        <w:fldChar w:fldCharType="end"/>
      </w:r>
    </w:p>
    <w:p>
      <w:pPr>
        <w:pStyle w:val="TOC8"/>
        <w:rPr>
          <w:sz w:val="24"/>
          <w:szCs w:val="24"/>
        </w:rPr>
      </w:pPr>
      <w:r>
        <w:rPr>
          <w:szCs w:val="22"/>
        </w:rPr>
        <w:tab/>
        <w:t>22.</w:t>
      </w:r>
      <w:r>
        <w:tab/>
      </w:r>
      <w:r>
        <w:fldChar w:fldCharType="begin"/>
      </w:r>
      <w:r>
        <w:instrText xml:space="preserve"> PAGEREF _Toc265743551 \h </w:instrText>
      </w:r>
      <w:r>
        <w:fldChar w:fldCharType="separate"/>
      </w:r>
      <w:r>
        <w:t>61</w:t>
      </w:r>
      <w:r>
        <w:fldChar w:fldCharType="end"/>
      </w:r>
    </w:p>
    <w:p>
      <w:pPr>
        <w:pStyle w:val="TOC8"/>
        <w:rPr>
          <w:sz w:val="24"/>
          <w:szCs w:val="24"/>
        </w:rPr>
      </w:pPr>
      <w:r>
        <w:rPr>
          <w:szCs w:val="22"/>
        </w:rPr>
        <w:tab/>
        <w:t>Non</w:t>
      </w:r>
      <w:r>
        <w:rPr>
          <w:szCs w:val="22"/>
        </w:rPr>
        <w:noBreakHyphen/>
        <w:t>metropolitan residential</w:t>
      </w:r>
      <w:r>
        <w:tab/>
      </w:r>
      <w:r>
        <w:fldChar w:fldCharType="begin"/>
      </w:r>
      <w:r>
        <w:instrText xml:space="preserve"> PAGEREF _Toc265743552 \h </w:instrText>
      </w:r>
      <w:r>
        <w:fldChar w:fldCharType="separate"/>
      </w:r>
      <w:r>
        <w:t>61</w:t>
      </w:r>
      <w:r>
        <w:fldChar w:fldCharType="end"/>
      </w:r>
    </w:p>
    <w:p>
      <w:pPr>
        <w:pStyle w:val="TOC8"/>
        <w:rPr>
          <w:sz w:val="24"/>
          <w:szCs w:val="24"/>
        </w:rPr>
      </w:pPr>
      <w:r>
        <w:rPr>
          <w:szCs w:val="22"/>
        </w:rPr>
        <w:tab/>
        <w:t>23.</w:t>
      </w:r>
      <w:r>
        <w:tab/>
      </w:r>
      <w:r>
        <w:fldChar w:fldCharType="begin"/>
      </w:r>
      <w:r>
        <w:instrText xml:space="preserve"> PAGEREF _Toc265743553 \h </w:instrText>
      </w:r>
      <w:r>
        <w:fldChar w:fldCharType="separate"/>
      </w:r>
      <w:r>
        <w:t>63</w:t>
      </w:r>
      <w:r>
        <w:fldChar w:fldCharType="end"/>
      </w:r>
    </w:p>
    <w:p>
      <w:pPr>
        <w:pStyle w:val="TOC8"/>
        <w:rPr>
          <w:sz w:val="24"/>
          <w:szCs w:val="24"/>
        </w:rPr>
      </w:pPr>
      <w:r>
        <w:rPr>
          <w:szCs w:val="22"/>
        </w:rPr>
        <w:tab/>
        <w:t>Community residential</w:t>
      </w:r>
      <w:r>
        <w:tab/>
      </w:r>
      <w:r>
        <w:fldChar w:fldCharType="begin"/>
      </w:r>
      <w:r>
        <w:instrText xml:space="preserve"> PAGEREF _Toc265743554 \h </w:instrText>
      </w:r>
      <w:r>
        <w:fldChar w:fldCharType="separate"/>
      </w:r>
      <w:r>
        <w:t>63</w:t>
      </w:r>
      <w:r>
        <w:fldChar w:fldCharType="end"/>
      </w:r>
    </w:p>
    <w:p>
      <w:pPr>
        <w:pStyle w:val="TOC8"/>
        <w:rPr>
          <w:sz w:val="24"/>
          <w:szCs w:val="24"/>
        </w:rPr>
      </w:pPr>
      <w:r>
        <w:rPr>
          <w:szCs w:val="22"/>
        </w:rPr>
        <w:tab/>
        <w:t>24.</w:t>
      </w:r>
      <w:r>
        <w:tab/>
      </w:r>
      <w:r>
        <w:fldChar w:fldCharType="begin"/>
      </w:r>
      <w:r>
        <w:instrText xml:space="preserve"> PAGEREF _Toc265743555 \h </w:instrText>
      </w:r>
      <w:r>
        <w:fldChar w:fldCharType="separate"/>
      </w:r>
      <w:r>
        <w:t>65</w:t>
      </w:r>
      <w:r>
        <w:fldChar w:fldCharType="end"/>
      </w:r>
    </w:p>
    <w:p>
      <w:pPr>
        <w:pStyle w:val="TOC8"/>
        <w:rPr>
          <w:sz w:val="24"/>
          <w:szCs w:val="24"/>
        </w:rPr>
      </w:pPr>
      <w:r>
        <w:rPr>
          <w:szCs w:val="22"/>
        </w:rPr>
        <w:tab/>
        <w:t>Metropolitan non</w:t>
      </w:r>
      <w:r>
        <w:rPr>
          <w:szCs w:val="22"/>
        </w:rPr>
        <w:noBreakHyphen/>
        <w:t>residential</w:t>
      </w:r>
      <w:r>
        <w:tab/>
      </w:r>
      <w:r>
        <w:fldChar w:fldCharType="begin"/>
      </w:r>
      <w:r>
        <w:instrText xml:space="preserve"> PAGEREF _Toc265743556 \h </w:instrText>
      </w:r>
      <w:r>
        <w:fldChar w:fldCharType="separate"/>
      </w:r>
      <w:r>
        <w:t>65</w:t>
      </w:r>
      <w:r>
        <w:fldChar w:fldCharType="end"/>
      </w:r>
    </w:p>
    <w:p>
      <w:pPr>
        <w:pStyle w:val="TOC8"/>
        <w:rPr>
          <w:sz w:val="24"/>
          <w:szCs w:val="24"/>
        </w:rPr>
      </w:pPr>
      <w:r>
        <w:rPr>
          <w:szCs w:val="22"/>
        </w:rPr>
        <w:tab/>
        <w:t>25.</w:t>
      </w:r>
      <w:r>
        <w:tab/>
      </w:r>
      <w:r>
        <w:fldChar w:fldCharType="begin"/>
      </w:r>
      <w:r>
        <w:instrText xml:space="preserve"> PAGEREF _Toc265743557 \h </w:instrText>
      </w:r>
      <w:r>
        <w:fldChar w:fldCharType="separate"/>
      </w:r>
      <w:r>
        <w:t>66</w:t>
      </w:r>
      <w:r>
        <w:fldChar w:fldCharType="end"/>
      </w:r>
    </w:p>
    <w:p>
      <w:pPr>
        <w:pStyle w:val="TOC8"/>
        <w:rPr>
          <w:sz w:val="24"/>
          <w:szCs w:val="24"/>
        </w:rPr>
      </w:pPr>
      <w:r>
        <w:rPr>
          <w:szCs w:val="22"/>
        </w:rPr>
        <w:tab/>
        <w:t>Connected metropolitan exempt</w:t>
      </w:r>
      <w:r>
        <w:tab/>
      </w:r>
      <w:r>
        <w:fldChar w:fldCharType="begin"/>
      </w:r>
      <w:r>
        <w:instrText xml:space="preserve"> PAGEREF _Toc265743558 \h </w:instrText>
      </w:r>
      <w:r>
        <w:fldChar w:fldCharType="separate"/>
      </w:r>
      <w:r>
        <w:t>66</w:t>
      </w:r>
      <w:r>
        <w:fldChar w:fldCharType="end"/>
      </w:r>
    </w:p>
    <w:p>
      <w:pPr>
        <w:pStyle w:val="TOC8"/>
        <w:rPr>
          <w:sz w:val="24"/>
          <w:szCs w:val="24"/>
        </w:rPr>
      </w:pPr>
      <w:r>
        <w:rPr>
          <w:szCs w:val="22"/>
        </w:rPr>
        <w:tab/>
        <w:t>26.</w:t>
      </w:r>
      <w:r>
        <w:tab/>
      </w:r>
      <w:r>
        <w:fldChar w:fldCharType="begin"/>
      </w:r>
      <w:r>
        <w:instrText xml:space="preserve"> PAGEREF _Toc265743559 \h </w:instrText>
      </w:r>
      <w:r>
        <w:fldChar w:fldCharType="separate"/>
      </w:r>
      <w:r>
        <w:t>66</w:t>
      </w:r>
      <w:r>
        <w:fldChar w:fldCharType="end"/>
      </w:r>
    </w:p>
    <w:p>
      <w:pPr>
        <w:pStyle w:val="TOC8"/>
        <w:rPr>
          <w:sz w:val="24"/>
          <w:szCs w:val="24"/>
        </w:rPr>
      </w:pPr>
      <w:r>
        <w:tab/>
        <w:t>Connected non</w:t>
      </w:r>
      <w:r>
        <w:noBreakHyphen/>
        <w:t>metropolitan residential exempt</w:t>
      </w:r>
      <w:r>
        <w:tab/>
      </w:r>
      <w:r>
        <w:fldChar w:fldCharType="begin"/>
      </w:r>
      <w:r>
        <w:instrText xml:space="preserve"> PAGEREF _Toc265743560 \h </w:instrText>
      </w:r>
      <w:r>
        <w:fldChar w:fldCharType="separate"/>
      </w:r>
      <w:r>
        <w:t>66</w:t>
      </w:r>
      <w:r>
        <w:fldChar w:fldCharType="end"/>
      </w:r>
    </w:p>
    <w:p>
      <w:pPr>
        <w:pStyle w:val="TOC8"/>
        <w:rPr>
          <w:sz w:val="24"/>
          <w:szCs w:val="24"/>
        </w:rPr>
      </w:pPr>
      <w:r>
        <w:rPr>
          <w:szCs w:val="22"/>
        </w:rPr>
        <w:tab/>
        <w:t>27.</w:t>
      </w:r>
      <w:r>
        <w:tab/>
      </w:r>
      <w:r>
        <w:fldChar w:fldCharType="begin"/>
      </w:r>
      <w:r>
        <w:instrText xml:space="preserve"> PAGEREF _Toc265743561 \h </w:instrText>
      </w:r>
      <w:r>
        <w:fldChar w:fldCharType="separate"/>
      </w:r>
      <w:r>
        <w:t>67</w:t>
      </w:r>
      <w:r>
        <w:fldChar w:fldCharType="end"/>
      </w:r>
    </w:p>
    <w:p>
      <w:pPr>
        <w:pStyle w:val="TOC8"/>
        <w:rPr>
          <w:sz w:val="24"/>
          <w:szCs w:val="24"/>
        </w:rPr>
      </w:pPr>
      <w:r>
        <w:rPr>
          <w:szCs w:val="22"/>
        </w:rPr>
        <w:tab/>
        <w:t>Non</w:t>
      </w:r>
      <w:r>
        <w:rPr>
          <w:szCs w:val="22"/>
        </w:rPr>
        <w:noBreakHyphen/>
        <w:t>metropolitan non</w:t>
      </w:r>
      <w:r>
        <w:rPr>
          <w:szCs w:val="22"/>
        </w:rPr>
        <w:noBreakHyphen/>
        <w:t>residential</w:t>
      </w:r>
      <w:r>
        <w:tab/>
      </w:r>
      <w:r>
        <w:fldChar w:fldCharType="begin"/>
      </w:r>
      <w:r>
        <w:instrText xml:space="preserve"> PAGEREF _Toc265743562 \h </w:instrText>
      </w:r>
      <w:r>
        <w:fldChar w:fldCharType="separate"/>
      </w:r>
      <w:r>
        <w:t>67</w:t>
      </w:r>
      <w:r>
        <w:fldChar w:fldCharType="end"/>
      </w:r>
    </w:p>
    <w:p>
      <w:pPr>
        <w:pStyle w:val="TOC8"/>
        <w:rPr>
          <w:sz w:val="24"/>
          <w:szCs w:val="24"/>
        </w:rPr>
      </w:pPr>
      <w:r>
        <w:rPr>
          <w:szCs w:val="22"/>
        </w:rPr>
        <w:tab/>
        <w:t>28.</w:t>
      </w:r>
      <w:r>
        <w:tab/>
      </w:r>
      <w:r>
        <w:fldChar w:fldCharType="begin"/>
      </w:r>
      <w:r>
        <w:instrText xml:space="preserve"> PAGEREF _Toc265743563 \h </w:instrText>
      </w:r>
      <w:r>
        <w:fldChar w:fldCharType="separate"/>
      </w:r>
      <w:r>
        <w:t>69</w:t>
      </w:r>
      <w:r>
        <w:fldChar w:fldCharType="end"/>
      </w:r>
    </w:p>
    <w:p>
      <w:pPr>
        <w:pStyle w:val="TOC8"/>
        <w:rPr>
          <w:sz w:val="24"/>
          <w:szCs w:val="24"/>
        </w:rPr>
      </w:pPr>
      <w:r>
        <w:rPr>
          <w:szCs w:val="22"/>
        </w:rPr>
        <w:tab/>
        <w:t>Coral Bay desalinated</w:t>
      </w:r>
      <w:r>
        <w:tab/>
      </w:r>
      <w:r>
        <w:fldChar w:fldCharType="begin"/>
      </w:r>
      <w:r>
        <w:instrText xml:space="preserve"> PAGEREF _Toc265743564 \h </w:instrText>
      </w:r>
      <w:r>
        <w:fldChar w:fldCharType="separate"/>
      </w:r>
      <w:r>
        <w:t>69</w:t>
      </w:r>
      <w:r>
        <w:fldChar w:fldCharType="end"/>
      </w:r>
    </w:p>
    <w:p>
      <w:pPr>
        <w:pStyle w:val="TOC8"/>
        <w:rPr>
          <w:sz w:val="24"/>
          <w:szCs w:val="24"/>
        </w:rPr>
      </w:pPr>
      <w:r>
        <w:rPr>
          <w:szCs w:val="22"/>
        </w:rPr>
        <w:tab/>
        <w:t>29.</w:t>
      </w:r>
      <w:r>
        <w:tab/>
      </w:r>
      <w:r>
        <w:fldChar w:fldCharType="begin"/>
      </w:r>
      <w:r>
        <w:instrText xml:space="preserve"> PAGEREF _Toc265743565 \h </w:instrText>
      </w:r>
      <w:r>
        <w:fldChar w:fldCharType="separate"/>
      </w:r>
      <w:r>
        <w:t>69</w:t>
      </w:r>
      <w:r>
        <w:fldChar w:fldCharType="end"/>
      </w:r>
    </w:p>
    <w:p>
      <w:pPr>
        <w:pStyle w:val="TOC8"/>
        <w:rPr>
          <w:sz w:val="24"/>
          <w:szCs w:val="24"/>
        </w:rPr>
      </w:pPr>
      <w:r>
        <w:rPr>
          <w:szCs w:val="22"/>
        </w:rPr>
        <w:tab/>
        <w:t>Denham desalinated</w:t>
      </w:r>
      <w:r>
        <w:tab/>
      </w:r>
      <w:r>
        <w:fldChar w:fldCharType="begin"/>
      </w:r>
      <w:r>
        <w:instrText xml:space="preserve"> PAGEREF _Toc265743566 \h </w:instrText>
      </w:r>
      <w:r>
        <w:fldChar w:fldCharType="separate"/>
      </w:r>
      <w:r>
        <w:t>69</w:t>
      </w:r>
      <w:r>
        <w:fldChar w:fldCharType="end"/>
      </w:r>
    </w:p>
    <w:p>
      <w:pPr>
        <w:pStyle w:val="TOC8"/>
        <w:rPr>
          <w:sz w:val="24"/>
          <w:szCs w:val="24"/>
        </w:rPr>
      </w:pPr>
      <w:r>
        <w:rPr>
          <w:szCs w:val="22"/>
        </w:rPr>
        <w:tab/>
        <w:t>30.</w:t>
      </w:r>
      <w:r>
        <w:tab/>
      </w:r>
      <w:r>
        <w:fldChar w:fldCharType="begin"/>
      </w:r>
      <w:r>
        <w:instrText xml:space="preserve"> PAGEREF _Toc265743567 \h </w:instrText>
      </w:r>
      <w:r>
        <w:fldChar w:fldCharType="separate"/>
      </w:r>
      <w:r>
        <w:t>70</w:t>
      </w:r>
      <w:r>
        <w:fldChar w:fldCharType="end"/>
      </w:r>
    </w:p>
    <w:p>
      <w:pPr>
        <w:pStyle w:val="TOC8"/>
        <w:rPr>
          <w:sz w:val="24"/>
          <w:szCs w:val="24"/>
        </w:rPr>
      </w:pPr>
      <w:r>
        <w:rPr>
          <w:szCs w:val="22"/>
        </w:rPr>
        <w:tab/>
        <w:t>Local government standpipes</w:t>
      </w:r>
      <w:r>
        <w:tab/>
      </w:r>
      <w:r>
        <w:fldChar w:fldCharType="begin"/>
      </w:r>
      <w:r>
        <w:instrText xml:space="preserve"> PAGEREF _Toc265743568 \h </w:instrText>
      </w:r>
      <w:r>
        <w:fldChar w:fldCharType="separate"/>
      </w:r>
      <w:r>
        <w:t>70</w:t>
      </w:r>
      <w:r>
        <w:fldChar w:fldCharType="end"/>
      </w:r>
    </w:p>
    <w:p>
      <w:pPr>
        <w:pStyle w:val="TOC8"/>
        <w:rPr>
          <w:sz w:val="24"/>
          <w:szCs w:val="24"/>
        </w:rPr>
      </w:pPr>
      <w:r>
        <w:rPr>
          <w:szCs w:val="22"/>
        </w:rPr>
        <w:tab/>
        <w:t>31.</w:t>
      </w:r>
      <w:r>
        <w:tab/>
      </w:r>
      <w:r>
        <w:fldChar w:fldCharType="begin"/>
      </w:r>
      <w:r>
        <w:instrText xml:space="preserve"> PAGEREF _Toc265743569 \h </w:instrText>
      </w:r>
      <w:r>
        <w:fldChar w:fldCharType="separate"/>
      </w:r>
      <w:r>
        <w:t>70</w:t>
      </w:r>
      <w:r>
        <w:fldChar w:fldCharType="end"/>
      </w:r>
    </w:p>
    <w:p>
      <w:pPr>
        <w:pStyle w:val="TOC8"/>
        <w:rPr>
          <w:sz w:val="24"/>
          <w:szCs w:val="24"/>
        </w:rPr>
      </w:pPr>
      <w:r>
        <w:rPr>
          <w:szCs w:val="22"/>
        </w:rPr>
        <w:tab/>
        <w:t>Shipping</w:t>
      </w:r>
      <w:r>
        <w:tab/>
      </w:r>
      <w:r>
        <w:fldChar w:fldCharType="begin"/>
      </w:r>
      <w:r>
        <w:instrText xml:space="preserve"> PAGEREF _Toc265743570 \h </w:instrText>
      </w:r>
      <w:r>
        <w:fldChar w:fldCharType="separate"/>
      </w:r>
      <w:r>
        <w:t>70</w:t>
      </w:r>
      <w:r>
        <w:fldChar w:fldCharType="end"/>
      </w:r>
    </w:p>
    <w:p>
      <w:pPr>
        <w:pStyle w:val="TOC8"/>
        <w:rPr>
          <w:sz w:val="24"/>
          <w:szCs w:val="24"/>
        </w:rPr>
      </w:pPr>
      <w:r>
        <w:rPr>
          <w:szCs w:val="22"/>
        </w:rPr>
        <w:tab/>
        <w:t>32.</w:t>
      </w:r>
      <w:r>
        <w:tab/>
      </w:r>
      <w:r>
        <w:fldChar w:fldCharType="begin"/>
      </w:r>
      <w:r>
        <w:instrText xml:space="preserve"> PAGEREF _Toc265743571 \h </w:instrText>
      </w:r>
      <w:r>
        <w:fldChar w:fldCharType="separate"/>
      </w:r>
      <w:r>
        <w:t>71</w:t>
      </w:r>
      <w:r>
        <w:fldChar w:fldCharType="end"/>
      </w:r>
    </w:p>
    <w:p>
      <w:pPr>
        <w:pStyle w:val="TOC8"/>
        <w:rPr>
          <w:sz w:val="24"/>
          <w:szCs w:val="24"/>
        </w:rPr>
      </w:pPr>
      <w:r>
        <w:rPr>
          <w:szCs w:val="22"/>
        </w:rPr>
        <w:tab/>
        <w:t>Stock</w:t>
      </w:r>
      <w:r>
        <w:tab/>
      </w:r>
      <w:r>
        <w:fldChar w:fldCharType="begin"/>
      </w:r>
      <w:r>
        <w:instrText xml:space="preserve"> PAGEREF _Toc265743572 \h </w:instrText>
      </w:r>
      <w:r>
        <w:fldChar w:fldCharType="separate"/>
      </w:r>
      <w:r>
        <w:t>71</w:t>
      </w:r>
      <w:r>
        <w:fldChar w:fldCharType="end"/>
      </w:r>
    </w:p>
    <w:p>
      <w:pPr>
        <w:pStyle w:val="TOC8"/>
        <w:rPr>
          <w:sz w:val="24"/>
          <w:szCs w:val="24"/>
        </w:rPr>
      </w:pPr>
      <w:r>
        <w:rPr>
          <w:szCs w:val="22"/>
        </w:rPr>
        <w:tab/>
        <w:t>33.</w:t>
      </w:r>
      <w:r>
        <w:tab/>
      </w:r>
      <w:r>
        <w:fldChar w:fldCharType="begin"/>
      </w:r>
      <w:r>
        <w:instrText xml:space="preserve"> PAGEREF _Toc265743573 \h </w:instrText>
      </w:r>
      <w:r>
        <w:fldChar w:fldCharType="separate"/>
      </w:r>
      <w:r>
        <w:t>72</w:t>
      </w:r>
      <w:r>
        <w:fldChar w:fldCharType="end"/>
      </w:r>
    </w:p>
    <w:p>
      <w:pPr>
        <w:pStyle w:val="TOC8"/>
        <w:rPr>
          <w:sz w:val="24"/>
          <w:szCs w:val="24"/>
        </w:rPr>
      </w:pPr>
      <w:r>
        <w:rPr>
          <w:szCs w:val="22"/>
        </w:rPr>
        <w:tab/>
        <w:t>Building</w:t>
      </w:r>
      <w:r>
        <w:tab/>
      </w:r>
      <w:r>
        <w:fldChar w:fldCharType="begin"/>
      </w:r>
      <w:r>
        <w:instrText xml:space="preserve"> PAGEREF _Toc265743574 \h </w:instrText>
      </w:r>
      <w:r>
        <w:fldChar w:fldCharType="separate"/>
      </w:r>
      <w:r>
        <w:t>72</w:t>
      </w:r>
      <w:r>
        <w:fldChar w:fldCharType="end"/>
      </w:r>
    </w:p>
    <w:p>
      <w:pPr>
        <w:pStyle w:val="TOC8"/>
        <w:rPr>
          <w:sz w:val="24"/>
          <w:szCs w:val="24"/>
        </w:rPr>
      </w:pPr>
      <w:r>
        <w:rPr>
          <w:szCs w:val="22"/>
        </w:rPr>
        <w:tab/>
        <w:t>34.</w:t>
      </w:r>
      <w:r>
        <w:tab/>
      </w:r>
      <w:r>
        <w:fldChar w:fldCharType="begin"/>
      </w:r>
      <w:r>
        <w:instrText xml:space="preserve"> PAGEREF _Toc265743575 \h </w:instrText>
      </w:r>
      <w:r>
        <w:fldChar w:fldCharType="separate"/>
      </w:r>
      <w:r>
        <w:t>72</w:t>
      </w:r>
      <w:r>
        <w:fldChar w:fldCharType="end"/>
      </w:r>
    </w:p>
    <w:p>
      <w:pPr>
        <w:pStyle w:val="TOC8"/>
        <w:rPr>
          <w:sz w:val="24"/>
          <w:szCs w:val="24"/>
        </w:rPr>
      </w:pPr>
      <w:r>
        <w:rPr>
          <w:szCs w:val="22"/>
        </w:rPr>
        <w:tab/>
        <w:t>Metropolitan hydrant standpipes</w:t>
      </w:r>
      <w:r>
        <w:tab/>
      </w:r>
      <w:r>
        <w:fldChar w:fldCharType="begin"/>
      </w:r>
      <w:r>
        <w:instrText xml:space="preserve"> PAGEREF _Toc265743576 \h </w:instrText>
      </w:r>
      <w:r>
        <w:fldChar w:fldCharType="separate"/>
      </w:r>
      <w:r>
        <w:t>72</w:t>
      </w:r>
      <w:r>
        <w:fldChar w:fldCharType="end"/>
      </w:r>
    </w:p>
    <w:p>
      <w:pPr>
        <w:pStyle w:val="TOC4"/>
        <w:tabs>
          <w:tab w:val="right" w:leader="dot" w:pos="7086"/>
        </w:tabs>
        <w:rPr>
          <w:b w:val="0"/>
          <w:sz w:val="24"/>
          <w:szCs w:val="24"/>
        </w:rPr>
      </w:pPr>
      <w:r>
        <w:rPr>
          <w:szCs w:val="24"/>
        </w:rPr>
        <w:t>Division 3</w:t>
      </w:r>
      <w:r>
        <w:rPr>
          <w:b w:val="0"/>
          <w:szCs w:val="24"/>
        </w:rPr>
        <w:t> — </w:t>
      </w:r>
      <w:r>
        <w:rPr>
          <w:szCs w:val="24"/>
        </w:rPr>
        <w:t>Formula for the purposes of by</w:t>
      </w:r>
      <w:r>
        <w:rPr>
          <w:szCs w:val="24"/>
        </w:rPr>
        <w:noBreakHyphen/>
        <w:t>law 17(3)</w:t>
      </w:r>
    </w:p>
    <w:p>
      <w:pPr>
        <w:pStyle w:val="TOC8"/>
        <w:rPr>
          <w:sz w:val="24"/>
          <w:szCs w:val="24"/>
        </w:rPr>
      </w:pPr>
      <w:r>
        <w:rPr>
          <w:szCs w:val="22"/>
        </w:rPr>
        <w:t>35.</w:t>
      </w:r>
      <w:r>
        <w:rPr>
          <w:szCs w:val="22"/>
        </w:rPr>
        <w:tab/>
        <w:t>Formula for the purposes of by</w:t>
      </w:r>
      <w:r>
        <w:rPr>
          <w:szCs w:val="22"/>
        </w:rPr>
        <w:noBreakHyphen/>
        <w:t>law 17(3)</w:t>
      </w:r>
      <w:r>
        <w:tab/>
      </w:r>
      <w:r>
        <w:fldChar w:fldCharType="begin"/>
      </w:r>
      <w:r>
        <w:instrText xml:space="preserve"> PAGEREF _Toc265743578 \h </w:instrText>
      </w:r>
      <w:r>
        <w:fldChar w:fldCharType="separate"/>
      </w:r>
      <w:r>
        <w:t>72</w:t>
      </w:r>
      <w:r>
        <w:fldChar w:fldCharType="end"/>
      </w:r>
    </w:p>
    <w:p>
      <w:pPr>
        <w:pStyle w:val="TOC4"/>
        <w:tabs>
          <w:tab w:val="right" w:leader="dot" w:pos="7086"/>
        </w:tabs>
        <w:rPr>
          <w:b w:val="0"/>
          <w:sz w:val="24"/>
          <w:szCs w:val="24"/>
        </w:rPr>
      </w:pPr>
      <w:r>
        <w:rPr>
          <w:szCs w:val="24"/>
        </w:rPr>
        <w:t>Division 4</w:t>
      </w:r>
      <w:r>
        <w:rPr>
          <w:b w:val="0"/>
          <w:szCs w:val="24"/>
        </w:rPr>
        <w:t> — </w:t>
      </w:r>
      <w:r>
        <w:rPr>
          <w:szCs w:val="24"/>
        </w:rPr>
        <w:t>Capital infrastructure charges determined under by</w:t>
      </w:r>
      <w:r>
        <w:rPr>
          <w:szCs w:val="24"/>
        </w:rPr>
        <w:noBreakHyphen/>
        <w:t>law 19A</w:t>
      </w:r>
    </w:p>
    <w:p>
      <w:pPr>
        <w:pStyle w:val="TOC8"/>
        <w:rPr>
          <w:sz w:val="24"/>
          <w:szCs w:val="24"/>
        </w:rPr>
      </w:pPr>
      <w:r>
        <w:rPr>
          <w:szCs w:val="22"/>
        </w:rPr>
        <w:t>36.</w:t>
      </w:r>
      <w:r>
        <w:rPr>
          <w:szCs w:val="22"/>
        </w:rPr>
        <w:tab/>
        <w:t>Capital infrastructure charges determined under by</w:t>
      </w:r>
      <w:r>
        <w:rPr>
          <w:szCs w:val="22"/>
        </w:rPr>
        <w:noBreakHyphen/>
        <w:t>law 19A</w:t>
      </w:r>
      <w:r>
        <w:tab/>
      </w:r>
      <w:r>
        <w:fldChar w:fldCharType="begin"/>
      </w:r>
      <w:r>
        <w:instrText xml:space="preserve"> PAGEREF _Toc265743580 \h </w:instrText>
      </w:r>
      <w:r>
        <w:fldChar w:fldCharType="separate"/>
      </w:r>
      <w:r>
        <w:t>73</w:t>
      </w:r>
      <w:r>
        <w:fldChar w:fldCharType="end"/>
      </w:r>
    </w:p>
    <w:p>
      <w:pPr>
        <w:pStyle w:val="TOC2"/>
        <w:tabs>
          <w:tab w:val="right" w:leader="dot" w:pos="7086"/>
        </w:tabs>
        <w:rPr>
          <w:b w:val="0"/>
          <w:sz w:val="24"/>
          <w:szCs w:val="24"/>
        </w:rPr>
      </w:pPr>
      <w:r>
        <w:rPr>
          <w:szCs w:val="28"/>
        </w:rPr>
        <w:tab/>
        <w:t xml:space="preserve">Schedule 2 — Charges for water supply under the </w:t>
      </w:r>
      <w:r>
        <w:rPr>
          <w:i/>
          <w:iCs/>
          <w:szCs w:val="28"/>
        </w:rPr>
        <w:t>Rights in Water and Irrigation Act 1914</w:t>
      </w:r>
      <w:r>
        <w:rPr>
          <w:szCs w:val="28"/>
        </w:rPr>
        <w:t xml:space="preserve"> for 2010/2011</w:t>
      </w:r>
    </w:p>
    <w:p>
      <w:pPr>
        <w:pStyle w:val="TOC4"/>
        <w:tabs>
          <w:tab w:val="right" w:leader="dot" w:pos="7086"/>
        </w:tabs>
        <w:rPr>
          <w:b w:val="0"/>
          <w:sz w:val="24"/>
          <w:szCs w:val="24"/>
        </w:rPr>
      </w:pPr>
      <w:r>
        <w:rPr>
          <w:szCs w:val="24"/>
        </w:rPr>
        <w:t>Division 1</w:t>
      </w:r>
      <w:r>
        <w:rPr>
          <w:b w:val="0"/>
          <w:szCs w:val="24"/>
        </w:rPr>
        <w:t> — </w:t>
      </w:r>
      <w:r>
        <w:rPr>
          <w:szCs w:val="24"/>
        </w:rPr>
        <w:t>Fixed charges</w:t>
      </w:r>
    </w:p>
    <w:p>
      <w:pPr>
        <w:pStyle w:val="TOC8"/>
        <w:rPr>
          <w:sz w:val="24"/>
          <w:szCs w:val="24"/>
        </w:rPr>
      </w:pPr>
      <w:r>
        <w:rPr>
          <w:szCs w:val="22"/>
        </w:rPr>
        <w:tab/>
        <w:t>1.</w:t>
      </w:r>
      <w:r>
        <w:tab/>
      </w:r>
      <w:r>
        <w:fldChar w:fldCharType="begin"/>
      </w:r>
      <w:r>
        <w:instrText xml:space="preserve"> PAGEREF _Toc265743583 \h </w:instrText>
      </w:r>
      <w:r>
        <w:fldChar w:fldCharType="separate"/>
      </w:r>
      <w:r>
        <w:t>74</w:t>
      </w:r>
      <w:r>
        <w:fldChar w:fldCharType="end"/>
      </w:r>
    </w:p>
    <w:p>
      <w:pPr>
        <w:pStyle w:val="TOC8"/>
        <w:rPr>
          <w:sz w:val="24"/>
          <w:szCs w:val="24"/>
        </w:rPr>
      </w:pPr>
      <w:r>
        <w:tab/>
        <w:t>Supply under the Ord Irrigation District By</w:t>
      </w:r>
      <w:r>
        <w:noBreakHyphen/>
        <w:t>laws 1963 by</w:t>
      </w:r>
      <w:r>
        <w:noBreakHyphen/>
        <w:t>law 31A other than under Division 2</w:t>
      </w:r>
      <w:r>
        <w:tab/>
      </w:r>
      <w:r>
        <w:fldChar w:fldCharType="begin"/>
      </w:r>
      <w:r>
        <w:instrText xml:space="preserve"> PAGEREF _Toc265743584 \h </w:instrText>
      </w:r>
      <w:r>
        <w:fldChar w:fldCharType="separate"/>
      </w:r>
      <w:r>
        <w:t>74</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Variable charges and charges by way of a rate</w:t>
      </w:r>
    </w:p>
    <w:p>
      <w:pPr>
        <w:pStyle w:val="TOC8"/>
        <w:rPr>
          <w:sz w:val="24"/>
          <w:szCs w:val="24"/>
        </w:rPr>
      </w:pPr>
      <w:r>
        <w:rPr>
          <w:szCs w:val="22"/>
        </w:rPr>
        <w:tab/>
        <w:t>2.</w:t>
      </w:r>
      <w:r>
        <w:tab/>
      </w:r>
      <w:r>
        <w:fldChar w:fldCharType="begin"/>
      </w:r>
      <w:r>
        <w:instrText xml:space="preserve"> PAGEREF _Toc265743586 \h </w:instrText>
      </w:r>
      <w:r>
        <w:fldChar w:fldCharType="separate"/>
      </w:r>
      <w:r>
        <w:t>74</w:t>
      </w:r>
      <w:r>
        <w:fldChar w:fldCharType="end"/>
      </w:r>
    </w:p>
    <w:p>
      <w:pPr>
        <w:pStyle w:val="TOC8"/>
        <w:rPr>
          <w:sz w:val="24"/>
          <w:szCs w:val="24"/>
        </w:rPr>
      </w:pPr>
      <w:r>
        <w:tab/>
        <w:t>Supply under the Ord Irrigation District By</w:t>
      </w:r>
      <w:r>
        <w:noBreakHyphen/>
        <w:t>laws 1963 by</w:t>
      </w:r>
      <w:r>
        <w:noBreakHyphen/>
        <w:t>law 31A</w:t>
      </w:r>
      <w:r>
        <w:tab/>
      </w:r>
      <w:r>
        <w:fldChar w:fldCharType="begin"/>
      </w:r>
      <w:r>
        <w:instrText xml:space="preserve"> PAGEREF _Toc265743587 \h </w:instrText>
      </w:r>
      <w:r>
        <w:fldChar w:fldCharType="separate"/>
      </w:r>
      <w:r>
        <w:t>74</w:t>
      </w:r>
      <w:r>
        <w:fldChar w:fldCharType="end"/>
      </w:r>
    </w:p>
    <w:p>
      <w:pPr>
        <w:pStyle w:val="TOC2"/>
        <w:tabs>
          <w:tab w:val="right" w:leader="dot" w:pos="7086"/>
        </w:tabs>
        <w:rPr>
          <w:b w:val="0"/>
          <w:sz w:val="24"/>
          <w:szCs w:val="24"/>
        </w:rPr>
      </w:pPr>
      <w:r>
        <w:rPr>
          <w:szCs w:val="28"/>
        </w:rPr>
        <w:tab/>
        <w:t>Schedule 3 — Charges for sewerage for 2010/2011</w:t>
      </w:r>
    </w:p>
    <w:p>
      <w:pPr>
        <w:pStyle w:val="TOC4"/>
        <w:tabs>
          <w:tab w:val="right" w:leader="dot" w:pos="7086"/>
        </w:tabs>
        <w:rPr>
          <w:b w:val="0"/>
          <w:sz w:val="24"/>
          <w:szCs w:val="24"/>
        </w:rPr>
      </w:pPr>
      <w:r>
        <w:rPr>
          <w:szCs w:val="24"/>
        </w:rPr>
        <w:t>Division 1</w:t>
      </w:r>
      <w:r>
        <w:rPr>
          <w:b w:val="0"/>
          <w:szCs w:val="24"/>
        </w:rPr>
        <w:t> — </w:t>
      </w:r>
      <w:r>
        <w:rPr>
          <w:szCs w:val="24"/>
        </w:rPr>
        <w:t>Fixed charges</w:t>
      </w:r>
    </w:p>
    <w:p>
      <w:pPr>
        <w:pStyle w:val="TOC8"/>
        <w:rPr>
          <w:sz w:val="24"/>
          <w:szCs w:val="24"/>
        </w:rPr>
      </w:pPr>
      <w:r>
        <w:rPr>
          <w:szCs w:val="22"/>
        </w:rPr>
        <w:tab/>
        <w:t>1.</w:t>
      </w:r>
      <w:r>
        <w:tab/>
      </w:r>
      <w:r>
        <w:fldChar w:fldCharType="begin"/>
      </w:r>
      <w:r>
        <w:instrText xml:space="preserve"> PAGEREF _Toc265743590 \h </w:instrText>
      </w:r>
      <w:r>
        <w:fldChar w:fldCharType="separate"/>
      </w:r>
      <w:r>
        <w:t>76</w:t>
      </w:r>
      <w:r>
        <w:fldChar w:fldCharType="end"/>
      </w:r>
    </w:p>
    <w:p>
      <w:pPr>
        <w:pStyle w:val="TOC8"/>
        <w:rPr>
          <w:sz w:val="24"/>
          <w:szCs w:val="24"/>
        </w:rPr>
      </w:pPr>
      <w:r>
        <w:rPr>
          <w:szCs w:val="22"/>
        </w:rPr>
        <w:tab/>
        <w:t>Connected metropolitan exempt</w:t>
      </w:r>
      <w:r>
        <w:tab/>
      </w:r>
      <w:r>
        <w:fldChar w:fldCharType="begin"/>
      </w:r>
      <w:r>
        <w:instrText xml:space="preserve"> PAGEREF _Toc265743591 \h </w:instrText>
      </w:r>
      <w:r>
        <w:fldChar w:fldCharType="separate"/>
      </w:r>
      <w:r>
        <w:t>76</w:t>
      </w:r>
      <w:r>
        <w:fldChar w:fldCharType="end"/>
      </w:r>
    </w:p>
    <w:p>
      <w:pPr>
        <w:pStyle w:val="TOC8"/>
        <w:rPr>
          <w:sz w:val="24"/>
          <w:szCs w:val="24"/>
        </w:rPr>
      </w:pPr>
      <w:r>
        <w:rPr>
          <w:szCs w:val="22"/>
        </w:rPr>
        <w:tab/>
        <w:t>2.</w:t>
      </w:r>
      <w:r>
        <w:tab/>
      </w:r>
      <w:r>
        <w:fldChar w:fldCharType="begin"/>
      </w:r>
      <w:r>
        <w:instrText xml:space="preserve"> PAGEREF _Toc265743592 \h </w:instrText>
      </w:r>
      <w:r>
        <w:fldChar w:fldCharType="separate"/>
      </w:r>
      <w:r>
        <w:t>76</w:t>
      </w:r>
      <w:r>
        <w:fldChar w:fldCharType="end"/>
      </w:r>
    </w:p>
    <w:p>
      <w:pPr>
        <w:pStyle w:val="TOC8"/>
        <w:rPr>
          <w:sz w:val="24"/>
          <w:szCs w:val="24"/>
        </w:rPr>
      </w:pPr>
      <w:r>
        <w:rPr>
          <w:szCs w:val="22"/>
        </w:rPr>
        <w:tab/>
        <w:t>Connected country exempt</w:t>
      </w:r>
      <w:r>
        <w:tab/>
      </w:r>
      <w:r>
        <w:fldChar w:fldCharType="begin"/>
      </w:r>
      <w:r>
        <w:instrText xml:space="preserve"> PAGEREF _Toc265743593 \h </w:instrText>
      </w:r>
      <w:r>
        <w:fldChar w:fldCharType="separate"/>
      </w:r>
      <w:r>
        <w:t>76</w:t>
      </w:r>
      <w:r>
        <w:fldChar w:fldCharType="end"/>
      </w:r>
    </w:p>
    <w:p>
      <w:pPr>
        <w:pStyle w:val="TOC8"/>
        <w:rPr>
          <w:sz w:val="24"/>
          <w:szCs w:val="24"/>
        </w:rPr>
      </w:pPr>
      <w:r>
        <w:rPr>
          <w:szCs w:val="22"/>
        </w:rPr>
        <w:tab/>
        <w:t>3.</w:t>
      </w:r>
      <w:r>
        <w:tab/>
      </w:r>
      <w:r>
        <w:fldChar w:fldCharType="begin"/>
      </w:r>
      <w:r>
        <w:instrText xml:space="preserve"> PAGEREF _Toc265743594 \h </w:instrText>
      </w:r>
      <w:r>
        <w:fldChar w:fldCharType="separate"/>
      </w:r>
      <w:r>
        <w:t>77</w:t>
      </w:r>
      <w:r>
        <w:fldChar w:fldCharType="end"/>
      </w:r>
    </w:p>
    <w:p>
      <w:pPr>
        <w:pStyle w:val="TOC8"/>
        <w:rPr>
          <w:sz w:val="24"/>
          <w:szCs w:val="24"/>
        </w:rPr>
      </w:pPr>
      <w:r>
        <w:rPr>
          <w:szCs w:val="22"/>
        </w:rPr>
        <w:tab/>
        <w:t>Strata</w:t>
      </w:r>
      <w:r>
        <w:rPr>
          <w:szCs w:val="22"/>
        </w:rPr>
        <w:noBreakHyphen/>
        <w:t>titled caravan bay</w:t>
      </w:r>
      <w:r>
        <w:tab/>
      </w:r>
      <w:r>
        <w:fldChar w:fldCharType="begin"/>
      </w:r>
      <w:r>
        <w:instrText xml:space="preserve"> PAGEREF _Toc265743595 \h </w:instrText>
      </w:r>
      <w:r>
        <w:fldChar w:fldCharType="separate"/>
      </w:r>
      <w:r>
        <w:t>77</w:t>
      </w:r>
      <w:r>
        <w:fldChar w:fldCharType="end"/>
      </w:r>
    </w:p>
    <w:p>
      <w:pPr>
        <w:pStyle w:val="TOC8"/>
        <w:rPr>
          <w:sz w:val="24"/>
          <w:szCs w:val="24"/>
        </w:rPr>
      </w:pPr>
      <w:r>
        <w:rPr>
          <w:szCs w:val="22"/>
        </w:rPr>
        <w:tab/>
        <w:t>4.</w:t>
      </w:r>
      <w:r>
        <w:tab/>
      </w:r>
      <w:r>
        <w:fldChar w:fldCharType="begin"/>
      </w:r>
      <w:r>
        <w:instrText xml:space="preserve"> PAGEREF _Toc265743596 \h </w:instrText>
      </w:r>
      <w:r>
        <w:fldChar w:fldCharType="separate"/>
      </w:r>
      <w:r>
        <w:t>77</w:t>
      </w:r>
      <w:r>
        <w:fldChar w:fldCharType="end"/>
      </w:r>
    </w:p>
    <w:p>
      <w:pPr>
        <w:pStyle w:val="TOC8"/>
        <w:rPr>
          <w:sz w:val="24"/>
          <w:szCs w:val="24"/>
        </w:rPr>
      </w:pPr>
      <w:r>
        <w:tab/>
        <w:t>Strata</w:t>
      </w:r>
      <w:r>
        <w:noBreakHyphen/>
        <w:t>titled storage unit and strata</w:t>
      </w:r>
      <w:r>
        <w:noBreakHyphen/>
        <w:t>titled parking bay</w:t>
      </w:r>
      <w:r>
        <w:tab/>
      </w:r>
      <w:r>
        <w:fldChar w:fldCharType="begin"/>
      </w:r>
      <w:r>
        <w:instrText xml:space="preserve"> PAGEREF _Toc265743597 \h </w:instrText>
      </w:r>
      <w:r>
        <w:fldChar w:fldCharType="separate"/>
      </w:r>
      <w:r>
        <w:t>77</w:t>
      </w:r>
      <w:r>
        <w:fldChar w:fldCharType="end"/>
      </w:r>
    </w:p>
    <w:p>
      <w:pPr>
        <w:pStyle w:val="TOC8"/>
        <w:rPr>
          <w:sz w:val="24"/>
          <w:szCs w:val="24"/>
        </w:rPr>
      </w:pPr>
      <w:r>
        <w:rPr>
          <w:szCs w:val="22"/>
        </w:rPr>
        <w:tab/>
        <w:t>5.</w:t>
      </w:r>
      <w:r>
        <w:tab/>
      </w:r>
      <w:r>
        <w:fldChar w:fldCharType="begin"/>
      </w:r>
      <w:r>
        <w:instrText xml:space="preserve"> PAGEREF _Toc265743598 \h </w:instrText>
      </w:r>
      <w:r>
        <w:fldChar w:fldCharType="separate"/>
      </w:r>
      <w:r>
        <w:t>77</w:t>
      </w:r>
      <w:r>
        <w:fldChar w:fldCharType="end"/>
      </w:r>
    </w:p>
    <w:p>
      <w:pPr>
        <w:pStyle w:val="TOC8"/>
        <w:rPr>
          <w:sz w:val="24"/>
          <w:szCs w:val="24"/>
        </w:rPr>
      </w:pPr>
      <w:r>
        <w:tab/>
        <w:t>Non</w:t>
      </w:r>
      <w:r>
        <w:noBreakHyphen/>
        <w:t>residential strata</w:t>
      </w:r>
      <w:r>
        <w:noBreakHyphen/>
        <w:t>titled unit (except a storage unit or parking bay)</w:t>
      </w:r>
      <w:r>
        <w:tab/>
      </w:r>
      <w:r>
        <w:fldChar w:fldCharType="begin"/>
      </w:r>
      <w:r>
        <w:instrText xml:space="preserve"> PAGEREF _Toc265743599 \h </w:instrText>
      </w:r>
      <w:r>
        <w:fldChar w:fldCharType="separate"/>
      </w:r>
      <w:r>
        <w:t>77</w:t>
      </w:r>
      <w:r>
        <w:fldChar w:fldCharType="end"/>
      </w:r>
    </w:p>
    <w:p>
      <w:pPr>
        <w:pStyle w:val="TOC8"/>
        <w:rPr>
          <w:sz w:val="24"/>
          <w:szCs w:val="24"/>
        </w:rPr>
      </w:pPr>
      <w:r>
        <w:rPr>
          <w:szCs w:val="22"/>
        </w:rPr>
        <w:tab/>
        <w:t>6.</w:t>
      </w:r>
      <w:r>
        <w:tab/>
      </w:r>
      <w:r>
        <w:fldChar w:fldCharType="begin"/>
      </w:r>
      <w:r>
        <w:instrText xml:space="preserve"> PAGEREF _Toc265743600 \h </w:instrText>
      </w:r>
      <w:r>
        <w:fldChar w:fldCharType="separate"/>
      </w:r>
      <w:r>
        <w:t>78</w:t>
      </w:r>
      <w:r>
        <w:fldChar w:fldCharType="end"/>
      </w:r>
    </w:p>
    <w:p>
      <w:pPr>
        <w:pStyle w:val="TOC8"/>
        <w:rPr>
          <w:sz w:val="24"/>
          <w:szCs w:val="24"/>
        </w:rPr>
      </w:pPr>
      <w:r>
        <w:tab/>
        <w:t>Land from which industrial waste is discharged into a sewer of the Corporation</w:t>
      </w:r>
      <w:r>
        <w:tab/>
      </w:r>
      <w:r>
        <w:fldChar w:fldCharType="begin"/>
      </w:r>
      <w:r>
        <w:instrText xml:space="preserve"> PAGEREF _Toc265743601 \h </w:instrText>
      </w:r>
      <w:r>
        <w:fldChar w:fldCharType="separate"/>
      </w:r>
      <w:r>
        <w:t>78</w:t>
      </w:r>
      <w:r>
        <w:fldChar w:fldCharType="end"/>
      </w:r>
    </w:p>
    <w:p>
      <w:pPr>
        <w:pStyle w:val="TOC8"/>
        <w:rPr>
          <w:sz w:val="24"/>
          <w:szCs w:val="24"/>
        </w:rPr>
      </w:pPr>
      <w:r>
        <w:rPr>
          <w:szCs w:val="22"/>
        </w:rPr>
        <w:tab/>
        <w:t>7.</w:t>
      </w:r>
      <w:r>
        <w:tab/>
      </w:r>
      <w:r>
        <w:fldChar w:fldCharType="begin"/>
      </w:r>
      <w:r>
        <w:instrText xml:space="preserve"> PAGEREF _Toc265743602 \h </w:instrText>
      </w:r>
      <w:r>
        <w:fldChar w:fldCharType="separate"/>
      </w:r>
      <w:r>
        <w:t>78</w:t>
      </w:r>
      <w:r>
        <w:fldChar w:fldCharType="end"/>
      </w:r>
    </w:p>
    <w:p>
      <w:pPr>
        <w:pStyle w:val="TOC8"/>
        <w:rPr>
          <w:sz w:val="24"/>
          <w:szCs w:val="24"/>
        </w:rPr>
      </w:pPr>
      <w:r>
        <w:tab/>
        <w:t>Land from which industrial waste is discharged into a sewer of the Corporation through grease arrestor</w:t>
      </w:r>
      <w:r>
        <w:tab/>
      </w:r>
      <w:r>
        <w:fldChar w:fldCharType="begin"/>
      </w:r>
      <w:r>
        <w:instrText xml:space="preserve"> PAGEREF _Toc265743603 \h </w:instrText>
      </w:r>
      <w:r>
        <w:fldChar w:fldCharType="separate"/>
      </w:r>
      <w:r>
        <w:t>78</w:t>
      </w:r>
      <w:r>
        <w:fldChar w:fldCharType="end"/>
      </w:r>
    </w:p>
    <w:p>
      <w:pPr>
        <w:pStyle w:val="TOC4"/>
        <w:tabs>
          <w:tab w:val="right" w:leader="dot" w:pos="7086"/>
        </w:tabs>
        <w:rPr>
          <w:b w:val="0"/>
          <w:sz w:val="24"/>
          <w:szCs w:val="24"/>
        </w:rPr>
      </w:pPr>
      <w:r>
        <w:rPr>
          <w:szCs w:val="24"/>
        </w:rPr>
        <w:t>Division 2 — Variable charges and charges by way of a rate</w:t>
      </w:r>
    </w:p>
    <w:p>
      <w:pPr>
        <w:pStyle w:val="TOC8"/>
        <w:rPr>
          <w:sz w:val="24"/>
          <w:szCs w:val="24"/>
        </w:rPr>
      </w:pPr>
      <w:r>
        <w:rPr>
          <w:szCs w:val="22"/>
        </w:rPr>
        <w:tab/>
        <w:t>8.</w:t>
      </w:r>
      <w:r>
        <w:tab/>
      </w:r>
      <w:r>
        <w:fldChar w:fldCharType="begin"/>
      </w:r>
      <w:r>
        <w:instrText xml:space="preserve"> PAGEREF _Toc265743605 \h </w:instrText>
      </w:r>
      <w:r>
        <w:fldChar w:fldCharType="separate"/>
      </w:r>
      <w:r>
        <w:t>79</w:t>
      </w:r>
      <w:r>
        <w:fldChar w:fldCharType="end"/>
      </w:r>
    </w:p>
    <w:p>
      <w:pPr>
        <w:pStyle w:val="TOC8"/>
        <w:rPr>
          <w:sz w:val="24"/>
          <w:szCs w:val="24"/>
        </w:rPr>
      </w:pPr>
      <w:r>
        <w:rPr>
          <w:szCs w:val="22"/>
        </w:rPr>
        <w:tab/>
        <w:t>Metropolitan residential</w:t>
      </w:r>
      <w:r>
        <w:tab/>
      </w:r>
      <w:r>
        <w:fldChar w:fldCharType="begin"/>
      </w:r>
      <w:r>
        <w:instrText xml:space="preserve"> PAGEREF _Toc265743606 \h </w:instrText>
      </w:r>
      <w:r>
        <w:fldChar w:fldCharType="separate"/>
      </w:r>
      <w:r>
        <w:t>79</w:t>
      </w:r>
      <w:r>
        <w:fldChar w:fldCharType="end"/>
      </w:r>
    </w:p>
    <w:p>
      <w:pPr>
        <w:pStyle w:val="TOC8"/>
        <w:rPr>
          <w:sz w:val="24"/>
          <w:szCs w:val="24"/>
        </w:rPr>
      </w:pPr>
      <w:r>
        <w:rPr>
          <w:szCs w:val="22"/>
        </w:rPr>
        <w:tab/>
        <w:t>9.</w:t>
      </w:r>
      <w:r>
        <w:tab/>
      </w:r>
      <w:r>
        <w:fldChar w:fldCharType="begin"/>
      </w:r>
      <w:r>
        <w:instrText xml:space="preserve"> PAGEREF _Toc265743607 \h </w:instrText>
      </w:r>
      <w:r>
        <w:fldChar w:fldCharType="separate"/>
      </w:r>
      <w:r>
        <w:t>79</w:t>
      </w:r>
      <w:r>
        <w:fldChar w:fldCharType="end"/>
      </w:r>
    </w:p>
    <w:p>
      <w:pPr>
        <w:pStyle w:val="TOC8"/>
        <w:rPr>
          <w:sz w:val="24"/>
          <w:szCs w:val="24"/>
        </w:rPr>
      </w:pPr>
      <w:r>
        <w:tab/>
        <w:t>Vacant metropolitan non</w:t>
      </w:r>
      <w:r>
        <w:noBreakHyphen/>
        <w:t>residential</w:t>
      </w:r>
      <w:r>
        <w:tab/>
      </w:r>
      <w:r>
        <w:fldChar w:fldCharType="begin"/>
      </w:r>
      <w:r>
        <w:instrText xml:space="preserve"> PAGEREF _Toc265743608 \h </w:instrText>
      </w:r>
      <w:r>
        <w:fldChar w:fldCharType="separate"/>
      </w:r>
      <w:r>
        <w:t>79</w:t>
      </w:r>
      <w:r>
        <w:fldChar w:fldCharType="end"/>
      </w:r>
    </w:p>
    <w:p>
      <w:pPr>
        <w:pStyle w:val="TOC8"/>
        <w:rPr>
          <w:sz w:val="24"/>
          <w:szCs w:val="24"/>
        </w:rPr>
      </w:pPr>
      <w:r>
        <w:rPr>
          <w:szCs w:val="22"/>
        </w:rPr>
        <w:tab/>
        <w:t>10.</w:t>
      </w:r>
      <w:r>
        <w:tab/>
      </w:r>
      <w:r>
        <w:fldChar w:fldCharType="begin"/>
      </w:r>
      <w:r>
        <w:instrText xml:space="preserve"> PAGEREF _Toc265743609 \h </w:instrText>
      </w:r>
      <w:r>
        <w:fldChar w:fldCharType="separate"/>
      </w:r>
      <w:r>
        <w:t>79</w:t>
      </w:r>
      <w:r>
        <w:fldChar w:fldCharType="end"/>
      </w:r>
    </w:p>
    <w:p>
      <w:pPr>
        <w:pStyle w:val="TOC8"/>
        <w:rPr>
          <w:sz w:val="24"/>
          <w:szCs w:val="24"/>
        </w:rPr>
      </w:pPr>
      <w:r>
        <w:rPr>
          <w:szCs w:val="22"/>
        </w:rPr>
        <w:tab/>
        <w:t>Country</w:t>
      </w:r>
      <w:r>
        <w:tab/>
      </w:r>
      <w:r>
        <w:fldChar w:fldCharType="begin"/>
      </w:r>
      <w:r>
        <w:instrText xml:space="preserve"> PAGEREF _Toc265743610 \h </w:instrText>
      </w:r>
      <w:r>
        <w:fldChar w:fldCharType="separate"/>
      </w:r>
      <w:r>
        <w:t>79</w:t>
      </w:r>
      <w:r>
        <w:fldChar w:fldCharType="end"/>
      </w:r>
    </w:p>
    <w:p>
      <w:pPr>
        <w:pStyle w:val="TOC4"/>
        <w:tabs>
          <w:tab w:val="right" w:leader="dot" w:pos="7086"/>
        </w:tabs>
        <w:rPr>
          <w:b w:val="0"/>
          <w:sz w:val="24"/>
          <w:szCs w:val="24"/>
        </w:rPr>
      </w:pPr>
      <w:r>
        <w:rPr>
          <w:szCs w:val="24"/>
        </w:rPr>
        <w:t>Division 3</w:t>
      </w:r>
      <w:r>
        <w:rPr>
          <w:b w:val="0"/>
          <w:szCs w:val="24"/>
        </w:rPr>
        <w:t> — </w:t>
      </w:r>
      <w:r>
        <w:rPr>
          <w:szCs w:val="24"/>
        </w:rPr>
        <w:t>Variable charges</w:t>
      </w:r>
    </w:p>
    <w:p>
      <w:pPr>
        <w:pStyle w:val="TOC8"/>
        <w:rPr>
          <w:sz w:val="24"/>
          <w:szCs w:val="24"/>
        </w:rPr>
      </w:pPr>
      <w:r>
        <w:rPr>
          <w:szCs w:val="22"/>
        </w:rPr>
        <w:tab/>
        <w:t>11.</w:t>
      </w:r>
      <w:r>
        <w:tab/>
      </w:r>
      <w:r>
        <w:fldChar w:fldCharType="begin"/>
      </w:r>
      <w:r>
        <w:instrText xml:space="preserve"> PAGEREF _Toc265743612 \h </w:instrText>
      </w:r>
      <w:r>
        <w:fldChar w:fldCharType="separate"/>
      </w:r>
      <w:r>
        <w:t>84</w:t>
      </w:r>
      <w:r>
        <w:fldChar w:fldCharType="end"/>
      </w:r>
    </w:p>
    <w:p>
      <w:pPr>
        <w:pStyle w:val="TOC8"/>
        <w:rPr>
          <w:sz w:val="24"/>
          <w:szCs w:val="24"/>
        </w:rPr>
      </w:pPr>
      <w:r>
        <w:tab/>
        <w:t>Industrial waste discharged into a sewer of the Corporation pursuant to a permit</w:t>
      </w:r>
      <w:r>
        <w:tab/>
      </w:r>
      <w:r>
        <w:fldChar w:fldCharType="begin"/>
      </w:r>
      <w:r>
        <w:instrText xml:space="preserve"> PAGEREF _Toc265743613 \h </w:instrText>
      </w:r>
      <w:r>
        <w:fldChar w:fldCharType="separate"/>
      </w:r>
      <w:r>
        <w:t>84</w:t>
      </w:r>
      <w:r>
        <w:fldChar w:fldCharType="end"/>
      </w:r>
    </w:p>
    <w:p>
      <w:pPr>
        <w:pStyle w:val="TOC8"/>
        <w:rPr>
          <w:sz w:val="24"/>
          <w:szCs w:val="24"/>
        </w:rPr>
      </w:pPr>
      <w:r>
        <w:rPr>
          <w:szCs w:val="22"/>
        </w:rPr>
        <w:tab/>
        <w:t>12.</w:t>
      </w:r>
      <w:r>
        <w:tab/>
      </w:r>
      <w:r>
        <w:fldChar w:fldCharType="begin"/>
      </w:r>
      <w:r>
        <w:instrText xml:space="preserve"> PAGEREF _Toc265743614 \h </w:instrText>
      </w:r>
      <w:r>
        <w:fldChar w:fldCharType="separate"/>
      </w:r>
      <w:r>
        <w:t>89</w:t>
      </w:r>
      <w:r>
        <w:fldChar w:fldCharType="end"/>
      </w:r>
    </w:p>
    <w:p>
      <w:pPr>
        <w:pStyle w:val="TOC8"/>
        <w:rPr>
          <w:sz w:val="24"/>
          <w:szCs w:val="24"/>
        </w:rPr>
      </w:pPr>
      <w:r>
        <w:tab/>
        <w:t>Effluent discharged from a septic tank effluent pumping system into a sewer of the Corporation</w:t>
      </w:r>
      <w:r>
        <w:tab/>
      </w:r>
      <w:r>
        <w:fldChar w:fldCharType="begin"/>
      </w:r>
      <w:r>
        <w:instrText xml:space="preserve"> PAGEREF _Toc265743615 \h </w:instrText>
      </w:r>
      <w:r>
        <w:fldChar w:fldCharType="separate"/>
      </w:r>
      <w:r>
        <w:t>89</w:t>
      </w:r>
      <w:r>
        <w:fldChar w:fldCharType="end"/>
      </w:r>
    </w:p>
    <w:p>
      <w:pPr>
        <w:pStyle w:val="TOC4"/>
        <w:tabs>
          <w:tab w:val="right" w:leader="dot" w:pos="7086"/>
        </w:tabs>
        <w:rPr>
          <w:b w:val="0"/>
          <w:sz w:val="24"/>
          <w:szCs w:val="24"/>
        </w:rPr>
      </w:pPr>
      <w:r>
        <w:rPr>
          <w:szCs w:val="24"/>
        </w:rPr>
        <w:t>Division 4</w:t>
      </w:r>
      <w:r>
        <w:rPr>
          <w:b w:val="0"/>
          <w:szCs w:val="24"/>
        </w:rPr>
        <w:t> — </w:t>
      </w:r>
      <w:r>
        <w:rPr>
          <w:szCs w:val="24"/>
        </w:rPr>
        <w:t>Metropolitan combined charges</w:t>
      </w:r>
    </w:p>
    <w:p>
      <w:pPr>
        <w:pStyle w:val="TOC8"/>
        <w:rPr>
          <w:sz w:val="24"/>
          <w:szCs w:val="24"/>
        </w:rPr>
      </w:pPr>
      <w:r>
        <w:rPr>
          <w:szCs w:val="22"/>
        </w:rPr>
        <w:t>13.</w:t>
      </w:r>
      <w:r>
        <w:rPr>
          <w:szCs w:val="22"/>
        </w:rPr>
        <w:tab/>
        <w:t>Metropolitan non</w:t>
      </w:r>
      <w:r>
        <w:rPr>
          <w:szCs w:val="22"/>
        </w:rPr>
        <w:noBreakHyphen/>
        <w:t>residential (other than vacant land)</w:t>
      </w:r>
      <w:r>
        <w:tab/>
      </w:r>
      <w:r>
        <w:fldChar w:fldCharType="begin"/>
      </w:r>
      <w:r>
        <w:instrText xml:space="preserve"> PAGEREF _Toc265743617 \h </w:instrText>
      </w:r>
      <w:r>
        <w:fldChar w:fldCharType="separate"/>
      </w:r>
      <w:r>
        <w:t>89</w:t>
      </w:r>
      <w:r>
        <w:fldChar w:fldCharType="end"/>
      </w:r>
    </w:p>
    <w:p>
      <w:pPr>
        <w:pStyle w:val="TOC8"/>
        <w:rPr>
          <w:sz w:val="24"/>
          <w:szCs w:val="24"/>
        </w:rPr>
      </w:pPr>
      <w:r>
        <w:rPr>
          <w:szCs w:val="22"/>
        </w:rPr>
        <w:t>14.</w:t>
      </w:r>
      <w:r>
        <w:rPr>
          <w:szCs w:val="22"/>
        </w:rPr>
        <w:tab/>
        <w:t>Metropolitan Government trading organisation and non</w:t>
      </w:r>
      <w:r>
        <w:rPr>
          <w:szCs w:val="22"/>
        </w:rPr>
        <w:noBreakHyphen/>
        <w:t>commercial Government property</w:t>
      </w:r>
      <w:r>
        <w:tab/>
      </w:r>
      <w:r>
        <w:fldChar w:fldCharType="begin"/>
      </w:r>
      <w:r>
        <w:instrText xml:space="preserve"> PAGEREF _Toc265743618 \h </w:instrText>
      </w:r>
      <w:r>
        <w:fldChar w:fldCharType="separate"/>
      </w:r>
      <w:r>
        <w:t>90</w:t>
      </w:r>
      <w:r>
        <w:fldChar w:fldCharType="end"/>
      </w:r>
    </w:p>
    <w:p>
      <w:pPr>
        <w:pStyle w:val="TOC8"/>
        <w:rPr>
          <w:sz w:val="24"/>
          <w:szCs w:val="24"/>
        </w:rPr>
      </w:pPr>
      <w:r>
        <w:rPr>
          <w:szCs w:val="22"/>
        </w:rPr>
        <w:t>15.</w:t>
      </w:r>
      <w:r>
        <w:rPr>
          <w:szCs w:val="22"/>
        </w:rPr>
        <w:tab/>
        <w:t>Metropolitan non strata</w:t>
      </w:r>
      <w:r>
        <w:rPr>
          <w:szCs w:val="22"/>
        </w:rPr>
        <w:noBreakHyphen/>
        <w:t>titled caravan park with long</w:t>
      </w:r>
      <w:r>
        <w:rPr>
          <w:szCs w:val="22"/>
        </w:rPr>
        <w:noBreakHyphen/>
        <w:t>term residential caravan bays</w:t>
      </w:r>
      <w:r>
        <w:tab/>
      </w:r>
      <w:r>
        <w:fldChar w:fldCharType="begin"/>
      </w:r>
      <w:r>
        <w:instrText xml:space="preserve"> PAGEREF _Toc265743619 \h </w:instrText>
      </w:r>
      <w:r>
        <w:fldChar w:fldCharType="separate"/>
      </w:r>
      <w:r>
        <w:t>90</w:t>
      </w:r>
      <w:r>
        <w:fldChar w:fldCharType="end"/>
      </w:r>
    </w:p>
    <w:p>
      <w:pPr>
        <w:pStyle w:val="TOC8"/>
        <w:rPr>
          <w:sz w:val="24"/>
          <w:szCs w:val="24"/>
        </w:rPr>
      </w:pPr>
      <w:r>
        <w:rPr>
          <w:szCs w:val="22"/>
        </w:rPr>
        <w:t>16.</w:t>
      </w:r>
      <w:r>
        <w:rPr>
          <w:szCs w:val="22"/>
        </w:rPr>
        <w:tab/>
        <w:t>Metropolitan nursing home</w:t>
      </w:r>
      <w:r>
        <w:tab/>
      </w:r>
      <w:r>
        <w:fldChar w:fldCharType="begin"/>
      </w:r>
      <w:r>
        <w:instrText xml:space="preserve"> PAGEREF _Toc265743620 \h </w:instrText>
      </w:r>
      <w:r>
        <w:fldChar w:fldCharType="separate"/>
      </w:r>
      <w:r>
        <w:t>92</w:t>
      </w:r>
      <w:r>
        <w:fldChar w:fldCharType="end"/>
      </w:r>
    </w:p>
    <w:p>
      <w:pPr>
        <w:pStyle w:val="TOC8"/>
        <w:rPr>
          <w:sz w:val="24"/>
          <w:szCs w:val="24"/>
        </w:rPr>
      </w:pPr>
      <w:r>
        <w:rPr>
          <w:szCs w:val="22"/>
        </w:rPr>
        <w:t>17.</w:t>
      </w:r>
      <w:r>
        <w:rPr>
          <w:szCs w:val="22"/>
        </w:rPr>
        <w:tab/>
        <w:t>Certain metropolitan strata</w:t>
      </w:r>
      <w:r>
        <w:rPr>
          <w:szCs w:val="22"/>
        </w:rPr>
        <w:noBreakHyphen/>
        <w:t>titled units</w:t>
      </w:r>
      <w:r>
        <w:tab/>
      </w:r>
      <w:r>
        <w:fldChar w:fldCharType="begin"/>
      </w:r>
      <w:r>
        <w:instrText xml:space="preserve"> PAGEREF _Toc265743621 \h </w:instrText>
      </w:r>
      <w:r>
        <w:fldChar w:fldCharType="separate"/>
      </w:r>
      <w:r>
        <w:t>92</w:t>
      </w:r>
      <w:r>
        <w:fldChar w:fldCharType="end"/>
      </w:r>
    </w:p>
    <w:p>
      <w:pPr>
        <w:pStyle w:val="TOC4"/>
        <w:tabs>
          <w:tab w:val="right" w:leader="dot" w:pos="7086"/>
        </w:tabs>
        <w:rPr>
          <w:b w:val="0"/>
          <w:sz w:val="24"/>
          <w:szCs w:val="24"/>
        </w:rPr>
      </w:pPr>
      <w:r>
        <w:rPr>
          <w:szCs w:val="24"/>
        </w:rPr>
        <w:t>Division 5</w:t>
      </w:r>
      <w:r>
        <w:rPr>
          <w:b w:val="0"/>
          <w:szCs w:val="24"/>
        </w:rPr>
        <w:t> — </w:t>
      </w:r>
      <w:r>
        <w:rPr>
          <w:szCs w:val="24"/>
        </w:rPr>
        <w:t>Computation of combined metropolitan charges</w:t>
      </w:r>
    </w:p>
    <w:p>
      <w:pPr>
        <w:pStyle w:val="TOC8"/>
        <w:rPr>
          <w:sz w:val="24"/>
          <w:szCs w:val="24"/>
        </w:rPr>
      </w:pPr>
      <w:r>
        <w:rPr>
          <w:szCs w:val="22"/>
        </w:rPr>
        <w:t>18.</w:t>
      </w:r>
      <w:r>
        <w:rPr>
          <w:szCs w:val="22"/>
        </w:rPr>
        <w:tab/>
        <w:t>Formula for annual charge</w:t>
      </w:r>
      <w:r>
        <w:tab/>
      </w:r>
      <w:r>
        <w:fldChar w:fldCharType="begin"/>
      </w:r>
      <w:r>
        <w:instrText xml:space="preserve"> PAGEREF _Toc265743623 \h </w:instrText>
      </w:r>
      <w:r>
        <w:fldChar w:fldCharType="separate"/>
      </w:r>
      <w:r>
        <w:t>93</w:t>
      </w:r>
      <w:r>
        <w:fldChar w:fldCharType="end"/>
      </w:r>
    </w:p>
    <w:p>
      <w:pPr>
        <w:pStyle w:val="TOC8"/>
        <w:rPr>
          <w:sz w:val="24"/>
          <w:szCs w:val="24"/>
        </w:rPr>
      </w:pPr>
      <w:r>
        <w:rPr>
          <w:szCs w:val="22"/>
        </w:rPr>
        <w:t>19.</w:t>
      </w:r>
      <w:r>
        <w:rPr>
          <w:szCs w:val="22"/>
        </w:rPr>
        <w:tab/>
        <w:t>Formula for quantity charge</w:t>
      </w:r>
      <w:r>
        <w:tab/>
      </w:r>
      <w:r>
        <w:fldChar w:fldCharType="begin"/>
      </w:r>
      <w:r>
        <w:instrText xml:space="preserve"> PAGEREF _Toc265743624 \h </w:instrText>
      </w:r>
      <w:r>
        <w:fldChar w:fldCharType="separate"/>
      </w:r>
      <w:r>
        <w:t>94</w:t>
      </w:r>
      <w:r>
        <w:fldChar w:fldCharType="end"/>
      </w:r>
    </w:p>
    <w:p>
      <w:pPr>
        <w:pStyle w:val="TOC8"/>
        <w:rPr>
          <w:sz w:val="24"/>
          <w:szCs w:val="24"/>
        </w:rPr>
      </w:pPr>
      <w:r>
        <w:rPr>
          <w:szCs w:val="22"/>
        </w:rPr>
        <w:t>20.</w:t>
      </w:r>
      <w:r>
        <w:rPr>
          <w:szCs w:val="22"/>
        </w:rPr>
        <w:tab/>
        <w:t>Discharge allowance</w:t>
      </w:r>
      <w:r>
        <w:tab/>
      </w:r>
      <w:r>
        <w:fldChar w:fldCharType="begin"/>
      </w:r>
      <w:r>
        <w:instrText xml:space="preserve"> PAGEREF _Toc265743625 \h </w:instrText>
      </w:r>
      <w:r>
        <w:fldChar w:fldCharType="separate"/>
      </w:r>
      <w:r>
        <w:t>94</w:t>
      </w:r>
      <w:r>
        <w:fldChar w:fldCharType="end"/>
      </w:r>
    </w:p>
    <w:p>
      <w:pPr>
        <w:pStyle w:val="TOC4"/>
        <w:tabs>
          <w:tab w:val="right" w:leader="dot" w:pos="7086"/>
        </w:tabs>
        <w:rPr>
          <w:b w:val="0"/>
          <w:sz w:val="24"/>
          <w:szCs w:val="24"/>
        </w:rPr>
      </w:pPr>
      <w:r>
        <w:rPr>
          <w:szCs w:val="24"/>
        </w:rPr>
        <w:t>Division 6</w:t>
      </w:r>
      <w:r>
        <w:rPr>
          <w:b w:val="0"/>
          <w:szCs w:val="24"/>
        </w:rPr>
        <w:t> — </w:t>
      </w:r>
      <w:r>
        <w:rPr>
          <w:szCs w:val="24"/>
        </w:rPr>
        <w:t>Service charges for industrial waste</w:t>
      </w:r>
    </w:p>
    <w:p>
      <w:pPr>
        <w:pStyle w:val="TOC8"/>
        <w:rPr>
          <w:sz w:val="24"/>
          <w:szCs w:val="24"/>
        </w:rPr>
      </w:pPr>
      <w:r>
        <w:rPr>
          <w:szCs w:val="22"/>
        </w:rPr>
        <w:tab/>
        <w:t>21.</w:t>
      </w:r>
      <w:r>
        <w:tab/>
      </w:r>
      <w:r>
        <w:fldChar w:fldCharType="begin"/>
      </w:r>
      <w:r>
        <w:instrText xml:space="preserve"> PAGEREF _Toc265743627 \h </w:instrText>
      </w:r>
      <w:r>
        <w:fldChar w:fldCharType="separate"/>
      </w:r>
      <w:r>
        <w:t>95</w:t>
      </w:r>
      <w:r>
        <w:fldChar w:fldCharType="end"/>
      </w:r>
    </w:p>
    <w:p>
      <w:pPr>
        <w:pStyle w:val="TOC8"/>
        <w:rPr>
          <w:sz w:val="24"/>
          <w:szCs w:val="24"/>
        </w:rPr>
      </w:pPr>
      <w:r>
        <w:rPr>
          <w:szCs w:val="22"/>
        </w:rPr>
        <w:tab/>
        <w:t>Inspection — routine programme</w:t>
      </w:r>
      <w:r>
        <w:tab/>
      </w:r>
      <w:r>
        <w:fldChar w:fldCharType="begin"/>
      </w:r>
      <w:r>
        <w:instrText xml:space="preserve"> PAGEREF _Toc265743628 \h </w:instrText>
      </w:r>
      <w:r>
        <w:fldChar w:fldCharType="separate"/>
      </w:r>
      <w:r>
        <w:t>95</w:t>
      </w:r>
      <w:r>
        <w:fldChar w:fldCharType="end"/>
      </w:r>
    </w:p>
    <w:p>
      <w:pPr>
        <w:pStyle w:val="TOC8"/>
        <w:rPr>
          <w:sz w:val="24"/>
          <w:szCs w:val="24"/>
        </w:rPr>
      </w:pPr>
      <w:r>
        <w:rPr>
          <w:szCs w:val="22"/>
        </w:rPr>
        <w:tab/>
        <w:t>22.</w:t>
      </w:r>
      <w:r>
        <w:tab/>
      </w:r>
      <w:r>
        <w:fldChar w:fldCharType="begin"/>
      </w:r>
      <w:r>
        <w:instrText xml:space="preserve"> PAGEREF _Toc265743629 \h </w:instrText>
      </w:r>
      <w:r>
        <w:fldChar w:fldCharType="separate"/>
      </w:r>
      <w:r>
        <w:t>95</w:t>
      </w:r>
      <w:r>
        <w:fldChar w:fldCharType="end"/>
      </w:r>
    </w:p>
    <w:p>
      <w:pPr>
        <w:pStyle w:val="TOC8"/>
        <w:rPr>
          <w:sz w:val="24"/>
          <w:szCs w:val="24"/>
        </w:rPr>
      </w:pPr>
      <w:r>
        <w:tab/>
        <w:t>Meter reading — routine programme</w:t>
      </w:r>
      <w:r>
        <w:tab/>
      </w:r>
      <w:r>
        <w:fldChar w:fldCharType="begin"/>
      </w:r>
      <w:r>
        <w:instrText xml:space="preserve"> PAGEREF _Toc265743630 \h </w:instrText>
      </w:r>
      <w:r>
        <w:fldChar w:fldCharType="separate"/>
      </w:r>
      <w:r>
        <w:t>95</w:t>
      </w:r>
      <w:r>
        <w:fldChar w:fldCharType="end"/>
      </w:r>
    </w:p>
    <w:p>
      <w:pPr>
        <w:pStyle w:val="TOC8"/>
        <w:rPr>
          <w:sz w:val="24"/>
          <w:szCs w:val="24"/>
        </w:rPr>
      </w:pPr>
      <w:r>
        <w:rPr>
          <w:szCs w:val="22"/>
        </w:rPr>
        <w:tab/>
        <w:t>23.</w:t>
      </w:r>
      <w:r>
        <w:tab/>
      </w:r>
      <w:r>
        <w:fldChar w:fldCharType="begin"/>
      </w:r>
      <w:r>
        <w:instrText xml:space="preserve"> PAGEREF _Toc265743631 \h </w:instrText>
      </w:r>
      <w:r>
        <w:fldChar w:fldCharType="separate"/>
      </w:r>
      <w:r>
        <w:t>95</w:t>
      </w:r>
      <w:r>
        <w:fldChar w:fldCharType="end"/>
      </w:r>
    </w:p>
    <w:p>
      <w:pPr>
        <w:pStyle w:val="TOC8"/>
        <w:rPr>
          <w:sz w:val="24"/>
          <w:szCs w:val="24"/>
        </w:rPr>
      </w:pPr>
      <w:r>
        <w:rPr>
          <w:szCs w:val="22"/>
        </w:rPr>
        <w:tab/>
        <w:t>Grab samples — routine programme</w:t>
      </w:r>
      <w:r>
        <w:tab/>
      </w:r>
      <w:r>
        <w:fldChar w:fldCharType="begin"/>
      </w:r>
      <w:r>
        <w:instrText xml:space="preserve"> PAGEREF _Toc265743632 \h </w:instrText>
      </w:r>
      <w:r>
        <w:fldChar w:fldCharType="separate"/>
      </w:r>
      <w:r>
        <w:t>95</w:t>
      </w:r>
      <w:r>
        <w:fldChar w:fldCharType="end"/>
      </w:r>
    </w:p>
    <w:p>
      <w:pPr>
        <w:pStyle w:val="TOC8"/>
        <w:rPr>
          <w:sz w:val="24"/>
          <w:szCs w:val="24"/>
        </w:rPr>
      </w:pPr>
      <w:r>
        <w:rPr>
          <w:szCs w:val="22"/>
        </w:rPr>
        <w:tab/>
        <w:t>24.</w:t>
      </w:r>
      <w:r>
        <w:tab/>
      </w:r>
      <w:r>
        <w:fldChar w:fldCharType="begin"/>
      </w:r>
      <w:r>
        <w:instrText xml:space="preserve"> PAGEREF _Toc265743633 \h </w:instrText>
      </w:r>
      <w:r>
        <w:fldChar w:fldCharType="separate"/>
      </w:r>
      <w:r>
        <w:t>96</w:t>
      </w:r>
      <w:r>
        <w:fldChar w:fldCharType="end"/>
      </w:r>
    </w:p>
    <w:p>
      <w:pPr>
        <w:pStyle w:val="TOC8"/>
        <w:rPr>
          <w:sz w:val="24"/>
          <w:szCs w:val="24"/>
        </w:rPr>
      </w:pPr>
      <w:r>
        <w:tab/>
        <w:t>Composite samples — routine programme</w:t>
      </w:r>
      <w:r>
        <w:tab/>
      </w:r>
      <w:r>
        <w:fldChar w:fldCharType="begin"/>
      </w:r>
      <w:r>
        <w:instrText xml:space="preserve"> PAGEREF _Toc265743634 \h </w:instrText>
      </w:r>
      <w:r>
        <w:fldChar w:fldCharType="separate"/>
      </w:r>
      <w:r>
        <w:t>96</w:t>
      </w:r>
      <w:r>
        <w:fldChar w:fldCharType="end"/>
      </w:r>
    </w:p>
    <w:p>
      <w:pPr>
        <w:pStyle w:val="TOC8"/>
        <w:rPr>
          <w:sz w:val="24"/>
          <w:szCs w:val="24"/>
        </w:rPr>
      </w:pPr>
      <w:r>
        <w:rPr>
          <w:szCs w:val="22"/>
        </w:rPr>
        <w:tab/>
        <w:t>25.</w:t>
      </w:r>
      <w:r>
        <w:tab/>
      </w:r>
      <w:r>
        <w:fldChar w:fldCharType="begin"/>
      </w:r>
      <w:r>
        <w:instrText xml:space="preserve"> PAGEREF _Toc265743635 \h </w:instrText>
      </w:r>
      <w:r>
        <w:fldChar w:fldCharType="separate"/>
      </w:r>
      <w:r>
        <w:t>96</w:t>
      </w:r>
      <w:r>
        <w:fldChar w:fldCharType="end"/>
      </w:r>
    </w:p>
    <w:p>
      <w:pPr>
        <w:pStyle w:val="TOC8"/>
        <w:rPr>
          <w:sz w:val="24"/>
          <w:szCs w:val="24"/>
        </w:rPr>
      </w:pPr>
      <w:r>
        <w:tab/>
        <w:t>Establishment charge — unscheduled visit</w:t>
      </w:r>
      <w:r>
        <w:tab/>
      </w:r>
      <w:r>
        <w:fldChar w:fldCharType="begin"/>
      </w:r>
      <w:r>
        <w:instrText xml:space="preserve"> PAGEREF _Toc265743636 \h </w:instrText>
      </w:r>
      <w:r>
        <w:fldChar w:fldCharType="separate"/>
      </w:r>
      <w:r>
        <w:t>96</w:t>
      </w:r>
      <w:r>
        <w:fldChar w:fldCharType="end"/>
      </w:r>
    </w:p>
    <w:p>
      <w:pPr>
        <w:pStyle w:val="TOC8"/>
        <w:rPr>
          <w:sz w:val="24"/>
          <w:szCs w:val="24"/>
        </w:rPr>
      </w:pPr>
      <w:r>
        <w:rPr>
          <w:szCs w:val="22"/>
        </w:rPr>
        <w:tab/>
        <w:t>26.</w:t>
      </w:r>
      <w:r>
        <w:tab/>
      </w:r>
      <w:r>
        <w:fldChar w:fldCharType="begin"/>
      </w:r>
      <w:r>
        <w:instrText xml:space="preserve"> PAGEREF _Toc265743637 \h </w:instrText>
      </w:r>
      <w:r>
        <w:fldChar w:fldCharType="separate"/>
      </w:r>
      <w:r>
        <w:t>96</w:t>
      </w:r>
      <w:r>
        <w:fldChar w:fldCharType="end"/>
      </w:r>
    </w:p>
    <w:p>
      <w:pPr>
        <w:pStyle w:val="TOC8"/>
        <w:rPr>
          <w:sz w:val="24"/>
          <w:szCs w:val="24"/>
        </w:rPr>
      </w:pPr>
      <w:r>
        <w:tab/>
        <w:t>Product evaluation — unscheduled visit</w:t>
      </w:r>
      <w:r>
        <w:tab/>
      </w:r>
      <w:r>
        <w:fldChar w:fldCharType="begin"/>
      </w:r>
      <w:r>
        <w:instrText xml:space="preserve"> PAGEREF _Toc265743638 \h </w:instrText>
      </w:r>
      <w:r>
        <w:fldChar w:fldCharType="separate"/>
      </w:r>
      <w:r>
        <w:t>96</w:t>
      </w:r>
      <w:r>
        <w:fldChar w:fldCharType="end"/>
      </w:r>
    </w:p>
    <w:p>
      <w:pPr>
        <w:pStyle w:val="TOC8"/>
        <w:rPr>
          <w:sz w:val="24"/>
          <w:szCs w:val="24"/>
        </w:rPr>
      </w:pPr>
      <w:r>
        <w:rPr>
          <w:szCs w:val="22"/>
        </w:rPr>
        <w:tab/>
        <w:t>27.</w:t>
      </w:r>
      <w:r>
        <w:tab/>
      </w:r>
      <w:r>
        <w:fldChar w:fldCharType="begin"/>
      </w:r>
      <w:r>
        <w:instrText xml:space="preserve"> PAGEREF _Toc265743639 \h </w:instrText>
      </w:r>
      <w:r>
        <w:fldChar w:fldCharType="separate"/>
      </w:r>
      <w:r>
        <w:t>96</w:t>
      </w:r>
      <w:r>
        <w:fldChar w:fldCharType="end"/>
      </w:r>
    </w:p>
    <w:p>
      <w:pPr>
        <w:pStyle w:val="TOC8"/>
        <w:rPr>
          <w:sz w:val="24"/>
          <w:szCs w:val="24"/>
        </w:rPr>
      </w:pPr>
      <w:r>
        <w:rPr>
          <w:szCs w:val="22"/>
        </w:rPr>
        <w:tab/>
        <w:t>Grab samples — unscheduled visit</w:t>
      </w:r>
      <w:r>
        <w:tab/>
      </w:r>
      <w:r>
        <w:fldChar w:fldCharType="begin"/>
      </w:r>
      <w:r>
        <w:instrText xml:space="preserve"> PAGEREF _Toc265743640 \h </w:instrText>
      </w:r>
      <w:r>
        <w:fldChar w:fldCharType="separate"/>
      </w:r>
      <w:r>
        <w:t>96</w:t>
      </w:r>
      <w:r>
        <w:fldChar w:fldCharType="end"/>
      </w:r>
    </w:p>
    <w:p>
      <w:pPr>
        <w:pStyle w:val="TOC8"/>
        <w:rPr>
          <w:sz w:val="24"/>
          <w:szCs w:val="24"/>
        </w:rPr>
      </w:pPr>
      <w:r>
        <w:rPr>
          <w:szCs w:val="22"/>
        </w:rPr>
        <w:tab/>
        <w:t>28.</w:t>
      </w:r>
      <w:r>
        <w:tab/>
      </w:r>
      <w:r>
        <w:fldChar w:fldCharType="begin"/>
      </w:r>
      <w:r>
        <w:instrText xml:space="preserve"> PAGEREF _Toc265743641 \h </w:instrText>
      </w:r>
      <w:r>
        <w:fldChar w:fldCharType="separate"/>
      </w:r>
      <w:r>
        <w:t>96</w:t>
      </w:r>
      <w:r>
        <w:fldChar w:fldCharType="end"/>
      </w:r>
    </w:p>
    <w:p>
      <w:pPr>
        <w:pStyle w:val="TOC8"/>
        <w:rPr>
          <w:sz w:val="24"/>
          <w:szCs w:val="24"/>
        </w:rPr>
      </w:pPr>
      <w:r>
        <w:tab/>
        <w:t>Composite samples — unscheduled visit</w:t>
      </w:r>
      <w:r>
        <w:tab/>
      </w:r>
      <w:r>
        <w:fldChar w:fldCharType="begin"/>
      </w:r>
      <w:r>
        <w:instrText xml:space="preserve"> PAGEREF _Toc265743642 \h </w:instrText>
      </w:r>
      <w:r>
        <w:fldChar w:fldCharType="separate"/>
      </w:r>
      <w:r>
        <w:t>96</w:t>
      </w:r>
      <w:r>
        <w:fldChar w:fldCharType="end"/>
      </w:r>
    </w:p>
    <w:p>
      <w:pPr>
        <w:pStyle w:val="TOC8"/>
        <w:rPr>
          <w:sz w:val="24"/>
          <w:szCs w:val="24"/>
        </w:rPr>
      </w:pPr>
      <w:r>
        <w:rPr>
          <w:szCs w:val="22"/>
        </w:rPr>
        <w:tab/>
        <w:t>29.</w:t>
      </w:r>
      <w:r>
        <w:tab/>
      </w:r>
      <w:r>
        <w:fldChar w:fldCharType="begin"/>
      </w:r>
      <w:r>
        <w:instrText xml:space="preserve"> PAGEREF _Toc265743643 \h </w:instrText>
      </w:r>
      <w:r>
        <w:fldChar w:fldCharType="separate"/>
      </w:r>
      <w:r>
        <w:t>96</w:t>
      </w:r>
      <w:r>
        <w:fldChar w:fldCharType="end"/>
      </w:r>
    </w:p>
    <w:p>
      <w:pPr>
        <w:pStyle w:val="TOC8"/>
        <w:rPr>
          <w:sz w:val="24"/>
          <w:szCs w:val="24"/>
        </w:rPr>
      </w:pPr>
      <w:r>
        <w:tab/>
        <w:t>Non</w:t>
      </w:r>
      <w:r>
        <w:noBreakHyphen/>
        <w:t>permit holders discharging industrial waste</w:t>
      </w:r>
      <w:r>
        <w:tab/>
      </w:r>
      <w:r>
        <w:fldChar w:fldCharType="begin"/>
      </w:r>
      <w:r>
        <w:instrText xml:space="preserve"> PAGEREF _Toc265743644 \h </w:instrText>
      </w:r>
      <w:r>
        <w:fldChar w:fldCharType="separate"/>
      </w:r>
      <w:r>
        <w:t>96</w:t>
      </w:r>
      <w:r>
        <w:fldChar w:fldCharType="end"/>
      </w:r>
    </w:p>
    <w:p>
      <w:pPr>
        <w:pStyle w:val="TOC8"/>
        <w:rPr>
          <w:sz w:val="24"/>
          <w:szCs w:val="24"/>
        </w:rPr>
      </w:pPr>
      <w:r>
        <w:rPr>
          <w:szCs w:val="22"/>
        </w:rPr>
        <w:tab/>
        <w:t>30.</w:t>
      </w:r>
      <w:r>
        <w:tab/>
      </w:r>
      <w:r>
        <w:fldChar w:fldCharType="begin"/>
      </w:r>
      <w:r>
        <w:instrText xml:space="preserve"> PAGEREF _Toc265743645 \h </w:instrText>
      </w:r>
      <w:r>
        <w:fldChar w:fldCharType="separate"/>
      </w:r>
      <w:r>
        <w:t>96</w:t>
      </w:r>
      <w:r>
        <w:fldChar w:fldCharType="end"/>
      </w:r>
    </w:p>
    <w:p>
      <w:pPr>
        <w:pStyle w:val="TOC8"/>
        <w:rPr>
          <w:sz w:val="24"/>
          <w:szCs w:val="24"/>
        </w:rPr>
      </w:pPr>
      <w:r>
        <w:tab/>
        <w:t>Discharging industrial waste from an open area</w:t>
      </w:r>
      <w:r>
        <w:tab/>
      </w:r>
      <w:r>
        <w:fldChar w:fldCharType="begin"/>
      </w:r>
      <w:r>
        <w:instrText xml:space="preserve"> PAGEREF _Toc265743646 \h </w:instrText>
      </w:r>
      <w:r>
        <w:fldChar w:fldCharType="separate"/>
      </w:r>
      <w:r>
        <w:t>96</w:t>
      </w:r>
      <w:r>
        <w:fldChar w:fldCharType="end"/>
      </w:r>
    </w:p>
    <w:p>
      <w:pPr>
        <w:pStyle w:val="TOC4"/>
        <w:tabs>
          <w:tab w:val="right" w:leader="dot" w:pos="7086"/>
        </w:tabs>
        <w:rPr>
          <w:b w:val="0"/>
          <w:sz w:val="24"/>
          <w:szCs w:val="24"/>
        </w:rPr>
      </w:pPr>
      <w:r>
        <w:rPr>
          <w:szCs w:val="24"/>
        </w:rPr>
        <w:t>Division 7</w:t>
      </w:r>
      <w:r>
        <w:rPr>
          <w:b w:val="0"/>
          <w:szCs w:val="24"/>
        </w:rPr>
        <w:t> — </w:t>
      </w:r>
      <w:r>
        <w:rPr>
          <w:szCs w:val="24"/>
        </w:rPr>
        <w:t>Combined charges for country non</w:t>
      </w:r>
      <w:r>
        <w:rPr>
          <w:szCs w:val="24"/>
        </w:rPr>
        <w:noBreakHyphen/>
        <w:t>residential or commercial residential</w:t>
      </w:r>
    </w:p>
    <w:p>
      <w:pPr>
        <w:pStyle w:val="TOC8"/>
        <w:rPr>
          <w:sz w:val="24"/>
          <w:szCs w:val="24"/>
        </w:rPr>
      </w:pPr>
      <w:r>
        <w:rPr>
          <w:szCs w:val="22"/>
        </w:rPr>
        <w:t>31.</w:t>
      </w:r>
      <w:r>
        <w:rPr>
          <w:szCs w:val="22"/>
        </w:rPr>
        <w:tab/>
        <w:t>Country non</w:t>
      </w:r>
      <w:r>
        <w:rPr>
          <w:szCs w:val="22"/>
        </w:rPr>
        <w:noBreakHyphen/>
        <w:t>residential or commercial residential</w:t>
      </w:r>
      <w:r>
        <w:tab/>
      </w:r>
      <w:r>
        <w:fldChar w:fldCharType="begin"/>
      </w:r>
      <w:r>
        <w:instrText xml:space="preserve"> PAGEREF _Toc265743648 \h </w:instrText>
      </w:r>
      <w:r>
        <w:fldChar w:fldCharType="separate"/>
      </w:r>
      <w:r>
        <w:t>96</w:t>
      </w:r>
      <w:r>
        <w:fldChar w:fldCharType="end"/>
      </w:r>
    </w:p>
    <w:p>
      <w:pPr>
        <w:pStyle w:val="TOC8"/>
        <w:rPr>
          <w:sz w:val="24"/>
          <w:szCs w:val="24"/>
        </w:rPr>
      </w:pPr>
      <w:r>
        <w:rPr>
          <w:szCs w:val="22"/>
        </w:rPr>
        <w:t>32.</w:t>
      </w:r>
      <w:r>
        <w:rPr>
          <w:szCs w:val="22"/>
        </w:rPr>
        <w:tab/>
        <w:t>Country non strata</w:t>
      </w:r>
      <w:r>
        <w:rPr>
          <w:szCs w:val="22"/>
        </w:rPr>
        <w:noBreakHyphen/>
        <w:t>titled caravan park with long</w:t>
      </w:r>
      <w:r>
        <w:rPr>
          <w:szCs w:val="22"/>
        </w:rPr>
        <w:noBreakHyphen/>
        <w:t>term residential caravan bays</w:t>
      </w:r>
      <w:r>
        <w:tab/>
      </w:r>
      <w:r>
        <w:fldChar w:fldCharType="begin"/>
      </w:r>
      <w:r>
        <w:instrText xml:space="preserve"> PAGEREF _Toc265743649 \h </w:instrText>
      </w:r>
      <w:r>
        <w:fldChar w:fldCharType="separate"/>
      </w:r>
      <w:r>
        <w:t>97</w:t>
      </w:r>
      <w:r>
        <w:fldChar w:fldCharType="end"/>
      </w:r>
    </w:p>
    <w:p>
      <w:pPr>
        <w:pStyle w:val="TOC8"/>
        <w:rPr>
          <w:sz w:val="24"/>
          <w:szCs w:val="24"/>
        </w:rPr>
      </w:pPr>
      <w:r>
        <w:rPr>
          <w:szCs w:val="22"/>
        </w:rPr>
        <w:t>33.</w:t>
      </w:r>
      <w:r>
        <w:rPr>
          <w:szCs w:val="22"/>
        </w:rPr>
        <w:tab/>
        <w:t>Country nursing home</w:t>
      </w:r>
      <w:r>
        <w:tab/>
      </w:r>
      <w:r>
        <w:fldChar w:fldCharType="begin"/>
      </w:r>
      <w:r>
        <w:instrText xml:space="preserve"> PAGEREF _Toc265743650 \h </w:instrText>
      </w:r>
      <w:r>
        <w:fldChar w:fldCharType="separate"/>
      </w:r>
      <w:r>
        <w:t>98</w:t>
      </w:r>
      <w:r>
        <w:fldChar w:fldCharType="end"/>
      </w:r>
    </w:p>
    <w:p>
      <w:pPr>
        <w:pStyle w:val="TOC8"/>
        <w:rPr>
          <w:sz w:val="24"/>
          <w:szCs w:val="24"/>
        </w:rPr>
      </w:pPr>
      <w:r>
        <w:rPr>
          <w:szCs w:val="22"/>
        </w:rPr>
        <w:t>34.</w:t>
      </w:r>
      <w:r>
        <w:rPr>
          <w:szCs w:val="22"/>
        </w:rPr>
        <w:tab/>
        <w:t>Certain country strata</w:t>
      </w:r>
      <w:r>
        <w:rPr>
          <w:szCs w:val="22"/>
        </w:rPr>
        <w:noBreakHyphen/>
        <w:t>titled units</w:t>
      </w:r>
      <w:r>
        <w:tab/>
      </w:r>
      <w:r>
        <w:fldChar w:fldCharType="begin"/>
      </w:r>
      <w:r>
        <w:instrText xml:space="preserve"> PAGEREF _Toc265743651 \h </w:instrText>
      </w:r>
      <w:r>
        <w:fldChar w:fldCharType="separate"/>
      </w:r>
      <w:r>
        <w:t>99</w:t>
      </w:r>
      <w:r>
        <w:fldChar w:fldCharType="end"/>
      </w:r>
    </w:p>
    <w:p>
      <w:pPr>
        <w:pStyle w:val="TOC8"/>
        <w:rPr>
          <w:sz w:val="24"/>
          <w:szCs w:val="24"/>
        </w:rPr>
      </w:pPr>
      <w:r>
        <w:rPr>
          <w:szCs w:val="22"/>
        </w:rPr>
        <w:t>35.</w:t>
      </w:r>
      <w:r>
        <w:rPr>
          <w:szCs w:val="22"/>
        </w:rPr>
        <w:tab/>
        <w:t>Limit on increase</w:t>
      </w:r>
      <w:r>
        <w:tab/>
      </w:r>
      <w:r>
        <w:fldChar w:fldCharType="begin"/>
      </w:r>
      <w:r>
        <w:instrText xml:space="preserve"> PAGEREF _Toc265743652 \h </w:instrText>
      </w:r>
      <w:r>
        <w:fldChar w:fldCharType="separate"/>
      </w:r>
      <w:r>
        <w:t>100</w:t>
      </w:r>
      <w:r>
        <w:fldChar w:fldCharType="end"/>
      </w:r>
    </w:p>
    <w:p>
      <w:pPr>
        <w:pStyle w:val="TOC4"/>
        <w:tabs>
          <w:tab w:val="right" w:leader="dot" w:pos="7086"/>
        </w:tabs>
        <w:rPr>
          <w:b w:val="0"/>
          <w:sz w:val="24"/>
          <w:szCs w:val="24"/>
        </w:rPr>
      </w:pPr>
      <w:r>
        <w:rPr>
          <w:szCs w:val="24"/>
        </w:rPr>
        <w:t>Division 8</w:t>
      </w:r>
      <w:r>
        <w:rPr>
          <w:b w:val="0"/>
          <w:szCs w:val="24"/>
        </w:rPr>
        <w:t> — </w:t>
      </w:r>
      <w:r>
        <w:rPr>
          <w:szCs w:val="24"/>
        </w:rPr>
        <w:t>Computation of combined charges for country non</w:t>
      </w:r>
      <w:r>
        <w:rPr>
          <w:szCs w:val="24"/>
        </w:rPr>
        <w:noBreakHyphen/>
        <w:t>residential or commercial residential property</w:t>
      </w:r>
    </w:p>
    <w:p>
      <w:pPr>
        <w:pStyle w:val="TOC8"/>
        <w:rPr>
          <w:sz w:val="24"/>
          <w:szCs w:val="24"/>
        </w:rPr>
      </w:pPr>
      <w:r>
        <w:rPr>
          <w:szCs w:val="22"/>
        </w:rPr>
        <w:t>36.</w:t>
      </w:r>
      <w:r>
        <w:rPr>
          <w:szCs w:val="22"/>
        </w:rPr>
        <w:tab/>
        <w:t>Formula for annual charge</w:t>
      </w:r>
      <w:r>
        <w:tab/>
      </w:r>
      <w:r>
        <w:fldChar w:fldCharType="begin"/>
      </w:r>
      <w:r>
        <w:instrText xml:space="preserve"> PAGEREF _Toc265743654 \h </w:instrText>
      </w:r>
      <w:r>
        <w:fldChar w:fldCharType="separate"/>
      </w:r>
      <w:r>
        <w:t>101</w:t>
      </w:r>
      <w:r>
        <w:fldChar w:fldCharType="end"/>
      </w:r>
    </w:p>
    <w:p>
      <w:pPr>
        <w:pStyle w:val="TOC8"/>
        <w:rPr>
          <w:sz w:val="24"/>
          <w:szCs w:val="24"/>
        </w:rPr>
      </w:pPr>
      <w:r>
        <w:rPr>
          <w:szCs w:val="22"/>
        </w:rPr>
        <w:t>37.</w:t>
      </w:r>
      <w:r>
        <w:rPr>
          <w:szCs w:val="22"/>
        </w:rPr>
        <w:tab/>
        <w:t>Formula for quantity charge</w:t>
      </w:r>
      <w:r>
        <w:tab/>
      </w:r>
      <w:r>
        <w:fldChar w:fldCharType="begin"/>
      </w:r>
      <w:r>
        <w:instrText xml:space="preserve"> PAGEREF _Toc265743655 \h </w:instrText>
      </w:r>
      <w:r>
        <w:fldChar w:fldCharType="separate"/>
      </w:r>
      <w:r>
        <w:t>101</w:t>
      </w:r>
      <w:r>
        <w:fldChar w:fldCharType="end"/>
      </w:r>
    </w:p>
    <w:p>
      <w:pPr>
        <w:pStyle w:val="TOC8"/>
        <w:rPr>
          <w:sz w:val="24"/>
          <w:szCs w:val="24"/>
        </w:rPr>
      </w:pPr>
      <w:r>
        <w:rPr>
          <w:szCs w:val="22"/>
        </w:rPr>
        <w:t>38.</w:t>
      </w:r>
      <w:r>
        <w:rPr>
          <w:szCs w:val="22"/>
        </w:rPr>
        <w:tab/>
        <w:t>Discharge allowance</w:t>
      </w:r>
      <w:r>
        <w:tab/>
      </w:r>
      <w:r>
        <w:fldChar w:fldCharType="begin"/>
      </w:r>
      <w:r>
        <w:instrText xml:space="preserve"> PAGEREF _Toc265743656 \h </w:instrText>
      </w:r>
      <w:r>
        <w:fldChar w:fldCharType="separate"/>
      </w:r>
      <w:r>
        <w:t>102</w:t>
      </w:r>
      <w:r>
        <w:fldChar w:fldCharType="end"/>
      </w:r>
    </w:p>
    <w:p>
      <w:pPr>
        <w:pStyle w:val="TOC2"/>
        <w:tabs>
          <w:tab w:val="right" w:leader="dot" w:pos="7086"/>
        </w:tabs>
        <w:rPr>
          <w:b w:val="0"/>
          <w:sz w:val="24"/>
          <w:szCs w:val="24"/>
        </w:rPr>
      </w:pPr>
      <w:r>
        <w:rPr>
          <w:szCs w:val="28"/>
        </w:rPr>
        <w:t>Schedule 4 — Charges for drainage for 2010/2011</w:t>
      </w:r>
    </w:p>
    <w:p>
      <w:pPr>
        <w:pStyle w:val="TOC4"/>
        <w:tabs>
          <w:tab w:val="right" w:leader="dot" w:pos="7086"/>
        </w:tabs>
        <w:rPr>
          <w:b w:val="0"/>
          <w:sz w:val="24"/>
          <w:szCs w:val="24"/>
        </w:rPr>
      </w:pPr>
      <w:r>
        <w:rPr>
          <w:szCs w:val="24"/>
        </w:rPr>
        <w:t>Division 1</w:t>
      </w:r>
      <w:r>
        <w:rPr>
          <w:b w:val="0"/>
          <w:szCs w:val="24"/>
        </w:rPr>
        <w:t> — </w:t>
      </w:r>
      <w:r>
        <w:rPr>
          <w:szCs w:val="24"/>
        </w:rPr>
        <w:t>Fixed charges</w:t>
      </w:r>
    </w:p>
    <w:p>
      <w:pPr>
        <w:pStyle w:val="TOC8"/>
        <w:rPr>
          <w:sz w:val="24"/>
          <w:szCs w:val="24"/>
        </w:rPr>
      </w:pPr>
      <w:r>
        <w:rPr>
          <w:szCs w:val="22"/>
        </w:rPr>
        <w:tab/>
        <w:t>1.</w:t>
      </w:r>
      <w:r>
        <w:tab/>
      </w:r>
      <w:r>
        <w:fldChar w:fldCharType="begin"/>
      </w:r>
      <w:r>
        <w:instrText xml:space="preserve"> PAGEREF _Toc265743659 \h </w:instrText>
      </w:r>
      <w:r>
        <w:fldChar w:fldCharType="separate"/>
      </w:r>
      <w:r>
        <w:t>104</w:t>
      </w:r>
      <w:r>
        <w:fldChar w:fldCharType="end"/>
      </w:r>
    </w:p>
    <w:p>
      <w:pPr>
        <w:pStyle w:val="TOC8"/>
        <w:rPr>
          <w:sz w:val="24"/>
          <w:szCs w:val="24"/>
        </w:rPr>
      </w:pPr>
      <w:r>
        <w:rPr>
          <w:szCs w:val="22"/>
        </w:rPr>
        <w:tab/>
        <w:t>Strata</w:t>
      </w:r>
      <w:r>
        <w:rPr>
          <w:szCs w:val="22"/>
        </w:rPr>
        <w:noBreakHyphen/>
        <w:t>titled caravan bay</w:t>
      </w:r>
      <w:r>
        <w:tab/>
      </w:r>
      <w:r>
        <w:fldChar w:fldCharType="begin"/>
      </w:r>
      <w:r>
        <w:instrText xml:space="preserve"> PAGEREF _Toc265743660 \h </w:instrText>
      </w:r>
      <w:r>
        <w:fldChar w:fldCharType="separate"/>
      </w:r>
      <w:r>
        <w:t>104</w:t>
      </w:r>
      <w:r>
        <w:fldChar w:fldCharType="end"/>
      </w:r>
    </w:p>
    <w:p>
      <w:pPr>
        <w:pStyle w:val="TOC8"/>
        <w:rPr>
          <w:sz w:val="24"/>
          <w:szCs w:val="24"/>
        </w:rPr>
      </w:pPr>
      <w:r>
        <w:rPr>
          <w:szCs w:val="22"/>
        </w:rPr>
        <w:tab/>
        <w:t>2.</w:t>
      </w:r>
      <w:r>
        <w:tab/>
      </w:r>
      <w:r>
        <w:fldChar w:fldCharType="begin"/>
      </w:r>
      <w:r>
        <w:instrText xml:space="preserve"> PAGEREF _Toc265743661 \h </w:instrText>
      </w:r>
      <w:r>
        <w:fldChar w:fldCharType="separate"/>
      </w:r>
      <w:r>
        <w:t>104</w:t>
      </w:r>
      <w:r>
        <w:fldChar w:fldCharType="end"/>
      </w:r>
    </w:p>
    <w:p>
      <w:pPr>
        <w:pStyle w:val="TOC8"/>
        <w:rPr>
          <w:sz w:val="24"/>
          <w:szCs w:val="24"/>
        </w:rPr>
      </w:pPr>
      <w:r>
        <w:tab/>
        <w:t>Strata</w:t>
      </w:r>
      <w:r>
        <w:noBreakHyphen/>
        <w:t>titled storage unit and strata</w:t>
      </w:r>
      <w:r>
        <w:noBreakHyphen/>
        <w:t>titled parking bay</w:t>
      </w:r>
      <w:r>
        <w:tab/>
      </w:r>
      <w:r>
        <w:fldChar w:fldCharType="begin"/>
      </w:r>
      <w:r>
        <w:instrText xml:space="preserve"> PAGEREF _Toc265743662 \h </w:instrText>
      </w:r>
      <w:r>
        <w:fldChar w:fldCharType="separate"/>
      </w:r>
      <w:r>
        <w:t>104</w:t>
      </w:r>
      <w:r>
        <w:fldChar w:fldCharType="end"/>
      </w:r>
    </w:p>
    <w:p>
      <w:pPr>
        <w:pStyle w:val="TOC4"/>
        <w:tabs>
          <w:tab w:val="right" w:leader="dot" w:pos="7086"/>
        </w:tabs>
        <w:rPr>
          <w:b w:val="0"/>
          <w:sz w:val="24"/>
          <w:szCs w:val="24"/>
        </w:rPr>
      </w:pPr>
      <w:r>
        <w:rPr>
          <w:szCs w:val="24"/>
        </w:rPr>
        <w:t>Division 2</w:t>
      </w:r>
      <w:r>
        <w:rPr>
          <w:b w:val="0"/>
          <w:szCs w:val="24"/>
        </w:rPr>
        <w:t> — </w:t>
      </w:r>
      <w:r>
        <w:rPr>
          <w:szCs w:val="24"/>
        </w:rPr>
        <w:t>Charges by way of rate</w:t>
      </w:r>
    </w:p>
    <w:p>
      <w:pPr>
        <w:pStyle w:val="TOC8"/>
        <w:rPr>
          <w:sz w:val="24"/>
          <w:szCs w:val="24"/>
        </w:rPr>
      </w:pPr>
      <w:r>
        <w:rPr>
          <w:szCs w:val="22"/>
        </w:rPr>
        <w:tab/>
        <w:t>3.</w:t>
      </w:r>
      <w:r>
        <w:tab/>
      </w:r>
      <w:r>
        <w:fldChar w:fldCharType="begin"/>
      </w:r>
      <w:r>
        <w:instrText xml:space="preserve"> PAGEREF _Toc265743664 \h </w:instrText>
      </w:r>
      <w:r>
        <w:fldChar w:fldCharType="separate"/>
      </w:r>
      <w:r>
        <w:t>104</w:t>
      </w:r>
      <w:r>
        <w:fldChar w:fldCharType="end"/>
      </w:r>
    </w:p>
    <w:p>
      <w:pPr>
        <w:pStyle w:val="TOC8"/>
        <w:rPr>
          <w:sz w:val="24"/>
          <w:szCs w:val="24"/>
        </w:rPr>
      </w:pPr>
      <w:r>
        <w:tab/>
        <w:t>Land in a drainage area as referred to in by</w:t>
      </w:r>
      <w:r>
        <w:noBreakHyphen/>
        <w:t>law 27 classified as residential or semi</w:t>
      </w:r>
      <w:r>
        <w:noBreakHyphen/>
        <w:t>rural residential</w:t>
      </w:r>
      <w:r>
        <w:tab/>
      </w:r>
      <w:r>
        <w:fldChar w:fldCharType="begin"/>
      </w:r>
      <w:r>
        <w:instrText xml:space="preserve"> PAGEREF _Toc265743665 \h </w:instrText>
      </w:r>
      <w:r>
        <w:fldChar w:fldCharType="separate"/>
      </w:r>
      <w:r>
        <w:t>104</w:t>
      </w:r>
      <w:r>
        <w:fldChar w:fldCharType="end"/>
      </w:r>
    </w:p>
    <w:p>
      <w:pPr>
        <w:pStyle w:val="TOC8"/>
        <w:rPr>
          <w:sz w:val="24"/>
          <w:szCs w:val="24"/>
        </w:rPr>
      </w:pPr>
      <w:r>
        <w:rPr>
          <w:szCs w:val="22"/>
        </w:rPr>
        <w:tab/>
        <w:t>4.</w:t>
      </w:r>
      <w:r>
        <w:tab/>
      </w:r>
      <w:r>
        <w:fldChar w:fldCharType="begin"/>
      </w:r>
      <w:r>
        <w:instrText xml:space="preserve"> PAGEREF _Toc265743666 \h </w:instrText>
      </w:r>
      <w:r>
        <w:fldChar w:fldCharType="separate"/>
      </w:r>
      <w:r>
        <w:t>104</w:t>
      </w:r>
      <w:r>
        <w:fldChar w:fldCharType="end"/>
      </w:r>
    </w:p>
    <w:p>
      <w:pPr>
        <w:pStyle w:val="TOC8"/>
        <w:rPr>
          <w:sz w:val="24"/>
          <w:szCs w:val="24"/>
        </w:rPr>
      </w:pPr>
      <w:r>
        <w:tab/>
        <w:t>Land in a drainage area classified as vacant land</w:t>
      </w:r>
      <w:r>
        <w:tab/>
      </w:r>
      <w:r>
        <w:fldChar w:fldCharType="begin"/>
      </w:r>
      <w:r>
        <w:instrText xml:space="preserve"> PAGEREF _Toc265743667 \h </w:instrText>
      </w:r>
      <w:r>
        <w:fldChar w:fldCharType="separate"/>
      </w:r>
      <w:r>
        <w:t>104</w:t>
      </w:r>
      <w:r>
        <w:fldChar w:fldCharType="end"/>
      </w:r>
    </w:p>
    <w:p>
      <w:pPr>
        <w:pStyle w:val="TOC8"/>
        <w:rPr>
          <w:sz w:val="24"/>
          <w:szCs w:val="24"/>
        </w:rPr>
      </w:pPr>
      <w:r>
        <w:rPr>
          <w:szCs w:val="22"/>
        </w:rPr>
        <w:tab/>
        <w:t>5.</w:t>
      </w:r>
      <w:r>
        <w:tab/>
      </w:r>
      <w:r>
        <w:fldChar w:fldCharType="begin"/>
      </w:r>
      <w:r>
        <w:instrText xml:space="preserve"> PAGEREF _Toc265743668 \h </w:instrText>
      </w:r>
      <w:r>
        <w:fldChar w:fldCharType="separate"/>
      </w:r>
      <w:r>
        <w:t>105</w:t>
      </w:r>
      <w:r>
        <w:fldChar w:fldCharType="end"/>
      </w:r>
    </w:p>
    <w:p>
      <w:pPr>
        <w:pStyle w:val="TOC8"/>
        <w:rPr>
          <w:sz w:val="24"/>
          <w:szCs w:val="24"/>
        </w:rPr>
      </w:pPr>
      <w:r>
        <w:tab/>
        <w:t>Land in a drainage area as referred to in by</w:t>
      </w:r>
      <w:r>
        <w:noBreakHyphen/>
        <w:t>law 27 other than land to which item 1, 2, 3 or 4 applies</w:t>
      </w:r>
      <w:r>
        <w:tab/>
      </w:r>
      <w:r>
        <w:fldChar w:fldCharType="begin"/>
      </w:r>
      <w:r>
        <w:instrText xml:space="preserve"> PAGEREF _Toc265743669 \h </w:instrText>
      </w:r>
      <w:r>
        <w:fldChar w:fldCharType="separate"/>
      </w:r>
      <w:r>
        <w:t>105</w:t>
      </w:r>
      <w:r>
        <w:fldChar w:fldCharType="end"/>
      </w:r>
    </w:p>
    <w:p>
      <w:pPr>
        <w:pStyle w:val="TOC2"/>
        <w:tabs>
          <w:tab w:val="right" w:leader="dot" w:pos="7086"/>
        </w:tabs>
        <w:rPr>
          <w:b w:val="0"/>
          <w:sz w:val="24"/>
          <w:szCs w:val="24"/>
        </w:rPr>
      </w:pPr>
      <w:r>
        <w:rPr>
          <w:szCs w:val="28"/>
        </w:rPr>
        <w:t>Schedule 5 — Charges for irrigation for 2010/2011</w:t>
      </w:r>
    </w:p>
    <w:p>
      <w:pPr>
        <w:pStyle w:val="TOC8"/>
        <w:rPr>
          <w:sz w:val="24"/>
          <w:szCs w:val="24"/>
        </w:rPr>
      </w:pPr>
      <w:r>
        <w:rPr>
          <w:szCs w:val="22"/>
        </w:rPr>
        <w:tab/>
        <w:t>1.</w:t>
      </w:r>
      <w:r>
        <w:tab/>
      </w:r>
      <w:r>
        <w:fldChar w:fldCharType="begin"/>
      </w:r>
      <w:r>
        <w:instrText xml:space="preserve"> PAGEREF _Toc265743671 \h </w:instrText>
      </w:r>
      <w:r>
        <w:fldChar w:fldCharType="separate"/>
      </w:r>
      <w:r>
        <w:t>106</w:t>
      </w:r>
      <w:r>
        <w:fldChar w:fldCharType="end"/>
      </w:r>
    </w:p>
    <w:p>
      <w:pPr>
        <w:pStyle w:val="TOC8"/>
        <w:rPr>
          <w:sz w:val="24"/>
          <w:szCs w:val="24"/>
        </w:rPr>
      </w:pPr>
      <w:r>
        <w:rPr>
          <w:szCs w:val="22"/>
        </w:rPr>
        <w:tab/>
        <w:t>Ord Irrigation District</w:t>
      </w:r>
      <w:r>
        <w:tab/>
      </w:r>
      <w:r>
        <w:fldChar w:fldCharType="begin"/>
      </w:r>
      <w:r>
        <w:instrText xml:space="preserve"> PAGEREF _Toc265743672 \h </w:instrText>
      </w:r>
      <w:r>
        <w:fldChar w:fldCharType="separate"/>
      </w:r>
      <w:r>
        <w:t>106</w:t>
      </w:r>
      <w:r>
        <w:fldChar w:fldCharType="end"/>
      </w:r>
    </w:p>
    <w:p>
      <w:pPr>
        <w:pStyle w:val="TOC2"/>
        <w:tabs>
          <w:tab w:val="right" w:leader="dot" w:pos="7086"/>
        </w:tabs>
        <w:rPr>
          <w:b w:val="0"/>
          <w:sz w:val="24"/>
          <w:szCs w:val="24"/>
        </w:rPr>
      </w:pPr>
      <w:r>
        <w:rPr>
          <w:szCs w:val="28"/>
        </w:rPr>
        <w:t>Schedule 6 — Formula for calculating AGRV</w:t>
      </w:r>
    </w:p>
    <w:p>
      <w:pPr>
        <w:pStyle w:val="TOC8"/>
        <w:rPr>
          <w:sz w:val="24"/>
          <w:szCs w:val="24"/>
        </w:rPr>
      </w:pPr>
      <w:r>
        <w:rPr>
          <w:szCs w:val="22"/>
        </w:rPr>
        <w:t>1.</w:t>
      </w:r>
      <w:r>
        <w:rPr>
          <w:szCs w:val="22"/>
        </w:rPr>
        <w:tab/>
        <w:t>Term used: relevant general valuation</w:t>
      </w:r>
      <w:r>
        <w:tab/>
      </w:r>
      <w:r>
        <w:fldChar w:fldCharType="begin"/>
      </w:r>
      <w:r>
        <w:instrText xml:space="preserve"> PAGEREF _Toc265743674 \h </w:instrText>
      </w:r>
      <w:r>
        <w:fldChar w:fldCharType="separate"/>
      </w:r>
      <w:r>
        <w:t>107</w:t>
      </w:r>
      <w:r>
        <w:fldChar w:fldCharType="end"/>
      </w:r>
    </w:p>
    <w:p>
      <w:pPr>
        <w:pStyle w:val="TOC8"/>
        <w:rPr>
          <w:sz w:val="24"/>
          <w:szCs w:val="24"/>
        </w:rPr>
      </w:pPr>
      <w:r>
        <w:rPr>
          <w:szCs w:val="22"/>
        </w:rPr>
        <w:t>2.</w:t>
      </w:r>
      <w:r>
        <w:rPr>
          <w:szCs w:val="22"/>
        </w:rPr>
        <w:tab/>
        <w:t>Formula for calculating AGRV</w:t>
      </w:r>
      <w:r>
        <w:tab/>
      </w:r>
      <w:r>
        <w:fldChar w:fldCharType="begin"/>
      </w:r>
      <w:r>
        <w:instrText xml:space="preserve"> PAGEREF _Toc265743675 \h </w:instrText>
      </w:r>
      <w:r>
        <w:fldChar w:fldCharType="separate"/>
      </w:r>
      <w:r>
        <w:t>107</w:t>
      </w:r>
      <w:r>
        <w:fldChar w:fldCharType="end"/>
      </w:r>
    </w:p>
    <w:p>
      <w:pPr>
        <w:pStyle w:val="TOC2"/>
        <w:tabs>
          <w:tab w:val="right" w:leader="dot" w:pos="7086"/>
        </w:tabs>
        <w:rPr>
          <w:b w:val="0"/>
          <w:sz w:val="24"/>
          <w:szCs w:val="24"/>
        </w:rPr>
      </w:pPr>
      <w:r>
        <w:rPr>
          <w:szCs w:val="28"/>
        </w:rPr>
        <w:t>Schedule 7 — Discounts and additional charges</w:t>
      </w:r>
    </w:p>
    <w:p>
      <w:pPr>
        <w:pStyle w:val="TOC8"/>
        <w:rPr>
          <w:sz w:val="24"/>
          <w:szCs w:val="24"/>
        </w:rPr>
      </w:pPr>
      <w:r>
        <w:rPr>
          <w:szCs w:val="22"/>
        </w:rPr>
        <w:tab/>
        <w:t>1.</w:t>
      </w:r>
      <w:r>
        <w:tab/>
      </w:r>
      <w:r>
        <w:fldChar w:fldCharType="begin"/>
      </w:r>
      <w:r>
        <w:instrText xml:space="preserve"> PAGEREF _Toc265743677 \h </w:instrText>
      </w:r>
      <w:r>
        <w:fldChar w:fldCharType="separate"/>
      </w:r>
      <w:r>
        <w:t>108</w:t>
      </w:r>
      <w:r>
        <w:fldChar w:fldCharType="end"/>
      </w:r>
    </w:p>
    <w:p>
      <w:pPr>
        <w:pStyle w:val="TOC8"/>
        <w:rPr>
          <w:sz w:val="24"/>
          <w:szCs w:val="24"/>
        </w:rPr>
      </w:pPr>
      <w:r>
        <w:rPr>
          <w:szCs w:val="22"/>
        </w:rPr>
        <w:tab/>
        <w:t>Discount</w:t>
      </w:r>
      <w:r>
        <w:tab/>
      </w:r>
      <w:r>
        <w:fldChar w:fldCharType="begin"/>
      </w:r>
      <w:r>
        <w:instrText xml:space="preserve"> PAGEREF _Toc265743678 \h </w:instrText>
      </w:r>
      <w:r>
        <w:fldChar w:fldCharType="separate"/>
      </w:r>
      <w:r>
        <w:t>108</w:t>
      </w:r>
      <w:r>
        <w:fldChar w:fldCharType="end"/>
      </w:r>
    </w:p>
    <w:p>
      <w:pPr>
        <w:pStyle w:val="TOC8"/>
        <w:rPr>
          <w:sz w:val="24"/>
          <w:szCs w:val="24"/>
        </w:rPr>
      </w:pPr>
      <w:r>
        <w:rPr>
          <w:szCs w:val="22"/>
        </w:rPr>
        <w:tab/>
        <w:t>2.</w:t>
      </w:r>
      <w:r>
        <w:tab/>
      </w:r>
      <w:r>
        <w:fldChar w:fldCharType="begin"/>
      </w:r>
      <w:r>
        <w:instrText xml:space="preserve"> PAGEREF _Toc265743679 \h </w:instrText>
      </w:r>
      <w:r>
        <w:fldChar w:fldCharType="separate"/>
      </w:r>
      <w:r>
        <w:t>108</w:t>
      </w:r>
      <w:r>
        <w:fldChar w:fldCharType="end"/>
      </w:r>
    </w:p>
    <w:p>
      <w:pPr>
        <w:pStyle w:val="TOC8"/>
        <w:rPr>
          <w:sz w:val="24"/>
          <w:szCs w:val="24"/>
        </w:rPr>
      </w:pPr>
      <w:r>
        <w:rPr>
          <w:szCs w:val="22"/>
        </w:rPr>
        <w:tab/>
        <w:t>Additional charges</w:t>
      </w:r>
      <w:r>
        <w:tab/>
      </w:r>
      <w:r>
        <w:fldChar w:fldCharType="begin"/>
      </w:r>
      <w:r>
        <w:instrText xml:space="preserve"> PAGEREF _Toc265743680 \h </w:instrText>
      </w:r>
      <w:r>
        <w:fldChar w:fldCharType="separate"/>
      </w:r>
      <w:r>
        <w:t>108</w:t>
      </w:r>
      <w:r>
        <w:fldChar w:fldCharType="end"/>
      </w:r>
    </w:p>
    <w:p>
      <w:pPr>
        <w:pStyle w:val="TOC8"/>
        <w:rPr>
          <w:sz w:val="24"/>
          <w:szCs w:val="24"/>
        </w:rPr>
      </w:pPr>
      <w:r>
        <w:rPr>
          <w:szCs w:val="22"/>
        </w:rPr>
        <w:tab/>
        <w:t>3.</w:t>
      </w:r>
      <w:r>
        <w:tab/>
      </w:r>
      <w:r>
        <w:fldChar w:fldCharType="begin"/>
      </w:r>
      <w:r>
        <w:instrText xml:space="preserve"> PAGEREF _Toc265743681 \h </w:instrText>
      </w:r>
      <w:r>
        <w:fldChar w:fldCharType="separate"/>
      </w:r>
      <w:r>
        <w:t>108</w:t>
      </w:r>
      <w:r>
        <w:fldChar w:fldCharType="end"/>
      </w:r>
    </w:p>
    <w:p>
      <w:pPr>
        <w:pStyle w:val="TOC8"/>
        <w:rPr>
          <w:sz w:val="24"/>
          <w:szCs w:val="24"/>
        </w:rPr>
      </w:pPr>
      <w:r>
        <w:rPr>
          <w:szCs w:val="22"/>
        </w:rPr>
        <w:tab/>
        <w:t>Rates of interest</w:t>
      </w:r>
      <w:r>
        <w:tab/>
      </w:r>
      <w:r>
        <w:fldChar w:fldCharType="begin"/>
      </w:r>
      <w:r>
        <w:instrText xml:space="preserve"> PAGEREF _Toc265743682 \h </w:instrText>
      </w:r>
      <w:r>
        <w:fldChar w:fldCharType="separate"/>
      </w:r>
      <w:r>
        <w:t>108</w:t>
      </w:r>
      <w:r>
        <w:fldChar w:fldCharType="end"/>
      </w:r>
    </w:p>
    <w:p>
      <w:pPr>
        <w:pStyle w:val="TOC8"/>
        <w:rPr>
          <w:sz w:val="24"/>
          <w:szCs w:val="24"/>
        </w:rPr>
      </w:pPr>
      <w:r>
        <w:rPr>
          <w:szCs w:val="22"/>
        </w:rPr>
        <w:tab/>
        <w:t>4.</w:t>
      </w:r>
      <w:r>
        <w:tab/>
      </w:r>
      <w:r>
        <w:fldChar w:fldCharType="begin"/>
      </w:r>
      <w:r>
        <w:instrText xml:space="preserve"> PAGEREF _Toc265743683 \h </w:instrText>
      </w:r>
      <w:r>
        <w:fldChar w:fldCharType="separate"/>
      </w:r>
      <w:r>
        <w:t>108</w:t>
      </w:r>
      <w:r>
        <w:fldChar w:fldCharType="end"/>
      </w:r>
    </w:p>
    <w:p>
      <w:pPr>
        <w:pStyle w:val="TOC8"/>
        <w:rPr>
          <w:sz w:val="24"/>
          <w:szCs w:val="24"/>
        </w:rPr>
      </w:pPr>
      <w:r>
        <w:rPr>
          <w:szCs w:val="22"/>
        </w:rPr>
        <w:tab/>
        <w:t>Concession (by</w:t>
      </w:r>
      <w:r>
        <w:rPr>
          <w:szCs w:val="22"/>
        </w:rPr>
        <w:noBreakHyphen/>
        <w:t>law 8A(2))</w:t>
      </w:r>
      <w:r>
        <w:tab/>
      </w:r>
      <w:r>
        <w:fldChar w:fldCharType="begin"/>
      </w:r>
      <w:r>
        <w:instrText xml:space="preserve"> PAGEREF _Toc265743684 \h </w:instrText>
      </w:r>
      <w:r>
        <w:fldChar w:fldCharType="separate"/>
      </w:r>
      <w:r>
        <w:t>108</w:t>
      </w:r>
      <w:r>
        <w:fldChar w:fldCharType="end"/>
      </w:r>
    </w:p>
    <w:p>
      <w:pPr>
        <w:pStyle w:val="TOC8"/>
        <w:rPr>
          <w:sz w:val="24"/>
          <w:szCs w:val="24"/>
        </w:rPr>
      </w:pPr>
      <w:r>
        <w:rPr>
          <w:szCs w:val="22"/>
        </w:rPr>
        <w:tab/>
        <w:t>5.</w:t>
      </w:r>
      <w:r>
        <w:tab/>
      </w:r>
      <w:r>
        <w:fldChar w:fldCharType="begin"/>
      </w:r>
      <w:r>
        <w:instrText xml:space="preserve"> PAGEREF _Toc265743685 \h </w:instrText>
      </w:r>
      <w:r>
        <w:fldChar w:fldCharType="separate"/>
      </w:r>
      <w:r>
        <w:t>108</w:t>
      </w:r>
      <w:r>
        <w:fldChar w:fldCharType="end"/>
      </w:r>
    </w:p>
    <w:p>
      <w:pPr>
        <w:pStyle w:val="TOC8"/>
        <w:rPr>
          <w:sz w:val="24"/>
          <w:szCs w:val="24"/>
        </w:rPr>
      </w:pPr>
      <w:r>
        <w:tab/>
        <w:t>Interest on overdue amounts (by</w:t>
      </w:r>
      <w:r>
        <w:noBreakHyphen/>
        <w:t>law 9)</w:t>
      </w:r>
      <w:r>
        <w:tab/>
      </w:r>
      <w:r>
        <w:fldChar w:fldCharType="begin"/>
      </w:r>
      <w:r>
        <w:instrText xml:space="preserve"> PAGEREF _Toc265743686 \h </w:instrText>
      </w:r>
      <w:r>
        <w:fldChar w:fldCharType="separate"/>
      </w:r>
      <w:r>
        <w:t>108</w:t>
      </w:r>
      <w:r>
        <w:fldChar w:fldCharType="end"/>
      </w:r>
    </w:p>
    <w:p>
      <w:pPr>
        <w:pStyle w:val="TOC2"/>
        <w:tabs>
          <w:tab w:val="right" w:leader="dot" w:pos="7086"/>
        </w:tabs>
        <w:rPr>
          <w:b w:val="0"/>
          <w:sz w:val="24"/>
          <w:szCs w:val="24"/>
        </w:rPr>
      </w:pPr>
      <w:r>
        <w:rPr>
          <w:szCs w:val="28"/>
        </w:rPr>
        <w:t>Schedule 8 — Water supply charges for Government trading organisations and non</w:t>
      </w:r>
      <w:r>
        <w:rPr>
          <w:szCs w:val="28"/>
        </w:rPr>
        <w:noBreakHyphen/>
        <w:t>commercial Government property</w:t>
      </w:r>
    </w:p>
    <w:p>
      <w:pPr>
        <w:pStyle w:val="TOC8"/>
        <w:rPr>
          <w:sz w:val="24"/>
          <w:szCs w:val="24"/>
        </w:rPr>
      </w:pPr>
      <w:r>
        <w:rPr>
          <w:szCs w:val="22"/>
        </w:rPr>
        <w:t>1.</w:t>
      </w:r>
      <w:r>
        <w:rPr>
          <w:szCs w:val="22"/>
        </w:rPr>
        <w:tab/>
        <w:t>Annual charge (based on meter size)</w:t>
      </w:r>
      <w:r>
        <w:tab/>
      </w:r>
      <w:r>
        <w:fldChar w:fldCharType="begin"/>
      </w:r>
      <w:r>
        <w:instrText xml:space="preserve"> PAGEREF _Toc265743688 \h </w:instrText>
      </w:r>
      <w:r>
        <w:fldChar w:fldCharType="separate"/>
      </w:r>
      <w:r>
        <w:t>109</w:t>
      </w:r>
      <w:r>
        <w:fldChar w:fldCharType="end"/>
      </w:r>
    </w:p>
    <w:p>
      <w:pPr>
        <w:pStyle w:val="TOC8"/>
        <w:rPr>
          <w:sz w:val="24"/>
          <w:szCs w:val="24"/>
        </w:rPr>
      </w:pPr>
      <w:r>
        <w:rPr>
          <w:szCs w:val="22"/>
        </w:rPr>
        <w:tab/>
        <w:t>2.</w:t>
      </w:r>
      <w:r>
        <w:tab/>
      </w:r>
      <w:r>
        <w:fldChar w:fldCharType="begin"/>
      </w:r>
      <w:r>
        <w:instrText xml:space="preserve"> PAGEREF _Toc265743689 \h </w:instrText>
      </w:r>
      <w:r>
        <w:fldChar w:fldCharType="separate"/>
      </w:r>
      <w:r>
        <w:t>109</w:t>
      </w:r>
      <w:r>
        <w:fldChar w:fldCharType="end"/>
      </w:r>
    </w:p>
    <w:p>
      <w:pPr>
        <w:pStyle w:val="TOC8"/>
        <w:rPr>
          <w:sz w:val="24"/>
          <w:szCs w:val="24"/>
        </w:rPr>
      </w:pPr>
      <w:r>
        <w:rPr>
          <w:szCs w:val="22"/>
        </w:rPr>
        <w:tab/>
        <w:t>Volume charge (c/kL)</w:t>
      </w:r>
      <w:r>
        <w:tab/>
      </w:r>
      <w:r>
        <w:fldChar w:fldCharType="begin"/>
      </w:r>
      <w:r>
        <w:instrText xml:space="preserve"> PAGEREF _Toc265743690 \h </w:instrText>
      </w:r>
      <w:r>
        <w:fldChar w:fldCharType="separate"/>
      </w:r>
      <w:r>
        <w:t>109</w:t>
      </w:r>
      <w:r>
        <w:fldChar w:fldCharType="end"/>
      </w:r>
    </w:p>
    <w:p>
      <w:pPr>
        <w:pStyle w:val="TOC2"/>
        <w:tabs>
          <w:tab w:val="right" w:leader="dot" w:pos="7086"/>
        </w:tabs>
        <w:rPr>
          <w:b w:val="0"/>
          <w:sz w:val="24"/>
          <w:szCs w:val="24"/>
        </w:rPr>
      </w:pPr>
      <w:r>
        <w:rPr>
          <w:szCs w:val="28"/>
        </w:rPr>
        <w:t>Schedule 9 — Classification of towns/areas for the purpose of determining quantity charges in the previous year</w:t>
      </w:r>
    </w:p>
    <w:p>
      <w:pPr>
        <w:pStyle w:val="TOC2"/>
        <w:tabs>
          <w:tab w:val="right" w:leader="dot" w:pos="7086"/>
        </w:tabs>
        <w:rPr>
          <w:b w:val="0"/>
          <w:sz w:val="24"/>
          <w:szCs w:val="24"/>
        </w:rPr>
      </w:pPr>
      <w:r>
        <w:rPr>
          <w:szCs w:val="28"/>
        </w:rPr>
        <w:t>Schedule 10 — Classification of towns/areas for the purpose of determining quantity charges in the current year</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_Toc265743694 \h </w:instrText>
      </w:r>
      <w:r>
        <w:fldChar w:fldCharType="separate"/>
      </w:r>
      <w:r>
        <w:t>131</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Water Agencies (Powers) Act 1984</w:t>
      </w:r>
    </w:p>
    <w:p>
      <w:pPr>
        <w:pStyle w:val="NameofActReg"/>
        <w:spacing w:before="600" w:after="720"/>
      </w:pPr>
      <w:r>
        <w:t>Water Agencies (Charges) By</w:t>
      </w:r>
      <w:r>
        <w:noBreakHyphen/>
        <w:t>laws 1987</w:t>
      </w:r>
    </w:p>
    <w:p>
      <w:pPr>
        <w:pStyle w:val="Heading5"/>
        <w:spacing w:before="160"/>
        <w:rPr>
          <w:snapToGrid w:val="0"/>
        </w:rPr>
      </w:pPr>
      <w:bookmarkStart w:id="1" w:name="_Toc487428937"/>
      <w:bookmarkStart w:id="2" w:name="_Toc17278645"/>
      <w:bookmarkStart w:id="3" w:name="_Toc180204742"/>
      <w:bookmarkStart w:id="4" w:name="_Toc265743449"/>
      <w:r>
        <w:rPr>
          <w:rStyle w:val="CharSectno"/>
        </w:rPr>
        <w:t>1</w:t>
      </w:r>
      <w:r>
        <w:rPr>
          <w:snapToGrid w:val="0"/>
        </w:rPr>
        <w:t>.</w:t>
      </w:r>
      <w:r>
        <w:rPr>
          <w:snapToGrid w:val="0"/>
        </w:rPr>
        <w:tab/>
        <w:t>Citation</w:t>
      </w:r>
      <w:bookmarkEnd w:id="1"/>
      <w:bookmarkEnd w:id="2"/>
      <w:bookmarkEnd w:id="3"/>
      <w:bookmarkEnd w:id="4"/>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snapToGrid w:val="0"/>
        </w:rPr>
      </w:pPr>
      <w:bookmarkStart w:id="5" w:name="_Toc487428938"/>
      <w:bookmarkStart w:id="6" w:name="_Toc17278646"/>
      <w:bookmarkStart w:id="7" w:name="_Toc180204743"/>
      <w:bookmarkStart w:id="8" w:name="_Toc265743450"/>
      <w:r>
        <w:rPr>
          <w:rStyle w:val="CharSectno"/>
        </w:rPr>
        <w:t>2</w:t>
      </w:r>
      <w:r>
        <w:rPr>
          <w:snapToGrid w:val="0"/>
        </w:rPr>
        <w:t>.</w:t>
      </w:r>
      <w:r>
        <w:rPr>
          <w:snapToGrid w:val="0"/>
        </w:rPr>
        <w:tab/>
      </w:r>
      <w:bookmarkEnd w:id="5"/>
      <w:bookmarkEnd w:id="6"/>
      <w:r>
        <w:rPr>
          <w:snapToGrid w:val="0"/>
        </w:rPr>
        <w:t>Terms used</w:t>
      </w:r>
      <w:bookmarkEnd w:id="7"/>
      <w:bookmarkEnd w:id="8"/>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r>
      <w:r>
        <w:rPr>
          <w:rStyle w:val="CharDefText"/>
        </w:rPr>
        <w:t>caravan bay</w:t>
      </w:r>
      <w:r>
        <w:t xml:space="preserve"> means </w:t>
      </w:r>
      <w:r>
        <w:rPr>
          <w:rStyle w:val="CharDefText"/>
        </w:rPr>
        <w:t>site</w:t>
      </w:r>
      <w:r>
        <w:t xml:space="preserve"> as that word is defined in the </w:t>
      </w:r>
      <w:r>
        <w:rPr>
          <w:i/>
        </w:rPr>
        <w:t>Caravan Parks and Camping Grounds Act 1995</w:t>
      </w:r>
      <w:r>
        <w:t>;</w:t>
      </w:r>
    </w:p>
    <w:p>
      <w:pPr>
        <w:pStyle w:val="Defstart"/>
      </w:pPr>
      <w:r>
        <w:tab/>
      </w:r>
      <w:r>
        <w:rPr>
          <w:rStyle w:val="CharDefText"/>
        </w:rPr>
        <w:t>consumption year</w:t>
      </w:r>
      <w:r>
        <w:t>, in relation to a property, means the period determined by the Corporation for the purposes of calculating the quantity charge for the supply of water to the property;</w:t>
      </w:r>
    </w:p>
    <w:p>
      <w:pPr>
        <w:pStyle w:val="Defstart"/>
      </w:pPr>
      <w:r>
        <w:rPr>
          <w:b/>
        </w:rPr>
        <w:tab/>
      </w:r>
      <w:r>
        <w:rPr>
          <w:rStyle w:val="CharDefText"/>
        </w:rPr>
        <w:t>country sewerage area</w:t>
      </w:r>
      <w:r>
        <w:t xml:space="preserve"> means a sewerage area constituted under the </w:t>
      </w:r>
      <w:r>
        <w:rPr>
          <w:i/>
        </w:rPr>
        <w:t>Country Towns Sewerage Act 1948</w:t>
      </w:r>
      <w:r>
        <w:t>;</w:t>
      </w:r>
    </w:p>
    <w:p>
      <w:pPr>
        <w:pStyle w:val="Defstart"/>
      </w:pPr>
      <w:r>
        <w:rPr>
          <w:b/>
        </w:rPr>
        <w:tab/>
      </w:r>
      <w:r>
        <w:rPr>
          <w:rStyle w:val="CharDefText"/>
        </w:rPr>
        <w:t>current year</w:t>
      </w:r>
      <w:r>
        <w:t xml:space="preserve"> means the current financial year;</w:t>
      </w:r>
    </w:p>
    <w:p>
      <w:pPr>
        <w:pStyle w:val="Defstart"/>
        <w:keepNext/>
      </w:pPr>
      <w:r>
        <w:rPr>
          <w:b/>
        </w:rPr>
        <w:tab/>
      </w:r>
      <w:r>
        <w:rPr>
          <w:rStyle w:val="CharDefText"/>
        </w:rPr>
        <w:t>discharge charge</w:t>
      </w:r>
      <w:r>
        <w:t xml:space="preserve"> means —</w:t>
      </w:r>
    </w:p>
    <w:p>
      <w:pPr>
        <w:pStyle w:val="Defpara"/>
      </w:pPr>
      <w:r>
        <w:tab/>
        <w:t>(a)</w:t>
      </w:r>
      <w:r>
        <w:tab/>
        <w:t>when used in a metropolitan context, an amount calculated in accordance with the formula in Schedule 3 item 19; or</w:t>
      </w:r>
    </w:p>
    <w:p>
      <w:pPr>
        <w:pStyle w:val="Defpara"/>
      </w:pPr>
      <w:r>
        <w:tab/>
        <w:t>(b)</w:t>
      </w:r>
      <w:r>
        <w:tab/>
        <w:t>when used in a country context, an amount calculated in accordance with the formula in Schedule 3 item 37; or</w:t>
      </w:r>
    </w:p>
    <w:p>
      <w:pPr>
        <w:pStyle w:val="Defstart"/>
      </w:pPr>
      <w:r>
        <w:rPr>
          <w:b/>
        </w:rPr>
        <w:tab/>
      </w:r>
      <w:r>
        <w:rPr>
          <w:rStyle w:val="CharDefText"/>
        </w:rPr>
        <w:t>discharge factor</w:t>
      </w:r>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r>
      <w:r>
        <w:rPr>
          <w:rStyle w:val="CharDefText"/>
        </w:rPr>
        <w:t>discharge period</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r>
      <w:r>
        <w:rPr>
          <w:rStyle w:val="CharDefText"/>
        </w:rPr>
        <w:t>discharge volume</w:t>
      </w:r>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keepNext/>
      </w:pPr>
      <w:r>
        <w:rPr>
          <w:b/>
        </w:rPr>
        <w:tab/>
      </w:r>
      <w:r>
        <w:rPr>
          <w:rStyle w:val="CharDefText"/>
        </w:rPr>
        <w:t>Government trading organisation</w:t>
      </w:r>
      <w:r>
        <w:t xml:space="preserve"> means one of the following organisations —</w:t>
      </w:r>
    </w:p>
    <w:p>
      <w:pPr>
        <w:pStyle w:val="Defpara"/>
      </w:pPr>
      <w:r>
        <w:tab/>
      </w:r>
      <w:r>
        <w:tab/>
        <w:t xml:space="preserve">Albany Port Authority — constituted under the </w:t>
      </w:r>
      <w:r>
        <w:rPr>
          <w:i/>
        </w:rPr>
        <w:t>Albany Port Authority Act 1926</w:t>
      </w:r>
      <w:r>
        <w:t xml:space="preserve"> </w:t>
      </w:r>
      <w:r>
        <w:rPr>
          <w:vertAlign w:val="superscript"/>
        </w:rPr>
        <w:t>2</w:t>
      </w:r>
      <w:r>
        <w:t>;</w:t>
      </w:r>
    </w:p>
    <w:p>
      <w:pPr>
        <w:pStyle w:val="Defpara"/>
      </w:pPr>
      <w:r>
        <w:tab/>
      </w:r>
      <w:r>
        <w:tab/>
        <w:t xml:space="preserve">Bunbury Port Authority — constituted under the </w:t>
      </w:r>
      <w:r>
        <w:rPr>
          <w:i/>
        </w:rPr>
        <w:t>Bunbury Port Authority Act 1909</w:t>
      </w:r>
      <w:r>
        <w:t xml:space="preserve"> </w:t>
      </w:r>
      <w:r>
        <w:rPr>
          <w:vertAlign w:val="superscript"/>
        </w:rPr>
        <w:t>2</w:t>
      </w:r>
      <w:r>
        <w:t>;</w:t>
      </w:r>
    </w:p>
    <w:p>
      <w:pPr>
        <w:pStyle w:val="Defpara"/>
      </w:pPr>
      <w:r>
        <w:tab/>
      </w:r>
      <w:r>
        <w:tab/>
        <w:t xml:space="preserve">Dampier Port Authority — constituted under the </w:t>
      </w:r>
      <w:r>
        <w:rPr>
          <w:i/>
        </w:rPr>
        <w:t>Dampier Port Authority Act 1985</w:t>
      </w:r>
      <w:r>
        <w:t xml:space="preserve"> </w:t>
      </w:r>
      <w:r>
        <w:rPr>
          <w:vertAlign w:val="superscript"/>
        </w:rPr>
        <w:t>2</w:t>
      </w:r>
      <w:r>
        <w:t>;</w:t>
      </w:r>
    </w:p>
    <w:p>
      <w:pPr>
        <w:pStyle w:val="Defpara"/>
      </w:pPr>
      <w:r>
        <w:tab/>
      </w:r>
      <w:r>
        <w:tab/>
        <w:t>Department of Marine and Harbours </w:t>
      </w:r>
      <w:r>
        <w:rPr>
          <w:vertAlign w:val="superscript"/>
        </w:rPr>
        <w:t>3</w:t>
      </w:r>
      <w:r>
        <w:t xml:space="preserve"> — established under section 4 of the </w:t>
      </w:r>
      <w:r>
        <w:rPr>
          <w:i/>
        </w:rPr>
        <w:t>Marine and Harbours Act 1981</w:t>
      </w:r>
      <w:r>
        <w:t>;</w:t>
      </w:r>
    </w:p>
    <w:p>
      <w:pPr>
        <w:pStyle w:val="Defpara"/>
      </w:pPr>
      <w:r>
        <w:tab/>
      </w:r>
      <w:r>
        <w:tab/>
        <w:t xml:space="preserve">Electricity Generation Corporation — established by section 4(1)(a) of the </w:t>
      </w:r>
      <w:r>
        <w:rPr>
          <w:i/>
        </w:rPr>
        <w:t>Electricity Corporations Act 2005</w:t>
      </w:r>
      <w:r>
        <w:t>;</w:t>
      </w:r>
    </w:p>
    <w:p>
      <w:pPr>
        <w:pStyle w:val="Defpara"/>
      </w:pPr>
      <w:r>
        <w:tab/>
      </w:r>
      <w:r>
        <w:tab/>
        <w:t xml:space="preserve">Electricity Networks Corporation — established by section 4(1)(b) of the </w:t>
      </w:r>
      <w:r>
        <w:rPr>
          <w:i/>
        </w:rPr>
        <w:t>Electricity Corporations Act 2005</w:t>
      </w:r>
      <w:r>
        <w:t>;</w:t>
      </w:r>
    </w:p>
    <w:p>
      <w:pPr>
        <w:pStyle w:val="Defpara"/>
      </w:pPr>
      <w:r>
        <w:tab/>
      </w:r>
      <w:r>
        <w:tab/>
        <w:t xml:space="preserve">Electricity Retail Corporation — established by section 4(1)(c) of the </w:t>
      </w:r>
      <w:r>
        <w:rPr>
          <w:i/>
        </w:rPr>
        <w:t>Electricity Corporations Act 2005</w:t>
      </w:r>
      <w:r>
        <w:t>;</w:t>
      </w:r>
    </w:p>
    <w:p>
      <w:pPr>
        <w:pStyle w:val="Defpara"/>
      </w:pPr>
      <w:r>
        <w:tab/>
      </w:r>
      <w:r>
        <w:tab/>
        <w:t xml:space="preserve">Esperance Port Authority — constituted under the </w:t>
      </w:r>
      <w:r>
        <w:rPr>
          <w:i/>
        </w:rPr>
        <w:t>Esperance Port Authority Act 1968</w:t>
      </w:r>
      <w:r>
        <w:t xml:space="preserve"> </w:t>
      </w:r>
      <w:r>
        <w:rPr>
          <w:vertAlign w:val="superscript"/>
        </w:rPr>
        <w:t>2</w:t>
      </w:r>
      <w:r>
        <w:t>;</w:t>
      </w:r>
    </w:p>
    <w:p>
      <w:pPr>
        <w:pStyle w:val="Defpara"/>
      </w:pPr>
      <w:r>
        <w:tab/>
      </w:r>
      <w:r>
        <w:tab/>
        <w:t xml:space="preserve">Fremantle Port Authority — constituted under the </w:t>
      </w:r>
      <w:r>
        <w:rPr>
          <w:i/>
        </w:rPr>
        <w:t>Fremantle Port Authority Act 1902</w:t>
      </w:r>
      <w:r>
        <w:t xml:space="preserve"> </w:t>
      </w:r>
      <w:r>
        <w:rPr>
          <w:vertAlign w:val="superscript"/>
        </w:rPr>
        <w:t>2</w:t>
      </w:r>
      <w:r>
        <w:t>;</w:t>
      </w:r>
    </w:p>
    <w:p>
      <w:pPr>
        <w:pStyle w:val="Defpara"/>
      </w:pPr>
      <w:r>
        <w:tab/>
      </w:r>
      <w:r>
        <w:tab/>
        <w:t xml:space="preserve">Gas Corporation — established under section 4 of the </w:t>
      </w:r>
      <w:r>
        <w:rPr>
          <w:i/>
        </w:rPr>
        <w:t>Gas Corporation Act 1994 </w:t>
      </w:r>
      <w:r>
        <w:rPr>
          <w:vertAlign w:val="superscript"/>
        </w:rPr>
        <w:t>4</w:t>
      </w:r>
      <w:r>
        <w:t>;</w:t>
      </w:r>
    </w:p>
    <w:p>
      <w:pPr>
        <w:pStyle w:val="Defpara"/>
      </w:pPr>
      <w:r>
        <w:tab/>
      </w:r>
      <w:r>
        <w:tab/>
        <w:t xml:space="preserve">Geraldton Port Authority — constituted under the </w:t>
      </w:r>
      <w:r>
        <w:rPr>
          <w:i/>
        </w:rPr>
        <w:t>Geraldton Port Authority Act 1968</w:t>
      </w:r>
      <w:r>
        <w:t xml:space="preserve"> </w:t>
      </w:r>
      <w:r>
        <w:rPr>
          <w:vertAlign w:val="superscript"/>
        </w:rPr>
        <w:t>2</w:t>
      </w:r>
      <w:r>
        <w:t>;</w:t>
      </w:r>
    </w:p>
    <w:p>
      <w:pPr>
        <w:pStyle w:val="Defpara"/>
      </w:pPr>
      <w:r>
        <w:tab/>
      </w:r>
      <w:r>
        <w:tab/>
        <w:t xml:space="preserve">Joondalup Development Corporation — established under the </w:t>
      </w:r>
      <w:r>
        <w:rPr>
          <w:i/>
        </w:rPr>
        <w:t>Joondalup Centre Act 1976</w:t>
      </w:r>
      <w:r>
        <w:t xml:space="preserve"> </w:t>
      </w:r>
      <w:r>
        <w:rPr>
          <w:vertAlign w:val="superscript"/>
        </w:rPr>
        <w:t>5</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 xml:space="preserve">Metropolitan (Perth) Passenger Transport Trust — constituted under the </w:t>
      </w:r>
      <w:r>
        <w:rPr>
          <w:i/>
        </w:rPr>
        <w:t>Metropolitan (Perth) Passenger Transport Trust Act 1957</w:t>
      </w:r>
      <w:r>
        <w:t xml:space="preserve"> </w:t>
      </w:r>
      <w:r>
        <w:rPr>
          <w:vertAlign w:val="superscript"/>
        </w:rPr>
        <w:t>6</w:t>
      </w:r>
      <w:r>
        <w:t>;</w:t>
      </w:r>
    </w:p>
    <w:p>
      <w:pPr>
        <w:pStyle w:val="Defpara"/>
      </w:pPr>
      <w:r>
        <w:tab/>
      </w:r>
      <w:r>
        <w:tab/>
        <w:t xml:space="preserve">Perth Market Authority — preserved and continued under the </w:t>
      </w:r>
      <w:r>
        <w:rPr>
          <w:i/>
        </w:rPr>
        <w:t>Perth Market Act 1926</w:t>
      </w:r>
      <w:r>
        <w:t>;</w:t>
      </w:r>
    </w:p>
    <w:p>
      <w:pPr>
        <w:pStyle w:val="Defpara"/>
      </w:pPr>
      <w:r>
        <w:tab/>
      </w:r>
      <w:r>
        <w:tab/>
        <w:t xml:space="preserve">Perth Theatre Trust — established under the </w:t>
      </w:r>
      <w:r>
        <w:rPr>
          <w:i/>
        </w:rPr>
        <w:t>Perth Theatre Trust Act 1979</w:t>
      </w:r>
      <w:r>
        <w:t>;</w:t>
      </w:r>
    </w:p>
    <w:p>
      <w:pPr>
        <w:pStyle w:val="Defpara"/>
      </w:pPr>
      <w:r>
        <w:tab/>
      </w:r>
      <w:r>
        <w:tab/>
        <w:t xml:space="preserve">Port Hedland Port Authority — constituted under the </w:t>
      </w:r>
      <w:r>
        <w:rPr>
          <w:i/>
        </w:rPr>
        <w:t>Port Hedland Port Authority Act 1970</w:t>
      </w:r>
      <w:r>
        <w:t xml:space="preserve"> </w:t>
      </w:r>
      <w:r>
        <w:rPr>
          <w:vertAlign w:val="superscript"/>
        </w:rPr>
        <w:t>2</w:t>
      </w:r>
      <w:r>
        <w:t>;</w:t>
      </w:r>
    </w:p>
    <w:p>
      <w:pPr>
        <w:pStyle w:val="Defpara"/>
      </w:pPr>
      <w:r>
        <w:tab/>
      </w:r>
      <w:r>
        <w:tab/>
        <w:t xml:space="preserve">Regional Power Corporation — established by section 4(1)(d) of the </w:t>
      </w:r>
      <w:r>
        <w:rPr>
          <w:i/>
        </w:rPr>
        <w:t>Electricity Corporations Act 2005</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7</w:t>
      </w:r>
      <w:r>
        <w:t>;</w:t>
      </w:r>
    </w:p>
    <w:p>
      <w:pPr>
        <w:pStyle w:val="Defpara"/>
      </w:pPr>
      <w:r>
        <w:tab/>
      </w:r>
      <w:r>
        <w:tab/>
        <w:t xml:space="preserve">Western Australian Land Authority — established by the </w:t>
      </w:r>
      <w:r>
        <w:rPr>
          <w:i/>
        </w:rPr>
        <w:t>Western Australian Land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8</w:t>
      </w:r>
      <w:r>
        <w:t>;</w:t>
      </w:r>
    </w:p>
    <w:p>
      <w:pPr>
        <w:pStyle w:val="Defpara"/>
      </w:pPr>
      <w:r>
        <w:tab/>
      </w:r>
      <w:r>
        <w:tab/>
        <w:t xml:space="preserve">Western Australian Mint — preserved and continued under the </w:t>
      </w:r>
      <w:r>
        <w:rPr>
          <w:i/>
        </w:rPr>
        <w:t>Gold Corporation Act 1987</w:t>
      </w:r>
      <w:r>
        <w:t>, including —</w:t>
      </w:r>
    </w:p>
    <w:p>
      <w:pPr>
        <w:pStyle w:val="Defsubpara"/>
        <w:rPr>
          <w:snapToGrid w:val="0"/>
        </w:rPr>
      </w:pPr>
      <w:r>
        <w:rPr>
          <w:snapToGrid w:val="0"/>
        </w:rPr>
        <w:tab/>
        <w:t>(a)</w:t>
      </w:r>
      <w:r>
        <w:rPr>
          <w:snapToGrid w:val="0"/>
        </w:rPr>
        <w:tab/>
        <w:t xml:space="preserve">GoldCorp Australia — constituted under the </w:t>
      </w:r>
      <w:r>
        <w:rPr>
          <w:i/>
          <w:snapToGrid w:val="0"/>
        </w:rPr>
        <w:t>Gold Corporation Act 1987</w:t>
      </w:r>
      <w:r>
        <w:rPr>
          <w:snapToGrid w:val="0"/>
        </w:rPr>
        <w:t>;</w:t>
      </w:r>
    </w:p>
    <w:p>
      <w:pPr>
        <w:pStyle w:val="Defsubpara"/>
        <w:rPr>
          <w:snapToGrid w:val="0"/>
        </w:rPr>
      </w:pPr>
      <w:r>
        <w:rPr>
          <w:snapToGrid w:val="0"/>
        </w:rPr>
        <w:tab/>
        <w:t>(b)</w:t>
      </w:r>
      <w:r>
        <w:rPr>
          <w:snapToGrid w:val="0"/>
        </w:rPr>
        <w:tab/>
        <w:t xml:space="preserve">Gold Corporation — constituted under the </w:t>
      </w:r>
      <w:r>
        <w:rPr>
          <w:i/>
          <w:snapToGrid w:val="0"/>
        </w:rPr>
        <w:t>Gold Corporation Act 1987</w:t>
      </w:r>
      <w:r>
        <w:rPr>
          <w:snapToGrid w:val="0"/>
        </w:rPr>
        <w:t>; and</w:t>
      </w:r>
    </w:p>
    <w:p>
      <w:pPr>
        <w:pStyle w:val="Defsubpara"/>
        <w:rPr>
          <w:snapToGrid w:val="0"/>
        </w:rPr>
      </w:pPr>
      <w:r>
        <w:rPr>
          <w:snapToGrid w:val="0"/>
        </w:rPr>
        <w:tab/>
        <w:t>(c)</w:t>
      </w:r>
      <w:r>
        <w:rPr>
          <w:snapToGrid w:val="0"/>
        </w:rPr>
        <w:tab/>
        <w:t xml:space="preserve">the Perth Branch of the Royal Mint — established by proclamation under the </w:t>
      </w:r>
      <w:r>
        <w:rPr>
          <w:i/>
          <w:snapToGrid w:val="0"/>
        </w:rPr>
        <w:t>Coinage Act 1870</w:t>
      </w:r>
      <w:r>
        <w:rPr>
          <w:snapToGrid w:val="0"/>
        </w:rPr>
        <w:t xml:space="preserve"> of the Parliament of the United Kingdom;</w:t>
      </w:r>
    </w:p>
    <w:p>
      <w:pPr>
        <w:pStyle w:val="Defpara"/>
      </w:pPr>
      <w:r>
        <w:tab/>
      </w:r>
      <w:r>
        <w:tab/>
        <w:t xml:space="preserve">Western Australian Government Railways Commission (“Westrail”) — constituted under the </w:t>
      </w:r>
      <w:r>
        <w:rPr>
          <w:i/>
        </w:rPr>
        <w:t>Government Railways Act 1904</w:t>
      </w:r>
      <w:r>
        <w:t xml:space="preserve"> </w:t>
      </w:r>
      <w:r>
        <w:rPr>
          <w:vertAlign w:val="superscript"/>
        </w:rPr>
        <w:t>9</w:t>
      </w:r>
      <w:r>
        <w:t>;</w:t>
      </w:r>
    </w:p>
    <w:p>
      <w:pPr>
        <w:pStyle w:val="Defstart"/>
      </w:pPr>
      <w:r>
        <w:rPr>
          <w:b/>
        </w:rPr>
        <w:tab/>
      </w:r>
      <w:r>
        <w:rPr>
          <w:rStyle w:val="CharDefText"/>
        </w:rPr>
        <w:t>GRV</w:t>
      </w:r>
      <w:r>
        <w:t>, in relation to land, means the gross rental value of the land;</w:t>
      </w:r>
    </w:p>
    <w:p>
      <w:pPr>
        <w:pStyle w:val="Defstart"/>
        <w:keepNext/>
      </w:pPr>
      <w:r>
        <w:rPr>
          <w:b/>
        </w:rPr>
        <w:tab/>
      </w:r>
      <w:r>
        <w:rPr>
          <w:rStyle w:val="CharDefText"/>
        </w:rPr>
        <w:t>holiday accommodation</w:t>
      </w:r>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keepNext/>
      </w:pPr>
      <w:r>
        <w:tab/>
        <w:t>(b)</w:t>
      </w:r>
      <w:r>
        <w:tab/>
        <w:t>is made available by that owner or occupier,</w:t>
      </w:r>
    </w:p>
    <w:p>
      <w:pPr>
        <w:pStyle w:val="Defstart"/>
      </w:pP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r>
      <w:r>
        <w:rPr>
          <w:rStyle w:val="CharDefText"/>
        </w:rPr>
        <w:t>home for the aged</w:t>
      </w:r>
      <w:r>
        <w:t xml:space="preserve"> means an institution that, in the opinion of the Corporation, provides accommodation for aged persons and is not operated for the purpose of profit or gain;</w:t>
      </w:r>
    </w:p>
    <w:p>
      <w:pPr>
        <w:pStyle w:val="Defstart"/>
      </w:pPr>
      <w:r>
        <w:rPr>
          <w:b/>
        </w:rPr>
        <w:tab/>
      </w:r>
      <w:r>
        <w:rPr>
          <w:rStyle w:val="CharDefText"/>
        </w:rPr>
        <w:t>irrigation district</w:t>
      </w:r>
      <w:r>
        <w:t xml:space="preserve"> refers to an irrigation district constituted under the </w:t>
      </w:r>
      <w:r>
        <w:rPr>
          <w:i/>
        </w:rPr>
        <w:t>Rights in Water and Irrigation Act 1914</w:t>
      </w:r>
      <w:r>
        <w:t>;</w:t>
      </w:r>
    </w:p>
    <w:p>
      <w:pPr>
        <w:pStyle w:val="Defstart"/>
      </w:pPr>
      <w:r>
        <w:rPr>
          <w:b/>
        </w:rPr>
        <w:tab/>
      </w:r>
      <w:r>
        <w:rPr>
          <w:rStyle w:val="CharDefText"/>
        </w:rPr>
        <w:t>long term residential caravan bay</w:t>
      </w:r>
      <w:r>
        <w:t xml:space="preserve"> means a caravan bay that is rented by a person as the person’s principal place of residence;</w:t>
      </w:r>
    </w:p>
    <w:p>
      <w:pPr>
        <w:pStyle w:val="Defstart"/>
      </w:pPr>
      <w:r>
        <w:rPr>
          <w:b/>
        </w:rPr>
        <w:tab/>
      </w:r>
      <w:r>
        <w:rPr>
          <w:rStyle w:val="CharDefText"/>
        </w:rPr>
        <w:t>major fixture</w:t>
      </w:r>
      <w:r>
        <w:t xml:space="preserve"> means —</w:t>
      </w:r>
    </w:p>
    <w:p>
      <w:pPr>
        <w:pStyle w:val="Defpara"/>
      </w:pPr>
      <w:r>
        <w:tab/>
        <w:t>(a)</w:t>
      </w:r>
      <w:r>
        <w:tab/>
        <w:t>a water closet;</w:t>
      </w:r>
    </w:p>
    <w:p>
      <w:pPr>
        <w:pStyle w:val="Defpara"/>
      </w:pPr>
      <w:r>
        <w:tab/>
        <w:t>(b)</w:t>
      </w:r>
      <w:r>
        <w:tab/>
        <w:t>each urinal outlet contained within a floor mounted urinal;</w:t>
      </w:r>
    </w:p>
    <w:p>
      <w:pPr>
        <w:pStyle w:val="Defpara"/>
      </w:pPr>
      <w:r>
        <w:tab/>
        <w:t>(c)</w:t>
      </w:r>
      <w:r>
        <w:tab/>
        <w:t>each stand of wall</w:t>
      </w:r>
      <w:r>
        <w:noBreakHyphen/>
        <w:t>hung urinals contained within a separate ablution area; and</w:t>
      </w:r>
    </w:p>
    <w:p>
      <w:pPr>
        <w:pStyle w:val="Defpara"/>
      </w:pPr>
      <w:r>
        <w:tab/>
        <w:t>(d)</w:t>
      </w:r>
      <w:r>
        <w:tab/>
        <w:t>a pan washer;</w:t>
      </w:r>
    </w:p>
    <w:p>
      <w:pPr>
        <w:pStyle w:val="Defstart"/>
      </w:pPr>
      <w:r>
        <w:rPr>
          <w:b/>
        </w:rPr>
        <w:tab/>
      </w:r>
      <w:r>
        <w:rPr>
          <w:rStyle w:val="CharDefText"/>
        </w:rPr>
        <w:t>metropolitan area</w:t>
      </w:r>
      <w:r>
        <w:t xml:space="preserve"> means Metropolitan Water, Sewerage, and Drainage Area constituted under the </w:t>
      </w:r>
      <w:r>
        <w:rPr>
          <w:i/>
        </w:rPr>
        <w:t>Metropolitan Water Supply, Sewerage, and Drainage Act 1909</w:t>
      </w:r>
      <w:r>
        <w:t>;</w:t>
      </w:r>
    </w:p>
    <w:p>
      <w:pPr>
        <w:pStyle w:val="Defstart"/>
        <w:keepNext/>
      </w:pPr>
      <w:r>
        <w:rPr>
          <w:b/>
        </w:rPr>
        <w:tab/>
      </w:r>
      <w:r>
        <w:rPr>
          <w:rStyle w:val="CharDefText"/>
        </w:rPr>
        <w:t>non</w:t>
      </w:r>
      <w:r>
        <w:rPr>
          <w:rStyle w:val="CharDefText"/>
        </w:rPr>
        <w:noBreakHyphen/>
        <w:t>commercial Government property</w:t>
      </w:r>
      <w:r>
        <w:t xml:space="preserve"> means property held by a State Government body —</w:t>
      </w:r>
    </w:p>
    <w:p>
      <w:pPr>
        <w:pStyle w:val="Defpara"/>
      </w:pPr>
      <w:r>
        <w:tab/>
        <w:t>(a)</w:t>
      </w:r>
      <w:r>
        <w:tab/>
        <w:t>which is not used wholly or primarily for the provision of community services or public facilities;</w:t>
      </w:r>
    </w:p>
    <w:p>
      <w:pPr>
        <w:pStyle w:val="Defpara"/>
      </w:pPr>
      <w:r>
        <w:tab/>
        <w:t>(b)</w:t>
      </w:r>
      <w:r>
        <w:tab/>
        <w:t>which is not property classified as Government trading organisation property under these by</w:t>
      </w:r>
      <w:r>
        <w:noBreakHyphen/>
        <w:t>laws; and</w:t>
      </w:r>
    </w:p>
    <w:p>
      <w:pPr>
        <w:pStyle w:val="Defpara"/>
      </w:pPr>
      <w:r>
        <w:tab/>
        <w:t>(c)</w:t>
      </w:r>
      <w:r>
        <w:tab/>
        <w:t>upon which revenue may be generated, but not to the extent that it approaches the funding level necessary for the body itself,</w:t>
      </w:r>
    </w:p>
    <w:p>
      <w:pPr>
        <w:pStyle w:val="Defstart"/>
      </w:pPr>
      <w:r>
        <w:tab/>
        <w:t>and includes associated buildings and facilities.</w:t>
      </w:r>
    </w:p>
    <w:p>
      <w:pPr>
        <w:pStyle w:val="Defstart"/>
      </w:pPr>
      <w:r>
        <w:rPr>
          <w:b/>
        </w:rPr>
        <w:tab/>
      </w:r>
      <w:r>
        <w:rPr>
          <w:rStyle w:val="CharDefText"/>
        </w:rPr>
        <w:t>previous year</w:t>
      </w:r>
      <w:r>
        <w:t xml:space="preserve"> means the financial year immediately preceding the current year;</w:t>
      </w:r>
    </w:p>
    <w:p>
      <w:pPr>
        <w:pStyle w:val="Defstart"/>
        <w:keepNext/>
      </w:pPr>
      <w:r>
        <w:rPr>
          <w:b/>
        </w:rPr>
        <w:tab/>
      </w:r>
      <w:r>
        <w:rPr>
          <w:rStyle w:val="CharDefText"/>
        </w:rPr>
        <w:t>quantity charge</w:t>
      </w:r>
      <w:r>
        <w:t xml:space="preserve"> means —</w:t>
      </w:r>
    </w:p>
    <w:p>
      <w:pPr>
        <w:pStyle w:val="Defpara"/>
      </w:pPr>
      <w:r>
        <w:tab/>
        <w:t>(a)</w:t>
      </w:r>
      <w:r>
        <w:tab/>
        <w:t>in relation to the supply of water, a charge prescribed in these by</w:t>
      </w:r>
      <w:r>
        <w:noBreakHyphen/>
        <w:t>laws according to the quantity of water supplied, whether or not for irrigation; or</w:t>
      </w:r>
    </w:p>
    <w:p>
      <w:pPr>
        <w:pStyle w:val="Defpara"/>
      </w:pPr>
      <w:r>
        <w:tab/>
        <w:t>(b)</w:t>
      </w:r>
      <w:r>
        <w:tab/>
        <w:t>in relation to the provision of sewerage, a charge prescribed in these by</w:t>
      </w:r>
      <w:r>
        <w:noBreakHyphen/>
        <w:t>laws according to the discharge volume;</w:t>
      </w:r>
    </w:p>
    <w:p>
      <w:pPr>
        <w:pStyle w:val="Defstart"/>
      </w:pPr>
      <w:r>
        <w:rPr>
          <w:b/>
        </w:rPr>
        <w:tab/>
      </w:r>
      <w:r>
        <w:rPr>
          <w:rStyle w:val="CharDefText"/>
        </w:rPr>
        <w:t>residence</w:t>
      </w:r>
      <w:r>
        <w:t xml:space="preserve"> means a private dwelling house, home unit, or flat, and includes any yard, garden, outhouse, or appurtenance belonging thereto or usually enjoyed therewith;</w:t>
      </w:r>
    </w:p>
    <w:p>
      <w:pPr>
        <w:pStyle w:val="Defstart"/>
      </w:pPr>
      <w:r>
        <w:rPr>
          <w:b/>
        </w:rPr>
        <w:tab/>
      </w:r>
      <w:r>
        <w:rPr>
          <w:rStyle w:val="CharDefText"/>
        </w:rPr>
        <w:t>residential property</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r>
      <w:r>
        <w:rPr>
          <w:rStyle w:val="CharDefText"/>
        </w:rPr>
        <w:t>single capital infrastructure charge</w:t>
      </w:r>
      <w:r>
        <w:t xml:space="preserve"> means a charge set out in Column 2 of the Table to Schedule 1 item 36;</w:t>
      </w:r>
    </w:p>
    <w:p>
      <w:pPr>
        <w:pStyle w:val="Defstart"/>
      </w:pPr>
      <w:r>
        <w:rPr>
          <w:b/>
        </w:rPr>
        <w:tab/>
      </w:r>
      <w:r>
        <w:rPr>
          <w:rStyle w:val="CharDefText"/>
        </w:rPr>
        <w:t>UV</w:t>
      </w:r>
      <w:r>
        <w:t>, in relation to land, means the unimproved value of the land;</w:t>
      </w:r>
    </w:p>
    <w:p>
      <w:pPr>
        <w:pStyle w:val="Defstart"/>
      </w:pPr>
      <w:r>
        <w:rPr>
          <w:b/>
        </w:rPr>
        <w:tab/>
      </w:r>
      <w:r>
        <w:rPr>
          <w:rStyle w:val="CharDefText"/>
        </w:rPr>
        <w:t>water supply</w:t>
      </w:r>
      <w:r>
        <w:t xml:space="preserve"> does not include the supply of water under the </w:t>
      </w:r>
      <w:r>
        <w:rPr>
          <w:i/>
        </w:rPr>
        <w:t>Rights in Water and Irrigation Act 1914</w:t>
      </w:r>
      <w:r>
        <w:t xml:space="preserve"> for irrigation but includes the supply of water under that Act for purposes other than irrigation;</w:t>
      </w:r>
    </w:p>
    <w:p>
      <w:pPr>
        <w:pStyle w:val="Defstart"/>
      </w:pPr>
      <w:r>
        <w:rPr>
          <w:b/>
        </w:rPr>
        <w:tab/>
      </w:r>
      <w:r>
        <w:rPr>
          <w:rStyle w:val="CharDefText"/>
        </w:rPr>
        <w:t>year</w:t>
      </w:r>
      <w:r>
        <w:t>, preceded by a reference to 2 calendar years (for example, 1987/88 or 1999/2000)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w:t>
      </w:r>
    </w:p>
    <w:p>
      <w:pPr>
        <w:pStyle w:val="Defsubpara"/>
        <w:keepLines w:val="0"/>
        <w:rPr>
          <w:snapToGrid w:val="0"/>
        </w:rPr>
      </w:pPr>
      <w:r>
        <w:rPr>
          <w:snapToGrid w:val="0"/>
        </w:rPr>
        <w:tab/>
        <w:t>(i)</w:t>
      </w:r>
      <w:r>
        <w:rPr>
          <w:snapToGrid w:val="0"/>
        </w:rPr>
        <w:tab/>
        <w:t xml:space="preserve">that relates to water supplied under the </w:t>
      </w:r>
      <w:r>
        <w:rPr>
          <w:i/>
          <w:snapToGrid w:val="0"/>
        </w:rPr>
        <w:t>Country Areas Water Supply Act 1947</w:t>
      </w:r>
      <w:r>
        <w:rPr>
          <w:snapToGrid w:val="0"/>
        </w:rPr>
        <w:t>, the period commencing on a day determined by the Corporation, being a day between 1 July and 31 October, inclusive, in the first of the years referred to and ending on a day determined by the Corporation, being a day within 20 days of the expiration of one year after the commencement of the period;</w:t>
      </w:r>
    </w:p>
    <w:p>
      <w:pPr>
        <w:pStyle w:val="Defsubpara"/>
        <w:rPr>
          <w:snapToGrid w:val="0"/>
        </w:rPr>
      </w:pPr>
      <w:r>
        <w:rPr>
          <w:snapToGrid w:val="0"/>
        </w:rPr>
        <w:tab/>
        <w:t>(ii)</w:t>
      </w:r>
      <w:r>
        <w:rPr>
          <w:snapToGrid w:val="0"/>
        </w:rPr>
        <w:tab/>
        <w:t xml:space="preserve">that relates to water supplied under the </w:t>
      </w:r>
      <w:r>
        <w:rPr>
          <w:i/>
          <w:snapToGrid w:val="0"/>
        </w:rPr>
        <w:t>Metropolitan Water Supply, Sewerage, and Drainage Act 1909</w:t>
      </w:r>
      <w:r>
        <w:rPr>
          <w:snapToGrid w:val="0"/>
        </w:rPr>
        <w:t xml:space="preserve"> or the </w:t>
      </w:r>
      <w:r>
        <w:rPr>
          <w:i/>
          <w:snapToGrid w:val="0"/>
        </w:rPr>
        <w:t>Metropolitan Water Authority Act 1982</w:t>
      </w:r>
      <w:r>
        <w:rPr>
          <w:snapToGrid w:val="0"/>
        </w:rPr>
        <w:t>, the period commencing on a day determined by the Corporation, being a day between 1 January and 29 June in the first of the years referred to and ending on a day determined by the Corporation, being a day within 20 days of the expiration of one year after the commencement of the period;</w:t>
      </w:r>
    </w:p>
    <w:p>
      <w:pPr>
        <w:pStyle w:val="Defsubpara"/>
        <w:keepLines w:val="0"/>
        <w:rPr>
          <w:snapToGrid w:val="0"/>
        </w:rPr>
      </w:pPr>
      <w:r>
        <w:rPr>
          <w:snapToGrid w:val="0"/>
        </w:rPr>
        <w:tab/>
        <w:t>(iii)</w:t>
      </w:r>
      <w:r>
        <w:rPr>
          <w:snapToGrid w:val="0"/>
        </w:rPr>
        <w:tab/>
      </w:r>
      <w:r>
        <w:rPr>
          <w:snapToGrid w:val="0"/>
          <w:spacing w:val="-2"/>
        </w:rPr>
        <w:t xml:space="preserve">that relates to industrial waste discharged under the </w:t>
      </w:r>
      <w:r>
        <w:rPr>
          <w:i/>
          <w:snapToGrid w:val="0"/>
          <w:spacing w:val="-2"/>
        </w:rPr>
        <w:t>Metropolitan Water Supply, Sewerage, and Drainage Act 1909</w:t>
      </w:r>
      <w:r>
        <w:rPr>
          <w:snapToGrid w:val="0"/>
          <w:spacing w:val="-2"/>
        </w:rPr>
        <w:t>,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rPr>
          <w:snapToGrid w:val="0"/>
        </w:rPr>
      </w:pPr>
      <w:r>
        <w:rPr>
          <w:snapToGrid w:val="0"/>
        </w:rPr>
        <w:tab/>
        <w:t>(iv)</w:t>
      </w:r>
      <w:r>
        <w:rPr>
          <w:snapToGrid w:val="0"/>
        </w:rPr>
        <w:tab/>
        <w:t>that relates to water discharged into the Corporation’s sewer, the period under subparagraphs (i) or (ii).</w:t>
      </w:r>
    </w:p>
    <w:p>
      <w:pPr>
        <w:pStyle w:val="Subsection"/>
        <w:rPr>
          <w:snapToGrid w:val="0"/>
        </w:rPr>
      </w:pPr>
      <w:r>
        <w:rPr>
          <w:snapToGrid w:val="0"/>
        </w:rPr>
        <w:tab/>
        <w:t>(2)</w:t>
      </w:r>
      <w:r>
        <w:rPr>
          <w:snapToGrid w:val="0"/>
        </w:rPr>
        <w:tab/>
      </w:r>
      <w:r>
        <w:rPr>
          <w:snapToGrid w:val="0"/>
          <w:spacing w:val="-4"/>
        </w:rPr>
        <w:t>A reference in these by</w:t>
      </w:r>
      <w:r>
        <w:rPr>
          <w:snapToGrid w:val="0"/>
          <w:spacing w:val="-4"/>
        </w:rPr>
        <w:noBreakHyphen/>
        <w:t xml:space="preserve">laws to a charge includes a reference to an amount in respect of rates under the </w:t>
      </w:r>
      <w:r>
        <w:rPr>
          <w:i/>
          <w:snapToGrid w:val="0"/>
          <w:spacing w:val="-4"/>
        </w:rPr>
        <w:t>Land Drainage Act 1925</w:t>
      </w:r>
      <w:r>
        <w:rPr>
          <w:snapToGrid w:val="0"/>
          <w:spacing w:val="-4"/>
        </w:rPr>
        <w:t>.</w:t>
      </w:r>
    </w:p>
    <w:p>
      <w:pPr>
        <w:pStyle w:val="Subsection"/>
        <w:keepNext/>
        <w:rPr>
          <w:snapToGrid w:val="0"/>
        </w:rPr>
      </w:pPr>
      <w:r>
        <w:rPr>
          <w:snapToGrid w:val="0"/>
        </w:rPr>
        <w:tab/>
        <w:t>(3)</w:t>
      </w:r>
      <w:r>
        <w:rPr>
          <w:snapToGrid w:val="0"/>
        </w:rPr>
        <w:tab/>
        <w:t>For the purposes of a formula in a Schedule —</w:t>
      </w:r>
    </w:p>
    <w:p>
      <w:pPr>
        <w:pStyle w:val="Indenta"/>
        <w:rPr>
          <w:snapToGrid w:val="0"/>
        </w:rPr>
      </w:pPr>
      <w:r>
        <w:rPr>
          <w:snapToGrid w:val="0"/>
        </w:rPr>
        <w:tab/>
        <w:t>(a)</w:t>
      </w:r>
      <w:r>
        <w:rPr>
          <w:snapToGrid w:val="0"/>
        </w:rPr>
        <w:tab/>
        <w:t xml:space="preserve">the symbol </w:t>
      </w:r>
      <w:r>
        <w:rPr>
          <w:rStyle w:val="CharDefText"/>
        </w:rPr>
        <w:t>≤</w:t>
      </w:r>
      <w:r>
        <w:rPr>
          <w:bCs/>
          <w:snapToGrid w:val="0"/>
        </w:rPr>
        <w:t xml:space="preserve">  </w:t>
      </w:r>
      <w:r>
        <w:rPr>
          <w:snapToGrid w:val="0"/>
        </w:rPr>
        <w:t>means less than or equal to; and</w:t>
      </w:r>
    </w:p>
    <w:p>
      <w:pPr>
        <w:pStyle w:val="Indenta"/>
        <w:rPr>
          <w:snapToGrid w:val="0"/>
        </w:rPr>
      </w:pPr>
      <w:r>
        <w:rPr>
          <w:snapToGrid w:val="0"/>
        </w:rPr>
        <w:tab/>
        <w:t>(b)</w:t>
      </w:r>
      <w:r>
        <w:rPr>
          <w:snapToGrid w:val="0"/>
        </w:rPr>
        <w:tab/>
        <w:t xml:space="preserve">the symbol </w:t>
      </w:r>
      <w:r>
        <w:rPr>
          <w:rStyle w:val="CharDefText"/>
        </w:rPr>
        <w:t>&gt;</w:t>
      </w:r>
      <w:r>
        <w:rPr>
          <w:bCs/>
          <w:snapToGrid w:val="0"/>
        </w:rPr>
        <w:t xml:space="preserve"> </w:t>
      </w:r>
      <w:r>
        <w:rPr>
          <w:snapToGrid w:val="0"/>
        </w:rPr>
        <w:t>means greater than.</w:t>
      </w:r>
    </w:p>
    <w:p>
      <w:pPr>
        <w:pStyle w:val="Footnotesection"/>
        <w:keepLines w:val="0"/>
      </w:pPr>
      <w:bookmarkStart w:id="9" w:name="_Toc91580397"/>
      <w:bookmarkStart w:id="10" w:name="_Toc103667082"/>
      <w:bookmarkStart w:id="11" w:name="_Toc103741601"/>
      <w:bookmarkStart w:id="12" w:name="_Toc107981844"/>
      <w:bookmarkStart w:id="13" w:name="_Toc118800011"/>
      <w:bookmarkStart w:id="14" w:name="_Toc118860019"/>
      <w:bookmarkStart w:id="15" w:name="_Toc121545519"/>
      <w:bookmarkStart w:id="16" w:name="_Toc121801042"/>
      <w:bookmarkStart w:id="17" w:name="_Toc121818155"/>
      <w:bookmarkStart w:id="18" w:name="_Toc121880765"/>
      <w:bookmarkStart w:id="19" w:name="_Toc129481836"/>
      <w:bookmarkStart w:id="20" w:name="_Toc130095205"/>
      <w:bookmarkStart w:id="21" w:name="_Toc130273269"/>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 31 Mar 2006 p. 1357; 29 Jun 2007 p. 3245.]</w:t>
      </w:r>
    </w:p>
    <w:p>
      <w:pPr>
        <w:pStyle w:val="Heading2"/>
      </w:pPr>
      <w:bookmarkStart w:id="22" w:name="_Toc139770942"/>
      <w:bookmarkStart w:id="23" w:name="_Toc139771320"/>
      <w:bookmarkStart w:id="24" w:name="_Toc151191535"/>
      <w:bookmarkStart w:id="25" w:name="_Toc151260428"/>
      <w:bookmarkStart w:id="26" w:name="_Toc164158533"/>
      <w:bookmarkStart w:id="27" w:name="_Toc164220905"/>
      <w:bookmarkStart w:id="28" w:name="_Toc170878864"/>
      <w:bookmarkStart w:id="29" w:name="_Toc170894617"/>
      <w:bookmarkStart w:id="30" w:name="_Toc175712583"/>
      <w:bookmarkStart w:id="31" w:name="_Toc175970524"/>
      <w:bookmarkStart w:id="32" w:name="_Toc176335243"/>
      <w:bookmarkStart w:id="33" w:name="_Toc176338818"/>
      <w:bookmarkStart w:id="34" w:name="_Toc178742843"/>
      <w:bookmarkStart w:id="35" w:name="_Toc179363266"/>
      <w:bookmarkStart w:id="36" w:name="_Toc179604335"/>
      <w:bookmarkStart w:id="37" w:name="_Toc180204528"/>
      <w:bookmarkStart w:id="38" w:name="_Toc180204744"/>
      <w:bookmarkStart w:id="39" w:name="_Toc185844489"/>
      <w:bookmarkStart w:id="40" w:name="_Toc185845109"/>
      <w:bookmarkStart w:id="41" w:name="_Toc185927074"/>
      <w:bookmarkStart w:id="42" w:name="_Toc202505821"/>
      <w:bookmarkStart w:id="43" w:name="_Toc202672607"/>
      <w:bookmarkStart w:id="44" w:name="_Toc202691698"/>
      <w:bookmarkStart w:id="45" w:name="_Toc233448320"/>
      <w:bookmarkStart w:id="46" w:name="_Toc233611634"/>
      <w:bookmarkStart w:id="47" w:name="_Toc234730641"/>
      <w:bookmarkStart w:id="48" w:name="_Toc234733167"/>
      <w:bookmarkStart w:id="49" w:name="_Toc235863904"/>
      <w:bookmarkStart w:id="50" w:name="_Toc235933379"/>
      <w:bookmarkStart w:id="51" w:name="_Toc237164367"/>
      <w:bookmarkStart w:id="52" w:name="_Toc237244250"/>
      <w:bookmarkStart w:id="53" w:name="_Toc237245551"/>
      <w:bookmarkStart w:id="54" w:name="_Toc237245682"/>
      <w:bookmarkStart w:id="55" w:name="_Toc237247790"/>
      <w:bookmarkStart w:id="56" w:name="_Toc237254093"/>
      <w:bookmarkStart w:id="57" w:name="_Toc237309512"/>
      <w:bookmarkStart w:id="58" w:name="_Toc265743451"/>
      <w:r>
        <w:rPr>
          <w:rStyle w:val="CharPartNo"/>
        </w:rPr>
        <w:t>Part 1</w:t>
      </w:r>
      <w:r>
        <w:rPr>
          <w:rStyle w:val="CharDivNo"/>
        </w:rPr>
        <w:t> </w:t>
      </w:r>
      <w:r>
        <w:t>—</w:t>
      </w:r>
      <w:r>
        <w:rPr>
          <w:rStyle w:val="CharDivText"/>
        </w:rPr>
        <w:t> </w:t>
      </w:r>
      <w:r>
        <w:rPr>
          <w:rStyle w:val="CharPartText"/>
        </w:rPr>
        <w:t>General</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rPr>
          <w:snapToGrid w:val="0"/>
        </w:rPr>
      </w:pPr>
      <w:bookmarkStart w:id="59" w:name="_Toc487428939"/>
      <w:bookmarkStart w:id="60" w:name="_Toc17278647"/>
      <w:bookmarkStart w:id="61" w:name="_Toc180204745"/>
      <w:bookmarkStart w:id="62" w:name="_Toc265743452"/>
      <w:r>
        <w:rPr>
          <w:rStyle w:val="CharSectno"/>
        </w:rPr>
        <w:t>3</w:t>
      </w:r>
      <w:r>
        <w:rPr>
          <w:snapToGrid w:val="0"/>
        </w:rPr>
        <w:t>.</w:t>
      </w:r>
      <w:r>
        <w:rPr>
          <w:snapToGrid w:val="0"/>
        </w:rPr>
        <w:tab/>
        <w:t>Proportionate charges for part of year</w:t>
      </w:r>
      <w:bookmarkEnd w:id="59"/>
      <w:bookmarkEnd w:id="60"/>
      <w:bookmarkEnd w:id="61"/>
      <w:bookmarkEnd w:id="62"/>
    </w:p>
    <w:p>
      <w:pPr>
        <w:pStyle w:val="Subsection"/>
        <w:rPr>
          <w:snapToGrid w:val="0"/>
        </w:rPr>
      </w:pPr>
      <w:r>
        <w:rPr>
          <w:snapToGrid w:val="0"/>
        </w:rPr>
        <w:tab/>
        <w:t>(1)</w:t>
      </w:r>
      <w:r>
        <w:rPr>
          <w:snapToGrid w:val="0"/>
        </w:rPr>
        <w:tab/>
        <w:t>Subject to sub</w:t>
      </w:r>
      <w:r>
        <w:rPr>
          <w:snapToGrid w:val="0"/>
        </w:rPr>
        <w:noBreakHyphen/>
        <w:t>bylaw (3), where —</w:t>
      </w:r>
    </w:p>
    <w:p>
      <w:pPr>
        <w:pStyle w:val="Indenta"/>
      </w:pPr>
      <w:r>
        <w:tab/>
        <w:t>(a)</w:t>
      </w:r>
      <w:r>
        <w:tab/>
        <w:t>a charge, other than a quantity charge, 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 27 Jun 2008 p. 2983.]</w:t>
      </w:r>
    </w:p>
    <w:p>
      <w:pPr>
        <w:pStyle w:val="Heading5"/>
        <w:rPr>
          <w:snapToGrid w:val="0"/>
        </w:rPr>
      </w:pPr>
      <w:bookmarkStart w:id="63" w:name="_Toc487428940"/>
      <w:bookmarkStart w:id="64" w:name="_Toc17278648"/>
      <w:bookmarkStart w:id="65" w:name="_Toc180204746"/>
      <w:bookmarkStart w:id="66" w:name="_Toc265743453"/>
      <w:r>
        <w:rPr>
          <w:rStyle w:val="CharSectno"/>
        </w:rPr>
        <w:t>3A</w:t>
      </w:r>
      <w:r>
        <w:rPr>
          <w:snapToGrid w:val="0"/>
        </w:rPr>
        <w:t>.</w:t>
      </w:r>
      <w:r>
        <w:rPr>
          <w:snapToGrid w:val="0"/>
        </w:rPr>
        <w:tab/>
        <w:t>Minimum charge prior to revaluation</w:t>
      </w:r>
      <w:bookmarkEnd w:id="63"/>
      <w:bookmarkEnd w:id="64"/>
      <w:bookmarkEnd w:id="65"/>
      <w:bookmarkEnd w:id="66"/>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18</w:t>
      </w:r>
      <w:r>
        <w:rPr>
          <w:snapToGrid w:val="0"/>
        </w:rPr>
        <w:t>;</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 29 Jun 2007 p. 3246.]</w:t>
      </w:r>
    </w:p>
    <w:p>
      <w:pPr>
        <w:pStyle w:val="Heading5"/>
        <w:rPr>
          <w:snapToGrid w:val="0"/>
        </w:rPr>
      </w:pPr>
      <w:bookmarkStart w:id="67" w:name="_Toc487428941"/>
      <w:bookmarkStart w:id="68" w:name="_Toc17278649"/>
      <w:bookmarkStart w:id="69" w:name="_Toc180204747"/>
      <w:bookmarkStart w:id="70" w:name="_Toc265743454"/>
      <w:r>
        <w:rPr>
          <w:rStyle w:val="CharSectno"/>
        </w:rPr>
        <w:t>4</w:t>
      </w:r>
      <w:r>
        <w:rPr>
          <w:snapToGrid w:val="0"/>
        </w:rPr>
        <w:t>.</w:t>
      </w:r>
      <w:r>
        <w:rPr>
          <w:snapToGrid w:val="0"/>
        </w:rPr>
        <w:tab/>
        <w:t>Exempt land</w:t>
      </w:r>
      <w:bookmarkEnd w:id="67"/>
      <w:bookmarkEnd w:id="68"/>
      <w:bookmarkEnd w:id="69"/>
      <w:bookmarkEnd w:id="70"/>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w:t>
      </w:r>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tab/>
        <w:t>(c)</w:t>
      </w:r>
      <w:r>
        <w:rPr>
          <w:snapToGrid w:val="0"/>
          <w:spacing w:val="-4"/>
        </w:rPr>
        <w:tab/>
        <w:t>land belonging to or leased by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w:t>
      </w:r>
    </w:p>
    <w:p>
      <w:pPr>
        <w:pStyle w:val="Indenta"/>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w:t>
      </w:r>
    </w:p>
    <w:p>
      <w:pPr>
        <w:pStyle w:val="Indenta"/>
        <w:rPr>
          <w:snapToGrid w:val="0"/>
        </w:rPr>
      </w:pPr>
      <w:r>
        <w:rPr>
          <w:snapToGrid w:val="0"/>
        </w:rPr>
        <w:tab/>
        <w:t>(e)</w:t>
      </w:r>
      <w:r>
        <w:rPr>
          <w:snapToGrid w:val="0"/>
        </w:rPr>
        <w:tab/>
        <w:t>land used, occupied, or held exclusively for charitable purposes, not being land leased or occupied for any private purpose;</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w:t>
      </w:r>
    </w:p>
    <w:p>
      <w:pPr>
        <w:pStyle w:val="Indenta"/>
        <w:keepNext/>
        <w:keepLines/>
        <w:rPr>
          <w:snapToGrid w:val="0"/>
        </w:rPr>
      </w:pPr>
      <w:r>
        <w:rPr>
          <w:snapToGrid w:val="0"/>
        </w:rPr>
        <w:tab/>
        <w:t>(fa)</w:t>
      </w:r>
      <w:r>
        <w:rPr>
          <w:snapToGrid w:val="0"/>
        </w:rPr>
        <w:tab/>
        <w:t>land used, occupied or held exclusively for the purposes of societies, clubs, associations and other bodies that —</w:t>
      </w:r>
    </w:p>
    <w:p>
      <w:pPr>
        <w:pStyle w:val="Indenti"/>
        <w:rPr>
          <w:snapToGrid w:val="0"/>
        </w:rPr>
      </w:pPr>
      <w:r>
        <w:rPr>
          <w:snapToGrid w:val="0"/>
        </w:rPr>
        <w:tab/>
        <w:t>(i)</w:t>
      </w:r>
      <w:r>
        <w:rPr>
          <w:snapToGrid w:val="0"/>
        </w:rPr>
        <w:tab/>
        <w:t>conduct sporting, hobby or like activities as their sole or principal activities;</w:t>
      </w:r>
    </w:p>
    <w:p>
      <w:pPr>
        <w:pStyle w:val="Indenti"/>
      </w:pPr>
      <w:r>
        <w:rPr>
          <w:snapToGrid w:val="0"/>
        </w:rPr>
        <w:tab/>
        <w:t>(ii)</w:t>
      </w:r>
      <w:r>
        <w:rPr>
          <w:snapToGrid w:val="0"/>
        </w:rPr>
        <w:tab/>
        <w:t>in the opinion of the Corporation, are not operated for the purpose of profit or gain to individual members, shareholders or owners; and</w:t>
      </w:r>
    </w:p>
    <w:p>
      <w:pPr>
        <w:pStyle w:val="Indenti"/>
        <w:keepNext/>
        <w:rPr>
          <w:snapToGrid w:val="0"/>
        </w:rPr>
      </w:pPr>
      <w:r>
        <w:rPr>
          <w:snapToGrid w:val="0"/>
        </w:rPr>
        <w:tab/>
        <w:t>(iii)</w:t>
      </w:r>
      <w:r>
        <w:rPr>
          <w:snapToGrid w:val="0"/>
        </w:rPr>
        <w:tab/>
        <w:t>are not listed in the following table —</w:t>
      </w:r>
    </w:p>
    <w:p>
      <w:pPr>
        <w:pStyle w:val="THeadingNAm"/>
        <w:rPr>
          <w:snapToGrid w:val="0"/>
        </w:rPr>
      </w:pPr>
      <w:r>
        <w:rPr>
          <w:snapToGrid w:val="0"/>
        </w:rPr>
        <w:t>Table</w:t>
      </w:r>
    </w:p>
    <w:tbl>
      <w:tblPr>
        <w:tblW w:w="0" w:type="auto"/>
        <w:tblInd w:w="2432" w:type="dxa"/>
        <w:tblLayout w:type="fixed"/>
        <w:tblLook w:val="0000" w:firstRow="0" w:lastRow="0" w:firstColumn="0" w:lastColumn="0" w:noHBand="0" w:noVBand="0"/>
      </w:tblPr>
      <w:tblGrid>
        <w:gridCol w:w="4880"/>
      </w:tblGrid>
      <w:tr>
        <w:trPr>
          <w:cantSplit/>
        </w:trPr>
        <w:tc>
          <w:tcPr>
            <w:tcW w:w="4880" w:type="dxa"/>
          </w:tcPr>
          <w:p>
            <w:pPr>
              <w:pStyle w:val="TableNAm"/>
              <w:ind w:left="568" w:hanging="568"/>
              <w:rPr>
                <w:snapToGrid w:val="0"/>
              </w:rPr>
            </w:pPr>
            <w:r>
              <w:rPr>
                <w:snapToGrid w:val="0"/>
              </w:rPr>
              <w:t>1.</w:t>
            </w:r>
            <w:r>
              <w:rPr>
                <w:snapToGrid w:val="0"/>
              </w:rPr>
              <w:tab/>
              <w:t>the body known as The Western Australian Turf Club, and any club or association formed for the conduct or promotion of galloping horse races in Western Australia;</w:t>
            </w:r>
          </w:p>
        </w:tc>
      </w:tr>
      <w:tr>
        <w:trPr>
          <w:cantSplit/>
        </w:trPr>
        <w:tc>
          <w:tcPr>
            <w:tcW w:w="4880" w:type="dxa"/>
          </w:tcPr>
          <w:p>
            <w:pPr>
              <w:pStyle w:val="TableNAm"/>
              <w:ind w:left="568" w:hanging="568"/>
              <w:rPr>
                <w:snapToGrid w:val="0"/>
              </w:rPr>
            </w:pPr>
            <w:r>
              <w:rPr>
                <w:snapToGrid w:val="0"/>
              </w:rPr>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880" w:type="dxa"/>
          </w:tcPr>
          <w:p>
            <w:pPr>
              <w:pStyle w:val="TableNAm"/>
              <w:ind w:left="568" w:hanging="568"/>
              <w:rPr>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10</w:t>
            </w:r>
            <w:r>
              <w:rPr>
                <w:snapToGrid w:val="0"/>
              </w:rPr>
              <w:t xml:space="preserve"> and any greyhound club or association formed for the conduct or promotion of greyhound racing in Western Australia;</w:t>
            </w:r>
          </w:p>
        </w:tc>
      </w:tr>
    </w:tbl>
    <w:p>
      <w:pPr>
        <w:pStyle w:val="Indenta"/>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w:t>
      </w:r>
    </w:p>
    <w:p>
      <w:pPr>
        <w:pStyle w:val="Indenta"/>
        <w:keepLines/>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rPr>
          <w:snapToGrid w:val="0"/>
        </w:rPr>
      </w:pPr>
      <w:r>
        <w:rPr>
          <w:snapToGrid w:val="0"/>
        </w:rPr>
        <w:tab/>
        <w:t>(i)</w:t>
      </w:r>
      <w:r>
        <w:rPr>
          <w:snapToGrid w:val="0"/>
        </w:rPr>
        <w:tab/>
        <w:t>the land is used principally for horse or greyhound racing; and</w:t>
      </w:r>
    </w:p>
    <w:p>
      <w:pPr>
        <w:pStyle w:val="Indenti"/>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vertAlign w:val="superscript"/>
        </w:rPr>
        <w:t> 11</w:t>
      </w:r>
      <w:r>
        <w:rPr>
          <w:snapToGrid w:val="0"/>
        </w:rPr>
        <w:t xml:space="preserve"> for any of the race meetings conducted on the land;</w:t>
      </w:r>
    </w:p>
    <w:p>
      <w:pPr>
        <w:pStyle w:val="Indenta"/>
        <w:rPr>
          <w:snapToGrid w:val="0"/>
        </w:rPr>
      </w:pPr>
      <w:r>
        <w:rPr>
          <w:snapToGrid w:val="0"/>
        </w:rPr>
        <w:tab/>
        <w:t>(g)</w:t>
      </w:r>
      <w:r>
        <w:rPr>
          <w:snapToGrid w:val="0"/>
        </w:rPr>
        <w:tab/>
        <w:t>land used or held as a cemetery; or</w:t>
      </w:r>
    </w:p>
    <w:p>
      <w:pPr>
        <w:pStyle w:val="Indenta"/>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rStyle w:val="CharDefText"/>
        </w:rPr>
        <w:t>charitable purposes</w:t>
      </w:r>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Subsection"/>
      </w:pPr>
      <w:r>
        <w:tab/>
        <w:t>(4)</w:t>
      </w:r>
      <w:r>
        <w:tab/>
        <w:t>If, for the provision of relief or assistance referred to in sub</w:t>
      </w:r>
      <w:r>
        <w:noBreakHyphen/>
        <w:t>bylaw (3)(a) land is provided to a person for residential use, then for the purposes of sub</w:t>
      </w:r>
      <w:r>
        <w:noBreakHyphen/>
        <w:t>bylaw (1)(e) the use of that land by that person and any of his or her family for residential purposes shall not be taken to be use for a private purpose.</w:t>
      </w:r>
    </w:p>
    <w:p>
      <w:pPr>
        <w:pStyle w:val="Footnotesection"/>
      </w:pPr>
      <w:r>
        <w:tab/>
        <w:t>[By</w:t>
      </w:r>
      <w:r>
        <w:noBreakHyphen/>
        <w:t>law 4 amended in Gazette 20 Jan 1989 p. 121; 29 Jun 1989 p. 1870; 29 Dec 1995 p. 6331; 28 Jun 1996 p. 3105; 29 Jun 2007 p. 3246; 19 Jun 2009 p. 2321.]</w:t>
      </w:r>
    </w:p>
    <w:p>
      <w:pPr>
        <w:pStyle w:val="Heading5"/>
        <w:rPr>
          <w:snapToGrid w:val="0"/>
        </w:rPr>
      </w:pPr>
      <w:bookmarkStart w:id="71" w:name="_Toc487428942"/>
      <w:bookmarkStart w:id="72" w:name="_Toc17278650"/>
      <w:bookmarkStart w:id="73" w:name="_Toc180204748"/>
      <w:bookmarkStart w:id="74" w:name="_Toc265743455"/>
      <w:r>
        <w:rPr>
          <w:rStyle w:val="CharSectno"/>
        </w:rPr>
        <w:t>5</w:t>
      </w:r>
      <w:r>
        <w:rPr>
          <w:snapToGrid w:val="0"/>
        </w:rPr>
        <w:t>.</w:t>
      </w:r>
      <w:r>
        <w:rPr>
          <w:snapToGrid w:val="0"/>
        </w:rPr>
        <w:tab/>
        <w:t>Separately assessable residential land</w:t>
      </w:r>
      <w:bookmarkEnd w:id="71"/>
      <w:bookmarkEnd w:id="72"/>
      <w:bookmarkEnd w:id="73"/>
      <w:bookmarkEnd w:id="74"/>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Footnotesection"/>
      </w:pPr>
      <w:r>
        <w:tab/>
        <w:t>[By</w:t>
      </w:r>
      <w:r>
        <w:noBreakHyphen/>
        <w:t xml:space="preserve">law 5 amended in Gazette 29 Jun 2007 p. 3246.] </w:t>
      </w:r>
    </w:p>
    <w:p>
      <w:pPr>
        <w:pStyle w:val="Heading5"/>
        <w:rPr>
          <w:snapToGrid w:val="0"/>
        </w:rPr>
      </w:pPr>
      <w:bookmarkStart w:id="75" w:name="_Toc487428943"/>
      <w:bookmarkStart w:id="76" w:name="_Toc17278651"/>
      <w:bookmarkStart w:id="77" w:name="_Toc180204749"/>
      <w:bookmarkStart w:id="78" w:name="_Toc265743456"/>
      <w:r>
        <w:rPr>
          <w:rStyle w:val="CharSectno"/>
        </w:rPr>
        <w:t>6</w:t>
      </w:r>
      <w:r>
        <w:rPr>
          <w:snapToGrid w:val="0"/>
        </w:rPr>
        <w:t>.</w:t>
      </w:r>
      <w:r>
        <w:rPr>
          <w:snapToGrid w:val="0"/>
        </w:rPr>
        <w:tab/>
        <w:t>Estimation upon meter malfunction or of non</w:t>
      </w:r>
      <w:r>
        <w:rPr>
          <w:snapToGrid w:val="0"/>
        </w:rPr>
        <w:noBreakHyphen/>
        <w:t>metered quantity</w:t>
      </w:r>
      <w:bookmarkEnd w:id="75"/>
      <w:bookmarkEnd w:id="76"/>
      <w:bookmarkEnd w:id="77"/>
      <w:bookmarkEnd w:id="78"/>
    </w:p>
    <w:p>
      <w:pPr>
        <w:pStyle w:val="Subsection"/>
        <w:rPr>
          <w:rFonts w:ascii="Times" w:hAnsi="Times"/>
          <w:snapToGrid w:val="0"/>
        </w:rPr>
      </w:pPr>
      <w:r>
        <w:rPr>
          <w:snapToGrid w:val="0"/>
          <w:spacing w:val="-4"/>
        </w:rPr>
        <w:tab/>
        <w:t>(1)</w:t>
      </w:r>
      <w:r>
        <w:rPr>
          <w:snapToGrid w:val="0"/>
          <w:spacing w:val="-4"/>
        </w:rPr>
        <w:tab/>
      </w:r>
      <w:r>
        <w:rPr>
          <w:rFonts w:ascii="Times" w:hAnsi="Times"/>
          <w:snapToGrid w:val="0"/>
        </w:rPr>
        <w:t>Where a charge is to be assessed by reference to the quantity of water concerned and a meter for measuring that quantity is found not to be in proper order</w:t>
      </w:r>
      <w:r>
        <w:rPr>
          <w:rFonts w:ascii="Times" w:hAnsi="Times"/>
        </w:rPr>
        <w:t xml:space="preserve">, has been removed for repair or a meter reading cannot be obtained </w:t>
      </w:r>
      <w:r>
        <w:t xml:space="preserve">because of a physical obstruction preventing practicable access to the meter or because the face of the meter is obscured by damage, marking, dirt or any other substance, </w:t>
      </w:r>
      <w:r>
        <w:rPr>
          <w:rFonts w:ascii="Times" w:hAnsi="Times"/>
          <w:snapToGrid w:val="0"/>
        </w:rPr>
        <w:t>the Corporation may estimate the quantity of water concerned —</w:t>
      </w:r>
    </w:p>
    <w:p>
      <w:pPr>
        <w:pStyle w:val="Indenta"/>
        <w:rPr>
          <w:snapToGrid w:val="0"/>
        </w:rPr>
      </w:pPr>
      <w:r>
        <w:rPr>
          <w:snapToGrid w:val="0"/>
        </w:rPr>
        <w:tab/>
        <w:t>(a)</w:t>
      </w:r>
      <w:r>
        <w:rPr>
          <w:snapToGrid w:val="0"/>
        </w:rPr>
        <w:tab/>
        <w:t>by reference to a daily average of the quantity of water supplied during another period;</w:t>
      </w:r>
    </w:p>
    <w:p>
      <w:pPr>
        <w:pStyle w:val="Indenta"/>
        <w:spacing w:before="60"/>
        <w:rPr>
          <w:snapToGrid w:val="0"/>
        </w:rPr>
      </w:pPr>
      <w:r>
        <w:rPr>
          <w:snapToGrid w:val="0"/>
        </w:rPr>
        <w:tab/>
        <w:t>(b)</w:t>
      </w:r>
      <w:r>
        <w:rPr>
          <w:snapToGrid w:val="0"/>
        </w:rPr>
        <w:tab/>
        <w:t>by adjusting the quantity registered by the meter to take account of the error found upon testing the meter; or</w:t>
      </w:r>
    </w:p>
    <w:p>
      <w:pPr>
        <w:pStyle w:val="Indenta"/>
        <w:spacing w:before="60"/>
        <w:rPr>
          <w:snapToGrid w:val="0"/>
        </w:rPr>
      </w:pPr>
      <w:r>
        <w:rPr>
          <w:snapToGrid w:val="0"/>
        </w:rPr>
        <w:tab/>
        <w:t>(c)</w:t>
      </w:r>
      <w:r>
        <w:rPr>
          <w:snapToGrid w:val="0"/>
        </w:rPr>
        <w:tab/>
        <w:t>on such other basis as the Corporation may determine,</w:t>
      </w:r>
    </w:p>
    <w:p>
      <w:pPr>
        <w:pStyle w:val="Subsection"/>
        <w:rPr>
          <w:snapToGrid w:val="0"/>
        </w:rPr>
      </w:pPr>
      <w:r>
        <w:rPr>
          <w:snapToGrid w:val="0"/>
        </w:rPr>
        <w:tab/>
      </w:r>
      <w:r>
        <w:rPr>
          <w:snapToGrid w:val="0"/>
        </w:rPr>
        <w:tab/>
        <w:t>and the charge shall be assessed by reference to the quantity so estimated.</w:t>
      </w:r>
    </w:p>
    <w:p>
      <w:pPr>
        <w:pStyle w:val="Subsection"/>
        <w:rPr>
          <w:snapToGrid w:val="0"/>
        </w:rPr>
      </w:pPr>
      <w:r>
        <w:rPr>
          <w:snapToGrid w:val="0"/>
        </w:rPr>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 29 Jun 2007 p. 3246; 21 Dec 2007 p. 6349.]</w:t>
      </w:r>
    </w:p>
    <w:p>
      <w:pPr>
        <w:pStyle w:val="Heading5"/>
        <w:rPr>
          <w:snapToGrid w:val="0"/>
        </w:rPr>
      </w:pPr>
      <w:bookmarkStart w:id="79" w:name="_Toc487428944"/>
      <w:bookmarkStart w:id="80" w:name="_Toc17278652"/>
      <w:bookmarkStart w:id="81" w:name="_Toc180204750"/>
      <w:bookmarkStart w:id="82" w:name="_Toc265743457"/>
      <w:r>
        <w:rPr>
          <w:rStyle w:val="CharSectno"/>
        </w:rPr>
        <w:t>7</w:t>
      </w:r>
      <w:r>
        <w:rPr>
          <w:snapToGrid w:val="0"/>
        </w:rPr>
        <w:t>.</w:t>
      </w:r>
      <w:r>
        <w:rPr>
          <w:snapToGrid w:val="0"/>
        </w:rPr>
        <w:tab/>
        <w:t>Manner of payment of charges other than quantity and single capital infrastructure charges</w:t>
      </w:r>
      <w:bookmarkEnd w:id="79"/>
      <w:bookmarkEnd w:id="80"/>
      <w:bookmarkEnd w:id="81"/>
      <w:bookmarkEnd w:id="82"/>
    </w:p>
    <w:p>
      <w:pPr>
        <w:pStyle w:val="Subsection"/>
        <w:keepNext/>
        <w:rPr>
          <w:snapToGrid w:val="0"/>
        </w:rPr>
      </w:pPr>
      <w:r>
        <w:rPr>
          <w:snapToGrid w:val="0"/>
        </w:rPr>
        <w:tab/>
        <w:t>(1)</w:t>
      </w:r>
      <w:r>
        <w:rPr>
          <w:snapToGrid w:val="0"/>
        </w:rPr>
        <w:tab/>
        <w:t>In this by</w:t>
      </w:r>
      <w:r>
        <w:rPr>
          <w:snapToGrid w:val="0"/>
        </w:rPr>
        <w:noBreakHyphen/>
        <w:t>law —</w:t>
      </w:r>
    </w:p>
    <w:p>
      <w:pPr>
        <w:pStyle w:val="Defstart"/>
        <w:keepNext/>
      </w:pPr>
      <w:r>
        <w:rPr>
          <w:b/>
        </w:rPr>
        <w:tab/>
      </w:r>
      <w:r>
        <w:rPr>
          <w:rStyle w:val="CharDefText"/>
        </w:rPr>
        <w:t>charge</w:t>
      </w:r>
      <w:r>
        <w:t xml:space="preserve"> means —</w:t>
      </w:r>
    </w:p>
    <w:p>
      <w:pPr>
        <w:pStyle w:val="Defpara"/>
      </w:pPr>
      <w:r>
        <w:tab/>
        <w:t>(a)</w:t>
      </w:r>
      <w:r>
        <w:tab/>
        <w:t>a charge other than —</w:t>
      </w:r>
    </w:p>
    <w:p>
      <w:pPr>
        <w:pStyle w:val="Defsubpara"/>
        <w:rPr>
          <w:snapToGrid w:val="0"/>
        </w:rPr>
      </w:pPr>
      <w:r>
        <w:rPr>
          <w:snapToGrid w:val="0"/>
        </w:rPr>
        <w:tab/>
        <w:t>(i)</w:t>
      </w:r>
      <w:r>
        <w:rPr>
          <w:snapToGrid w:val="0"/>
        </w:rPr>
        <w:tab/>
        <w:t>a quantity charge; or</w:t>
      </w:r>
    </w:p>
    <w:p>
      <w:pPr>
        <w:pStyle w:val="Defsubpara"/>
        <w:keepNext/>
        <w:rPr>
          <w:snapToGrid w:val="0"/>
        </w:rPr>
      </w:pPr>
      <w:r>
        <w:rPr>
          <w:snapToGrid w:val="0"/>
        </w:rPr>
        <w:tab/>
        <w:t>(ii)</w:t>
      </w:r>
      <w:r>
        <w:rPr>
          <w:snapToGrid w:val="0"/>
        </w:rPr>
        <w:tab/>
        <w:t>a single capital infrastructure charge;</w:t>
      </w:r>
    </w:p>
    <w:p>
      <w:pPr>
        <w:pStyle w:val="Defpara"/>
      </w:pPr>
      <w:r>
        <w:tab/>
      </w:r>
      <w:r>
        <w:tab/>
        <w:t>or</w:t>
      </w:r>
    </w:p>
    <w:p>
      <w:pPr>
        <w:pStyle w:val="Defpara"/>
      </w:pPr>
      <w:r>
        <w:tab/>
        <w:t>(b)</w:t>
      </w:r>
      <w:r>
        <w:tab/>
        <w:t xml:space="preserve">an amount payable in respect of rates under the </w:t>
      </w:r>
      <w:r>
        <w:rPr>
          <w:i/>
        </w:rPr>
        <w:t>Land Drainage Act 1925</w:t>
      </w:r>
      <w:r>
        <w:t>.</w:t>
      </w:r>
    </w:p>
    <w:p>
      <w:pPr>
        <w:pStyle w:val="Subsection"/>
        <w:rPr>
          <w:snapToGrid w:val="0"/>
        </w:rPr>
      </w:pPr>
      <w:r>
        <w:rPr>
          <w:snapToGrid w:val="0"/>
        </w:rPr>
        <w:tab/>
        <w:t>(2)</w:t>
      </w:r>
      <w:r>
        <w:rPr>
          <w:snapToGrid w:val="0"/>
        </w:rPr>
        <w:tab/>
        <w:t>Unless, in accordance with by</w:t>
      </w:r>
      <w:r>
        <w:rPr>
          <w:snapToGrid w:val="0"/>
        </w:rPr>
        <w:noBreakHyphen/>
        <w:t>law 8, special arrangements for payment have been made a charge is payable in accordance with this by</w:t>
      </w:r>
      <w:r>
        <w:rPr>
          <w:snapToGrid w:val="0"/>
        </w:rPr>
        <w:noBreakHyphen/>
        <w:t>law.</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Subject to sub</w:t>
      </w:r>
      <w:r>
        <w:rPr>
          <w:rFonts w:ascii="Times" w:hAnsi="Times"/>
          <w:snapToGrid w:val="0"/>
        </w:rPr>
        <w:noBreakHyphen/>
        <w:t>bylaws (4) and (8), a charge is payable to the Corporation in 2 equal instalments due on 31 July and 31 December, respectively, in the year for which the charge is made.</w:t>
      </w:r>
    </w:p>
    <w:p>
      <w:pPr>
        <w:pStyle w:val="Subsection"/>
        <w:keepNext/>
        <w:rPr>
          <w:snapToGrid w:val="0"/>
        </w:rPr>
      </w:pPr>
      <w:r>
        <w:rPr>
          <w:snapToGrid w:val="0"/>
        </w:rPr>
        <w:tab/>
        <w:t>(4)</w:t>
      </w:r>
      <w:r>
        <w:rPr>
          <w:snapToGrid w:val="0"/>
        </w:rPr>
        <w:tab/>
        <w:t>Subject to sub</w:t>
      </w:r>
      <w:r>
        <w:rPr>
          <w:snapToGrid w:val="0"/>
        </w:rPr>
        <w:noBreakHyphen/>
        <w:t>bylaws (5) and (8), a person may elect to pay an account relating to a charge —</w:t>
      </w:r>
    </w:p>
    <w:p>
      <w:pPr>
        <w:pStyle w:val="Indenta"/>
        <w:rPr>
          <w:snapToGrid w:val="0"/>
        </w:rPr>
      </w:pPr>
      <w:r>
        <w:rPr>
          <w:snapToGrid w:val="0"/>
        </w:rPr>
        <w:tab/>
        <w:t>(a)</w:t>
      </w:r>
      <w:r>
        <w:rPr>
          <w:snapToGrid w:val="0"/>
        </w:rPr>
        <w:tab/>
        <w:t>in full (whether or not it also relates to other charges in respect of the same year) on or before 31 July in that year in which case the person is to receive a discount of —</w:t>
      </w:r>
    </w:p>
    <w:p>
      <w:pPr>
        <w:pStyle w:val="Indenti"/>
        <w:rPr>
          <w:snapToGrid w:val="0"/>
        </w:rPr>
      </w:pPr>
      <w:r>
        <w:rPr>
          <w:snapToGrid w:val="0"/>
        </w:rPr>
        <w:tab/>
        <w:t>(i)</w:t>
      </w:r>
      <w:r>
        <w:rPr>
          <w:snapToGrid w:val="0"/>
        </w:rPr>
        <w:tab/>
        <w:t xml:space="preserve">the amount prescribed in </w:t>
      </w:r>
      <w:r>
        <w:t xml:space="preserve">Schedule 7 item 1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5 months on one</w:t>
      </w:r>
      <w:r>
        <w:rPr>
          <w:snapToGrid w:val="0"/>
        </w:rPr>
        <w:noBreakHyphen/>
        <w:t>half of the charge for the year;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4 equal instalments on or before 31 July, 31 October, 31 December, and 31 March, respectively, in that year, in which case the person is to be liable for an additional charge of —</w:t>
      </w:r>
    </w:p>
    <w:p>
      <w:pPr>
        <w:pStyle w:val="Indenti"/>
        <w:rPr>
          <w:snapToGrid w:val="0"/>
        </w:rPr>
      </w:pPr>
      <w:r>
        <w:rPr>
          <w:snapToGrid w:val="0"/>
        </w:rPr>
        <w:tab/>
        <w:t>(i)</w:t>
      </w:r>
      <w:r>
        <w:rPr>
          <w:snapToGrid w:val="0"/>
        </w:rPr>
        <w:tab/>
        <w:t xml:space="preserve">the amount prescribed in </w:t>
      </w:r>
      <w:r>
        <w:t xml:space="preserve">Schedule 7 item 2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3 months on one</w:t>
      </w:r>
      <w:r>
        <w:rPr>
          <w:snapToGrid w:val="0"/>
        </w:rPr>
        <w:noBreakHyphen/>
        <w:t>half of the charge for the year.</w:t>
      </w:r>
    </w:p>
    <w:p>
      <w:pPr>
        <w:pStyle w:val="Subsection"/>
        <w:rPr>
          <w:snapToGrid w:val="0"/>
        </w:rPr>
      </w:pPr>
      <w:r>
        <w:rPr>
          <w:snapToGrid w:val="0"/>
        </w:rPr>
        <w:tab/>
        <w:t>(5)</w:t>
      </w:r>
      <w:r>
        <w:rPr>
          <w:snapToGrid w:val="0"/>
        </w:rPr>
        <w:tab/>
        <w:t>The options provided by sub</w:t>
      </w:r>
      <w:r>
        <w:rPr>
          <w:snapToGrid w:val="0"/>
        </w:rPr>
        <w:noBreakHyphen/>
        <w:t>bylaw (4) do not apply where payment of any amount due and payable to the Corporation in relation to any water service in respect of the land concerned is outstanding.</w:t>
      </w:r>
    </w:p>
    <w:p>
      <w:pPr>
        <w:pStyle w:val="Subsection"/>
        <w:rPr>
          <w:snapToGrid w:val="0"/>
        </w:rPr>
      </w:pPr>
      <w:r>
        <w:rPr>
          <w:snapToGrid w:val="0"/>
        </w:rPr>
        <w:tab/>
        <w:t>(6)</w:t>
      </w:r>
      <w:r>
        <w:rPr>
          <w:snapToGrid w:val="0"/>
        </w:rPr>
        <w:tab/>
        <w:t>For the purposes of sub</w:t>
      </w:r>
      <w:r>
        <w:rPr>
          <w:snapToGrid w:val="0"/>
        </w:rPr>
        <w:noBreakHyphen/>
        <w:t xml:space="preserve">bylaw (5), where payment of an amount has been deferred under the </w:t>
      </w:r>
      <w:r>
        <w:rPr>
          <w:i/>
          <w:snapToGrid w:val="0"/>
        </w:rPr>
        <w:t>Rates and Charges (Rebates and Deferments) Act 1992</w:t>
      </w:r>
      <w:r>
        <w:rPr>
          <w:snapToGrid w:val="0"/>
        </w:rPr>
        <w:t xml:space="preserve"> that amount shall not be regarded as due and payable until payment of it is required in accordance with that Act.</w:t>
      </w:r>
    </w:p>
    <w:p>
      <w:pPr>
        <w:pStyle w:val="Subsection"/>
        <w:rPr>
          <w:snapToGrid w:val="0"/>
        </w:rPr>
      </w:pPr>
      <w:r>
        <w:rPr>
          <w:snapToGrid w:val="0"/>
        </w:rPr>
        <w:tab/>
        <w:t>(7)</w:t>
      </w:r>
      <w:r>
        <w:rPr>
          <w:snapToGrid w:val="0"/>
        </w:rPr>
        <w:tab/>
        <w:t>The Corporation may, after having regard to the circumstances in a particular case, allow a person to elect to pay an account in accordance with the options provided in sub</w:t>
      </w:r>
      <w:r>
        <w:rPr>
          <w:snapToGrid w:val="0"/>
        </w:rPr>
        <w:noBreakHyphen/>
        <w:t>bylaw (4), without the requirement for the appropriate amount to be paid on or before 31 July.</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charge is for a period less than a full year; or</w:t>
      </w:r>
    </w:p>
    <w:p>
      <w:pPr>
        <w:pStyle w:val="Indenta"/>
        <w:rPr>
          <w:snapToGrid w:val="0"/>
        </w:rPr>
      </w:pPr>
      <w:r>
        <w:rPr>
          <w:snapToGrid w:val="0"/>
        </w:rPr>
        <w:tab/>
        <w:t>(b)</w:t>
      </w:r>
      <w:r>
        <w:rPr>
          <w:snapToGrid w:val="0"/>
        </w:rPr>
        <w:tab/>
        <w:t>an account for a charge is given after 31 July in the year to which the charge relates,</w:t>
      </w:r>
    </w:p>
    <w:p>
      <w:pPr>
        <w:pStyle w:val="Subsection"/>
        <w:rPr>
          <w:snapToGrid w:val="0"/>
        </w:rPr>
      </w:pPr>
      <w:r>
        <w:rPr>
          <w:snapToGrid w:val="0"/>
        </w:rPr>
        <w:tab/>
      </w:r>
      <w:r>
        <w:rPr>
          <w:snapToGrid w:val="0"/>
        </w:rPr>
        <w:tab/>
        <w:t>the charge is due in full by the date stated in the account.</w:t>
      </w:r>
    </w:p>
    <w:p>
      <w:pPr>
        <w:pStyle w:val="Subsection"/>
        <w:rPr>
          <w:snapToGrid w:val="0"/>
        </w:rPr>
      </w:pPr>
      <w:r>
        <w:rPr>
          <w:snapToGrid w:val="0"/>
        </w:rPr>
        <w:tab/>
        <w:t>(9)</w:t>
      </w:r>
      <w:r>
        <w:rPr>
          <w:snapToGrid w:val="0"/>
        </w:rPr>
        <w:tab/>
        <w:t>For the purposes of sub</w:t>
      </w:r>
      <w:r>
        <w:rPr>
          <w:snapToGrid w:val="0"/>
        </w:rPr>
        <w:noBreakHyphen/>
        <w:t>bylaw (8), a date stated in an account shall be a date not earlier than 28 days after the giving of the account.</w:t>
      </w:r>
    </w:p>
    <w:p>
      <w:pPr>
        <w:pStyle w:val="Footnotesection"/>
      </w:pPr>
      <w:r>
        <w:tab/>
        <w:t>[By</w:t>
      </w:r>
      <w:r>
        <w:noBreakHyphen/>
        <w:t>law 7 inserted in Gazette 13 May 1997 p. 2350</w:t>
      </w:r>
      <w:r>
        <w:noBreakHyphen/>
        <w:t>1; amended in Gazette 29 Jun 2001 p. 3188.]</w:t>
      </w:r>
    </w:p>
    <w:p>
      <w:pPr>
        <w:pStyle w:val="Heading5"/>
        <w:rPr>
          <w:snapToGrid w:val="0"/>
        </w:rPr>
      </w:pPr>
      <w:bookmarkStart w:id="83" w:name="_Toc487428945"/>
      <w:bookmarkStart w:id="84" w:name="_Toc17278653"/>
      <w:bookmarkStart w:id="85" w:name="_Toc180204751"/>
      <w:bookmarkStart w:id="86" w:name="_Toc265743458"/>
      <w:r>
        <w:rPr>
          <w:rStyle w:val="CharSectno"/>
        </w:rPr>
        <w:t>7A</w:t>
      </w:r>
      <w:r>
        <w:rPr>
          <w:snapToGrid w:val="0"/>
        </w:rPr>
        <w:t>.</w:t>
      </w:r>
      <w:r>
        <w:rPr>
          <w:snapToGrid w:val="0"/>
        </w:rPr>
        <w:tab/>
        <w:t>Manner of payment of quantity charges</w:t>
      </w:r>
      <w:bookmarkEnd w:id="83"/>
      <w:bookmarkEnd w:id="84"/>
      <w:bookmarkEnd w:id="85"/>
      <w:bookmarkEnd w:id="86"/>
    </w:p>
    <w:p>
      <w:pPr>
        <w:pStyle w:val="Subsection"/>
        <w:rPr>
          <w:snapToGrid w:val="0"/>
        </w:rPr>
      </w:pPr>
      <w:r>
        <w:rPr>
          <w:snapToGrid w:val="0"/>
        </w:rPr>
        <w:tab/>
        <w:t>(1)</w:t>
      </w:r>
      <w:r>
        <w:rPr>
          <w:snapToGrid w:val="0"/>
        </w:rPr>
        <w:tab/>
        <w:t>Unless, in accordance with by</w:t>
      </w:r>
      <w:r>
        <w:rPr>
          <w:snapToGrid w:val="0"/>
        </w:rPr>
        <w:noBreakHyphen/>
        <w:t>law 8, special arrangements for payment have been made a quantity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14 days after the giving of the account.</w:t>
      </w:r>
    </w:p>
    <w:p>
      <w:pPr>
        <w:pStyle w:val="Footnotesection"/>
      </w:pPr>
      <w:r>
        <w:tab/>
        <w:t>[By</w:t>
      </w:r>
      <w:r>
        <w:noBreakHyphen/>
        <w:t>law 7A inserted in Gazette 13 May 1997 p. 2351.]</w:t>
      </w:r>
    </w:p>
    <w:p>
      <w:pPr>
        <w:pStyle w:val="Heading5"/>
        <w:spacing w:before="240"/>
        <w:rPr>
          <w:snapToGrid w:val="0"/>
        </w:rPr>
      </w:pPr>
      <w:bookmarkStart w:id="87" w:name="_Toc487428946"/>
      <w:bookmarkStart w:id="88" w:name="_Toc17278654"/>
      <w:bookmarkStart w:id="89" w:name="_Toc180204752"/>
      <w:bookmarkStart w:id="90" w:name="_Toc265743459"/>
      <w:r>
        <w:rPr>
          <w:rStyle w:val="CharSectno"/>
        </w:rPr>
        <w:t>7B</w:t>
      </w:r>
      <w:r>
        <w:rPr>
          <w:snapToGrid w:val="0"/>
        </w:rPr>
        <w:t>.</w:t>
      </w:r>
      <w:r>
        <w:rPr>
          <w:snapToGrid w:val="0"/>
        </w:rPr>
        <w:tab/>
        <w:t>Manner of payment of single capital infrastructure charges</w:t>
      </w:r>
      <w:bookmarkEnd w:id="87"/>
      <w:bookmarkEnd w:id="88"/>
      <w:bookmarkEnd w:id="89"/>
      <w:bookmarkEnd w:id="90"/>
    </w:p>
    <w:p>
      <w:pPr>
        <w:pStyle w:val="Subsection"/>
        <w:spacing w:before="200"/>
        <w:rPr>
          <w:snapToGrid w:val="0"/>
        </w:rPr>
      </w:pPr>
      <w:r>
        <w:rPr>
          <w:snapToGrid w:val="0"/>
        </w:rPr>
        <w:tab/>
        <w:t>(1)</w:t>
      </w:r>
      <w:r>
        <w:rPr>
          <w:snapToGrid w:val="0"/>
        </w:rPr>
        <w:tab/>
        <w:t>A single capital infrastructure charge is due in full on the date stated in the account given for that charge.</w:t>
      </w:r>
    </w:p>
    <w:p>
      <w:pPr>
        <w:pStyle w:val="Subsection"/>
        <w:spacing w:before="200"/>
        <w:rPr>
          <w:snapToGrid w:val="0"/>
        </w:rPr>
      </w:pPr>
      <w:r>
        <w:rPr>
          <w:snapToGrid w:val="0"/>
        </w:rPr>
        <w:tab/>
        <w:t>(2)</w:t>
      </w:r>
      <w:r>
        <w:rPr>
          <w:snapToGrid w:val="0"/>
        </w:rPr>
        <w:tab/>
        <w:t>For the purposes of sub</w:t>
      </w:r>
      <w:r>
        <w:rPr>
          <w:snapToGrid w:val="0"/>
        </w:rPr>
        <w:noBreakHyphen/>
        <w:t>bylaw (1), a date stated in an account shall be a date not earlier than 28 days after the giving of the account.</w:t>
      </w:r>
    </w:p>
    <w:p>
      <w:pPr>
        <w:pStyle w:val="Footnotesection"/>
      </w:pPr>
      <w:r>
        <w:tab/>
        <w:t>[By</w:t>
      </w:r>
      <w:r>
        <w:noBreakHyphen/>
        <w:t>law 7B inserted in Gazette 13 May 1997 p. 2351.]</w:t>
      </w:r>
    </w:p>
    <w:p>
      <w:pPr>
        <w:pStyle w:val="Heading5"/>
      </w:pPr>
      <w:bookmarkStart w:id="91" w:name="_Toc265743460"/>
      <w:bookmarkStart w:id="92" w:name="_Toc487428948"/>
      <w:bookmarkStart w:id="93" w:name="_Toc17278656"/>
      <w:bookmarkStart w:id="94" w:name="_Toc180204754"/>
      <w:r>
        <w:rPr>
          <w:rStyle w:val="CharSectno"/>
        </w:rPr>
        <w:t>8</w:t>
      </w:r>
      <w:r>
        <w:t>.</w:t>
      </w:r>
      <w:r>
        <w:tab/>
        <w:t>Special arrangements</w:t>
      </w:r>
      <w:bookmarkEnd w:id="91"/>
    </w:p>
    <w:p>
      <w:pPr>
        <w:pStyle w:val="Subsection"/>
      </w:pPr>
      <w:r>
        <w:tab/>
        <w:t>(1)</w:t>
      </w:r>
      <w:r>
        <w:tab/>
        <w:t>This by</w:t>
      </w:r>
      <w:r>
        <w:noBreakHyphen/>
        <w:t>law does not apply to a single capital infrastructure charge.</w:t>
      </w:r>
    </w:p>
    <w:p>
      <w:pPr>
        <w:pStyle w:val="Subsection"/>
      </w:pPr>
      <w:r>
        <w:tab/>
        <w:t>(2)</w:t>
      </w:r>
      <w:r>
        <w:tab/>
        <w:t>If, in a particular case, the Corporation is satisfied that there is proper cause, the Corporation may enter into a special arrangement with a person for the payment of charges.</w:t>
      </w:r>
    </w:p>
    <w:p>
      <w:pPr>
        <w:pStyle w:val="Subsection"/>
      </w:pPr>
      <w:r>
        <w:tab/>
        <w:t>(3)</w:t>
      </w:r>
      <w:r>
        <w:tab/>
        <w:t>A special arrangement may be on such terms and conditions, including as to the payment of additional charges and interest, as the Corporation, having regard to the person’s circumstances, considers appropriate.</w:t>
      </w:r>
    </w:p>
    <w:p>
      <w:pPr>
        <w:pStyle w:val="Subsection"/>
      </w:pPr>
      <w:r>
        <w:tab/>
        <w:t>(4)</w:t>
      </w:r>
      <w:r>
        <w:tab/>
        <w:t>Despite sub</w:t>
      </w:r>
      <w:r>
        <w:noBreakHyphen/>
        <w:t xml:space="preserve">bylaw (3) — </w:t>
      </w:r>
    </w:p>
    <w:p>
      <w:pPr>
        <w:pStyle w:val="Indenta"/>
      </w:pPr>
      <w:r>
        <w:tab/>
        <w:t>(a)</w:t>
      </w:r>
      <w:r>
        <w:tab/>
        <w:t>a special arrangement must provide for payment by regular instalments; and</w:t>
      </w:r>
    </w:p>
    <w:p>
      <w:pPr>
        <w:pStyle w:val="Indenta"/>
      </w:pPr>
      <w:r>
        <w:tab/>
        <w:t>(b)</w:t>
      </w:r>
      <w:r>
        <w:tab/>
        <w:t>if additional charges are payable under the arrangement — the amount of each additional charge must not exceed the amount set out in Schedule 7 item 2; and</w:t>
      </w:r>
    </w:p>
    <w:p>
      <w:pPr>
        <w:pStyle w:val="Indenta"/>
      </w:pPr>
      <w:r>
        <w:tab/>
        <w:t>(c)</w:t>
      </w:r>
      <w:r>
        <w:tab/>
        <w:t>if interest is payable under the arrangement — the rate at which the interest is calculated must not exceed the amount set out in Schedule 7 item 5.</w:t>
      </w:r>
    </w:p>
    <w:p>
      <w:pPr>
        <w:pStyle w:val="Footnotesection"/>
      </w:pPr>
      <w:r>
        <w:tab/>
        <w:t>[By-law 8 inserted in Gazette 27 Jun 2008 p. 2984.]</w:t>
      </w:r>
    </w:p>
    <w:p>
      <w:pPr>
        <w:pStyle w:val="Heading5"/>
        <w:rPr>
          <w:snapToGrid w:val="0"/>
        </w:rPr>
      </w:pPr>
      <w:bookmarkStart w:id="95" w:name="_Toc265743461"/>
      <w:r>
        <w:rPr>
          <w:rStyle w:val="CharSectno"/>
        </w:rPr>
        <w:t>8A</w:t>
      </w:r>
      <w:r>
        <w:rPr>
          <w:snapToGrid w:val="0"/>
        </w:rPr>
        <w:t>.</w:t>
      </w:r>
      <w:r>
        <w:rPr>
          <w:snapToGrid w:val="0"/>
        </w:rPr>
        <w:tab/>
        <w:t>Concessional charges for retirement village residents</w:t>
      </w:r>
      <w:bookmarkEnd w:id="92"/>
      <w:bookmarkEnd w:id="93"/>
      <w:bookmarkEnd w:id="94"/>
      <w:bookmarkEnd w:id="95"/>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p>
    <w:p>
      <w:pPr>
        <w:pStyle w:val="Subsection"/>
      </w:pPr>
      <w:r>
        <w:tab/>
        <w:t>(1a)</w:t>
      </w:r>
      <w:r>
        <w:tab/>
        <w:t>Where a person was liable, immediately prior to 1 July 2005, to pay a charge under —</w:t>
      </w:r>
    </w:p>
    <w:p>
      <w:pPr>
        <w:pStyle w:val="Indenta"/>
      </w:pPr>
      <w:r>
        <w:tab/>
        <w:t>(a)</w:t>
      </w:r>
      <w:r>
        <w:tab/>
        <w:t>Schedule 1 item 1;</w:t>
      </w:r>
    </w:p>
    <w:p>
      <w:pPr>
        <w:pStyle w:val="Indenta"/>
      </w:pPr>
      <w:r>
        <w:tab/>
        <w:t>(b)</w:t>
      </w:r>
      <w:r>
        <w:tab/>
        <w:t>Schedule 3 item 8;</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spacing w:before="120"/>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4 </w:t>
      </w:r>
      <w:r>
        <w:rPr>
          <w:snapToGrid w:val="0"/>
        </w:rPr>
        <w:t>opposite the particular kind of charge, whichever is the lesser amount.</w:t>
      </w:r>
    </w:p>
    <w:p>
      <w:pPr>
        <w:pStyle w:val="Subsection"/>
        <w:spacing w:before="120"/>
      </w:pPr>
      <w:r>
        <w:rPr>
          <w:snapToGrid w:val="0"/>
        </w:rPr>
        <w:tab/>
        <w:t>(3)</w:t>
      </w:r>
      <w:r>
        <w:rPr>
          <w:snapToGrid w:val="0"/>
        </w:rPr>
        <w:tab/>
        <w:t>In this by</w:t>
      </w:r>
      <w:r>
        <w:rPr>
          <w:snapToGrid w:val="0"/>
        </w:rPr>
        <w:noBreakHyphen/>
        <w:t xml:space="preserve">law, </w:t>
      </w:r>
      <w:r>
        <w:rPr>
          <w:rStyle w:val="CharDefText"/>
          <w:spacing w:val="-4"/>
        </w:rPr>
        <w:t>retirement village</w:t>
      </w:r>
      <w:r>
        <w:t xml:space="preserve"> means a number of units, the residents of which have a right to life tenancy under a lease arrangement, or a similar form of lease, and are predominantly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w:t>
      </w:r>
    </w:p>
    <w:p>
      <w:pPr>
        <w:pStyle w:val="Heading5"/>
      </w:pPr>
      <w:bookmarkStart w:id="96" w:name="_Toc17278657"/>
      <w:bookmarkStart w:id="97" w:name="_Toc180204755"/>
      <w:bookmarkStart w:id="98" w:name="_Toc265743462"/>
      <w:bookmarkStart w:id="99" w:name="_Toc487428950"/>
      <w:r>
        <w:rPr>
          <w:rStyle w:val="CharSectno"/>
        </w:rPr>
        <w:t>8B</w:t>
      </w:r>
      <w:r>
        <w:t>.</w:t>
      </w:r>
      <w:r>
        <w:tab/>
        <w:t>Government trading organisation and non</w:t>
      </w:r>
      <w:r>
        <w:noBreakHyphen/>
        <w:t>commercial Government property</w:t>
      </w:r>
      <w:bookmarkEnd w:id="96"/>
      <w:bookmarkEnd w:id="97"/>
      <w:bookmarkEnd w:id="98"/>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3(b) or 10(a) or (b); or</w:t>
      </w:r>
    </w:p>
    <w:p>
      <w:pPr>
        <w:pStyle w:val="Indenta"/>
      </w:pPr>
      <w:r>
        <w:tab/>
        <w:t>(b)</w:t>
      </w:r>
      <w:r>
        <w:tab/>
        <w:t>Schedule 1 item 25 or 27(a) or (f); or</w:t>
      </w:r>
    </w:p>
    <w:p>
      <w:pPr>
        <w:pStyle w:val="Indenta"/>
        <w:keepNext/>
        <w:keepLines/>
      </w:pPr>
      <w:r>
        <w:tab/>
        <w:t>(c)</w:t>
      </w:r>
      <w:r>
        <w:tab/>
        <w:t>Schedule 1 item 33,</w:t>
      </w:r>
    </w:p>
    <w:p>
      <w:pPr>
        <w:pStyle w:val="Subsection"/>
      </w:pPr>
      <w:r>
        <w:tab/>
      </w:r>
      <w:r>
        <w:tab/>
        <w:t>for each water service provided to property held by that body or organisation, with the exception of services that are provided exclusively for fire 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 amended in Gazette 29 Jun 2007 p. 3246; 27 Jun 2008 p. 2984</w:t>
      </w:r>
      <w:r>
        <w:noBreakHyphen/>
        <w:t>5; 19 Jun 2009 p. 2322.]</w:t>
      </w:r>
    </w:p>
    <w:p>
      <w:pPr>
        <w:pStyle w:val="Heading5"/>
        <w:rPr>
          <w:snapToGrid w:val="0"/>
        </w:rPr>
      </w:pPr>
      <w:bookmarkStart w:id="100" w:name="_Toc17278658"/>
      <w:bookmarkStart w:id="101" w:name="_Toc180204756"/>
      <w:bookmarkStart w:id="102" w:name="_Toc265743463"/>
      <w:r>
        <w:rPr>
          <w:rStyle w:val="CharSectno"/>
        </w:rPr>
        <w:t>8BA</w:t>
      </w:r>
      <w:r>
        <w:rPr>
          <w:snapToGrid w:val="0"/>
        </w:rPr>
        <w:t>.</w:t>
      </w:r>
      <w:r>
        <w:rPr>
          <w:snapToGrid w:val="0"/>
        </w:rPr>
        <w:tab/>
        <w:t>Annual charges to Government trading organisations that supply water to lessees or ships</w:t>
      </w:r>
      <w:bookmarkEnd w:id="99"/>
      <w:bookmarkEnd w:id="100"/>
      <w:bookmarkEnd w:id="101"/>
      <w:bookmarkEnd w:id="102"/>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spacing w:before="100"/>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t>Deleted in Gazette 30 Jun 1995 p. 2735.]</w:t>
      </w:r>
    </w:p>
    <w:p>
      <w:pPr>
        <w:pStyle w:val="Heading5"/>
        <w:rPr>
          <w:snapToGrid w:val="0"/>
        </w:rPr>
      </w:pPr>
      <w:bookmarkStart w:id="103" w:name="_Toc487428951"/>
      <w:bookmarkStart w:id="104" w:name="_Toc17278659"/>
      <w:bookmarkStart w:id="105" w:name="_Toc180204757"/>
      <w:bookmarkStart w:id="106" w:name="_Toc265743464"/>
      <w:r>
        <w:rPr>
          <w:rStyle w:val="CharSectno"/>
        </w:rPr>
        <w:t>9</w:t>
      </w:r>
      <w:r>
        <w:rPr>
          <w:snapToGrid w:val="0"/>
        </w:rPr>
        <w:t>.</w:t>
      </w:r>
      <w:r>
        <w:rPr>
          <w:snapToGrid w:val="0"/>
        </w:rPr>
        <w:tab/>
        <w:t>Interest on overdue amounts</w:t>
      </w:r>
      <w:bookmarkEnd w:id="103"/>
      <w:bookmarkEnd w:id="104"/>
      <w:bookmarkEnd w:id="105"/>
      <w:bookmarkEnd w:id="106"/>
    </w:p>
    <w:p>
      <w:pPr>
        <w:pStyle w:val="Subsection"/>
        <w:rPr>
          <w:snapToGrid w:val="0"/>
        </w:rPr>
      </w:pPr>
      <w:r>
        <w:rPr>
          <w:snapToGrid w:val="0"/>
        </w:rPr>
        <w:tab/>
        <w:t>(1)</w:t>
      </w:r>
      <w:r>
        <w:rPr>
          <w:snapToGrid w:val="0"/>
        </w:rPr>
        <w:tab/>
        <w:t xml:space="preserve">For the purposes of section 41L, the time from which interest shall be calculated on overdue amounts is one day after the amount was due and payable, and interest shall be calculated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Subsection"/>
        <w:rPr>
          <w:snapToGrid w:val="0"/>
        </w:rPr>
      </w:pPr>
      <w:r>
        <w:rPr>
          <w:snapToGrid w:val="0"/>
        </w:rPr>
        <w:tab/>
        <w:t>(2)</w:t>
      </w:r>
      <w:r>
        <w:rPr>
          <w:snapToGrid w:val="0"/>
        </w:rPr>
        <w:tab/>
        <w:t xml:space="preserve">For the purposes of section 100B of the </w:t>
      </w:r>
      <w:r>
        <w:rPr>
          <w:i/>
          <w:snapToGrid w:val="0"/>
        </w:rPr>
        <w:t>Land Drainage Act 1925</w:t>
      </w:r>
      <w:r>
        <w:rPr>
          <w:snapToGrid w:val="0"/>
        </w:rPr>
        <w:t xml:space="preserve">, the period after which interest is payable is prescribed to be one day and interest is prescribed to be payable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Footnotesection"/>
      </w:pPr>
      <w:r>
        <w:tab/>
        <w:t>[By</w:t>
      </w:r>
      <w:r>
        <w:noBreakHyphen/>
        <w:t>law 9 amended in Gazette 26 Jun 1992 p. 2813; 24 Jul 1992 p. 3661; 9 Apr 1998 p. 2035; 29 Jun 2001 p. 3190.]</w:t>
      </w:r>
    </w:p>
    <w:p>
      <w:pPr>
        <w:pStyle w:val="Heading5"/>
        <w:rPr>
          <w:snapToGrid w:val="0"/>
        </w:rPr>
      </w:pPr>
      <w:bookmarkStart w:id="107" w:name="_Toc487428952"/>
      <w:bookmarkStart w:id="108" w:name="_Toc17278660"/>
      <w:bookmarkStart w:id="109" w:name="_Toc180204758"/>
      <w:bookmarkStart w:id="110" w:name="_Toc265743465"/>
      <w:r>
        <w:rPr>
          <w:rStyle w:val="CharSectno"/>
        </w:rPr>
        <w:t>9A</w:t>
      </w:r>
      <w:r>
        <w:rPr>
          <w:snapToGrid w:val="0"/>
        </w:rPr>
        <w:t>.</w:t>
      </w:r>
      <w:r>
        <w:rPr>
          <w:snapToGrid w:val="0"/>
        </w:rPr>
        <w:tab/>
        <w:t>Amounts rounded</w:t>
      </w:r>
      <w:bookmarkEnd w:id="107"/>
      <w:bookmarkEnd w:id="108"/>
      <w:bookmarkEnd w:id="109"/>
      <w:bookmarkEnd w:id="110"/>
    </w:p>
    <w:p>
      <w:pPr>
        <w:pStyle w:val="Subsection"/>
        <w:keepNext/>
        <w:keepLines/>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9A inserted in Gazette 26 Jun 1992 p. 2813.]</w:t>
      </w:r>
    </w:p>
    <w:p>
      <w:pPr>
        <w:pStyle w:val="Heading5"/>
      </w:pPr>
      <w:bookmarkStart w:id="111" w:name="_Toc265743466"/>
      <w:bookmarkStart w:id="112" w:name="_Toc91580413"/>
      <w:bookmarkStart w:id="113" w:name="_Toc103667098"/>
      <w:bookmarkStart w:id="114" w:name="_Toc103741617"/>
      <w:bookmarkStart w:id="115" w:name="_Toc107981860"/>
      <w:bookmarkStart w:id="116" w:name="_Toc118800027"/>
      <w:bookmarkStart w:id="117" w:name="_Toc118860035"/>
      <w:bookmarkStart w:id="118" w:name="_Toc121545535"/>
      <w:bookmarkStart w:id="119" w:name="_Toc121801058"/>
      <w:bookmarkStart w:id="120" w:name="_Toc121818171"/>
      <w:bookmarkStart w:id="121" w:name="_Toc121880781"/>
      <w:bookmarkStart w:id="122" w:name="_Toc129481852"/>
      <w:bookmarkStart w:id="123" w:name="_Toc130095221"/>
      <w:bookmarkStart w:id="124" w:name="_Toc130273285"/>
      <w:bookmarkStart w:id="125" w:name="_Toc139770958"/>
      <w:bookmarkStart w:id="126" w:name="_Toc139771336"/>
      <w:bookmarkStart w:id="127" w:name="_Toc151191551"/>
      <w:bookmarkStart w:id="128" w:name="_Toc151260444"/>
      <w:bookmarkStart w:id="129" w:name="_Toc164158549"/>
      <w:bookmarkStart w:id="130" w:name="_Toc164220921"/>
      <w:bookmarkStart w:id="131" w:name="_Toc170878880"/>
      <w:bookmarkStart w:id="132" w:name="_Toc170894633"/>
      <w:bookmarkStart w:id="133" w:name="_Toc175712599"/>
      <w:bookmarkStart w:id="134" w:name="_Toc175970540"/>
      <w:bookmarkStart w:id="135" w:name="_Toc176335259"/>
      <w:bookmarkStart w:id="136" w:name="_Toc176338834"/>
      <w:bookmarkStart w:id="137" w:name="_Toc178742859"/>
      <w:bookmarkStart w:id="138" w:name="_Toc179363282"/>
      <w:bookmarkStart w:id="139" w:name="_Toc179604351"/>
      <w:bookmarkStart w:id="140" w:name="_Toc180204544"/>
      <w:bookmarkStart w:id="141" w:name="_Toc180204760"/>
      <w:bookmarkStart w:id="142" w:name="_Toc185844505"/>
      <w:bookmarkStart w:id="143" w:name="_Toc185845125"/>
      <w:bookmarkStart w:id="144" w:name="_Toc185927090"/>
      <w:bookmarkStart w:id="145" w:name="_Toc202505838"/>
      <w:bookmarkStart w:id="146" w:name="_Toc202672623"/>
      <w:bookmarkStart w:id="147" w:name="_Toc202691714"/>
      <w:bookmarkStart w:id="148" w:name="_Toc233448336"/>
      <w:bookmarkStart w:id="149" w:name="_Toc233611650"/>
      <w:bookmarkStart w:id="150" w:name="_Toc234730657"/>
      <w:bookmarkStart w:id="151" w:name="_Toc234733183"/>
      <w:bookmarkStart w:id="152" w:name="_Toc235863920"/>
      <w:bookmarkStart w:id="153" w:name="_Toc235933395"/>
      <w:bookmarkStart w:id="154" w:name="_Toc237164383"/>
      <w:bookmarkStart w:id="155" w:name="_Toc237244266"/>
      <w:bookmarkStart w:id="156" w:name="_Toc237245567"/>
      <w:bookmarkStart w:id="157" w:name="_Toc237245698"/>
      <w:bookmarkStart w:id="158" w:name="_Toc237247806"/>
      <w:bookmarkStart w:id="159" w:name="_Toc237254109"/>
      <w:bookmarkStart w:id="160" w:name="_Toc237309528"/>
      <w:r>
        <w:rPr>
          <w:rStyle w:val="CharSectno"/>
        </w:rPr>
        <w:t>9B</w:t>
      </w:r>
      <w:r>
        <w:t>.</w:t>
      </w:r>
      <w:r>
        <w:tab/>
        <w:t>Calculations, including maxima, for various GRV based charges</w:t>
      </w:r>
      <w:bookmarkEnd w:id="111"/>
    </w:p>
    <w:p>
      <w:pPr>
        <w:pStyle w:val="Subsection"/>
      </w:pPr>
      <w:r>
        <w:tab/>
        <w:t>(1)</w:t>
      </w:r>
      <w:r>
        <w:tab/>
        <w:t>Where a charge that is determined by reference to the GRV of the relevant land under Schedule 3 item 8 or 10, or Schedule 4 item 5, for the current year, is more than 12.1% greater than the charge calculated for the same service (and under the same circumstances) in the previous year, the charge is only payable up to that 12.1% increase.</w:t>
      </w:r>
    </w:p>
    <w:p>
      <w:pPr>
        <w:pStyle w:val="Subsection"/>
      </w:pPr>
      <w:r>
        <w:tab/>
        <w:t>(2)</w:t>
      </w:r>
      <w:r>
        <w:tab/>
        <w:t>Where a charge that is determined by reference to the GRV of the relevant land under Schedule 4 item 3 or 4, for the current year, is more than $25.00 greater than the charge calculated for the same service (and under the same circumstances) in the previous year, the charge is only payable up to that $25.00 increase per residential unit in the case of residential land, or per lot in the case of vacant land.</w:t>
      </w:r>
    </w:p>
    <w:p>
      <w:pPr>
        <w:pStyle w:val="Subsection"/>
      </w:pPr>
      <w:r>
        <w:tab/>
        <w:t>(3)</w:t>
      </w:r>
      <w:r>
        <w:tab/>
        <w:t xml:space="preserve">Where, for a portion of the current year (the </w:t>
      </w:r>
      <w:r>
        <w:rPr>
          <w:rStyle w:val="CharDefText"/>
        </w:rPr>
        <w:t>part year</w:t>
      </w:r>
      <w:r>
        <w:t xml:space="preserve">), in respect of property subject to a charge that is determined by reference to the GRV of the relevant land under Schedule 3 item 8 or 10, or Schedule 4 item 3, 4 or 5, there is a change in the circumstances that affects the method of calculating the charge for that property, the charge payable for the part year is to be determined as follows — </w:t>
      </w:r>
    </w:p>
    <w:p>
      <w:pPr>
        <w:pStyle w:val="Indenta"/>
      </w:pPr>
      <w:r>
        <w:tab/>
        <w:t>(a)</w:t>
      </w:r>
      <w:r>
        <w:tab/>
        <w:t>the charge is to be determined for the whole of the current year on the basis of the changed circumstances;</w:t>
      </w:r>
    </w:p>
    <w:p>
      <w:pPr>
        <w:pStyle w:val="Indenta"/>
      </w:pPr>
      <w:r>
        <w:tab/>
        <w:t>(b)</w:t>
      </w:r>
      <w:r>
        <w:tab/>
        <w:t>the Corporation may estimate a notional charge for the previous year in respect of that property, being the charge that would have been payable for that year if the matters and circumstances currently prevailing had prevailed for the whole of that year;</w:t>
      </w:r>
    </w:p>
    <w:p>
      <w:pPr>
        <w:pStyle w:val="Indenta"/>
      </w:pPr>
      <w:r>
        <w:tab/>
        <w:t>(c)</w:t>
      </w:r>
      <w:r>
        <w:tab/>
        <w:t>the charge determined in accordance with paragraph (a) is to be limited (where relevant) in accordance with sub</w:t>
      </w:r>
      <w:r>
        <w:noBreakHyphen/>
        <w:t>bylaw (1) or (2) (whichever is relevant), using the notional charge estimated in accordance with paragraph (b);</w:t>
      </w:r>
    </w:p>
    <w:p>
      <w:pPr>
        <w:pStyle w:val="Indenta"/>
      </w:pPr>
      <w:r>
        <w:tab/>
        <w:t>(d)</w:t>
      </w:r>
      <w:r>
        <w:tab/>
        <w:t>the charge determined in accordance with paragraph (a) (as limited in accordance with paragraph (c) where relevant) is to be reduced by the same proportion that the part year bears to the whole of the current year.</w:t>
      </w:r>
    </w:p>
    <w:p>
      <w:pPr>
        <w:pStyle w:val="Footnotesection"/>
      </w:pPr>
      <w:r>
        <w:tab/>
        <w:t>[By-law 9B inserted in Gazette 25 Jun 2010 p. 2901</w:t>
      </w:r>
      <w:r>
        <w:noBreakHyphen/>
        <w:t>3.]</w:t>
      </w:r>
    </w:p>
    <w:p>
      <w:pPr>
        <w:pStyle w:val="Heading2"/>
      </w:pPr>
      <w:bookmarkStart w:id="161" w:name="_Toc265743467"/>
      <w:r>
        <w:rPr>
          <w:rStyle w:val="CharPartNo"/>
        </w:rPr>
        <w:t>Part 2</w:t>
      </w:r>
      <w:r>
        <w:t> — </w:t>
      </w:r>
      <w:r>
        <w:rPr>
          <w:rStyle w:val="CharPartText"/>
        </w:rPr>
        <w:t>Water supply</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3"/>
        <w:rPr>
          <w:snapToGrid w:val="0"/>
          <w:spacing w:val="-4"/>
        </w:rPr>
      </w:pPr>
      <w:bookmarkStart w:id="162" w:name="_Toc91580414"/>
      <w:bookmarkStart w:id="163" w:name="_Toc103667099"/>
      <w:bookmarkStart w:id="164" w:name="_Toc103741618"/>
      <w:bookmarkStart w:id="165" w:name="_Toc107981861"/>
      <w:bookmarkStart w:id="166" w:name="_Toc118800028"/>
      <w:bookmarkStart w:id="167" w:name="_Toc118860036"/>
      <w:bookmarkStart w:id="168" w:name="_Toc121545536"/>
      <w:bookmarkStart w:id="169" w:name="_Toc121801059"/>
      <w:bookmarkStart w:id="170" w:name="_Toc121818172"/>
      <w:bookmarkStart w:id="171" w:name="_Toc121880782"/>
      <w:bookmarkStart w:id="172" w:name="_Toc129481853"/>
      <w:bookmarkStart w:id="173" w:name="_Toc130095222"/>
      <w:bookmarkStart w:id="174" w:name="_Toc130273286"/>
      <w:bookmarkStart w:id="175" w:name="_Toc139770959"/>
      <w:bookmarkStart w:id="176" w:name="_Toc139771337"/>
      <w:bookmarkStart w:id="177" w:name="_Toc151191552"/>
      <w:bookmarkStart w:id="178" w:name="_Toc151260445"/>
      <w:bookmarkStart w:id="179" w:name="_Toc164158550"/>
      <w:bookmarkStart w:id="180" w:name="_Toc164220922"/>
      <w:bookmarkStart w:id="181" w:name="_Toc170878881"/>
      <w:bookmarkStart w:id="182" w:name="_Toc170894634"/>
      <w:bookmarkStart w:id="183" w:name="_Toc175712600"/>
      <w:bookmarkStart w:id="184" w:name="_Toc175970541"/>
      <w:bookmarkStart w:id="185" w:name="_Toc176335260"/>
      <w:bookmarkStart w:id="186" w:name="_Toc176338835"/>
      <w:bookmarkStart w:id="187" w:name="_Toc178742860"/>
      <w:bookmarkStart w:id="188" w:name="_Toc179363283"/>
      <w:bookmarkStart w:id="189" w:name="_Toc179604352"/>
      <w:bookmarkStart w:id="190" w:name="_Toc180204545"/>
      <w:bookmarkStart w:id="191" w:name="_Toc180204761"/>
      <w:bookmarkStart w:id="192" w:name="_Toc185844506"/>
      <w:bookmarkStart w:id="193" w:name="_Toc185845126"/>
      <w:bookmarkStart w:id="194" w:name="_Toc185927091"/>
      <w:bookmarkStart w:id="195" w:name="_Toc202505839"/>
      <w:bookmarkStart w:id="196" w:name="_Toc202672624"/>
      <w:bookmarkStart w:id="197" w:name="_Toc202691715"/>
      <w:bookmarkStart w:id="198" w:name="_Toc233448337"/>
      <w:bookmarkStart w:id="199" w:name="_Toc233611651"/>
      <w:bookmarkStart w:id="200" w:name="_Toc234730658"/>
      <w:bookmarkStart w:id="201" w:name="_Toc234733184"/>
      <w:bookmarkStart w:id="202" w:name="_Toc235863921"/>
      <w:bookmarkStart w:id="203" w:name="_Toc235933396"/>
      <w:bookmarkStart w:id="204" w:name="_Toc237164384"/>
      <w:bookmarkStart w:id="205" w:name="_Toc237244267"/>
      <w:bookmarkStart w:id="206" w:name="_Toc237245568"/>
      <w:bookmarkStart w:id="207" w:name="_Toc237245699"/>
      <w:bookmarkStart w:id="208" w:name="_Toc237247807"/>
      <w:bookmarkStart w:id="209" w:name="_Toc237254110"/>
      <w:bookmarkStart w:id="210" w:name="_Toc237309529"/>
      <w:bookmarkStart w:id="211" w:name="_Toc265743468"/>
      <w:r>
        <w:rPr>
          <w:rStyle w:val="CharDivNo"/>
          <w:spacing w:val="-4"/>
        </w:rPr>
        <w:t>Division 1</w:t>
      </w:r>
      <w:r>
        <w:rPr>
          <w:snapToGrid w:val="0"/>
          <w:spacing w:val="-4"/>
        </w:rPr>
        <w:t> — </w:t>
      </w:r>
      <w:r>
        <w:rPr>
          <w:rStyle w:val="CharDivText"/>
          <w:spacing w:val="-4"/>
        </w:rPr>
        <w:t xml:space="preserve">Water supply other than under </w:t>
      </w:r>
      <w:r>
        <w:rPr>
          <w:rStyle w:val="CharDivText"/>
          <w:i/>
          <w:spacing w:val="-4"/>
        </w:rPr>
        <w:t>Rights in Water and Irrigation Act 1914</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5"/>
        <w:rPr>
          <w:snapToGrid w:val="0"/>
        </w:rPr>
      </w:pPr>
      <w:bookmarkStart w:id="212" w:name="_Toc487428954"/>
      <w:bookmarkStart w:id="213" w:name="_Toc17278662"/>
      <w:bookmarkStart w:id="214" w:name="_Toc180204762"/>
      <w:bookmarkStart w:id="215" w:name="_Toc265743469"/>
      <w:r>
        <w:rPr>
          <w:rStyle w:val="CharSectno"/>
        </w:rPr>
        <w:t>10</w:t>
      </w:r>
      <w:r>
        <w:rPr>
          <w:snapToGrid w:val="0"/>
        </w:rPr>
        <w:t>.</w:t>
      </w:r>
      <w:r>
        <w:rPr>
          <w:snapToGrid w:val="0"/>
        </w:rPr>
        <w:tab/>
        <w:t>Certain matters to be disregarded</w:t>
      </w:r>
      <w:bookmarkEnd w:id="212"/>
      <w:bookmarkEnd w:id="213"/>
      <w:bookmarkEnd w:id="214"/>
      <w:bookmarkEnd w:id="215"/>
    </w:p>
    <w:p>
      <w:pPr>
        <w:pStyle w:val="Subsection"/>
        <w:rPr>
          <w:snapToGrid w:val="0"/>
        </w:rPr>
      </w:pPr>
      <w:r>
        <w:rPr>
          <w:snapToGrid w:val="0"/>
        </w:rPr>
        <w:tab/>
      </w:r>
      <w:r>
        <w:rPr>
          <w:snapToGrid w:val="0"/>
        </w:rPr>
        <w:tab/>
        <w:t xml:space="preserve">For the purposes of applying this Division and Schedule 1 the supply of water, or any other thing done or provided, under the </w:t>
      </w:r>
      <w:r>
        <w:rPr>
          <w:i/>
          <w:snapToGrid w:val="0"/>
        </w:rPr>
        <w:t>Rights in Water and Irrigation Act 1914</w:t>
      </w:r>
      <w:r>
        <w:rPr>
          <w:snapToGrid w:val="0"/>
        </w:rPr>
        <w:t>, or the fact that land is capable of being supplied with water under that Act, shall be disregarded.</w:t>
      </w:r>
    </w:p>
    <w:p>
      <w:pPr>
        <w:pStyle w:val="Footnotesection"/>
      </w:pPr>
      <w:r>
        <w:tab/>
        <w:t>[By</w:t>
      </w:r>
      <w:r>
        <w:noBreakHyphen/>
        <w:t>law 10 amended in Gazette 29 Jun 1999 p. 2791; 29 Jun 2001 p. 3190.]</w:t>
      </w:r>
    </w:p>
    <w:p>
      <w:pPr>
        <w:pStyle w:val="Heading5"/>
        <w:rPr>
          <w:snapToGrid w:val="0"/>
        </w:rPr>
      </w:pPr>
      <w:bookmarkStart w:id="216" w:name="_Toc487428955"/>
      <w:bookmarkStart w:id="217" w:name="_Toc17278663"/>
      <w:bookmarkStart w:id="218" w:name="_Toc180204763"/>
      <w:bookmarkStart w:id="219" w:name="_Toc265743470"/>
      <w:r>
        <w:rPr>
          <w:rStyle w:val="CharSectno"/>
        </w:rPr>
        <w:t>11</w:t>
      </w:r>
      <w:r>
        <w:rPr>
          <w:snapToGrid w:val="0"/>
        </w:rPr>
        <w:t>.</w:t>
      </w:r>
      <w:r>
        <w:rPr>
          <w:snapToGrid w:val="0"/>
        </w:rPr>
        <w:tab/>
        <w:t>Land subject to water supply charges under this Division</w:t>
      </w:r>
      <w:bookmarkEnd w:id="216"/>
      <w:bookmarkEnd w:id="217"/>
      <w:bookmarkEnd w:id="218"/>
      <w:bookmarkEnd w:id="219"/>
    </w:p>
    <w:p>
      <w:pPr>
        <w:pStyle w:val="Subsection"/>
        <w:rPr>
          <w:snapToGrid w:val="0"/>
        </w:rPr>
      </w:pPr>
      <w:r>
        <w:rPr>
          <w:snapToGrid w:val="0"/>
        </w:rPr>
        <w:tab/>
      </w:r>
      <w:r>
        <w:rPr>
          <w:snapToGrid w:val="0"/>
        </w:rPr>
        <w:tab/>
        <w:t xml:space="preserve">Land that is actually supplied or, although not actually supplied, is in the opinion of the Corporation reasonably capable of being supplied with water by the Corporation shall be taken, in accordance with section 41(1)(b) of the </w:t>
      </w:r>
      <w:r>
        <w:rPr>
          <w:i/>
          <w:snapToGrid w:val="0"/>
        </w:rPr>
        <w:t>Water Agencies (Powers) Act 1984</w:t>
      </w:r>
      <w:r>
        <w:rPr>
          <w:snapToGrid w:val="0"/>
        </w:rPr>
        <w:t>,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w:t>
      </w:r>
    </w:p>
    <w:p>
      <w:pPr>
        <w:pStyle w:val="Heading5"/>
        <w:rPr>
          <w:snapToGrid w:val="0"/>
        </w:rPr>
      </w:pPr>
      <w:bookmarkStart w:id="220" w:name="_Toc487428956"/>
      <w:bookmarkStart w:id="221" w:name="_Toc17278664"/>
      <w:bookmarkStart w:id="222" w:name="_Toc180204764"/>
      <w:bookmarkStart w:id="223" w:name="_Toc265743471"/>
      <w:r>
        <w:rPr>
          <w:rStyle w:val="CharSectno"/>
        </w:rPr>
        <w:t>12</w:t>
      </w:r>
      <w:r>
        <w:rPr>
          <w:snapToGrid w:val="0"/>
        </w:rPr>
        <w:t>.</w:t>
      </w:r>
      <w:r>
        <w:rPr>
          <w:snapToGrid w:val="0"/>
        </w:rPr>
        <w:tab/>
        <w:t>Exempt land</w:t>
      </w:r>
      <w:bookmarkEnd w:id="220"/>
      <w:bookmarkEnd w:id="221"/>
      <w:bookmarkEnd w:id="222"/>
      <w:bookmarkEnd w:id="223"/>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water supply connection</w:t>
      </w:r>
      <w:r>
        <w:t xml:space="preserve"> does not include a local government standpipe.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 xml:space="preserve">land that is not classified </w:t>
      </w:r>
      <w:r>
        <w:t>capital infrastructure</w:t>
      </w:r>
      <w:r>
        <w:rPr>
          <w:snapToGrid w:val="0"/>
        </w:rPr>
        <w:t xml:space="preserv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 other than a charge specifically provided in respect of local government standpipes.</w:t>
      </w:r>
    </w:p>
    <w:p>
      <w:pPr>
        <w:pStyle w:val="Footnotesection"/>
      </w:pPr>
      <w:r>
        <w:tab/>
        <w:t>[By</w:t>
      </w:r>
      <w:r>
        <w:noBreakHyphen/>
        <w:t>law 12 inserted in Gazette 13 May 1997 p. 2352; amended in Gazette 29 Jun 1999 p. 2791; 29 Jun 2001 p. 3190; 29 Jun 2007 p. 3246.]</w:t>
      </w:r>
    </w:p>
    <w:p>
      <w:pPr>
        <w:pStyle w:val="Heading5"/>
      </w:pPr>
      <w:bookmarkStart w:id="224" w:name="_Toc180204765"/>
      <w:bookmarkStart w:id="225" w:name="_Toc265743472"/>
      <w:r>
        <w:rPr>
          <w:rStyle w:val="CharSectno"/>
        </w:rPr>
        <w:t>13</w:t>
      </w:r>
      <w:r>
        <w:t>.</w:t>
      </w:r>
      <w:r>
        <w:tab/>
        <w:t>Classification of land</w:t>
      </w:r>
      <w:bookmarkEnd w:id="224"/>
      <w:bookmarkEnd w:id="225"/>
    </w:p>
    <w:p>
      <w:pPr>
        <w:pStyle w:val="Subsection"/>
      </w:pPr>
      <w:r>
        <w:tab/>
        <w:t>(1)</w:t>
      </w:r>
      <w:r>
        <w:tab/>
        <w:t>For the purposes of this Division, land may, irrespective of any other classification under these by</w:t>
      </w:r>
      <w:r>
        <w:noBreakHyphen/>
        <w:t xml:space="preserve">laws, be classified by the Corporation as follows — </w:t>
      </w:r>
    </w:p>
    <w:p>
      <w:pPr>
        <w:pStyle w:val="Indenta"/>
      </w:pPr>
      <w:r>
        <w:tab/>
        <w:t>(a)</w:t>
      </w:r>
      <w:r>
        <w:tab/>
        <w:t xml:space="preserve">residential, if the land — </w:t>
      </w:r>
    </w:p>
    <w:p>
      <w:pPr>
        <w:pStyle w:val="Indenti"/>
      </w:pPr>
      <w:r>
        <w:tab/>
        <w:t>(i)</w:t>
      </w:r>
      <w:r>
        <w:tab/>
        <w:t>is used wholly or primarily for the purpose of providing the owner or occupier of the land with a residence for himself, his family or servants, or any of them; and</w:t>
      </w:r>
    </w:p>
    <w:p>
      <w:pPr>
        <w:pStyle w:val="Indenti"/>
      </w:pPr>
      <w:r>
        <w:tab/>
        <w:t>(ii)</w:t>
      </w:r>
      <w:r>
        <w:tab/>
        <w:t>in the opinion of the Corporation, is not used in whole or in part for the purpose of providing holiday accommodation;</w:t>
      </w:r>
    </w:p>
    <w:p>
      <w:pPr>
        <w:pStyle w:val="Indenta"/>
      </w:pPr>
      <w:r>
        <w:tab/>
        <w:t>(b)</w:t>
      </w:r>
      <w:r>
        <w:tab/>
        <w:t>commercial residential, if the land, although not used wholly or primarily for the purpose mentioned in paragraph (a), is used for the purpose while also being used for the purpose of a shop, workshop, office, bakery, surgery or another business purpose;</w:t>
      </w:r>
    </w:p>
    <w:p>
      <w:pPr>
        <w:pStyle w:val="Indenta"/>
      </w:pPr>
      <w:r>
        <w:tab/>
        <w:t>(c)</w:t>
      </w:r>
      <w:r>
        <w:tab/>
        <w:t xml:space="preserve">semi-rural residential, if the land is in the metropolitan area and — </w:t>
      </w:r>
    </w:p>
    <w:p>
      <w:pPr>
        <w:pStyle w:val="Indenti"/>
      </w:pPr>
      <w:r>
        <w:tab/>
        <w:t>(i)</w:t>
      </w:r>
      <w:r>
        <w:tab/>
        <w:t>although not used primarily for the purpose mentioned in paragraph (a), is used for that purpose; and</w:t>
      </w:r>
    </w:p>
    <w:p>
      <w:pPr>
        <w:pStyle w:val="Indenti"/>
      </w:pPr>
      <w:r>
        <w:tab/>
        <w:t>(ii)</w:t>
      </w:r>
      <w:r>
        <w:tab/>
        <w:t>is also used for the purpose of primary production (which includes use for the purpose of a farm, market garden, kennel, plant nursery, orchard, stable, vineyard or other similar purpose),</w:t>
      </w:r>
    </w:p>
    <w:p>
      <w:pPr>
        <w:pStyle w:val="Indenta"/>
      </w:pPr>
      <w:r>
        <w:tab/>
      </w:r>
      <w:r>
        <w:tab/>
        <w:t>and water is used on the land wholly or primarily for the purpose mentioned in paragraph (a);</w:t>
      </w:r>
    </w:p>
    <w:p>
      <w:pPr>
        <w:pStyle w:val="Indenta"/>
      </w:pPr>
      <w:r>
        <w:tab/>
        <w:t>(d)</w:t>
      </w:r>
      <w:r>
        <w:tab/>
        <w:t>non</w:t>
      </w:r>
      <w:r>
        <w:noBreakHyphen/>
        <w:t>residential, if the land is used for business, professional, holiday accommodation, manufacturing, processing or other commercial processes that are not the subject of another class prescribed in this by</w:t>
      </w:r>
      <w:r>
        <w:noBreakHyphen/>
        <w:t>law;</w:t>
      </w:r>
    </w:p>
    <w:p>
      <w:pPr>
        <w:pStyle w:val="Indenta"/>
      </w:pPr>
      <w:r>
        <w:tab/>
        <w:t>(e)</w:t>
      </w:r>
      <w:r>
        <w:tab/>
        <w:t>vacant land, if there is no building on the land and it is not appropriate to otherwise classify the land under this by</w:t>
      </w:r>
      <w:r>
        <w:noBreakHyphen/>
        <w:t>law;</w:t>
      </w:r>
    </w:p>
    <w:p>
      <w:pPr>
        <w:pStyle w:val="Indenta"/>
      </w:pPr>
      <w:r>
        <w:tab/>
        <w:t>(f)</w:t>
      </w:r>
      <w:r>
        <w:tab/>
        <w:t xml:space="preserve">farmland, if the land comes within the definition of </w:t>
      </w:r>
      <w:r>
        <w:rPr>
          <w:b/>
          <w:bCs/>
          <w:i/>
          <w:iCs/>
        </w:rPr>
        <w:t>farm land</w:t>
      </w:r>
      <w:r>
        <w:t xml:space="preserve"> in the </w:t>
      </w:r>
      <w:r>
        <w:rPr>
          <w:i/>
          <w:iCs/>
        </w:rPr>
        <w:t>Country Areas Water Supply Act 1947</w:t>
      </w:r>
      <w:r>
        <w:t xml:space="preserve"> section 5(1) and is within 2.5 kilometres of a main or other pipe from which the Corporation is prepared to supply water to the land;</w:t>
      </w:r>
    </w:p>
    <w:p>
      <w:pPr>
        <w:pStyle w:val="Ednotepara"/>
      </w:pPr>
      <w:r>
        <w:tab/>
        <w:t>[(g)</w:t>
      </w:r>
      <w:r>
        <w:tab/>
        <w:t>deleted]</w:t>
      </w:r>
    </w:p>
    <w:p>
      <w:pPr>
        <w:pStyle w:val="Indenta"/>
      </w:pPr>
      <w:r>
        <w:tab/>
        <w:t>(h)</w:t>
      </w:r>
      <w:r>
        <w:tab/>
        <w:t>government, if the land is not in the metropolitan area and is used by the State or a local government for business, professional, commercial or office purposes, or as a power station, and the classification of the land is not otherwise specifically provided for in this by</w:t>
      </w:r>
      <w:r>
        <w:noBreakHyphen/>
        <w:t>law;</w:t>
      </w:r>
    </w:p>
    <w:p>
      <w:pPr>
        <w:pStyle w:val="Indenta"/>
      </w:pPr>
      <w:r>
        <w:tab/>
        <w:t>(i)</w:t>
      </w:r>
      <w:r>
        <w:tab/>
        <w:t>mining, if the land is not in the metropolitan area and is used for the purposes of mining;</w:t>
      </w:r>
    </w:p>
    <w:p>
      <w:pPr>
        <w:pStyle w:val="Indenta"/>
      </w:pPr>
      <w:r>
        <w:tab/>
        <w:t>(j)</w:t>
      </w:r>
      <w:r>
        <w:tab/>
        <w:t>institutional public, if the land is not in the metropolitan area and is used for such club, institutional or public purpose as the Corporation approves, not being a purpose otherwise specifically provided for in this by</w:t>
      </w:r>
      <w:r>
        <w:noBreakHyphen/>
        <w:t>law;</w:t>
      </w:r>
    </w:p>
    <w:p>
      <w:pPr>
        <w:pStyle w:val="Indenta"/>
      </w:pPr>
      <w:r>
        <w:tab/>
        <w:t>(k)</w:t>
      </w:r>
      <w:r>
        <w:tab/>
        <w:t>community residential, if the land is occupied as a communal property on which several family units dwell at the same time and is managed by the persons dwelling on the land or a committee of them;</w:t>
      </w:r>
    </w:p>
    <w:p>
      <w:pPr>
        <w:pStyle w:val="Indenta"/>
      </w:pPr>
      <w:r>
        <w:tab/>
        <w:t>(l)</w:t>
      </w:r>
      <w:r>
        <w:tab/>
        <w:t>charitable purposes, if, in the opinion of the Corporation, the land is used for the purpose of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Subsection"/>
      </w:pPr>
      <w:r>
        <w:tab/>
        <w:t>(2)</w:t>
      </w:r>
      <w:r>
        <w:tab/>
        <w:t>If land satisfies the criteria set out in sub</w:t>
      </w:r>
      <w:r>
        <w:noBreakHyphen/>
        <w:t>bylaw (1)(a), the land may be classified as residential, notwithstanding that it may also satisfy the criteria set out in sub</w:t>
      </w:r>
      <w:r>
        <w:noBreakHyphen/>
        <w:t>bylaw (1)(l).</w:t>
      </w:r>
    </w:p>
    <w:p>
      <w:pPr>
        <w:pStyle w:val="Subsection"/>
      </w:pPr>
      <w:r>
        <w:tab/>
        <w:t>(3)</w:t>
      </w:r>
      <w:r>
        <w:tab/>
        <w:t>For the purposes of this Division, land may, irrespective of any other classification under sub</w:t>
      </w:r>
      <w:r>
        <w:noBreakHyphen/>
        <w:t>bylaw (1), be classified by the Corporation as capital infrastructure if —</w:t>
      </w:r>
    </w:p>
    <w:p>
      <w:pPr>
        <w:pStyle w:val="Indenta"/>
      </w:pPr>
      <w:r>
        <w:tab/>
        <w:t>(a)</w:t>
      </w:r>
      <w:r>
        <w:tab/>
        <w:t>the Corporation determines that the land is in an area specified in Column 1 of the Table to Schedule 1 item 36; and</w:t>
      </w:r>
    </w:p>
    <w:p>
      <w:pPr>
        <w:pStyle w:val="Indenta"/>
      </w:pPr>
      <w:r>
        <w:tab/>
        <w:t>(b)</w:t>
      </w:r>
      <w:r>
        <w:tab/>
        <w:t>the Corporation provides or is to provide works to ensure the supply of water to the land.</w:t>
      </w:r>
    </w:p>
    <w:p>
      <w:pPr>
        <w:pStyle w:val="Footnotesection"/>
      </w:pPr>
      <w:r>
        <w:tab/>
        <w:t>[By</w:t>
      </w:r>
      <w:r>
        <w:noBreakHyphen/>
        <w:t>law 13 inserted in Gazette 29 Jun 2007 p. 3247</w:t>
      </w:r>
      <w:r>
        <w:noBreakHyphen/>
        <w:t xml:space="preserve">8; amended in Gazette 19 Jun 2009 p. 2322; 25 Jun 2010 p. 2903.] </w:t>
      </w:r>
    </w:p>
    <w:p>
      <w:pPr>
        <w:pStyle w:val="Ednotesection"/>
      </w:pPr>
      <w:r>
        <w:t>[</w:t>
      </w:r>
      <w:r>
        <w:rPr>
          <w:b/>
        </w:rPr>
        <w:t>13A.</w:t>
      </w:r>
      <w:r>
        <w:tab/>
        <w:t>Deleted in Gazette 29 Jun 1988 p. 2113.]</w:t>
      </w:r>
    </w:p>
    <w:p>
      <w:pPr>
        <w:pStyle w:val="Heading5"/>
        <w:rPr>
          <w:snapToGrid w:val="0"/>
        </w:rPr>
      </w:pPr>
      <w:bookmarkStart w:id="226" w:name="_Toc487428958"/>
      <w:bookmarkStart w:id="227" w:name="_Toc17278666"/>
      <w:bookmarkStart w:id="228" w:name="_Toc180204766"/>
      <w:bookmarkStart w:id="229" w:name="_Toc265743473"/>
      <w:r>
        <w:rPr>
          <w:rStyle w:val="CharSectno"/>
        </w:rPr>
        <w:t>14</w:t>
      </w:r>
      <w:r>
        <w:rPr>
          <w:snapToGrid w:val="0"/>
        </w:rPr>
        <w:t>.</w:t>
      </w:r>
      <w:r>
        <w:rPr>
          <w:snapToGrid w:val="0"/>
        </w:rPr>
        <w:tab/>
        <w:t>Indexation of certain valuations</w:t>
      </w:r>
      <w:bookmarkEnd w:id="226"/>
      <w:bookmarkEnd w:id="227"/>
      <w:bookmarkEnd w:id="228"/>
      <w:bookmarkEnd w:id="229"/>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supply of water under the </w:t>
      </w:r>
      <w:r>
        <w:rPr>
          <w:i/>
          <w:snapToGrid w:val="0"/>
        </w:rPr>
        <w:t>Country Areas Water Supply Act 1947</w:t>
      </w:r>
      <w:r>
        <w:rPr>
          <w:snapToGrid w:val="0"/>
        </w:rPr>
        <w:t xml:space="preserve"> is to be assessed in respect of land by reference to GRV, the GRV for the purposes of assessing that charge shall be an adjusted GRV (</w:t>
      </w:r>
      <w:r>
        <w:rPr>
          <w:rStyle w:val="CharDefText"/>
        </w:rPr>
        <w:t>AGRV</w:t>
      </w:r>
      <w:r>
        <w:rPr>
          <w:snapToGrid w:val="0"/>
        </w:rPr>
        <w:t>) calculated in accordance with the formula in Schedule 6.</w:t>
      </w:r>
    </w:p>
    <w:p>
      <w:pPr>
        <w:pStyle w:val="Footnotesection"/>
      </w:pPr>
      <w:r>
        <w:tab/>
        <w:t>[By</w:t>
      </w:r>
      <w:r>
        <w:noBreakHyphen/>
        <w:t>law 14 amended in Gazette 29 Jun 1999 p. 2791; 29 Jun 2001 p. 3190.]</w:t>
      </w:r>
    </w:p>
    <w:p>
      <w:pPr>
        <w:pStyle w:val="Ednotesection"/>
      </w:pPr>
      <w:r>
        <w:t>[</w:t>
      </w:r>
      <w:r>
        <w:rPr>
          <w:b/>
        </w:rPr>
        <w:t>15.</w:t>
      </w:r>
      <w:r>
        <w:tab/>
        <w:t>Deleted in Gazette 1 Jul 2002 p. 3156.]</w:t>
      </w:r>
    </w:p>
    <w:p>
      <w:pPr>
        <w:pStyle w:val="Heading5"/>
        <w:rPr>
          <w:snapToGrid w:val="0"/>
        </w:rPr>
      </w:pPr>
      <w:bookmarkStart w:id="230" w:name="_Toc487428960"/>
      <w:bookmarkStart w:id="231" w:name="_Toc17278667"/>
      <w:bookmarkStart w:id="232" w:name="_Toc180204767"/>
      <w:bookmarkStart w:id="233" w:name="_Toc265743474"/>
      <w:r>
        <w:rPr>
          <w:rStyle w:val="CharSectno"/>
        </w:rPr>
        <w:t>16</w:t>
      </w:r>
      <w:r>
        <w:rPr>
          <w:snapToGrid w:val="0"/>
        </w:rPr>
        <w:t>.</w:t>
      </w:r>
      <w:r>
        <w:rPr>
          <w:snapToGrid w:val="0"/>
        </w:rPr>
        <w:tab/>
        <w:t>Discrete residential units</w:t>
      </w:r>
      <w:bookmarkEnd w:id="230"/>
      <w:bookmarkEnd w:id="231"/>
      <w:bookmarkEnd w:id="232"/>
      <w:bookmarkEnd w:id="233"/>
    </w:p>
    <w:p>
      <w:pPr>
        <w:pStyle w:val="Subsection"/>
        <w:rPr>
          <w:snapToGrid w:val="0"/>
        </w:rPr>
      </w:pPr>
      <w:r>
        <w:rPr>
          <w:snapToGrid w:val="0"/>
        </w:rPr>
        <w:tab/>
      </w:r>
      <w:r>
        <w:rPr>
          <w:snapToGrid w:val="0"/>
        </w:rPr>
        <w:tab/>
        <w:t xml:space="preserve">In respect of land that is classified as </w:t>
      </w:r>
      <w:r>
        <w:t xml:space="preserve">community residential, </w:t>
      </w:r>
      <w:r>
        <w:rPr>
          <w:snapToGrid w:val="0"/>
        </w:rPr>
        <w:t>the Corporation shall determine by reference to the anticipated water supply requirements, the number of discrete residential units to which that land is in its opinion equivalent and the land shall be regarded as including that number of discrete residential units.</w:t>
      </w:r>
    </w:p>
    <w:p>
      <w:pPr>
        <w:pStyle w:val="Footnotesection"/>
      </w:pPr>
      <w:r>
        <w:tab/>
        <w:t>[By</w:t>
      </w:r>
      <w:r>
        <w:noBreakHyphen/>
        <w:t>law 16 amended in Gazette 29 Dec 1995 p. 6331; 29 Jun 2007 p. 3248; 27 Jun 2008 p. 2985.]</w:t>
      </w:r>
    </w:p>
    <w:p>
      <w:pPr>
        <w:pStyle w:val="Heading5"/>
        <w:spacing w:before="240"/>
        <w:rPr>
          <w:snapToGrid w:val="0"/>
        </w:rPr>
      </w:pPr>
      <w:bookmarkStart w:id="234" w:name="_Toc487428961"/>
      <w:bookmarkStart w:id="235" w:name="_Toc17278668"/>
      <w:bookmarkStart w:id="236" w:name="_Toc180204768"/>
      <w:bookmarkStart w:id="237" w:name="_Toc265743475"/>
      <w:r>
        <w:rPr>
          <w:rStyle w:val="CharSectno"/>
        </w:rPr>
        <w:t>17</w:t>
      </w:r>
      <w:r>
        <w:rPr>
          <w:snapToGrid w:val="0"/>
        </w:rPr>
        <w:t>.</w:t>
      </w:r>
      <w:r>
        <w:rPr>
          <w:snapToGrid w:val="0"/>
        </w:rPr>
        <w:tab/>
        <w:t>Quantity charges for the supply of water</w:t>
      </w:r>
      <w:bookmarkEnd w:id="234"/>
      <w:bookmarkEnd w:id="235"/>
      <w:bookmarkEnd w:id="236"/>
      <w:bookmarkEnd w:id="237"/>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2</w:t>
      </w:r>
      <w:r>
        <w:rPr>
          <w:snapToGrid w:val="0"/>
        </w:rPr>
        <w:t>.</w:t>
      </w:r>
    </w:p>
    <w:p>
      <w:pPr>
        <w:pStyle w:val="Subsection"/>
        <w:rPr>
          <w:snapToGrid w:val="0"/>
        </w:rPr>
      </w:pPr>
      <w:r>
        <w:rPr>
          <w:snapToGrid w:val="0"/>
        </w:rPr>
        <w:tab/>
        <w:t>(2)</w:t>
      </w:r>
      <w:r>
        <w:rPr>
          <w:snapToGrid w:val="0"/>
        </w:rPr>
        <w:tab/>
        <w:t xml:space="preserve">Where </w:t>
      </w:r>
      <w:r>
        <w:t xml:space="preserve">Schedule 1 Division 2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1 item 20, 21, 22 or 23</w:t>
      </w:r>
      <w:r>
        <w:rPr>
          <w:snapToGrid w:val="0"/>
        </w:rPr>
        <w:t>; and</w:t>
      </w:r>
    </w:p>
    <w:p>
      <w:pPr>
        <w:pStyle w:val="Indenta"/>
        <w:keepNext/>
        <w:keepLines/>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w:t>
      </w:r>
      <w:r>
        <w:t xml:space="preserve"> item 35</w:t>
      </w:r>
      <w:r>
        <w:rPr>
          <w:snapToGrid w:val="0"/>
        </w:rPr>
        <w:t>.</w:t>
      </w:r>
    </w:p>
    <w:p>
      <w:pPr>
        <w:pStyle w:val="Footnotesection"/>
        <w:ind w:left="890" w:hanging="890"/>
      </w:pPr>
      <w:r>
        <w:tab/>
        <w:t>[By</w:t>
      </w:r>
      <w:r>
        <w:noBreakHyphen/>
        <w:t>law 17 inserted in Gazette 6 Jan 1998 p. 40; amended in Gazette 7 May 1999 p. 1859</w:t>
      </w:r>
      <w:r>
        <w:noBreakHyphen/>
        <w:t>60; 29 Jun 1999 p. 2791</w:t>
      </w:r>
      <w:r>
        <w:noBreakHyphen/>
        <w:t>2; 29 Jun 2001 p. 3191; 29 Jun 2007 p. 3248-9.]</w:t>
      </w:r>
    </w:p>
    <w:p>
      <w:pPr>
        <w:pStyle w:val="Heading5"/>
        <w:spacing w:before="240"/>
        <w:rPr>
          <w:snapToGrid w:val="0"/>
        </w:rPr>
      </w:pPr>
      <w:bookmarkStart w:id="238" w:name="_Toc487428962"/>
      <w:bookmarkStart w:id="239" w:name="_Toc17278669"/>
      <w:bookmarkStart w:id="240" w:name="_Toc180204769"/>
      <w:bookmarkStart w:id="241" w:name="_Toc265743476"/>
      <w:r>
        <w:rPr>
          <w:rStyle w:val="CharSectno"/>
        </w:rPr>
        <w:t>17A</w:t>
      </w:r>
      <w:r>
        <w:rPr>
          <w:snapToGrid w:val="0"/>
        </w:rPr>
        <w:t>.</w:t>
      </w:r>
      <w:r>
        <w:rPr>
          <w:snapToGrid w:val="0"/>
        </w:rPr>
        <w:tab/>
        <w:t>Caravan parks</w:t>
      </w:r>
      <w:bookmarkEnd w:id="238"/>
      <w:bookmarkEnd w:id="239"/>
      <w:bookmarkEnd w:id="240"/>
      <w:bookmarkEnd w:id="241"/>
    </w:p>
    <w:p>
      <w:pPr>
        <w:pStyle w:val="Subsection"/>
        <w:rPr>
          <w:snapToGrid w:val="0"/>
        </w:rPr>
      </w:pPr>
      <w:r>
        <w:rPr>
          <w:snapToGrid w:val="0"/>
        </w:rPr>
        <w:tab/>
        <w:t>(1)</w:t>
      </w:r>
      <w:r>
        <w:rPr>
          <w:snapToGrid w:val="0"/>
        </w:rPr>
        <w:tab/>
        <w:t>The charges for water supply to strata titled caravan bays are the annual charge per bay set out in Schedule 1 item 4 together with a quantity charge calculated under by</w:t>
      </w:r>
      <w:r>
        <w:rPr>
          <w:snapToGrid w:val="0"/>
        </w:rPr>
        <w:noBreakHyphen/>
        <w:t>law 17 with the following variations to Schedule 1 —</w:t>
      </w:r>
    </w:p>
    <w:p>
      <w:pPr>
        <w:pStyle w:val="Indenta"/>
        <w:rPr>
          <w:snapToGrid w:val="0"/>
        </w:rPr>
      </w:pPr>
      <w:r>
        <w:rPr>
          <w:snapToGrid w:val="0"/>
        </w:rPr>
        <w:tab/>
        <w:t>(a)</w:t>
      </w:r>
      <w:r>
        <w:rPr>
          <w:snapToGrid w:val="0"/>
        </w:rPr>
        <w:tab/>
        <w:t xml:space="preserve">for bays in the metropolitan area, the first 150 kL of water supplied is charged at the rate for metropolitan residential usage shown in Schedule 1 item 20 and water usage over 150 kL is charged at the maximum rate for metropolitan </w:t>
      </w:r>
      <w:r>
        <w:t>commercial residential usage set out in Schedule 1 item 24(b);</w:t>
      </w:r>
    </w:p>
    <w:p>
      <w:pPr>
        <w:pStyle w:val="Indenta"/>
        <w:rPr>
          <w:snapToGrid w:val="0"/>
        </w:rPr>
      </w:pPr>
      <w:r>
        <w:rPr>
          <w:snapToGrid w:val="0"/>
        </w:rPr>
        <w:tab/>
        <w:t>(b)</w:t>
      </w:r>
      <w:r>
        <w:rPr>
          <w:snapToGrid w:val="0"/>
        </w:rPr>
        <w:tab/>
        <w:t>for bays in the non</w:t>
      </w:r>
      <w:r>
        <w:rPr>
          <w:snapToGrid w:val="0"/>
        </w:rPr>
        <w:noBreakHyphen/>
        <w:t>metropolitan area, the first 150 kL of water supplied is charged at the rate for non</w:t>
      </w:r>
      <w:r>
        <w:rPr>
          <w:snapToGrid w:val="0"/>
        </w:rPr>
        <w:noBreakHyphen/>
        <w:t>metropolitan residential usage shown in</w:t>
      </w:r>
      <w:r>
        <w:t xml:space="preserve"> Schedule 1 item 22</w:t>
      </w:r>
      <w:r>
        <w:rPr>
          <w:snapToGrid w:val="0"/>
        </w:rPr>
        <w:t xml:space="preserve"> </w:t>
      </w:r>
      <w:r>
        <w:t xml:space="preserve">(according to the residential classification of the town/area set out in Schedule 10) </w:t>
      </w:r>
      <w:r>
        <w:rPr>
          <w:snapToGrid w:val="0"/>
        </w:rPr>
        <w:t>and water usage over 150 kL is charged at the maximum rate for non</w:t>
      </w:r>
      <w:r>
        <w:rPr>
          <w:snapToGrid w:val="0"/>
        </w:rPr>
        <w:noBreakHyphen/>
        <w:t>metropolitan</w:t>
      </w:r>
      <w:r>
        <w:t xml:space="preserve"> commercial residential usage set out in Schedule 1 item 27(g) (according to the non</w:t>
      </w:r>
      <w:r>
        <w:noBreakHyphen/>
        <w:t>residential classification of the town/area set out in Schedule 10).</w:t>
      </w:r>
    </w:p>
    <w:p>
      <w:pPr>
        <w:pStyle w:val="Subsection"/>
        <w:keepNext/>
        <w:keepLines/>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17</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24(a)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the non</w:t>
      </w:r>
      <w:r>
        <w:rPr>
          <w:snapToGrid w:val="0"/>
        </w:rPr>
        <w:noBreakHyphen/>
        <w:t>metropolitan non</w:t>
      </w:r>
      <w:r>
        <w:rPr>
          <w:snapToGrid w:val="0"/>
        </w:rPr>
        <w:noBreakHyphen/>
        <w:t>residential meter</w:t>
      </w:r>
      <w:r>
        <w:rPr>
          <w:snapToGrid w:val="0"/>
        </w:rPr>
        <w:noBreakHyphen/>
        <w:t xml:space="preserve">based charge set out in </w:t>
      </w:r>
      <w:r>
        <w:t>Schedule 1 item 10(c)</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27(b) (according to the non</w:t>
      </w:r>
      <w:r>
        <w:noBreakHyphen/>
        <w:t>residential classification of the town/area set out in Schedule 10)</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spacing w:val="-4"/>
        </w:rPr>
      </w:pPr>
      <w:r>
        <w:rPr>
          <w:snapToGrid w:val="0"/>
          <w:spacing w:val="-4"/>
        </w:rPr>
        <w:tab/>
        <w:t>(a)</w:t>
      </w:r>
      <w:r>
        <w:rPr>
          <w:snapToGrid w:val="0"/>
          <w:spacing w:val="-4"/>
        </w:rPr>
        <w:tab/>
        <w:t>those bays will be treated as if they were strata</w:t>
      </w:r>
      <w:r>
        <w:rPr>
          <w:snapToGrid w:val="0"/>
          <w:spacing w:val="-4"/>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 29 Jun 2007 p. 3249; 27 Jun 2008 p. 2985</w:t>
      </w:r>
      <w:r>
        <w:noBreakHyphen/>
        <w:t>6; 25 Jun 2010 p. 2903.]</w:t>
      </w:r>
    </w:p>
    <w:p>
      <w:pPr>
        <w:pStyle w:val="Heading5"/>
        <w:rPr>
          <w:snapToGrid w:val="0"/>
        </w:rPr>
      </w:pPr>
      <w:bookmarkStart w:id="242" w:name="_Toc17278670"/>
      <w:bookmarkStart w:id="243" w:name="_Toc180204770"/>
      <w:bookmarkStart w:id="244" w:name="_Toc265743477"/>
      <w:bookmarkStart w:id="245" w:name="_Toc487428964"/>
      <w:r>
        <w:rPr>
          <w:rStyle w:val="CharSectno"/>
        </w:rPr>
        <w:t>17B</w:t>
      </w:r>
      <w:r>
        <w:t>.</w:t>
      </w:r>
      <w:r>
        <w:tab/>
      </w:r>
      <w:r>
        <w:rPr>
          <w:snapToGrid w:val="0"/>
        </w:rPr>
        <w:t>Metropolitan non</w:t>
      </w:r>
      <w:r>
        <w:rPr>
          <w:snapToGrid w:val="0"/>
        </w:rPr>
        <w:noBreakHyphen/>
        <w:t xml:space="preserve">residential </w:t>
      </w:r>
      <w:r>
        <w:t>or commercial residential</w:t>
      </w:r>
      <w:r>
        <w:rPr>
          <w:snapToGrid w:val="0"/>
        </w:rPr>
        <w:t xml:space="preserve"> property water supply charges</w:t>
      </w:r>
      <w:bookmarkEnd w:id="242"/>
      <w:bookmarkEnd w:id="243"/>
      <w:bookmarkEnd w:id="244"/>
    </w:p>
    <w:p>
      <w:pPr>
        <w:pStyle w:val="Subsection"/>
        <w:rPr>
          <w:snapToGrid w:val="0"/>
        </w:rPr>
      </w:pPr>
      <w:r>
        <w:rPr>
          <w:snapToGrid w:val="0"/>
        </w:rPr>
        <w:tab/>
        <w:t>(1)</w:t>
      </w:r>
      <w:r>
        <w:rPr>
          <w:snapToGrid w:val="0"/>
        </w:rPr>
        <w:tab/>
        <w:t>Where a metropolitan non</w:t>
      </w:r>
      <w:r>
        <w:rPr>
          <w:snapToGrid w:val="0"/>
        </w:rPr>
        <w:noBreakHyphen/>
        <w:t xml:space="preserve">residential </w:t>
      </w:r>
      <w:r>
        <w:t>or commercial residential</w:t>
      </w:r>
      <w:r>
        <w:rPr>
          <w:snapToGrid w:val="0"/>
        </w:rPr>
        <w:t xml:space="preserve"> property is metered by the Corporation, the charge payable for the current year for the provision of water supply to the property is the charge payable for the relevant size meter as set out in Schedule 1</w:t>
      </w:r>
      <w:r>
        <w:t xml:space="preserve"> item 17.</w:t>
      </w:r>
    </w:p>
    <w:p>
      <w:pPr>
        <w:pStyle w:val="Subsection"/>
        <w:rPr>
          <w:snapToGrid w:val="0"/>
        </w:rPr>
      </w:pPr>
      <w:r>
        <w:rPr>
          <w:snapToGrid w:val="0"/>
        </w:rPr>
        <w:tab/>
        <w:t>(2)</w:t>
      </w:r>
      <w:r>
        <w:rPr>
          <w:snapToGrid w:val="0"/>
        </w:rPr>
        <w:tab/>
        <w:t>Where a metropolitan non</w:t>
      </w:r>
      <w:r>
        <w:rPr>
          <w:snapToGrid w:val="0"/>
        </w:rPr>
        <w:noBreakHyphen/>
        <w:t xml:space="preserve">residential </w:t>
      </w:r>
      <w:r>
        <w:t>or commercial residential</w:t>
      </w:r>
      <w:r>
        <w:rPr>
          <w:snapToGrid w:val="0"/>
        </w:rPr>
        <w:t xml:space="preserve">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Subsection"/>
        <w:rPr>
          <w:snapToGrid w:val="0"/>
        </w:rPr>
      </w:pPr>
      <w:r>
        <w:tab/>
      </w:r>
      <w:r>
        <w:rPr>
          <w:snapToGrid w:val="0"/>
        </w:rPr>
        <w:t>(4)</w:t>
      </w:r>
      <w:r>
        <w:rPr>
          <w:snapToGrid w:val="0"/>
        </w:rPr>
        <w:tab/>
        <w:t>If a charge determined under this by</w:t>
      </w:r>
      <w:r>
        <w:rPr>
          <w:snapToGrid w:val="0"/>
        </w:rPr>
        <w:noBreakHyphen/>
        <w:t>law for the current year is more than 30% greater than the charge calculated for the same service (and under the same circumstances) in the previous year, the charge is only payable up to that 30% increase.</w:t>
      </w:r>
    </w:p>
    <w:p>
      <w:pPr>
        <w:pStyle w:val="Footnotesection"/>
      </w:pPr>
      <w:r>
        <w:tab/>
        <w:t>[By</w:t>
      </w:r>
      <w:r>
        <w:noBreakHyphen/>
        <w:t>law 17B inserted in Gazette 1 Jul 2002 p. 3156</w:t>
      </w:r>
      <w:r>
        <w:noBreakHyphen/>
        <w:t>7; amended in Gazette 29 Jun 2007 p. 3250.]</w:t>
      </w:r>
    </w:p>
    <w:p>
      <w:pPr>
        <w:pStyle w:val="Heading5"/>
      </w:pPr>
      <w:bookmarkStart w:id="246" w:name="_Toc17278671"/>
      <w:bookmarkStart w:id="247" w:name="_Toc180204771"/>
      <w:bookmarkStart w:id="248" w:name="_Toc265743478"/>
      <w:r>
        <w:rPr>
          <w:rStyle w:val="CharSectno"/>
        </w:rPr>
        <w:t>17C</w:t>
      </w:r>
      <w:r>
        <w:t>.</w:t>
      </w:r>
      <w:r>
        <w:tab/>
        <w:t>Non</w:t>
      </w:r>
      <w:r>
        <w:noBreakHyphen/>
        <w:t>metropolitan, non</w:t>
      </w:r>
      <w:r>
        <w:noBreakHyphen/>
        <w:t>strata titled, Commercial or Industrial property water supply charges</w:t>
      </w:r>
      <w:bookmarkEnd w:id="245"/>
      <w:bookmarkEnd w:id="246"/>
      <w:bookmarkEnd w:id="247"/>
      <w:bookmarkEnd w:id="248"/>
    </w:p>
    <w:p>
      <w:pPr>
        <w:pStyle w:val="Subsection"/>
      </w:pPr>
      <w:r>
        <w:tab/>
        <w:t>(1)</w:t>
      </w:r>
      <w:r>
        <w:tab/>
        <w:t>Where a property referred to in Schedule 1 item 10(c) is not directly served by the Corporation, the charge payable for the current year for the provision of water supply to the property is the charge determined as if the water supply to the property was metered through a 20 mm meter.</w:t>
      </w:r>
    </w:p>
    <w:p>
      <w:pPr>
        <w:pStyle w:val="Subsection"/>
      </w:pPr>
      <w:r>
        <w:tab/>
        <w:t>(2)</w:t>
      </w:r>
      <w:r>
        <w:tab/>
        <w:t>Where a property referred to in Schedule 1 item 10(c)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Subsection"/>
      </w:pPr>
      <w:r>
        <w:tab/>
        <w:t>(3)</w:t>
      </w:r>
      <w:r>
        <w:tab/>
        <w:t>Where a charge for the current year under Schedule 1 item 10(c) is more than 12.1% greater than the charge calculated for the same service (and under the same circumstances) in the previous year, the charge is only payable up to that 12.1% increase.</w:t>
      </w:r>
    </w:p>
    <w:p>
      <w:pPr>
        <w:pStyle w:val="Footnotesection"/>
      </w:pPr>
      <w:r>
        <w:tab/>
        <w:t>[By</w:t>
      </w:r>
      <w:r>
        <w:noBreakHyphen/>
        <w:t>law 17C inserted in Gazette 29 Jun 2000 p. 3324; amended in Gazette 29 Jun 2001 p. 3192; 7 Aug 2001 p. 4037; 1 Jul 2002 p. 3157; 27 Jun 2003 p. 2287; 29 Jun 2004 p. 2467-8; 1 Jul 2005 p. 3034; 30 Jun 2006 p. 2416; 29 Jun 2007 p. 3250; 27 Jun 2008 p. 2986; 19 Jun 2009 p. 2322; 25 Jun 2010 p. 2903.]</w:t>
      </w:r>
    </w:p>
    <w:p>
      <w:pPr>
        <w:pStyle w:val="Heading5"/>
        <w:rPr>
          <w:snapToGrid w:val="0"/>
        </w:rPr>
      </w:pPr>
      <w:bookmarkStart w:id="249" w:name="_Toc487428965"/>
      <w:bookmarkStart w:id="250" w:name="_Toc17278672"/>
      <w:bookmarkStart w:id="251" w:name="_Toc180204772"/>
      <w:bookmarkStart w:id="252" w:name="_Toc265743479"/>
      <w:r>
        <w:rPr>
          <w:rStyle w:val="CharSectno"/>
        </w:rPr>
        <w:t>17D</w:t>
      </w:r>
      <w:r>
        <w:rPr>
          <w:snapToGrid w:val="0"/>
        </w:rPr>
        <w:t>.</w:t>
      </w:r>
      <w:r>
        <w:rPr>
          <w:snapToGrid w:val="0"/>
        </w:rPr>
        <w:tab/>
        <w:t>Various non</w:t>
      </w:r>
      <w:r>
        <w:rPr>
          <w:snapToGrid w:val="0"/>
        </w:rPr>
        <w:noBreakHyphen/>
        <w:t>metropolitan water supply charges and classifications</w:t>
      </w:r>
      <w:bookmarkEnd w:id="249"/>
      <w:bookmarkEnd w:id="250"/>
      <w:bookmarkEnd w:id="251"/>
      <w:bookmarkEnd w:id="252"/>
    </w:p>
    <w:p>
      <w:pPr>
        <w:pStyle w:val="Subsection"/>
        <w:rPr>
          <w:snapToGrid w:val="0"/>
        </w:rPr>
      </w:pPr>
      <w:r>
        <w:rPr>
          <w:snapToGrid w:val="0"/>
        </w:rPr>
        <w:tab/>
        <w:t>(1)</w:t>
      </w:r>
      <w:r>
        <w:rPr>
          <w:snapToGrid w:val="0"/>
        </w:rPr>
        <w:tab/>
        <w:t>The charges for water supplied to non</w:t>
      </w:r>
      <w:r>
        <w:rPr>
          <w:snapToGrid w:val="0"/>
        </w:rPr>
        <w:noBreakHyphen/>
        <w:t>metropolitan residential</w:t>
      </w:r>
      <w:r>
        <w:t>, non</w:t>
      </w:r>
      <w:r>
        <w:noBreakHyphen/>
        <w:t xml:space="preserve">metropolitan community residential </w:t>
      </w:r>
      <w:r>
        <w:rPr>
          <w:snapToGrid w:val="0"/>
        </w:rPr>
        <w:t>and non</w:t>
      </w:r>
      <w:r>
        <w:rPr>
          <w:snapToGrid w:val="0"/>
        </w:rPr>
        <w:noBreakHyphen/>
        <w:t xml:space="preserve">metropolitan </w:t>
      </w:r>
      <w:r>
        <w:t>non</w:t>
      </w:r>
      <w:r>
        <w:noBreakHyphen/>
        <w:t>residential</w:t>
      </w:r>
      <w:r>
        <w:rPr>
          <w:snapToGrid w:val="0"/>
        </w:rPr>
        <w:t xml:space="preserve"> properties (including caravan parks), set out in —</w:t>
      </w:r>
    </w:p>
    <w:p>
      <w:pPr>
        <w:pStyle w:val="Indenta"/>
      </w:pPr>
      <w:r>
        <w:tab/>
        <w:t>(a)</w:t>
      </w:r>
      <w:r>
        <w:tab/>
        <w:t>Schedule 1 item 22; and</w:t>
      </w:r>
    </w:p>
    <w:p>
      <w:pPr>
        <w:pStyle w:val="Indenta"/>
      </w:pPr>
      <w:r>
        <w:tab/>
        <w:t>(ba)</w:t>
      </w:r>
      <w:r>
        <w:tab/>
        <w:t>Schedule 1 item 23(2); and</w:t>
      </w:r>
    </w:p>
    <w:p>
      <w:pPr>
        <w:pStyle w:val="Indenta"/>
      </w:pPr>
      <w:r>
        <w:tab/>
        <w:t>(b)</w:t>
      </w:r>
      <w:r>
        <w:tab/>
        <w:t>Schedule 1 item 27(b); and</w:t>
      </w:r>
    </w:p>
    <w:p>
      <w:pPr>
        <w:pStyle w:val="Indenta"/>
      </w:pPr>
      <w:r>
        <w:tab/>
        <w:t>(c)</w:t>
      </w:r>
      <w:r>
        <w:tab/>
        <w:t>Schedule 1 item 27(g); and</w:t>
      </w:r>
    </w:p>
    <w:p>
      <w:pPr>
        <w:pStyle w:val="Indenta"/>
      </w:pPr>
      <w:r>
        <w:tab/>
        <w:t>(d)</w:t>
      </w:r>
      <w:r>
        <w:tab/>
        <w:t>Schedule 8 item 2(2),</w:t>
      </w:r>
    </w:p>
    <w:p>
      <w:pPr>
        <w:pStyle w:val="Subsection"/>
        <w:rPr>
          <w:snapToGrid w:val="0"/>
        </w:rPr>
      </w:pPr>
      <w:r>
        <w:rPr>
          <w:snapToGrid w:val="0"/>
        </w:rPr>
        <w:tab/>
      </w:r>
      <w:r>
        <w:rPr>
          <w:snapToGrid w:val="0"/>
        </w:rPr>
        <w:tab/>
        <w:t>apply to towns/areas according to the classifications given to the towns/areas by the Corporation.</w:t>
      </w:r>
    </w:p>
    <w:p>
      <w:pPr>
        <w:pStyle w:val="Ednotesubsection"/>
      </w:pPr>
      <w:r>
        <w:tab/>
        <w:t>[(2)</w:t>
      </w:r>
      <w:r>
        <w:tab/>
        <w:t>deleted]</w:t>
      </w:r>
    </w:p>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spacing w:before="120"/>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 29 Jun 2007 p. 3250; 27 Jun 2008 p. 2986</w:t>
      </w:r>
      <w:r>
        <w:noBreakHyphen/>
        <w:t>7.]</w:t>
      </w:r>
    </w:p>
    <w:p>
      <w:pPr>
        <w:pStyle w:val="Heading5"/>
        <w:rPr>
          <w:snapToGrid w:val="0"/>
        </w:rPr>
      </w:pPr>
      <w:bookmarkStart w:id="253" w:name="_Toc487428966"/>
      <w:bookmarkStart w:id="254" w:name="_Toc17278673"/>
      <w:bookmarkStart w:id="255" w:name="_Toc180204773"/>
      <w:bookmarkStart w:id="256" w:name="_Toc265743480"/>
      <w:r>
        <w:rPr>
          <w:rStyle w:val="CharSectno"/>
        </w:rPr>
        <w:t>18</w:t>
      </w:r>
      <w:r>
        <w:rPr>
          <w:snapToGrid w:val="0"/>
        </w:rPr>
        <w:t>.</w:t>
      </w:r>
      <w:r>
        <w:rPr>
          <w:snapToGrid w:val="0"/>
        </w:rPr>
        <w:tab/>
        <w:t>Concessional non</w:t>
      </w:r>
      <w:r>
        <w:rPr>
          <w:snapToGrid w:val="0"/>
        </w:rPr>
        <w:noBreakHyphen/>
        <w:t>metropolitan quantity charge</w:t>
      </w:r>
      <w:bookmarkEnd w:id="253"/>
      <w:bookmarkEnd w:id="254"/>
      <w:bookmarkEnd w:id="255"/>
      <w:bookmarkEnd w:id="256"/>
    </w:p>
    <w:p>
      <w:pPr>
        <w:pStyle w:val="Subsection"/>
        <w:spacing w:before="120"/>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22 </w:t>
      </w:r>
      <w:r>
        <w:rPr>
          <w:snapToGrid w:val="0"/>
        </w:rPr>
        <w:t>in respect of particular land shall be allowed a concession under this by</w:t>
      </w:r>
      <w:r>
        <w:rPr>
          <w:snapToGrid w:val="0"/>
        </w:rPr>
        <w:noBreakHyphen/>
        <w:t xml:space="preserve">law in respect of the charge if — </w:t>
      </w:r>
    </w:p>
    <w:p>
      <w:pPr>
        <w:pStyle w:val="Indenta"/>
        <w:rPr>
          <w:snapToGrid w:val="0"/>
        </w:rPr>
      </w:pPr>
      <w:r>
        <w:rPr>
          <w:snapToGrid w:val="0"/>
        </w:rPr>
        <w:tab/>
        <w:t>(a)</w:t>
      </w:r>
      <w:r>
        <w:rPr>
          <w:snapToGrid w:val="0"/>
        </w:rPr>
        <w:tab/>
        <w:t>the person satisfies the Corporation that he or she was an eligible pensioner at any time during the period to which the charge relates; and</w:t>
      </w:r>
    </w:p>
    <w:p>
      <w:pPr>
        <w:pStyle w:val="Indenta"/>
        <w:rPr>
          <w:snapToGrid w:val="0"/>
        </w:rPr>
      </w:pPr>
      <w:r>
        <w:rPr>
          <w:snapToGrid w:val="0"/>
        </w:rPr>
        <w:tab/>
        <w:t>(b)</w:t>
      </w:r>
      <w:r>
        <w:rPr>
          <w:snapToGrid w:val="0"/>
        </w:rPr>
        <w:tab/>
        <w:t>subject to sub</w:t>
      </w:r>
      <w:r>
        <w:rPr>
          <w:snapToGrid w:val="0"/>
        </w:rPr>
        <w:noBreakHyphen/>
        <w:t>bylaw (3), the land was occupied by the person during the period to which the charge relates, whether or not the land is also occupied by any other person; and</w:t>
      </w:r>
    </w:p>
    <w:p>
      <w:pPr>
        <w:pStyle w:val="Indenta"/>
        <w:rPr>
          <w:snapToGrid w:val="0"/>
        </w:rPr>
      </w:pPr>
      <w:r>
        <w:rPr>
          <w:snapToGrid w:val="0"/>
        </w:rPr>
        <w:tab/>
        <w:t>(c)</w:t>
      </w:r>
      <w:r>
        <w:rPr>
          <w:snapToGrid w:val="0"/>
        </w:rPr>
        <w:tab/>
      </w:r>
      <w:r>
        <w:t>t</w:t>
      </w:r>
      <w:r>
        <w:rPr>
          <w:snapToGrid w:val="0"/>
        </w:rPr>
        <w:t>he person is not liable for the payment of any amount due in respect of a charge assessed according to the quantity of water supplied to that or any other land during a period that commenced before the period to which the charge relates; and</w:t>
      </w:r>
    </w:p>
    <w:p>
      <w:pPr>
        <w:pStyle w:val="Indenta"/>
      </w:pPr>
      <w:r>
        <w:rPr>
          <w:snapToGrid w:val="0"/>
        </w:rPr>
        <w:tab/>
        <w:t>(d)</w:t>
      </w:r>
      <w:r>
        <w:rPr>
          <w:snapToGrid w:val="0"/>
        </w:rPr>
        <w:tab/>
        <w:t>the person has not been allowed a concession under this by</w:t>
      </w:r>
      <w:r>
        <w:rPr>
          <w:snapToGrid w:val="0"/>
        </w:rPr>
        <w:noBreakHyphen/>
        <w:t>law in respect of water supplied to any other land except where the portions of the periods to which the respective concessions relate do not, to any extent, coincide.</w:t>
      </w:r>
    </w:p>
    <w:p>
      <w:pPr>
        <w:pStyle w:val="Subsection"/>
        <w:spacing w:before="120"/>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spacing w:before="120"/>
        <w:rPr>
          <w:snapToGrid w:val="0"/>
        </w:rPr>
      </w:pPr>
      <w:r>
        <w:rPr>
          <w:snapToGrid w:val="0"/>
        </w:rPr>
        <w:tab/>
        <w:t>(4)</w:t>
      </w:r>
      <w:r>
        <w:rPr>
          <w:snapToGrid w:val="0"/>
        </w:rPr>
        <w:tab/>
        <w:t xml:space="preserve">The </w:t>
      </w:r>
      <w:r>
        <w:t>amount of the concession</w:t>
      </w:r>
      <w:r>
        <w:rPr>
          <w:snapToGrid w:val="0"/>
        </w:rPr>
        <w:t xml:space="preserve">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22 </w:t>
      </w:r>
      <w:r>
        <w:rPr>
          <w:snapToGrid w:val="0"/>
        </w:rPr>
        <w:t>is 50% of the amount calculated from the annual charge rates applicable —</w:t>
      </w:r>
    </w:p>
    <w:p>
      <w:pPr>
        <w:pStyle w:val="Indenta"/>
        <w:rPr>
          <w:snapToGrid w:val="0"/>
        </w:rPr>
      </w:pPr>
      <w:r>
        <w:rPr>
          <w:snapToGrid w:val="0"/>
        </w:rPr>
        <w:tab/>
        <w:t>(a)</w:t>
      </w:r>
      <w:r>
        <w:rPr>
          <w:snapToGrid w:val="0"/>
        </w:rPr>
        <w:tab/>
        <w:t>where the land concerned is —</w:t>
      </w:r>
    </w:p>
    <w:p>
      <w:pPr>
        <w:pStyle w:val="Indenti"/>
        <w:spacing w:before="90"/>
        <w:rPr>
          <w:snapToGrid w:val="0"/>
        </w:rPr>
      </w:pPr>
      <w:r>
        <w:rPr>
          <w:snapToGrid w:val="0"/>
        </w:rPr>
        <w:tab/>
        <w:t>(i)</w:t>
      </w:r>
      <w:r>
        <w:rPr>
          <w:snapToGrid w:val="0"/>
        </w:rPr>
        <w:tab/>
        <w:t xml:space="preserve">in the town of Cue, Laverton, Leonora, Meekatharra, Menzies, Mt Magnet (from 1995/1996 onwards), </w:t>
      </w:r>
      <w:r>
        <w:t xml:space="preserve">Mullewa (from 2009/2010 onwards), </w:t>
      </w:r>
      <w:r>
        <w:rPr>
          <w:snapToGrid w:val="0"/>
        </w:rPr>
        <w:t>Sandstone, Wiluna or Yalgoo (from 1995/1996 onwards) and where up to 600 kL of water is supplied in one year; or</w:t>
      </w:r>
    </w:p>
    <w:p>
      <w:pPr>
        <w:pStyle w:val="Indenti"/>
        <w:spacing w:before="90"/>
        <w:rPr>
          <w:snapToGrid w:val="0"/>
        </w:rPr>
      </w:pPr>
      <w:r>
        <w:rPr>
          <w:snapToGrid w:val="0"/>
        </w:rPr>
        <w:tab/>
        <w:t>(ii)</w:t>
      </w:r>
      <w:r>
        <w:rPr>
          <w:snapToGrid w:val="0"/>
        </w:rPr>
        <w:tab/>
        <w:t>any other land south of 26° South Latitude and where up to 400 kL of water is supplied in one year;</w:t>
      </w:r>
    </w:p>
    <w:p>
      <w:pPr>
        <w:pStyle w:val="Indenta"/>
        <w:rPr>
          <w:snapToGrid w:val="0"/>
        </w:rPr>
      </w:pPr>
      <w:r>
        <w:rPr>
          <w:snapToGrid w:val="0"/>
        </w:rPr>
        <w:tab/>
        <w:t>(b)</w:t>
      </w:r>
      <w:r>
        <w:rPr>
          <w:snapToGrid w:val="0"/>
        </w:rPr>
        <w:tab/>
        <w:t>where the land concerned is north of 26° South Latitude and where up to 600 kL of water is supplied in one year.</w:t>
      </w:r>
    </w:p>
    <w:p>
      <w:pPr>
        <w:pStyle w:val="Subsection"/>
        <w:spacing w:before="120"/>
        <w:rPr>
          <w:snapToGrid w:val="0"/>
        </w:rPr>
      </w:pPr>
      <w:r>
        <w:rPr>
          <w:snapToGrid w:val="0"/>
        </w:rPr>
        <w:tab/>
        <w:t>(5)</w:t>
      </w:r>
      <w:r>
        <w:rPr>
          <w:snapToGrid w:val="0"/>
        </w:rPr>
        <w:tab/>
        <w:t xml:space="preserve">A person who, in connection with or for the purpose of obtaining a </w:t>
      </w:r>
      <w:r>
        <w:t>concession</w:t>
      </w:r>
      <w:r>
        <w:rPr>
          <w:snapToGrid w:val="0"/>
        </w:rPr>
        <w:t xml:space="preserve"> under this by</w:t>
      </w:r>
      <w:r>
        <w:rPr>
          <w:snapToGrid w:val="0"/>
        </w:rPr>
        <w:noBreakHyphen/>
        <w:t xml:space="preserve">law, gives information that </w:t>
      </w:r>
      <w:r>
        <w:t>he or she</w:t>
      </w:r>
      <w:r>
        <w:rPr>
          <w:snapToGrid w:val="0"/>
        </w:rPr>
        <w:t xml:space="preserv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 29 Jun 2007 p. 3250; 25 Jun 2010 p. 2903</w:t>
      </w:r>
      <w:r>
        <w:noBreakHyphen/>
        <w:t>5.]</w:t>
      </w:r>
    </w:p>
    <w:p>
      <w:pPr>
        <w:pStyle w:val="Heading5"/>
        <w:rPr>
          <w:snapToGrid w:val="0"/>
        </w:rPr>
      </w:pPr>
      <w:bookmarkStart w:id="257" w:name="_Toc487428967"/>
      <w:bookmarkStart w:id="258" w:name="_Toc17278674"/>
      <w:bookmarkStart w:id="259" w:name="_Toc180204774"/>
      <w:bookmarkStart w:id="260" w:name="_Toc265743481"/>
      <w:r>
        <w:rPr>
          <w:rStyle w:val="CharSectno"/>
        </w:rPr>
        <w:t>18A</w:t>
      </w:r>
      <w:r>
        <w:rPr>
          <w:snapToGrid w:val="0"/>
        </w:rPr>
        <w:t>.</w:t>
      </w:r>
      <w:r>
        <w:rPr>
          <w:snapToGrid w:val="0"/>
        </w:rPr>
        <w:tab/>
        <w:t>Concessional metropolitan quantity charge</w:t>
      </w:r>
      <w:bookmarkEnd w:id="257"/>
      <w:bookmarkEnd w:id="258"/>
      <w:bookmarkEnd w:id="259"/>
      <w:bookmarkEnd w:id="260"/>
    </w:p>
    <w:p>
      <w:pPr>
        <w:pStyle w:val="Subsection"/>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 xml:space="preserve">Schedule 1 item 20 or 21 </w:t>
      </w:r>
      <w:r>
        <w:rPr>
          <w:snapToGrid w:val="0"/>
        </w:rPr>
        <w:t>in respect of land in the metropolitan area shall be allowed a concession under this by</w:t>
      </w:r>
      <w:r>
        <w:rPr>
          <w:snapToGrid w:val="0"/>
        </w:rPr>
        <w:noBreakHyphen/>
        <w:t xml:space="preserve">law in respect of the charge if — </w:t>
      </w:r>
    </w:p>
    <w:p>
      <w:pPr>
        <w:pStyle w:val="Indenta"/>
        <w:rPr>
          <w:snapToGrid w:val="0"/>
        </w:rPr>
      </w:pPr>
      <w:r>
        <w:rPr>
          <w:snapToGrid w:val="0"/>
        </w:rPr>
        <w:tab/>
        <w:t>(a)</w:t>
      </w:r>
      <w:r>
        <w:rPr>
          <w:snapToGrid w:val="0"/>
        </w:rPr>
        <w:tab/>
        <w:t>the person satisfies the Corporation that he or she was an eligible pensioner at any time during the period to which the charge relates; and</w:t>
      </w:r>
    </w:p>
    <w:p>
      <w:pPr>
        <w:pStyle w:val="Indenta"/>
        <w:rPr>
          <w:snapToGrid w:val="0"/>
        </w:rPr>
      </w:pPr>
      <w:r>
        <w:rPr>
          <w:snapToGrid w:val="0"/>
        </w:rPr>
        <w:tab/>
        <w:t>(b)</w:t>
      </w:r>
      <w:r>
        <w:rPr>
          <w:snapToGrid w:val="0"/>
        </w:rPr>
        <w:tab/>
        <w:t>the land was occupied by the person during the period to which the charge relates, whether or not the land is also occupied by any other person; and</w:t>
      </w:r>
    </w:p>
    <w:p>
      <w:pPr>
        <w:pStyle w:val="Indenta"/>
        <w:rPr>
          <w:snapToGrid w:val="0"/>
        </w:rPr>
      </w:pPr>
      <w:r>
        <w:rPr>
          <w:snapToGrid w:val="0"/>
        </w:rPr>
        <w:tab/>
        <w:t>(c)</w:t>
      </w:r>
      <w:r>
        <w:rPr>
          <w:snapToGrid w:val="0"/>
        </w:rPr>
        <w:tab/>
      </w:r>
      <w:r>
        <w:t>t</w:t>
      </w:r>
      <w:r>
        <w:rPr>
          <w:snapToGrid w:val="0"/>
        </w:rPr>
        <w:t>he person is not liable for the payment of any amount due in respect of a charge assessed according to the quantity of water supplied to that or any other land during a period that commenced before the period to which the charge relates; and</w:t>
      </w:r>
    </w:p>
    <w:p>
      <w:pPr>
        <w:pStyle w:val="Indenta"/>
        <w:rPr>
          <w:snapToGrid w:val="0"/>
        </w:rPr>
      </w:pPr>
      <w:r>
        <w:rPr>
          <w:snapToGrid w:val="0"/>
        </w:rPr>
        <w:tab/>
        <w:t>(d)</w:t>
      </w:r>
      <w:r>
        <w:rPr>
          <w:snapToGrid w:val="0"/>
        </w:rPr>
        <w:tab/>
        <w:t>the person has not been allowed a concession under this by</w:t>
      </w:r>
      <w:r>
        <w:rPr>
          <w:snapToGrid w:val="0"/>
        </w:rPr>
        <w:noBreakHyphen/>
        <w:t>law in respect of water supplied to any other land except where the portions of the periods to which the respective concessions relate do not, to any extent, coincide.</w:t>
      </w:r>
    </w:p>
    <w:p>
      <w:pPr>
        <w:pStyle w:val="Subsection"/>
        <w:spacing w:before="100"/>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20 or 21 </w:t>
      </w:r>
      <w:r>
        <w:rPr>
          <w:snapToGrid w:val="0"/>
        </w:rPr>
        <w:t>is 50% of the amount calculated from the annual charge rates applicable where up to 150 kL of water is supplied in one year and where the land concerned is in the metropolitan area.</w:t>
      </w:r>
    </w:p>
    <w:p>
      <w:pPr>
        <w:pStyle w:val="Subsection"/>
        <w:spacing w:before="100"/>
        <w:rPr>
          <w:snapToGrid w:val="0"/>
        </w:rPr>
      </w:pPr>
      <w:r>
        <w:rPr>
          <w:snapToGrid w:val="0"/>
        </w:rPr>
        <w:tab/>
        <w:t>(4)</w:t>
      </w:r>
      <w:r>
        <w:rPr>
          <w:snapToGrid w:val="0"/>
        </w:rPr>
        <w:tab/>
        <w:t>A person who, in connection with or for the purpose of being allowed a concession under this by</w:t>
      </w:r>
      <w:r>
        <w:rPr>
          <w:snapToGrid w:val="0"/>
        </w:rPr>
        <w:noBreakHyphen/>
        <w:t xml:space="preserve">law, gives information that </w:t>
      </w:r>
      <w:r>
        <w:t>he or she</w:t>
      </w:r>
      <w:r>
        <w:rPr>
          <w:snapToGrid w:val="0"/>
        </w:rPr>
        <w:t xml:space="preserv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 29 Jun 2007 p. 3251; 25 Jun 2010 p. 2905</w:t>
      </w:r>
      <w:r>
        <w:noBreakHyphen/>
        <w:t>6.]</w:t>
      </w:r>
    </w:p>
    <w:p>
      <w:pPr>
        <w:pStyle w:val="Heading5"/>
        <w:rPr>
          <w:snapToGrid w:val="0"/>
        </w:rPr>
      </w:pPr>
      <w:bookmarkStart w:id="261" w:name="_Toc487428968"/>
      <w:bookmarkStart w:id="262" w:name="_Toc17278675"/>
      <w:bookmarkStart w:id="263" w:name="_Toc180204775"/>
      <w:bookmarkStart w:id="264" w:name="_Toc265743482"/>
      <w:r>
        <w:rPr>
          <w:rStyle w:val="CharSectno"/>
        </w:rPr>
        <w:t>18B</w:t>
      </w:r>
      <w:r>
        <w:rPr>
          <w:snapToGrid w:val="0"/>
        </w:rPr>
        <w:t>.</w:t>
      </w:r>
      <w:r>
        <w:rPr>
          <w:snapToGrid w:val="0"/>
        </w:rPr>
        <w:tab/>
        <w:t>Residential multi</w:t>
      </w:r>
      <w:r>
        <w:rPr>
          <w:snapToGrid w:val="0"/>
        </w:rPr>
        <w:noBreakHyphen/>
        <w:t>unit properties — rebates for eligible pensioners</w:t>
      </w:r>
      <w:bookmarkEnd w:id="261"/>
      <w:bookmarkEnd w:id="262"/>
      <w:bookmarkEnd w:id="263"/>
      <w:bookmarkEnd w:id="264"/>
    </w:p>
    <w:p>
      <w:pPr>
        <w:pStyle w:val="Subsection"/>
      </w:pPr>
      <w:r>
        <w:tab/>
        <w:t>(1)</w:t>
      </w:r>
      <w:r>
        <w:tab/>
        <w:t>In this by-law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Defstart"/>
      </w:pPr>
      <w:r>
        <w:rPr>
          <w:b/>
        </w:rPr>
        <w:tab/>
      </w:r>
      <w:r>
        <w:rPr>
          <w:rStyle w:val="CharDefText"/>
        </w:rPr>
        <w:t>registered</w:t>
      </w:r>
      <w:r>
        <w:t xml:space="preserve"> in the case of an eligible pensioner who is a tenant, means registered or listed with the Corporation for the purposes of assessment under this by</w:t>
      </w:r>
      <w:r>
        <w:noBreakHyphen/>
        <w:t>law.</w:t>
      </w:r>
    </w:p>
    <w:p>
      <w:pPr>
        <w:pStyle w:val="Subsection"/>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20 or 21</w:t>
      </w:r>
      <w:r>
        <w:rPr>
          <w:snapToGrid w:val="0"/>
        </w:rPr>
        <w:t>;</w:t>
      </w:r>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 xml:space="preserve">600 kL of water is supplied in one year and where the land concerned is in the town of Cue, Laverton, Leonora, Meekatharra, Menzies, Mt Magnet (from 1995/1996 onwards), </w:t>
      </w:r>
      <w:r>
        <w:t xml:space="preserve">Mullewa (from 2009/2010 onwards), </w:t>
      </w:r>
      <w:r>
        <w:rPr>
          <w:snapToGrid w:val="0"/>
        </w:rPr>
        <w:t>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22</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22</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 29 Jun 2007 p. 3251; 25 Jun 2010 p. 2906.]</w:t>
      </w:r>
    </w:p>
    <w:p>
      <w:pPr>
        <w:pStyle w:val="Ednotesection"/>
      </w:pPr>
      <w:r>
        <w:t>[</w:t>
      </w:r>
      <w:r>
        <w:rPr>
          <w:b/>
        </w:rPr>
        <w:t>19.</w:t>
      </w:r>
      <w:r>
        <w:rPr>
          <w:b/>
        </w:rPr>
        <w:tab/>
      </w:r>
      <w:r>
        <w:t>Deleted in Gazette 26 Jun 1998 p. 3400.]</w:t>
      </w:r>
    </w:p>
    <w:p>
      <w:pPr>
        <w:pStyle w:val="Heading5"/>
        <w:rPr>
          <w:snapToGrid w:val="0"/>
        </w:rPr>
      </w:pPr>
      <w:bookmarkStart w:id="265" w:name="_Toc487428969"/>
      <w:bookmarkStart w:id="266" w:name="_Toc17278676"/>
      <w:bookmarkStart w:id="267" w:name="_Toc180204776"/>
      <w:bookmarkStart w:id="268" w:name="_Toc265743483"/>
      <w:r>
        <w:rPr>
          <w:rStyle w:val="CharSectno"/>
        </w:rPr>
        <w:t>19A</w:t>
      </w:r>
      <w:r>
        <w:rPr>
          <w:snapToGrid w:val="0"/>
        </w:rPr>
        <w:t>.</w:t>
      </w:r>
      <w:r>
        <w:rPr>
          <w:snapToGrid w:val="0"/>
        </w:rPr>
        <w:tab/>
        <w:t>Capital infrastructure charges</w:t>
      </w:r>
      <w:bookmarkEnd w:id="265"/>
      <w:bookmarkEnd w:id="266"/>
      <w:bookmarkEnd w:id="267"/>
      <w:bookmarkEnd w:id="268"/>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land</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w:t>
      </w:r>
      <w:r>
        <w:t xml:space="preserve"> capital infrastructure</w:t>
      </w:r>
      <w:r>
        <w:rPr>
          <w:snapToGrid w:val="0"/>
        </w:rPr>
        <w:t>, the charge —</w:t>
      </w:r>
    </w:p>
    <w:p>
      <w:pPr>
        <w:pStyle w:val="Indenta"/>
        <w:rPr>
          <w:snapToGrid w:val="0"/>
        </w:rPr>
      </w:pPr>
      <w:r>
        <w:rPr>
          <w:snapToGrid w:val="0"/>
        </w:rPr>
        <w:tab/>
        <w:t>(a)</w:t>
      </w:r>
      <w:r>
        <w:rPr>
          <w:snapToGrid w:val="0"/>
        </w:rPr>
        <w:tab/>
        <w:t>set out in</w:t>
      </w:r>
      <w:r>
        <w:t xml:space="preserve"> Column 3 of the Table to Schedule 1 item 36</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36</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36</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36</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36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 29 Jun 2007 p. 3251.]</w:t>
      </w:r>
    </w:p>
    <w:p>
      <w:pPr>
        <w:pStyle w:val="Heading3"/>
      </w:pPr>
      <w:bookmarkStart w:id="269" w:name="_Toc91580430"/>
      <w:bookmarkStart w:id="270" w:name="_Toc103667115"/>
      <w:bookmarkStart w:id="271" w:name="_Toc103741634"/>
      <w:bookmarkStart w:id="272" w:name="_Toc107981877"/>
      <w:bookmarkStart w:id="273" w:name="_Toc118800044"/>
      <w:bookmarkStart w:id="274" w:name="_Toc118860052"/>
      <w:bookmarkStart w:id="275" w:name="_Toc121545552"/>
      <w:bookmarkStart w:id="276" w:name="_Toc121801075"/>
      <w:bookmarkStart w:id="277" w:name="_Toc121818188"/>
      <w:bookmarkStart w:id="278" w:name="_Toc121880798"/>
      <w:bookmarkStart w:id="279" w:name="_Toc129481869"/>
      <w:bookmarkStart w:id="280" w:name="_Toc130095238"/>
      <w:bookmarkStart w:id="281" w:name="_Toc130273302"/>
      <w:bookmarkStart w:id="282" w:name="_Toc139770975"/>
      <w:bookmarkStart w:id="283" w:name="_Toc139771353"/>
      <w:bookmarkStart w:id="284" w:name="_Toc151191568"/>
      <w:bookmarkStart w:id="285" w:name="_Toc151260461"/>
      <w:bookmarkStart w:id="286" w:name="_Toc164158566"/>
      <w:bookmarkStart w:id="287" w:name="_Toc164220938"/>
      <w:bookmarkStart w:id="288" w:name="_Toc170878898"/>
      <w:bookmarkStart w:id="289" w:name="_Toc170894650"/>
      <w:bookmarkStart w:id="290" w:name="_Toc175712616"/>
      <w:bookmarkStart w:id="291" w:name="_Toc175970557"/>
      <w:bookmarkStart w:id="292" w:name="_Toc176335276"/>
      <w:bookmarkStart w:id="293" w:name="_Toc176338851"/>
      <w:bookmarkStart w:id="294" w:name="_Toc178742876"/>
      <w:bookmarkStart w:id="295" w:name="_Toc179363299"/>
      <w:bookmarkStart w:id="296" w:name="_Toc179604368"/>
      <w:bookmarkStart w:id="297" w:name="_Toc180204561"/>
      <w:bookmarkStart w:id="298" w:name="_Toc180204777"/>
      <w:bookmarkStart w:id="299" w:name="_Toc185844522"/>
      <w:bookmarkStart w:id="300" w:name="_Toc185845142"/>
      <w:bookmarkStart w:id="301" w:name="_Toc185927107"/>
      <w:bookmarkStart w:id="302" w:name="_Toc202505855"/>
      <w:bookmarkStart w:id="303" w:name="_Toc202672640"/>
      <w:bookmarkStart w:id="304" w:name="_Toc202691731"/>
      <w:bookmarkStart w:id="305" w:name="_Toc233448353"/>
      <w:bookmarkStart w:id="306" w:name="_Toc233611667"/>
      <w:bookmarkStart w:id="307" w:name="_Toc234730674"/>
      <w:bookmarkStart w:id="308" w:name="_Toc234733200"/>
      <w:bookmarkStart w:id="309" w:name="_Toc235863937"/>
      <w:bookmarkStart w:id="310" w:name="_Toc235933412"/>
      <w:bookmarkStart w:id="311" w:name="_Toc237164400"/>
      <w:bookmarkStart w:id="312" w:name="_Toc237244283"/>
      <w:bookmarkStart w:id="313" w:name="_Toc237245584"/>
      <w:bookmarkStart w:id="314" w:name="_Toc237245715"/>
      <w:bookmarkStart w:id="315" w:name="_Toc237247823"/>
      <w:bookmarkStart w:id="316" w:name="_Toc237254126"/>
      <w:bookmarkStart w:id="317" w:name="_Toc237309545"/>
      <w:bookmarkStart w:id="318" w:name="_Toc265743484"/>
      <w:r>
        <w:rPr>
          <w:rStyle w:val="CharDivNo"/>
        </w:rPr>
        <w:t>Division 2</w:t>
      </w:r>
      <w:r>
        <w:rPr>
          <w:snapToGrid w:val="0"/>
        </w:rPr>
        <w:t> — </w:t>
      </w:r>
      <w:r>
        <w:rPr>
          <w:rStyle w:val="CharDivText"/>
        </w:rPr>
        <w:t xml:space="preserve">Water supply under </w:t>
      </w:r>
      <w:r>
        <w:rPr>
          <w:rStyle w:val="CharDivText"/>
          <w:i/>
        </w:rPr>
        <w:t>Rights in Water and Irrigation Act 1914</w:t>
      </w:r>
      <w:r>
        <w:rPr>
          <w:rStyle w:val="CharDivText"/>
        </w:rPr>
        <w:t xml:space="preserve"> other than for irrigation</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rPr>
          <w:snapToGrid w:val="0"/>
        </w:rPr>
      </w:pPr>
      <w:bookmarkStart w:id="319" w:name="_Toc487428970"/>
      <w:bookmarkStart w:id="320" w:name="_Toc17278677"/>
      <w:bookmarkStart w:id="321" w:name="_Toc180204778"/>
      <w:bookmarkStart w:id="322" w:name="_Toc265743485"/>
      <w:r>
        <w:rPr>
          <w:rStyle w:val="CharSectno"/>
        </w:rPr>
        <w:t>20</w:t>
      </w:r>
      <w:r>
        <w:rPr>
          <w:snapToGrid w:val="0"/>
        </w:rPr>
        <w:t>.</w:t>
      </w:r>
      <w:r>
        <w:rPr>
          <w:snapToGrid w:val="0"/>
        </w:rPr>
        <w:tab/>
        <w:t>Land subject to water supply charges under this Division</w:t>
      </w:r>
      <w:bookmarkEnd w:id="319"/>
      <w:bookmarkEnd w:id="320"/>
      <w:bookmarkEnd w:id="321"/>
      <w:bookmarkEnd w:id="322"/>
    </w:p>
    <w:p>
      <w:pPr>
        <w:pStyle w:val="Subsection"/>
        <w:rPr>
          <w:snapToGrid w:val="0"/>
        </w:rPr>
      </w:pPr>
      <w:r>
        <w:rPr>
          <w:snapToGrid w:val="0"/>
        </w:rPr>
        <w:tab/>
      </w:r>
      <w:r>
        <w:rPr>
          <w:snapToGrid w:val="0"/>
        </w:rPr>
        <w:tab/>
        <w:t xml:space="preserve">Land that is actually supplied by the Corporation under the </w:t>
      </w:r>
      <w:r>
        <w:rPr>
          <w:i/>
          <w:snapToGrid w:val="0"/>
        </w:rPr>
        <w:t>Rights in Water and Irrigation Act 1914</w:t>
      </w:r>
      <w:r>
        <w:rPr>
          <w:snapToGrid w:val="0"/>
        </w:rPr>
        <w:t xml:space="preserve"> with water for purposes other than irrigation shall be taken, in accordance with section 41(1)(b) of the </w:t>
      </w:r>
      <w:r>
        <w:rPr>
          <w:i/>
          <w:snapToGrid w:val="0"/>
        </w:rPr>
        <w:t>Water Agencies (Powers) Act 1984</w:t>
      </w:r>
      <w:r>
        <w:rPr>
          <w:snapToGrid w:val="0"/>
        </w:rPr>
        <w:t xml:space="preserve">, to be land in respect of which the Corporation provides water supply and charges under </w:t>
      </w:r>
      <w:r>
        <w:t xml:space="preserve">Schedule 2 </w:t>
      </w:r>
      <w:r>
        <w:rPr>
          <w:snapToGrid w:val="0"/>
        </w:rPr>
        <w:t>shall apply in respect of that land.</w:t>
      </w:r>
    </w:p>
    <w:p>
      <w:pPr>
        <w:pStyle w:val="Footnotesection"/>
      </w:pPr>
      <w:r>
        <w:tab/>
        <w:t>[By</w:t>
      </w:r>
      <w:r>
        <w:noBreakHyphen/>
        <w:t>law 20 amended in Gazette 29 Dec 1995 p. 6331</w:t>
      </w:r>
      <w:r>
        <w:noBreakHyphen/>
        <w:t>2; 29 Jun 1999 p. 2795; 29 Jun 2001 p. 3194.]</w:t>
      </w:r>
    </w:p>
    <w:p>
      <w:pPr>
        <w:pStyle w:val="Ednotedivision"/>
      </w:pPr>
      <w:r>
        <w:t>[Divisions 3 and 4 deleted in Gazette 27 Jun 1997 p. 3180.]</w:t>
      </w:r>
    </w:p>
    <w:p>
      <w:pPr>
        <w:pStyle w:val="Heading2"/>
      </w:pPr>
      <w:bookmarkStart w:id="323" w:name="_Toc91580432"/>
      <w:bookmarkStart w:id="324" w:name="_Toc103667117"/>
      <w:bookmarkStart w:id="325" w:name="_Toc103741636"/>
      <w:bookmarkStart w:id="326" w:name="_Toc107981879"/>
      <w:bookmarkStart w:id="327" w:name="_Toc118800046"/>
      <w:bookmarkStart w:id="328" w:name="_Toc118860054"/>
      <w:bookmarkStart w:id="329" w:name="_Toc121545554"/>
      <w:bookmarkStart w:id="330" w:name="_Toc121801077"/>
      <w:bookmarkStart w:id="331" w:name="_Toc121818190"/>
      <w:bookmarkStart w:id="332" w:name="_Toc121880800"/>
      <w:bookmarkStart w:id="333" w:name="_Toc129481871"/>
      <w:bookmarkStart w:id="334" w:name="_Toc130095240"/>
      <w:bookmarkStart w:id="335" w:name="_Toc130273304"/>
      <w:bookmarkStart w:id="336" w:name="_Toc139770977"/>
      <w:bookmarkStart w:id="337" w:name="_Toc139771355"/>
      <w:bookmarkStart w:id="338" w:name="_Toc151191570"/>
      <w:bookmarkStart w:id="339" w:name="_Toc151260463"/>
      <w:bookmarkStart w:id="340" w:name="_Toc164158568"/>
      <w:bookmarkStart w:id="341" w:name="_Toc164220940"/>
      <w:bookmarkStart w:id="342" w:name="_Toc170878900"/>
      <w:bookmarkStart w:id="343" w:name="_Toc170894652"/>
      <w:bookmarkStart w:id="344" w:name="_Toc175712618"/>
      <w:bookmarkStart w:id="345" w:name="_Toc175970559"/>
      <w:bookmarkStart w:id="346" w:name="_Toc176335278"/>
      <w:bookmarkStart w:id="347" w:name="_Toc176338853"/>
      <w:bookmarkStart w:id="348" w:name="_Toc178742878"/>
      <w:bookmarkStart w:id="349" w:name="_Toc179363301"/>
      <w:bookmarkStart w:id="350" w:name="_Toc179604370"/>
      <w:bookmarkStart w:id="351" w:name="_Toc180204563"/>
      <w:bookmarkStart w:id="352" w:name="_Toc180204779"/>
      <w:bookmarkStart w:id="353" w:name="_Toc185844524"/>
      <w:bookmarkStart w:id="354" w:name="_Toc185845144"/>
      <w:bookmarkStart w:id="355" w:name="_Toc185927109"/>
      <w:bookmarkStart w:id="356" w:name="_Toc202505857"/>
      <w:bookmarkStart w:id="357" w:name="_Toc202672642"/>
      <w:bookmarkStart w:id="358" w:name="_Toc202691733"/>
      <w:bookmarkStart w:id="359" w:name="_Toc233448355"/>
      <w:bookmarkStart w:id="360" w:name="_Toc233611669"/>
      <w:bookmarkStart w:id="361" w:name="_Toc234730676"/>
      <w:bookmarkStart w:id="362" w:name="_Toc234733202"/>
      <w:bookmarkStart w:id="363" w:name="_Toc235863939"/>
      <w:bookmarkStart w:id="364" w:name="_Toc235933414"/>
      <w:bookmarkStart w:id="365" w:name="_Toc237164402"/>
      <w:bookmarkStart w:id="366" w:name="_Toc237244285"/>
      <w:bookmarkStart w:id="367" w:name="_Toc237245586"/>
      <w:bookmarkStart w:id="368" w:name="_Toc237245717"/>
      <w:bookmarkStart w:id="369" w:name="_Toc237247825"/>
      <w:bookmarkStart w:id="370" w:name="_Toc237254128"/>
      <w:bookmarkStart w:id="371" w:name="_Toc237309547"/>
      <w:bookmarkStart w:id="372" w:name="_Toc265743486"/>
      <w:r>
        <w:rPr>
          <w:rStyle w:val="CharPartNo"/>
        </w:rPr>
        <w:t>Part 3</w:t>
      </w:r>
      <w:r>
        <w:rPr>
          <w:rStyle w:val="CharDivNo"/>
        </w:rPr>
        <w:t> </w:t>
      </w:r>
      <w:r>
        <w:t>—</w:t>
      </w:r>
      <w:r>
        <w:rPr>
          <w:rStyle w:val="CharDivText"/>
        </w:rPr>
        <w:t> </w:t>
      </w:r>
      <w:r>
        <w:rPr>
          <w:rStyle w:val="CharPartText"/>
        </w:rPr>
        <w:t>Sewerage</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pPr>
      <w:bookmarkStart w:id="373" w:name="_Toc180204780"/>
      <w:bookmarkStart w:id="374" w:name="_Toc265743487"/>
      <w:bookmarkStart w:id="375" w:name="_Toc487428972"/>
      <w:bookmarkStart w:id="376" w:name="_Toc17278679"/>
      <w:r>
        <w:rPr>
          <w:rStyle w:val="CharSectno"/>
        </w:rPr>
        <w:t>21A</w:t>
      </w:r>
      <w:r>
        <w:t>.</w:t>
      </w:r>
      <w:r>
        <w:tab/>
        <w:t>Terms used</w:t>
      </w:r>
      <w:bookmarkEnd w:id="373"/>
      <w:bookmarkEnd w:id="374"/>
    </w:p>
    <w:p>
      <w:pPr>
        <w:pStyle w:val="Subsection"/>
      </w:pPr>
      <w:r>
        <w:tab/>
      </w:r>
      <w:r>
        <w:tab/>
        <w:t>In this Part —</w:t>
      </w:r>
    </w:p>
    <w:p>
      <w:pPr>
        <w:pStyle w:val="Defstart"/>
      </w:pPr>
      <w:r>
        <w:rPr>
          <w:b/>
        </w:rPr>
        <w:tab/>
      </w:r>
      <w:r>
        <w:rPr>
          <w:rStyle w:val="CharDefText"/>
        </w:rPr>
        <w:t>country non</w:t>
      </w:r>
      <w:r>
        <w:rPr>
          <w:rStyle w:val="CharDefText"/>
        </w:rPr>
        <w:noBreakHyphen/>
        <w:t>residential or commercial residential property</w:t>
      </w:r>
      <w:r>
        <w:t xml:space="preserve"> means land referred to in Schedule 3 item 31;</w:t>
      </w:r>
    </w:p>
    <w:p>
      <w:pPr>
        <w:pStyle w:val="Defstart"/>
      </w:pPr>
      <w:r>
        <w:rPr>
          <w:b/>
        </w:rPr>
        <w:tab/>
      </w:r>
      <w:r>
        <w:rPr>
          <w:rStyle w:val="CharDefText"/>
        </w:rPr>
        <w:t>formula</w:t>
      </w:r>
      <w:r>
        <w:t xml:space="preserve"> means —</w:t>
      </w:r>
    </w:p>
    <w:p>
      <w:pPr>
        <w:pStyle w:val="Defpara"/>
        <w:spacing w:before="120"/>
      </w:pPr>
      <w:r>
        <w:tab/>
        <w:t>(a)</w:t>
      </w:r>
      <w:r>
        <w:tab/>
        <w:t>in a metropolitan context, the formula set out in Schedule 3 item 18; or</w:t>
      </w:r>
    </w:p>
    <w:p>
      <w:pPr>
        <w:pStyle w:val="Defpara"/>
        <w:spacing w:before="120"/>
      </w:pPr>
      <w:r>
        <w:tab/>
        <w:t>(b)</w:t>
      </w:r>
      <w:r>
        <w:tab/>
        <w:t>in a country context, the formula set out in Schedule 3 item 36;</w:t>
      </w:r>
    </w:p>
    <w:p>
      <w:pPr>
        <w:pStyle w:val="Defstart"/>
      </w:pPr>
      <w:r>
        <w:rPr>
          <w:b/>
        </w:rPr>
        <w:tab/>
      </w:r>
      <w:r>
        <w:rPr>
          <w:rStyle w:val="CharDefText"/>
        </w:rPr>
        <w:t>metropolitan non</w:t>
      </w:r>
      <w:r>
        <w:rPr>
          <w:rStyle w:val="CharDefText"/>
        </w:rPr>
        <w:noBreakHyphen/>
        <w:t>residential property</w:t>
      </w:r>
      <w:r>
        <w:t xml:space="preserve"> means land referred to in Schedule 3 item 13;</w:t>
      </w:r>
    </w:p>
    <w:p>
      <w:pPr>
        <w:pStyle w:val="Defstart"/>
        <w:outlineLvl w:val="0"/>
      </w:pPr>
      <w:r>
        <w:tab/>
      </w:r>
      <w:r>
        <w:rPr>
          <w:rStyle w:val="CharDefText"/>
        </w:rPr>
        <w:t>Table</w:t>
      </w:r>
      <w:r>
        <w:t xml:space="preserve"> means —</w:t>
      </w:r>
    </w:p>
    <w:p>
      <w:pPr>
        <w:pStyle w:val="Defpara"/>
        <w:spacing w:before="120"/>
      </w:pPr>
      <w:r>
        <w:tab/>
        <w:t>(a)</w:t>
      </w:r>
      <w:r>
        <w:tab/>
        <w:t>in a metropolitan context, the Table to Schedule 3 item 18; or</w:t>
      </w:r>
    </w:p>
    <w:p>
      <w:pPr>
        <w:pStyle w:val="Defpara"/>
        <w:spacing w:before="120"/>
      </w:pPr>
      <w:r>
        <w:tab/>
        <w:t>(b)</w:t>
      </w:r>
      <w:r>
        <w:tab/>
        <w:t>in a country context, the Table to Schedule 3 item 36.</w:t>
      </w:r>
    </w:p>
    <w:p>
      <w:pPr>
        <w:pStyle w:val="Footnotesection"/>
      </w:pPr>
      <w:r>
        <w:tab/>
        <w:t>[By</w:t>
      </w:r>
      <w:r>
        <w:noBreakHyphen/>
        <w:t>law 21A inserted in Gazette 27 Jun 2003 p. 2287; amended in Gazette 29 Jun 2007 p. 3251</w:t>
      </w:r>
      <w:r>
        <w:noBreakHyphen/>
        <w:t>2.]</w:t>
      </w:r>
    </w:p>
    <w:p>
      <w:pPr>
        <w:pStyle w:val="Heading5"/>
        <w:rPr>
          <w:snapToGrid w:val="0"/>
        </w:rPr>
      </w:pPr>
      <w:bookmarkStart w:id="377" w:name="_Toc180204781"/>
      <w:bookmarkStart w:id="378" w:name="_Toc265743488"/>
      <w:r>
        <w:rPr>
          <w:rStyle w:val="CharSectno"/>
        </w:rPr>
        <w:t>21</w:t>
      </w:r>
      <w:r>
        <w:rPr>
          <w:snapToGrid w:val="0"/>
        </w:rPr>
        <w:t>.</w:t>
      </w:r>
      <w:r>
        <w:rPr>
          <w:snapToGrid w:val="0"/>
        </w:rPr>
        <w:tab/>
        <w:t>Land subject to sewerage charges</w:t>
      </w:r>
      <w:bookmarkEnd w:id="375"/>
      <w:bookmarkEnd w:id="376"/>
      <w:bookmarkEnd w:id="377"/>
      <w:bookmarkEnd w:id="378"/>
    </w:p>
    <w:p>
      <w:pPr>
        <w:pStyle w:val="Subsection"/>
        <w:rPr>
          <w:snapToGrid w:val="0"/>
        </w:rPr>
      </w:pPr>
      <w:r>
        <w:rPr>
          <w:snapToGrid w:val="0"/>
        </w:rPr>
        <w:tab/>
      </w:r>
      <w:r>
        <w:rPr>
          <w:snapToGrid w:val="0"/>
        </w:rPr>
        <w:tab/>
        <w:t>Land that is connected with a sewer or, although not connected —</w:t>
      </w:r>
    </w:p>
    <w:p>
      <w:pPr>
        <w:pStyle w:val="Indenta"/>
        <w:spacing w:before="120"/>
        <w:rPr>
          <w:snapToGrid w:val="0"/>
        </w:rPr>
      </w:pPr>
      <w:r>
        <w:rPr>
          <w:snapToGrid w:val="0"/>
        </w:rPr>
        <w:tab/>
        <w:t>(a)</w:t>
      </w:r>
      <w:r>
        <w:rPr>
          <w:snapToGrid w:val="0"/>
        </w:rPr>
        <w:tab/>
        <w:t>is in the opinion of the Corporation reasonably capable of being connected with a sewer; and</w:t>
      </w:r>
    </w:p>
    <w:p>
      <w:pPr>
        <w:pStyle w:val="Indenta"/>
        <w:spacing w:before="120"/>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sewerage and, subject to by</w:t>
      </w:r>
      <w:r>
        <w:rPr>
          <w:snapToGrid w:val="0"/>
        </w:rPr>
        <w:noBreakHyphen/>
        <w:t>law 22, charges as set out in Schedule 3, shall apply in respect of that land.</w:t>
      </w:r>
    </w:p>
    <w:p>
      <w:pPr>
        <w:pStyle w:val="Footnotesection"/>
        <w:spacing w:before="100"/>
        <w:ind w:left="890" w:hanging="890"/>
      </w:pPr>
      <w:r>
        <w:tab/>
        <w:t>[By</w:t>
      </w:r>
      <w:r>
        <w:noBreakHyphen/>
        <w:t>law 21 amended in Gazette 29 Dec 1995 p. 6331</w:t>
      </w:r>
      <w:r>
        <w:noBreakHyphen/>
        <w:t>2; 29 Jun 2001 p. 3194.]</w:t>
      </w:r>
    </w:p>
    <w:p>
      <w:pPr>
        <w:pStyle w:val="Heading5"/>
        <w:rPr>
          <w:snapToGrid w:val="0"/>
        </w:rPr>
      </w:pPr>
      <w:bookmarkStart w:id="379" w:name="_Toc487428973"/>
      <w:bookmarkStart w:id="380" w:name="_Toc17278680"/>
      <w:bookmarkStart w:id="381" w:name="_Toc180204782"/>
      <w:bookmarkStart w:id="382" w:name="_Toc265743489"/>
      <w:r>
        <w:rPr>
          <w:rStyle w:val="CharSectno"/>
        </w:rPr>
        <w:t>22</w:t>
      </w:r>
      <w:r>
        <w:rPr>
          <w:snapToGrid w:val="0"/>
        </w:rPr>
        <w:t>.</w:t>
      </w:r>
      <w:r>
        <w:rPr>
          <w:snapToGrid w:val="0"/>
        </w:rPr>
        <w:tab/>
        <w:t>Exempt land</w:t>
      </w:r>
      <w:bookmarkEnd w:id="379"/>
      <w:bookmarkEnd w:id="380"/>
      <w:bookmarkEnd w:id="381"/>
      <w:bookmarkEnd w:id="382"/>
    </w:p>
    <w:p>
      <w:pPr>
        <w:pStyle w:val="Subsection"/>
        <w:spacing w:before="120"/>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w:t>
      </w:r>
      <w:r>
        <w:rPr>
          <w:snapToGrid w:val="0"/>
        </w:rPr>
        <w:t>.</w:t>
      </w:r>
    </w:p>
    <w:p>
      <w:pPr>
        <w:pStyle w:val="Footnotesection"/>
        <w:spacing w:before="100"/>
        <w:ind w:left="890" w:hanging="890"/>
      </w:pPr>
      <w:r>
        <w:tab/>
        <w:t>[By</w:t>
      </w:r>
      <w:r>
        <w:noBreakHyphen/>
        <w:t>law 22 amended in Gazette 29 Jun 2001 p. 3194.]</w:t>
      </w:r>
    </w:p>
    <w:p>
      <w:pPr>
        <w:pStyle w:val="Heading5"/>
        <w:rPr>
          <w:rStyle w:val="CharSectno"/>
        </w:rPr>
      </w:pPr>
      <w:bookmarkStart w:id="383" w:name="_Toc180204783"/>
      <w:bookmarkStart w:id="384" w:name="_Toc265743490"/>
      <w:bookmarkStart w:id="385" w:name="_Toc487428975"/>
      <w:bookmarkStart w:id="386" w:name="_Toc17278682"/>
      <w:r>
        <w:rPr>
          <w:rStyle w:val="CharSectno"/>
        </w:rPr>
        <w:t>23.</w:t>
      </w:r>
      <w:r>
        <w:rPr>
          <w:rStyle w:val="CharSectno"/>
        </w:rPr>
        <w:tab/>
        <w:t>Classification of land</w:t>
      </w:r>
      <w:bookmarkEnd w:id="383"/>
      <w:bookmarkEnd w:id="384"/>
    </w:p>
    <w:p>
      <w:pPr>
        <w:pStyle w:val="Subsection"/>
        <w:spacing w:before="120"/>
      </w:pPr>
      <w:r>
        <w:rPr>
          <w:snapToGrid w:val="0"/>
        </w:rPr>
        <w:tab/>
        <w:t>(1)</w:t>
      </w:r>
      <w:r>
        <w:rPr>
          <w:snapToGrid w:val="0"/>
        </w:rPr>
        <w:tab/>
        <w:t>For the purposes of this Part, land described in by</w:t>
      </w:r>
      <w:r>
        <w:rPr>
          <w:snapToGrid w:val="0"/>
        </w:rPr>
        <w:noBreakHyphen/>
        <w:t>law 4 that is</w:t>
      </w:r>
      <w:r>
        <w:t xml:space="preserve"> in a country sewerage area and is connected with a sewer may, irrespective of any other classification under these by</w:t>
      </w:r>
      <w:r>
        <w:noBreakHyphen/>
        <w:t xml:space="preserve">laws, be classified by the Corporation as follows — </w:t>
      </w:r>
    </w:p>
    <w:p>
      <w:pPr>
        <w:pStyle w:val="Indenta"/>
      </w:pPr>
      <w:r>
        <w:tab/>
        <w:t>(a)</w:t>
      </w:r>
      <w:r>
        <w:tab/>
        <w:t>institutional public, if the land is used for such club, institutional or public purpose as the Corporation approves, not being a purpose mentioned in paragraph (b);</w:t>
      </w:r>
    </w:p>
    <w:p>
      <w:pPr>
        <w:pStyle w:val="Indenta"/>
      </w:pPr>
      <w:r>
        <w:tab/>
        <w:t>(b)</w:t>
      </w:r>
      <w:r>
        <w:tab/>
        <w:t xml:space="preserve">charitable purposes, if, in the opinion of the Corporation, the land is used for the purpose of —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Indenta"/>
      </w:pPr>
      <w:r>
        <w:tab/>
        <w:t>(c)</w:t>
      </w:r>
      <w:r>
        <w:tab/>
        <w:t>community residential, if the land is occupied as a communal property on which several family units dwell at the same time and is managed by the persons dwelling on the land or a committee of them,</w:t>
      </w:r>
    </w:p>
    <w:p>
      <w:pPr>
        <w:pStyle w:val="Subsection"/>
        <w:spacing w:before="120"/>
      </w:pPr>
      <w:r>
        <w:tab/>
      </w:r>
      <w:r>
        <w:tab/>
        <w:t>and, where it is not classified under paragraph (a), (b) or (c), shall be taken to have been classified as general exempt.</w:t>
      </w:r>
    </w:p>
    <w:p>
      <w:pPr>
        <w:pStyle w:val="Subsection"/>
      </w:pPr>
      <w:r>
        <w:tab/>
        <w:t>(2)</w:t>
      </w:r>
      <w:r>
        <w:tab/>
        <w:t>For the purposes of this Part, land, not being land mentioned in sub</w:t>
      </w:r>
      <w:r>
        <w:noBreakHyphen/>
        <w:t>bylaw (1),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 xml:space="preserve">law 23 inserted in Gazette 29 Jun 2007 p. 3252-3; amended in Gazette 19 Jun 2009 p. 2322.] </w:t>
      </w:r>
    </w:p>
    <w:p>
      <w:pPr>
        <w:pStyle w:val="Heading5"/>
        <w:rPr>
          <w:snapToGrid w:val="0"/>
        </w:rPr>
      </w:pPr>
      <w:bookmarkStart w:id="387" w:name="_Toc180204784"/>
      <w:bookmarkStart w:id="388" w:name="_Toc265743491"/>
      <w:r>
        <w:rPr>
          <w:rStyle w:val="CharSectno"/>
        </w:rPr>
        <w:t>24</w:t>
      </w:r>
      <w:r>
        <w:rPr>
          <w:snapToGrid w:val="0"/>
        </w:rPr>
        <w:t>.</w:t>
      </w:r>
      <w:r>
        <w:rPr>
          <w:snapToGrid w:val="0"/>
        </w:rPr>
        <w:tab/>
        <w:t>Indexation of certain valuations</w:t>
      </w:r>
      <w:bookmarkEnd w:id="385"/>
      <w:bookmarkEnd w:id="386"/>
      <w:bookmarkEnd w:id="387"/>
      <w:bookmarkEnd w:id="388"/>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provision of sewerage under the </w:t>
      </w:r>
      <w:r>
        <w:rPr>
          <w:i/>
          <w:snapToGrid w:val="0"/>
        </w:rPr>
        <w:t>Country Towns Sewerage Act 1948</w:t>
      </w:r>
      <w:r>
        <w:rPr>
          <w:snapToGrid w:val="0"/>
        </w:rPr>
        <w:t xml:space="preserve"> is to be assessed in respect of land by reference to GRV, the GRV for the purposes of assessing that charge shall be an adjusted GRV (</w:t>
      </w:r>
      <w:r>
        <w:rPr>
          <w:rStyle w:val="CharDefText"/>
        </w:rPr>
        <w:t>AGRV</w:t>
      </w:r>
      <w:r>
        <w:rPr>
          <w:snapToGrid w:val="0"/>
        </w:rPr>
        <w:t>) calculated in accordance with the formula in</w:t>
      </w:r>
      <w:r>
        <w:t xml:space="preserve"> Schedule 6</w:t>
      </w:r>
      <w:r>
        <w:rPr>
          <w:snapToGrid w:val="0"/>
        </w:rPr>
        <w:t>.</w:t>
      </w:r>
    </w:p>
    <w:p>
      <w:pPr>
        <w:pStyle w:val="Footnotesection"/>
      </w:pPr>
      <w:r>
        <w:tab/>
        <w:t>[By</w:t>
      </w:r>
      <w:r>
        <w:noBreakHyphen/>
        <w:t>law 24 amended in Gazette 29 Jun 1999 p. 2795; 29 Jun 2001 p. 3194.]</w:t>
      </w:r>
    </w:p>
    <w:p>
      <w:pPr>
        <w:pStyle w:val="Ednotesection"/>
      </w:pPr>
      <w:r>
        <w:t>[</w:t>
      </w:r>
      <w:r>
        <w:rPr>
          <w:b/>
        </w:rPr>
        <w:t>25.</w:t>
      </w:r>
      <w:r>
        <w:tab/>
        <w:t>Deleted in Gazette 1 Jul 2002 p. 3157.]</w:t>
      </w:r>
    </w:p>
    <w:p>
      <w:pPr>
        <w:pStyle w:val="Heading5"/>
        <w:rPr>
          <w:snapToGrid w:val="0"/>
        </w:rPr>
      </w:pPr>
      <w:bookmarkStart w:id="389" w:name="_Toc487428977"/>
      <w:bookmarkStart w:id="390" w:name="_Toc17278683"/>
      <w:bookmarkStart w:id="391" w:name="_Toc180204785"/>
      <w:bookmarkStart w:id="392" w:name="_Toc265743492"/>
      <w:r>
        <w:rPr>
          <w:rStyle w:val="CharSectno"/>
        </w:rPr>
        <w:t>25A</w:t>
      </w:r>
      <w:r>
        <w:rPr>
          <w:snapToGrid w:val="0"/>
        </w:rPr>
        <w:t>.</w:t>
      </w:r>
      <w:r>
        <w:rPr>
          <w:snapToGrid w:val="0"/>
        </w:rPr>
        <w:tab/>
        <w:t>Metered metropolitan non</w:t>
      </w:r>
      <w:r>
        <w:rPr>
          <w:snapToGrid w:val="0"/>
        </w:rPr>
        <w:noBreakHyphen/>
        <w:t>residential property sewerage charges</w:t>
      </w:r>
      <w:bookmarkEnd w:id="389"/>
      <w:bookmarkEnd w:id="390"/>
      <w:bookmarkEnd w:id="391"/>
      <w:bookmarkEnd w:id="392"/>
    </w:p>
    <w:p>
      <w:pPr>
        <w:pStyle w:val="Subsection"/>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00"/>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0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w:t>
      </w:r>
    </w:p>
    <w:p>
      <w:pPr>
        <w:pStyle w:val="Indenta"/>
        <w:spacing w:before="60"/>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spacing w:before="60"/>
        <w:rPr>
          <w:snapToGrid w:val="0"/>
          <w:spacing w:val="-4"/>
        </w:rPr>
      </w:pPr>
      <w:r>
        <w:rPr>
          <w:snapToGrid w:val="0"/>
          <w:spacing w:val="-4"/>
        </w:rPr>
        <w:tab/>
        <w:t>(c)</w:t>
      </w:r>
      <w:r>
        <w:rPr>
          <w:snapToGrid w:val="0"/>
          <w:spacing w:val="-4"/>
        </w:rPr>
        <w:tab/>
        <w:t xml:space="preserve">an interim valuation under the </w:t>
      </w:r>
      <w:r>
        <w:rPr>
          <w:i/>
          <w:snapToGrid w:val="0"/>
          <w:spacing w:val="-4"/>
        </w:rPr>
        <w:t>Valuation of Land Act 1978</w:t>
      </w:r>
      <w:r>
        <w:rPr>
          <w:snapToGrid w:val="0"/>
          <w:spacing w:val="-4"/>
        </w:rPr>
        <w:t xml:space="preserve"> reflecting any development or change of use of that land,</w:t>
      </w:r>
    </w:p>
    <w:p>
      <w:pPr>
        <w:pStyle w:val="Subsection"/>
        <w:rPr>
          <w:rFonts w:ascii="Times" w:hAnsi="Times"/>
          <w:snapToGrid w:val="0"/>
        </w:rPr>
      </w:pPr>
      <w:r>
        <w:rPr>
          <w:rFonts w:ascii="Times" w:hAnsi="Times"/>
          <w:snapToGrid w:val="0"/>
        </w:rPr>
        <w:tab/>
      </w:r>
      <w:r>
        <w:rPr>
          <w:rFonts w:ascii="Times" w:hAnsi="Times"/>
          <w:snapToGrid w:val="0"/>
        </w:rPr>
        <w:tab/>
        <w:t>the Corporation may, for the purposes of sub</w:t>
      </w:r>
      <w:r>
        <w:rPr>
          <w:rFonts w:ascii="Times" w:hAnsi="Times"/>
          <w:snapToGrid w:val="0"/>
        </w:rPr>
        <w:noBreakHyphen/>
        <w:t>bylaw (5), estimate a notional charge for the previous year in respect of that property, being the charge that would have been payable for that year if —</w:t>
      </w:r>
    </w:p>
    <w:p>
      <w:pPr>
        <w:pStyle w:val="Indenta"/>
        <w:spacing w:before="60"/>
        <w:rPr>
          <w:snapToGrid w:val="0"/>
        </w:rPr>
      </w:pPr>
      <w:r>
        <w:rPr>
          <w:snapToGrid w:val="0"/>
        </w:rPr>
        <w:tab/>
        <w:t>(d)</w:t>
      </w:r>
      <w:r>
        <w:rPr>
          <w:snapToGrid w:val="0"/>
        </w:rPr>
        <w:tab/>
        <w:t>the matters and circumstances currently prevailing had prevailed;</w:t>
      </w:r>
    </w:p>
    <w:p>
      <w:pPr>
        <w:pStyle w:val="Indenta"/>
        <w:spacing w:before="60"/>
        <w:rPr>
          <w:snapToGrid w:val="0"/>
        </w:rPr>
      </w:pPr>
      <w:r>
        <w:rPr>
          <w:snapToGrid w:val="0"/>
        </w:rPr>
        <w:tab/>
        <w:t>(e)</w:t>
      </w:r>
      <w:r>
        <w:rPr>
          <w:snapToGrid w:val="0"/>
        </w:rPr>
        <w:tab/>
        <w:t>the method of calculation of the discharge charge currently prevailing had been used;</w:t>
      </w:r>
    </w:p>
    <w:p>
      <w:pPr>
        <w:pStyle w:val="Indenta"/>
        <w:spacing w:before="60"/>
        <w:rPr>
          <w:snapToGrid w:val="0"/>
        </w:rPr>
      </w:pPr>
      <w:r>
        <w:rPr>
          <w:snapToGrid w:val="0"/>
        </w:rPr>
        <w:tab/>
        <w:t>(f)</w:t>
      </w:r>
      <w:r>
        <w:rPr>
          <w:snapToGrid w:val="0"/>
        </w:rPr>
        <w:tab/>
        <w:t>any changed number of major fixtures referred to in paragraph (b) had been provided; and</w:t>
      </w:r>
    </w:p>
    <w:p>
      <w:pPr>
        <w:pStyle w:val="Indenta"/>
        <w:spacing w:before="60"/>
        <w:rPr>
          <w:snapToGrid w:val="0"/>
        </w:rPr>
      </w:pPr>
      <w:r>
        <w:rPr>
          <w:snapToGrid w:val="0"/>
        </w:rPr>
        <w:tab/>
        <w:t>(g)</w:t>
      </w:r>
      <w:r>
        <w:rPr>
          <w:snapToGrid w:val="0"/>
        </w:rPr>
        <w:tab/>
        <w:t>any interim valuation reflecting any development or change in use referred to in paragraph (c) had been made and in force,</w:t>
      </w:r>
    </w:p>
    <w:p>
      <w:pPr>
        <w:pStyle w:val="Subsection"/>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r>
        <w:t xml:space="preserve">12.1% </w:t>
      </w:r>
      <w:r>
        <w:rPr>
          <w:snapToGrid w:val="0"/>
        </w:rPr>
        <w:t xml:space="preserve">greater than the charge calculated for the same service (and under the same circumstances) in the previous year, the charge is only payable up to that </w:t>
      </w:r>
      <w:r>
        <w:t xml:space="preserve">12.1% </w:t>
      </w:r>
      <w:r>
        <w:rPr>
          <w:snapToGrid w:val="0"/>
        </w:rPr>
        <w:t>increase.</w:t>
      </w:r>
    </w:p>
    <w:p>
      <w:pPr>
        <w:pStyle w:val="Footnotesection"/>
        <w:spacing w:before="80"/>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 30 Jun 2006 p. 2417; 29 Jun 2007 p. 3253; 27 Jun 2008 p. 2987; 19 Jun 2009 p. 2323; 25 Jun 2010 p. 2906.]</w:t>
      </w:r>
    </w:p>
    <w:p>
      <w:pPr>
        <w:pStyle w:val="Heading5"/>
        <w:keepLines w:val="0"/>
        <w:spacing w:before="180"/>
        <w:rPr>
          <w:snapToGrid w:val="0"/>
        </w:rPr>
      </w:pPr>
      <w:bookmarkStart w:id="393" w:name="_Toc487428978"/>
      <w:bookmarkStart w:id="394" w:name="_Toc17278684"/>
      <w:bookmarkStart w:id="395" w:name="_Toc180204786"/>
      <w:bookmarkStart w:id="396" w:name="_Toc265743493"/>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393"/>
      <w:bookmarkEnd w:id="394"/>
      <w:bookmarkEnd w:id="395"/>
      <w:bookmarkEnd w:id="396"/>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snapToGrid w:val="0"/>
        </w:rPr>
        <w:t>“Q”</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snapToGrid w:val="0"/>
        </w:rPr>
        <w:t>“P”</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spacing w:before="80"/>
        <w:ind w:left="890" w:hanging="890"/>
      </w:pPr>
      <w:r>
        <w:tab/>
        <w:t>[By</w:t>
      </w:r>
      <w:r>
        <w:noBreakHyphen/>
        <w:t>law 25B inserted in Gazette 28 Jun 1996 p. 3111; amended in Gazette 27 Jun 1997 p. 3180 and 3203.]</w:t>
      </w:r>
    </w:p>
    <w:p>
      <w:pPr>
        <w:pStyle w:val="Heading5"/>
        <w:rPr>
          <w:snapToGrid w:val="0"/>
        </w:rPr>
      </w:pPr>
      <w:bookmarkStart w:id="397" w:name="_Toc487428979"/>
      <w:bookmarkStart w:id="398" w:name="_Toc17278685"/>
      <w:bookmarkStart w:id="399" w:name="_Toc180204787"/>
      <w:bookmarkStart w:id="400" w:name="_Toc265743494"/>
      <w:r>
        <w:rPr>
          <w:rStyle w:val="CharSectno"/>
        </w:rPr>
        <w:t>25C</w:t>
      </w:r>
      <w:r>
        <w:rPr>
          <w:snapToGrid w:val="0"/>
        </w:rPr>
        <w:t>.</w:t>
      </w:r>
      <w:r>
        <w:rPr>
          <w:snapToGrid w:val="0"/>
        </w:rPr>
        <w:tab/>
        <w:t>Charging for shared sewerage fixtures on metropolitan non</w:t>
      </w:r>
      <w:r>
        <w:rPr>
          <w:snapToGrid w:val="0"/>
        </w:rPr>
        <w:noBreakHyphen/>
        <w:t>residential property</w:t>
      </w:r>
      <w:bookmarkEnd w:id="397"/>
      <w:bookmarkEnd w:id="398"/>
      <w:bookmarkEnd w:id="399"/>
      <w:bookmarkEnd w:id="400"/>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spacing w:before="80"/>
        <w:ind w:left="890" w:hanging="890"/>
      </w:pPr>
      <w:r>
        <w:tab/>
        <w:t>[By</w:t>
      </w:r>
      <w:r>
        <w:noBreakHyphen/>
        <w:t>law 25C inserted in Gazette 30 Jun 1995 p. 2743</w:t>
      </w:r>
      <w:r>
        <w:noBreakHyphen/>
        <w:t>4.]</w:t>
      </w:r>
    </w:p>
    <w:p>
      <w:pPr>
        <w:pStyle w:val="Heading5"/>
        <w:rPr>
          <w:snapToGrid w:val="0"/>
        </w:rPr>
      </w:pPr>
      <w:bookmarkStart w:id="401" w:name="_Toc180204788"/>
      <w:bookmarkStart w:id="402" w:name="_Toc265743495"/>
      <w:r>
        <w:rPr>
          <w:rStyle w:val="CharSectno"/>
        </w:rPr>
        <w:t>26</w:t>
      </w:r>
      <w:r>
        <w:t>.</w:t>
      </w:r>
      <w:r>
        <w:tab/>
      </w:r>
      <w:bookmarkStart w:id="403" w:name="_Toc43099247"/>
      <w:r>
        <w:rPr>
          <w:snapToGrid w:val="0"/>
        </w:rPr>
        <w:t xml:space="preserve">Metered country </w:t>
      </w:r>
      <w:r>
        <w:t>non</w:t>
      </w:r>
      <w:r>
        <w:noBreakHyphen/>
        <w:t>residential or commercial residential</w:t>
      </w:r>
      <w:r>
        <w:rPr>
          <w:snapToGrid w:val="0"/>
        </w:rPr>
        <w:t xml:space="preserve"> property sewerage charges</w:t>
      </w:r>
      <w:bookmarkEnd w:id="401"/>
      <w:bookmarkEnd w:id="402"/>
      <w:bookmarkEnd w:id="403"/>
    </w:p>
    <w:p>
      <w:pPr>
        <w:pStyle w:val="Subsection"/>
        <w:spacing w:before="200"/>
      </w:pPr>
      <w:r>
        <w:tab/>
        <w:t>(1)</w:t>
      </w:r>
      <w:r>
        <w:tab/>
        <w:t>Subject to sub</w:t>
      </w:r>
      <w:r>
        <w:noBreakHyphen/>
        <w:t>bylaws (3) and (5) and notwithstanding any other provision of these by</w:t>
      </w:r>
      <w:r>
        <w:noBreakHyphen/>
        <w:t>laws, the minimum charge payable for the current year for the provision of sewerage to a country non</w:t>
      </w:r>
      <w:r>
        <w:noBreakHyphen/>
        <w:t>residential or commercial residential 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pPr>
      <w:r>
        <w:tab/>
      </w:r>
      <w:r>
        <w:tab/>
        <w:t>whichever is the greater.</w:t>
      </w:r>
    </w:p>
    <w:p>
      <w:pPr>
        <w:pStyle w:val="Subsection"/>
        <w:spacing w:before="200"/>
      </w:pPr>
      <w:r>
        <w:tab/>
        <w:t>(2)</w:t>
      </w:r>
      <w:r>
        <w:tab/>
        <w:t xml:space="preserve">Where land classified as </w:t>
      </w:r>
      <w:r>
        <w:rPr>
          <w:snapToGrid w:val="0"/>
        </w:rPr>
        <w:t xml:space="preserve">country </w:t>
      </w:r>
      <w:r>
        <w:t>non</w:t>
      </w:r>
      <w:r>
        <w:noBreakHyphen/>
        <w:t>residential or commercial 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pPr>
      <w:r>
        <w:tab/>
        <w:t>(a)</w:t>
      </w:r>
      <w:r>
        <w:tab/>
        <w:t xml:space="preserve">the land had been classified as </w:t>
      </w:r>
      <w:r>
        <w:rPr>
          <w:snapToGrid w:val="0"/>
        </w:rPr>
        <w:t xml:space="preserve">country </w:t>
      </w:r>
      <w:r>
        <w:t>non</w:t>
      </w:r>
      <w:r>
        <w:noBreakHyphen/>
        <w:t>residential or commercial residential; and</w:t>
      </w:r>
    </w:p>
    <w:p>
      <w:pPr>
        <w:pStyle w:val="Indenta"/>
      </w:pPr>
      <w:r>
        <w:tab/>
        <w:t>(b)</w:t>
      </w:r>
      <w:r>
        <w:tab/>
        <w:t>the matters and circumstances currently prevailing had prevailed,</w:t>
      </w:r>
    </w:p>
    <w:p>
      <w:pPr>
        <w:pStyle w:val="Subsection"/>
        <w:spacing w:before="10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rPr>
        <w:t>“A”</w:t>
      </w:r>
      <w:r>
        <w:t xml:space="preserve"> of the formula.</w:t>
      </w:r>
    </w:p>
    <w:p>
      <w:pPr>
        <w:pStyle w:val="Subsection"/>
      </w:pPr>
      <w:r>
        <w:tab/>
        <w:t>(3)</w:t>
      </w:r>
      <w:r>
        <w:tab/>
        <w:t xml:space="preserve">Where part of the way through the current year land </w:t>
      </w:r>
      <w:r>
        <w:rPr>
          <w:spacing w:val="-4"/>
        </w:rPr>
        <w:t xml:space="preserve">ceases to be, or becomes, </w:t>
      </w:r>
      <w:r>
        <w:rPr>
          <w:snapToGrid w:val="0"/>
          <w:spacing w:val="-4"/>
        </w:rPr>
        <w:t>country</w:t>
      </w:r>
      <w:r>
        <w:t xml:space="preserve"> non</w:t>
      </w:r>
      <w:r>
        <w:noBreakHyphen/>
        <w:t>residential or commercial residential</w:t>
      </w:r>
      <w:r>
        <w:rPr>
          <w:snapToGrid w:val="0"/>
        </w:rPr>
        <w:t xml:space="preserve"> </w:t>
      </w:r>
      <w:r>
        <w:t>property, the charge payable in respect of that land shall be payable in the same ratio as the part of the year for which the charge applies bears to the full year.</w:t>
      </w:r>
    </w:p>
    <w:p>
      <w:pPr>
        <w:pStyle w:val="Subsection"/>
        <w:keepNext/>
        <w:keepLines/>
      </w:pPr>
      <w:r>
        <w:tab/>
        <w:t>(4)</w:t>
      </w:r>
      <w:r>
        <w:tab/>
        <w:t xml:space="preserve">Where, for a portion of the current year, in respect of </w:t>
      </w:r>
      <w:r>
        <w:rPr>
          <w:snapToGrid w:val="0"/>
        </w:rPr>
        <w:t xml:space="preserve">country </w:t>
      </w:r>
      <w:r>
        <w:t>non</w:t>
      </w:r>
      <w:r>
        <w:noBreakHyphen/>
        <w:t>residential or commercial residential property, there is —</w:t>
      </w:r>
    </w:p>
    <w:p>
      <w:pPr>
        <w:pStyle w:val="Indenta"/>
      </w:pPr>
      <w:r>
        <w:tab/>
        <w:t>(a)</w:t>
      </w:r>
      <w:r>
        <w:tab/>
        <w:t>a change in the amount of the charges for the current year as a result of an alteration in the method in which the discharge charge is calculated for that property;</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w:t>
      </w:r>
    </w:p>
    <w:p>
      <w:pPr>
        <w:pStyle w:val="Indenta"/>
      </w:pPr>
      <w:r>
        <w:tab/>
        <w:t>(e)</w:t>
      </w:r>
      <w:r>
        <w:tab/>
        <w:t>the method of calculation of the discharge charge currently prevailing had been used;</w:t>
      </w:r>
    </w:p>
    <w:p>
      <w:pPr>
        <w:pStyle w:val="Indenta"/>
      </w:pPr>
      <w:r>
        <w:tab/>
        <w:t>(f)</w:t>
      </w:r>
      <w:r>
        <w:tab/>
        <w:t>any changed number of major fixtures referred to in paragraph (b) had been provided; and</w:t>
      </w:r>
    </w:p>
    <w:p>
      <w:pPr>
        <w:pStyle w:val="Indenta"/>
      </w:pPr>
      <w:r>
        <w:tab/>
        <w:t>(g)</w:t>
      </w:r>
      <w:r>
        <w:tab/>
        <w:t>any interim valuation reflecting any development or change in use referred to in paragraph (c) had been made and in force,</w:t>
      </w:r>
    </w:p>
    <w:p>
      <w:pPr>
        <w:pStyle w:val="Subsection"/>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pPr>
      <w:bookmarkStart w:id="404" w:name="_Toc43099248"/>
      <w:r>
        <w:tab/>
        <w:t>[By</w:t>
      </w:r>
      <w:r>
        <w:noBreakHyphen/>
        <w:t>law 26 inserted in Gazette 27 Jun 2003 p. 2288-90; amended in Gazette 29 Jun 2007 p. 3253.]</w:t>
      </w:r>
    </w:p>
    <w:p>
      <w:pPr>
        <w:pStyle w:val="Heading5"/>
      </w:pPr>
      <w:bookmarkStart w:id="405" w:name="_Toc180204789"/>
      <w:bookmarkStart w:id="406" w:name="_Toc265743496"/>
      <w:r>
        <w:rPr>
          <w:rStyle w:val="CharSectno"/>
        </w:rPr>
        <w:t>26A</w:t>
      </w:r>
      <w:r>
        <w:t>.</w:t>
      </w:r>
      <w:r>
        <w:tab/>
        <w:t>Un</w:t>
      </w:r>
      <w:r>
        <w:noBreakHyphen/>
        <w:t xml:space="preserve">metered or unconnected </w:t>
      </w:r>
      <w:r>
        <w:rPr>
          <w:snapToGrid w:val="0"/>
        </w:rPr>
        <w:t>country non</w:t>
      </w:r>
      <w:r>
        <w:rPr>
          <w:snapToGrid w:val="0"/>
        </w:rPr>
        <w:noBreakHyphen/>
        <w:t>residential or commercial residential</w:t>
      </w:r>
      <w:r>
        <w:t xml:space="preserve"> property sewerage charges</w:t>
      </w:r>
      <w:bookmarkEnd w:id="404"/>
      <w:bookmarkEnd w:id="405"/>
      <w:bookmarkEnd w:id="406"/>
    </w:p>
    <w:p>
      <w:pPr>
        <w:pStyle w:val="Subsection"/>
      </w:pPr>
      <w:r>
        <w:tab/>
        <w:t>(1)</w:t>
      </w:r>
      <w:r>
        <w:tab/>
        <w:t>Subject to sub</w:t>
      </w:r>
      <w:r>
        <w:noBreakHyphen/>
        <w:t xml:space="preserve">bylaw (2), the minimum charge payable for the current year for the provision of sewerage to a </w:t>
      </w:r>
      <w:r>
        <w:rPr>
          <w:snapToGrid w:val="0"/>
        </w:rPr>
        <w:t xml:space="preserve">country </w:t>
      </w:r>
      <w:r>
        <w:t>non</w:t>
      </w:r>
      <w:r>
        <w:noBreakHyphen/>
        <w:t xml:space="preserve">residential or commercial residential property which has sewerage available but not connected is calculated in accordance with the formula, with the variable </w:t>
      </w:r>
      <w:r>
        <w:rPr>
          <w:b/>
        </w:rPr>
        <w:t>“Q”</w:t>
      </w:r>
      <w:r>
        <w:t xml:space="preserve"> in the formula having a value of nil.</w:t>
      </w:r>
    </w:p>
    <w:p>
      <w:pPr>
        <w:pStyle w:val="Subsection"/>
      </w:pPr>
      <w:r>
        <w:tab/>
        <w:t>(2)</w:t>
      </w:r>
      <w:r>
        <w:tab/>
        <w:t xml:space="preserve">Where a </w:t>
      </w:r>
      <w:r>
        <w:rPr>
          <w:snapToGrid w:val="0"/>
        </w:rPr>
        <w:t xml:space="preserve">country </w:t>
      </w:r>
      <w:r>
        <w:t>non</w:t>
      </w:r>
      <w:r>
        <w:noBreakHyphen/>
        <w:t>residential or commercial residential property has no major fixtures, or no shared major fixtures as described in by</w:t>
      </w:r>
      <w:r>
        <w:noBreakHyphen/>
        <w:t xml:space="preserve">law 26B, the minimum charge payable for the current year for one major fixture, as set out in the Table, is the value of the variable </w:t>
      </w:r>
      <w:r>
        <w:rPr>
          <w:b/>
        </w:rPr>
        <w:t>“P”</w:t>
      </w:r>
      <w:r>
        <w:t xml:space="preserve"> in the formula.</w:t>
      </w:r>
    </w:p>
    <w:p>
      <w:pPr>
        <w:pStyle w:val="Subsection"/>
      </w:pPr>
      <w:r>
        <w:tab/>
        <w:t>(3)</w:t>
      </w:r>
      <w:r>
        <w:tab/>
        <w:t xml:space="preserve">The minimum charge payable for the current year for the provision of sewerage to a </w:t>
      </w:r>
      <w:r>
        <w:rPr>
          <w:snapToGrid w:val="0"/>
        </w:rPr>
        <w:t xml:space="preserve">country </w:t>
      </w:r>
      <w:r>
        <w:t>non</w:t>
      </w:r>
      <w:r>
        <w:noBreakHyphen/>
        <w:t>residential or commercial residential 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pPr>
      <w:r>
        <w:tab/>
      </w:r>
      <w:r>
        <w:tab/>
        <w:t>and the discharge charge will be applied accordingly.</w:t>
      </w:r>
    </w:p>
    <w:p>
      <w:pPr>
        <w:pStyle w:val="Footnotesection"/>
      </w:pPr>
      <w:bookmarkStart w:id="407" w:name="_Toc43099249"/>
      <w:r>
        <w:tab/>
        <w:t>[By</w:t>
      </w:r>
      <w:r>
        <w:noBreakHyphen/>
        <w:t>law 26A inserted in Gazette 27 Jun 2003 p. 2290-1; amended in Gazette 29 Jun 2007 p. 3253.]</w:t>
      </w:r>
    </w:p>
    <w:p>
      <w:pPr>
        <w:pStyle w:val="Heading5"/>
      </w:pPr>
      <w:bookmarkStart w:id="408" w:name="_Toc180204790"/>
      <w:bookmarkStart w:id="409" w:name="_Toc265743497"/>
      <w:r>
        <w:rPr>
          <w:rStyle w:val="CharSectno"/>
        </w:rPr>
        <w:t>26B</w:t>
      </w:r>
      <w:r>
        <w:t>.</w:t>
      </w:r>
      <w:r>
        <w:tab/>
        <w:t xml:space="preserve">Charging for shared sewerage fixtures on </w:t>
      </w:r>
      <w:r>
        <w:rPr>
          <w:snapToGrid w:val="0"/>
        </w:rPr>
        <w:t xml:space="preserve">country </w:t>
      </w:r>
      <w:r>
        <w:t>non</w:t>
      </w:r>
      <w:r>
        <w:noBreakHyphen/>
        <w:t>residential or commercial residential property</w:t>
      </w:r>
      <w:bookmarkEnd w:id="407"/>
      <w:bookmarkEnd w:id="408"/>
      <w:bookmarkEnd w:id="409"/>
    </w:p>
    <w:p>
      <w:pPr>
        <w:pStyle w:val="Subsection"/>
      </w:pPr>
      <w:r>
        <w:tab/>
      </w:r>
      <w:r>
        <w:tab/>
        <w:t xml:space="preserve">Where all or some major sewerage fixtures are shared between </w:t>
      </w:r>
      <w:r>
        <w:rPr>
          <w:snapToGrid w:val="0"/>
        </w:rPr>
        <w:t xml:space="preserve">country </w:t>
      </w:r>
      <w:r>
        <w:t>non</w:t>
      </w:r>
      <w:r>
        <w:noBreakHyphen/>
        <w:t>residential or commercial residential properties the 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pPr>
      <w:r>
        <w:tab/>
        <w:t>[By</w:t>
      </w:r>
      <w:r>
        <w:noBreakHyphen/>
        <w:t>law 26B inserted in Gazette 27 Jun 2003 p. 2291-2; amended in Gazette 29 Jun 2007 p. 3253.]</w:t>
      </w:r>
    </w:p>
    <w:p>
      <w:pPr>
        <w:pStyle w:val="Heading2"/>
      </w:pPr>
      <w:bookmarkStart w:id="410" w:name="_Toc91580444"/>
      <w:bookmarkStart w:id="411" w:name="_Toc103667129"/>
      <w:bookmarkStart w:id="412" w:name="_Toc103741648"/>
      <w:bookmarkStart w:id="413" w:name="_Toc107981891"/>
      <w:bookmarkStart w:id="414" w:name="_Toc118800058"/>
      <w:bookmarkStart w:id="415" w:name="_Toc118860066"/>
      <w:bookmarkStart w:id="416" w:name="_Toc121545566"/>
      <w:bookmarkStart w:id="417" w:name="_Toc121801089"/>
      <w:bookmarkStart w:id="418" w:name="_Toc121818202"/>
      <w:bookmarkStart w:id="419" w:name="_Toc121880812"/>
      <w:bookmarkStart w:id="420" w:name="_Toc129481883"/>
      <w:bookmarkStart w:id="421" w:name="_Toc130095252"/>
      <w:bookmarkStart w:id="422" w:name="_Toc130273316"/>
      <w:bookmarkStart w:id="423" w:name="_Toc139770989"/>
      <w:bookmarkStart w:id="424" w:name="_Toc139771367"/>
      <w:bookmarkStart w:id="425" w:name="_Toc151191582"/>
      <w:bookmarkStart w:id="426" w:name="_Toc151260475"/>
      <w:bookmarkStart w:id="427" w:name="_Toc164158580"/>
      <w:bookmarkStart w:id="428" w:name="_Toc164220952"/>
      <w:bookmarkStart w:id="429" w:name="_Toc170878913"/>
      <w:bookmarkStart w:id="430" w:name="_Toc170894664"/>
      <w:bookmarkStart w:id="431" w:name="_Toc175712630"/>
      <w:bookmarkStart w:id="432" w:name="_Toc175970571"/>
      <w:bookmarkStart w:id="433" w:name="_Toc176335290"/>
      <w:bookmarkStart w:id="434" w:name="_Toc176338865"/>
      <w:bookmarkStart w:id="435" w:name="_Toc178742890"/>
      <w:bookmarkStart w:id="436" w:name="_Toc179363313"/>
      <w:bookmarkStart w:id="437" w:name="_Toc179604382"/>
      <w:bookmarkStart w:id="438" w:name="_Toc180204575"/>
      <w:bookmarkStart w:id="439" w:name="_Toc180204791"/>
      <w:bookmarkStart w:id="440" w:name="_Toc185844536"/>
      <w:bookmarkStart w:id="441" w:name="_Toc185845156"/>
      <w:bookmarkStart w:id="442" w:name="_Toc185927121"/>
      <w:bookmarkStart w:id="443" w:name="_Toc202505869"/>
      <w:bookmarkStart w:id="444" w:name="_Toc202672654"/>
      <w:bookmarkStart w:id="445" w:name="_Toc202691745"/>
      <w:bookmarkStart w:id="446" w:name="_Toc233448367"/>
      <w:bookmarkStart w:id="447" w:name="_Toc233611681"/>
      <w:bookmarkStart w:id="448" w:name="_Toc234730688"/>
      <w:bookmarkStart w:id="449" w:name="_Toc234733214"/>
      <w:bookmarkStart w:id="450" w:name="_Toc235863951"/>
      <w:bookmarkStart w:id="451" w:name="_Toc235933426"/>
      <w:bookmarkStart w:id="452" w:name="_Toc237164414"/>
      <w:bookmarkStart w:id="453" w:name="_Toc237244297"/>
      <w:bookmarkStart w:id="454" w:name="_Toc237245598"/>
      <w:bookmarkStart w:id="455" w:name="_Toc237245729"/>
      <w:bookmarkStart w:id="456" w:name="_Toc237247837"/>
      <w:bookmarkStart w:id="457" w:name="_Toc237254140"/>
      <w:bookmarkStart w:id="458" w:name="_Toc237309559"/>
      <w:bookmarkStart w:id="459" w:name="_Toc265743498"/>
      <w:r>
        <w:rPr>
          <w:rStyle w:val="CharPartNo"/>
        </w:rPr>
        <w:t>Part 4</w:t>
      </w:r>
      <w:r>
        <w:rPr>
          <w:rStyle w:val="CharDivNo"/>
        </w:rPr>
        <w:t> </w:t>
      </w:r>
      <w:r>
        <w:t>—</w:t>
      </w:r>
      <w:r>
        <w:rPr>
          <w:rStyle w:val="CharDivText"/>
        </w:rPr>
        <w:t> </w:t>
      </w:r>
      <w:r>
        <w:rPr>
          <w:rStyle w:val="CharPartText"/>
        </w:rPr>
        <w:t>Drainage</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rPr>
          <w:snapToGrid w:val="0"/>
        </w:rPr>
      </w:pPr>
      <w:bookmarkStart w:id="460" w:name="_Toc487428980"/>
      <w:bookmarkStart w:id="461" w:name="_Toc17278686"/>
      <w:bookmarkStart w:id="462" w:name="_Toc180204792"/>
      <w:bookmarkStart w:id="463" w:name="_Toc265743499"/>
      <w:r>
        <w:rPr>
          <w:rStyle w:val="CharSectno"/>
        </w:rPr>
        <w:t>27</w:t>
      </w:r>
      <w:r>
        <w:rPr>
          <w:snapToGrid w:val="0"/>
        </w:rPr>
        <w:t>.</w:t>
      </w:r>
      <w:r>
        <w:rPr>
          <w:snapToGrid w:val="0"/>
        </w:rPr>
        <w:tab/>
        <w:t>Land subject to drainage charges</w:t>
      </w:r>
      <w:bookmarkEnd w:id="460"/>
      <w:bookmarkEnd w:id="461"/>
      <w:bookmarkEnd w:id="462"/>
      <w:bookmarkEnd w:id="463"/>
    </w:p>
    <w:p>
      <w:pPr>
        <w:pStyle w:val="Subsection"/>
        <w:rPr>
          <w:snapToGrid w:val="0"/>
        </w:rPr>
      </w:pPr>
      <w:r>
        <w:rPr>
          <w:snapToGrid w:val="0"/>
        </w:rPr>
        <w:tab/>
      </w:r>
      <w:r>
        <w:rPr>
          <w:snapToGrid w:val="0"/>
        </w:rPr>
        <w:tab/>
        <w:t xml:space="preserve">Land in a drainage area within the meaning of the </w:t>
      </w:r>
      <w:r>
        <w:rPr>
          <w:i/>
          <w:snapToGrid w:val="0"/>
        </w:rPr>
        <w:t>Metropolitan Water Authority Act 1982</w:t>
      </w:r>
      <w:r>
        <w:rPr>
          <w:snapToGrid w:val="0"/>
        </w:rPr>
        <w:t xml:space="preserve"> shall be taken, in accordance with section 41(1)(b) of the </w:t>
      </w:r>
      <w:r>
        <w:rPr>
          <w:i/>
          <w:snapToGrid w:val="0"/>
        </w:rPr>
        <w:t>Water Agencies (Powers) Act 1984</w:t>
      </w:r>
      <w:r>
        <w:rPr>
          <w:snapToGrid w:val="0"/>
        </w:rPr>
        <w:t>, to be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 19 Jun 2009 p. 2323.]</w:t>
      </w:r>
    </w:p>
    <w:p>
      <w:pPr>
        <w:pStyle w:val="Heading5"/>
        <w:rPr>
          <w:snapToGrid w:val="0"/>
        </w:rPr>
      </w:pPr>
      <w:bookmarkStart w:id="464" w:name="_Toc487428981"/>
      <w:bookmarkStart w:id="465" w:name="_Toc17278687"/>
      <w:bookmarkStart w:id="466" w:name="_Toc180204793"/>
      <w:bookmarkStart w:id="467" w:name="_Toc265743500"/>
      <w:r>
        <w:rPr>
          <w:rStyle w:val="CharSectno"/>
        </w:rPr>
        <w:t>28</w:t>
      </w:r>
      <w:r>
        <w:rPr>
          <w:snapToGrid w:val="0"/>
        </w:rPr>
        <w:t>.</w:t>
      </w:r>
      <w:r>
        <w:rPr>
          <w:snapToGrid w:val="0"/>
        </w:rPr>
        <w:tab/>
        <w:t>Exempt land</w:t>
      </w:r>
      <w:bookmarkEnd w:id="464"/>
      <w:bookmarkEnd w:id="465"/>
      <w:bookmarkEnd w:id="466"/>
      <w:bookmarkEnd w:id="467"/>
    </w:p>
    <w:p>
      <w:pPr>
        <w:pStyle w:val="Subsection"/>
        <w:rPr>
          <w:snapToGrid w:val="0"/>
        </w:rPr>
      </w:pPr>
      <w:r>
        <w:rPr>
          <w:snapToGrid w:val="0"/>
        </w:rPr>
        <w:tab/>
        <w:t>(1)</w:t>
      </w:r>
      <w:r>
        <w:rPr>
          <w:snapToGrid w:val="0"/>
        </w:rPr>
        <w:tab/>
        <w:t>Land described in by</w:t>
      </w:r>
      <w:r>
        <w:rPr>
          <w:snapToGrid w:val="0"/>
        </w:rPr>
        <w:noBreakHyphen/>
        <w:t>law 4 is exempt from any charge set out in</w:t>
      </w:r>
      <w:r>
        <w:t xml:space="preserve"> Schedule 4</w:t>
      </w:r>
      <w:r>
        <w:rPr>
          <w:snapToGrid w:val="0"/>
        </w:rPr>
        <w:t>.</w:t>
      </w:r>
    </w:p>
    <w:p>
      <w:pPr>
        <w:pStyle w:val="Subsection"/>
      </w:pPr>
      <w:r>
        <w:tab/>
        <w:t>(2)</w:t>
      </w:r>
      <w:r>
        <w:tab/>
        <w:t xml:space="preserve">A lot that is — </w:t>
      </w:r>
    </w:p>
    <w:p>
      <w:pPr>
        <w:pStyle w:val="Indenta"/>
      </w:pPr>
      <w:r>
        <w:tab/>
        <w:t>(a)</w:t>
      </w:r>
      <w:r>
        <w:tab/>
        <w:t>greater than one hectare in area; and</w:t>
      </w:r>
    </w:p>
    <w:p>
      <w:pPr>
        <w:pStyle w:val="Indenta"/>
      </w:pPr>
      <w:r>
        <w:tab/>
        <w:t>(b)</w:t>
      </w:r>
      <w:r>
        <w:tab/>
        <w:t xml:space="preserve">comprised wholly of — </w:t>
      </w:r>
    </w:p>
    <w:p>
      <w:pPr>
        <w:pStyle w:val="Indenti"/>
      </w:pPr>
      <w:r>
        <w:tab/>
        <w:t>(i)</w:t>
      </w:r>
      <w:r>
        <w:tab/>
        <w:t>rural land; or</w:t>
      </w:r>
    </w:p>
    <w:p>
      <w:pPr>
        <w:pStyle w:val="Indenti"/>
      </w:pPr>
      <w:r>
        <w:tab/>
        <w:t>(ii)</w:t>
      </w:r>
      <w:r>
        <w:tab/>
        <w:t>land that has not been the subject of development,</w:t>
      </w:r>
    </w:p>
    <w:p>
      <w:pPr>
        <w:pStyle w:val="Subsection"/>
      </w:pPr>
      <w:r>
        <w:tab/>
      </w:r>
      <w:r>
        <w:tab/>
        <w:t>is exempt from any charge set out in Schedule 4.</w:t>
      </w:r>
    </w:p>
    <w:p>
      <w:pPr>
        <w:pStyle w:val="Subsection"/>
      </w:pPr>
      <w:r>
        <w:tab/>
        <w:t>(3)</w:t>
      </w:r>
      <w:r>
        <w:tab/>
        <w:t>In sub</w:t>
      </w:r>
      <w:r>
        <w:noBreakHyphen/>
        <w:t xml:space="preserve">bylaw (2) — </w:t>
      </w:r>
    </w:p>
    <w:p>
      <w:pPr>
        <w:pStyle w:val="Defstart"/>
      </w:pPr>
      <w:r>
        <w:rPr>
          <w:b/>
        </w:rPr>
        <w:tab/>
      </w:r>
      <w:r>
        <w:rPr>
          <w:rStyle w:val="CharDefText"/>
        </w:rPr>
        <w:t>development</w:t>
      </w:r>
      <w:r>
        <w:t xml:space="preserve"> has the meaning given in the </w:t>
      </w:r>
      <w:r>
        <w:rPr>
          <w:i/>
        </w:rPr>
        <w:t>Planning and Development Act 2005</w:t>
      </w:r>
      <w:r>
        <w:t>;</w:t>
      </w:r>
    </w:p>
    <w:p>
      <w:pPr>
        <w:pStyle w:val="Defstart"/>
      </w:pPr>
      <w:r>
        <w:rPr>
          <w:b/>
        </w:rPr>
        <w:tab/>
      </w:r>
      <w:r>
        <w:rPr>
          <w:rStyle w:val="CharDefText"/>
        </w:rPr>
        <w:t>lot</w:t>
      </w:r>
      <w:r>
        <w:t xml:space="preserve"> has the meaning given in the </w:t>
      </w:r>
      <w:r>
        <w:rPr>
          <w:i/>
        </w:rPr>
        <w:t>Planning and Development Act 2005</w:t>
      </w:r>
      <w:r>
        <w:t>;</w:t>
      </w:r>
    </w:p>
    <w:p>
      <w:pPr>
        <w:pStyle w:val="Defstart"/>
      </w:pPr>
      <w:r>
        <w:rPr>
          <w:b/>
        </w:rPr>
        <w:tab/>
      </w:r>
      <w:r>
        <w:rPr>
          <w:rStyle w:val="CharDefText"/>
        </w:rPr>
        <w:t>rural land</w:t>
      </w:r>
      <w:r>
        <w:t xml:space="preserve"> means land zoned for agricultural or rural use under a local planning scheme made under the </w:t>
      </w:r>
      <w:r>
        <w:rPr>
          <w:i/>
        </w:rPr>
        <w:t>Planning and Development Act 2005</w:t>
      </w:r>
      <w:r>
        <w:t>.</w:t>
      </w:r>
    </w:p>
    <w:p>
      <w:pPr>
        <w:pStyle w:val="Footnotesection"/>
      </w:pPr>
      <w:r>
        <w:tab/>
        <w:t>[By</w:t>
      </w:r>
      <w:r>
        <w:noBreakHyphen/>
        <w:t>law 28 amended in Gazette 29 Jun 2001 p. 3194; 27 Jun 2008 p. 2987.]</w:t>
      </w:r>
    </w:p>
    <w:p>
      <w:pPr>
        <w:pStyle w:val="Heading5"/>
      </w:pPr>
      <w:bookmarkStart w:id="468" w:name="_Toc180204794"/>
      <w:bookmarkStart w:id="469" w:name="_Toc265743501"/>
      <w:r>
        <w:rPr>
          <w:rStyle w:val="CharSectno"/>
        </w:rPr>
        <w:t>29</w:t>
      </w:r>
      <w:r>
        <w:t>.</w:t>
      </w:r>
      <w:r>
        <w:tab/>
        <w:t>Classification of land</w:t>
      </w:r>
      <w:bookmarkEnd w:id="468"/>
      <w:bookmarkEnd w:id="469"/>
    </w:p>
    <w:p>
      <w:pPr>
        <w:pStyle w:val="Subsection"/>
      </w:pPr>
      <w:r>
        <w:tab/>
      </w:r>
      <w:r>
        <w:tab/>
        <w:t>For the purposes of this Part, land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 xml:space="preserve">law 29 inserted in Gazette 29 Jun 2007 p. 3254; amended in Gazette 19 Jun 2009 p. 2323.] </w:t>
      </w:r>
    </w:p>
    <w:p>
      <w:pPr>
        <w:pStyle w:val="Ednotesection"/>
      </w:pPr>
      <w:r>
        <w:t>[</w:t>
      </w:r>
      <w:r>
        <w:rPr>
          <w:b/>
        </w:rPr>
        <w:t>30.</w:t>
      </w:r>
      <w:r>
        <w:tab/>
        <w:t>Deleted in Gazette 1 Jul 2002 p. 3157.]</w:t>
      </w:r>
    </w:p>
    <w:p>
      <w:pPr>
        <w:pStyle w:val="Heading2"/>
      </w:pPr>
      <w:bookmarkStart w:id="470" w:name="_Toc91580448"/>
      <w:bookmarkStart w:id="471" w:name="_Toc103667133"/>
      <w:bookmarkStart w:id="472" w:name="_Toc103741652"/>
      <w:bookmarkStart w:id="473" w:name="_Toc107981895"/>
      <w:bookmarkStart w:id="474" w:name="_Toc118800062"/>
      <w:bookmarkStart w:id="475" w:name="_Toc118860070"/>
      <w:bookmarkStart w:id="476" w:name="_Toc121545570"/>
      <w:bookmarkStart w:id="477" w:name="_Toc121801093"/>
      <w:bookmarkStart w:id="478" w:name="_Toc121818206"/>
      <w:bookmarkStart w:id="479" w:name="_Toc121880816"/>
      <w:bookmarkStart w:id="480" w:name="_Toc129481887"/>
      <w:bookmarkStart w:id="481" w:name="_Toc130095256"/>
      <w:bookmarkStart w:id="482" w:name="_Toc130273320"/>
      <w:bookmarkStart w:id="483" w:name="_Toc139770993"/>
      <w:bookmarkStart w:id="484" w:name="_Toc139771371"/>
      <w:bookmarkStart w:id="485" w:name="_Toc151191586"/>
      <w:bookmarkStart w:id="486" w:name="_Toc151260479"/>
      <w:bookmarkStart w:id="487" w:name="_Toc164158584"/>
      <w:bookmarkStart w:id="488" w:name="_Toc164220956"/>
      <w:bookmarkStart w:id="489" w:name="_Toc170878918"/>
      <w:bookmarkStart w:id="490" w:name="_Toc170894668"/>
      <w:bookmarkStart w:id="491" w:name="_Toc175712634"/>
      <w:bookmarkStart w:id="492" w:name="_Toc175970575"/>
      <w:bookmarkStart w:id="493" w:name="_Toc176335294"/>
      <w:bookmarkStart w:id="494" w:name="_Toc176338869"/>
      <w:bookmarkStart w:id="495" w:name="_Toc178742894"/>
      <w:bookmarkStart w:id="496" w:name="_Toc179363317"/>
      <w:bookmarkStart w:id="497" w:name="_Toc179604386"/>
      <w:bookmarkStart w:id="498" w:name="_Toc180204579"/>
      <w:bookmarkStart w:id="499" w:name="_Toc180204795"/>
      <w:bookmarkStart w:id="500" w:name="_Toc185844540"/>
      <w:bookmarkStart w:id="501" w:name="_Toc185845160"/>
      <w:bookmarkStart w:id="502" w:name="_Toc185927125"/>
      <w:bookmarkStart w:id="503" w:name="_Toc202505873"/>
      <w:bookmarkStart w:id="504" w:name="_Toc202672658"/>
      <w:bookmarkStart w:id="505" w:name="_Toc202691749"/>
      <w:bookmarkStart w:id="506" w:name="_Toc233448371"/>
      <w:bookmarkStart w:id="507" w:name="_Toc233611685"/>
      <w:bookmarkStart w:id="508" w:name="_Toc234730692"/>
      <w:bookmarkStart w:id="509" w:name="_Toc234733218"/>
      <w:bookmarkStart w:id="510" w:name="_Toc235863955"/>
      <w:bookmarkStart w:id="511" w:name="_Toc235933430"/>
      <w:bookmarkStart w:id="512" w:name="_Toc237164418"/>
      <w:bookmarkStart w:id="513" w:name="_Toc237244301"/>
      <w:bookmarkStart w:id="514" w:name="_Toc237245602"/>
      <w:bookmarkStart w:id="515" w:name="_Toc237245733"/>
      <w:bookmarkStart w:id="516" w:name="_Toc237247841"/>
      <w:bookmarkStart w:id="517" w:name="_Toc237254144"/>
      <w:bookmarkStart w:id="518" w:name="_Toc237309563"/>
      <w:bookmarkStart w:id="519" w:name="_Toc265743502"/>
      <w:r>
        <w:rPr>
          <w:rStyle w:val="CharPartNo"/>
        </w:rPr>
        <w:t>Part 5</w:t>
      </w:r>
      <w:r>
        <w:rPr>
          <w:rStyle w:val="CharDivNo"/>
        </w:rPr>
        <w:t> </w:t>
      </w:r>
      <w:r>
        <w:t>—</w:t>
      </w:r>
      <w:r>
        <w:rPr>
          <w:rStyle w:val="CharDivText"/>
        </w:rPr>
        <w:t> </w:t>
      </w:r>
      <w:r>
        <w:rPr>
          <w:rStyle w:val="CharPartText"/>
        </w:rPr>
        <w:t>Irrigation</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5"/>
        <w:rPr>
          <w:snapToGrid w:val="0"/>
        </w:rPr>
      </w:pPr>
      <w:bookmarkStart w:id="520" w:name="_Toc487428984"/>
      <w:bookmarkStart w:id="521" w:name="_Toc17278689"/>
      <w:bookmarkStart w:id="522" w:name="_Toc180204796"/>
      <w:bookmarkStart w:id="523" w:name="_Toc265743503"/>
      <w:r>
        <w:rPr>
          <w:rStyle w:val="CharSectno"/>
        </w:rPr>
        <w:t>31</w:t>
      </w:r>
      <w:r>
        <w:rPr>
          <w:snapToGrid w:val="0"/>
        </w:rPr>
        <w:t>.</w:t>
      </w:r>
      <w:r>
        <w:rPr>
          <w:snapToGrid w:val="0"/>
        </w:rPr>
        <w:tab/>
        <w:t>Land subject to irrigation charges</w:t>
      </w:r>
      <w:bookmarkEnd w:id="520"/>
      <w:bookmarkEnd w:id="521"/>
      <w:bookmarkEnd w:id="522"/>
      <w:bookmarkEnd w:id="523"/>
    </w:p>
    <w:p>
      <w:pPr>
        <w:pStyle w:val="Subsection"/>
        <w:rPr>
          <w:snapToGrid w:val="0"/>
        </w:rPr>
      </w:pPr>
      <w:r>
        <w:rPr>
          <w:snapToGrid w:val="0"/>
        </w:rPr>
        <w:tab/>
      </w:r>
      <w:r>
        <w:rPr>
          <w:snapToGrid w:val="0"/>
        </w:rPr>
        <w:tab/>
        <w:t xml:space="preserve">Land that is actually supplied under the </w:t>
      </w:r>
      <w:r>
        <w:rPr>
          <w:i/>
          <w:snapToGrid w:val="0"/>
        </w:rPr>
        <w:t>Rights in Water and Irrigation Act 1914</w:t>
      </w:r>
      <w:r>
        <w:rPr>
          <w:snapToGrid w:val="0"/>
        </w:rPr>
        <w:t xml:space="preserve"> with water for irrigation or, although not actually so supplied, is land —</w:t>
      </w:r>
    </w:p>
    <w:p>
      <w:pPr>
        <w:pStyle w:val="Indenta"/>
        <w:rPr>
          <w:snapToGrid w:val="0"/>
        </w:rPr>
      </w:pPr>
      <w:r>
        <w:rPr>
          <w:snapToGrid w:val="0"/>
        </w:rPr>
        <w:tab/>
        <w:t>(a)</w:t>
      </w:r>
      <w:r>
        <w:rPr>
          <w:snapToGrid w:val="0"/>
        </w:rPr>
        <w:tab/>
        <w:t>that is, in the opinion of the Corporation —</w:t>
      </w:r>
    </w:p>
    <w:p>
      <w:pPr>
        <w:pStyle w:val="Indenti"/>
        <w:rPr>
          <w:snapToGrid w:val="0"/>
        </w:rPr>
      </w:pPr>
      <w:r>
        <w:rPr>
          <w:snapToGrid w:val="0"/>
        </w:rPr>
        <w:tab/>
        <w:t>(i)</w:t>
      </w:r>
      <w:r>
        <w:rPr>
          <w:snapToGrid w:val="0"/>
        </w:rPr>
        <w:tab/>
        <w:t>suitable for irrigation; and</w:t>
      </w:r>
    </w:p>
    <w:p>
      <w:pPr>
        <w:pStyle w:val="Indenti"/>
        <w:rPr>
          <w:snapToGrid w:val="0"/>
        </w:rPr>
      </w:pPr>
      <w:r>
        <w:rPr>
          <w:snapToGrid w:val="0"/>
        </w:rPr>
        <w:tab/>
        <w:t>(ii)</w:t>
      </w:r>
      <w:r>
        <w:rPr>
          <w:snapToGrid w:val="0"/>
        </w:rPr>
        <w:tab/>
        <w:t>reasonably capable of being supplied under that Act with water for irrigation;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which the Corporation is prepared to supply water under that Act for irrigation,</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irrigation and, subject to by</w:t>
      </w:r>
      <w:r>
        <w:rPr>
          <w:snapToGrid w:val="0"/>
        </w:rPr>
        <w:noBreakHyphen/>
        <w:t xml:space="preserve">law 32, charges as set out in </w:t>
      </w:r>
      <w:r>
        <w:t xml:space="preserve">Schedule 5 </w:t>
      </w:r>
      <w:r>
        <w:rPr>
          <w:snapToGrid w:val="0"/>
        </w:rPr>
        <w:t>shall apply in respect of that land.</w:t>
      </w:r>
    </w:p>
    <w:p>
      <w:pPr>
        <w:pStyle w:val="Footnotesection"/>
      </w:pPr>
      <w:r>
        <w:tab/>
        <w:t>[By</w:t>
      </w:r>
      <w:r>
        <w:noBreakHyphen/>
        <w:t>law 31 inserted in Gazette 26 Jun 1992 p. 2813; amended in Gazette 29 Dec 1995 p. 6331</w:t>
      </w:r>
      <w:r>
        <w:noBreakHyphen/>
        <w:t>2; 29 Jun 2001 p. 3195.]</w:t>
      </w:r>
    </w:p>
    <w:p>
      <w:pPr>
        <w:pStyle w:val="Heading5"/>
        <w:rPr>
          <w:snapToGrid w:val="0"/>
        </w:rPr>
      </w:pPr>
      <w:bookmarkStart w:id="524" w:name="_Toc487428985"/>
      <w:bookmarkStart w:id="525" w:name="_Toc17278690"/>
      <w:bookmarkStart w:id="526" w:name="_Toc180204797"/>
      <w:bookmarkStart w:id="527" w:name="_Toc265743504"/>
      <w:r>
        <w:rPr>
          <w:rStyle w:val="CharSectno"/>
        </w:rPr>
        <w:t>32</w:t>
      </w:r>
      <w:r>
        <w:rPr>
          <w:snapToGrid w:val="0"/>
        </w:rPr>
        <w:t>.</w:t>
      </w:r>
      <w:r>
        <w:rPr>
          <w:snapToGrid w:val="0"/>
        </w:rPr>
        <w:tab/>
        <w:t>Exempt land</w:t>
      </w:r>
      <w:bookmarkEnd w:id="524"/>
      <w:bookmarkEnd w:id="525"/>
      <w:bookmarkEnd w:id="526"/>
      <w:bookmarkEnd w:id="527"/>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Heading5"/>
      </w:pPr>
      <w:bookmarkStart w:id="528" w:name="_Toc17278691"/>
      <w:bookmarkStart w:id="529" w:name="_Toc180204798"/>
      <w:bookmarkStart w:id="530" w:name="_Toc265743505"/>
      <w:r>
        <w:rPr>
          <w:rStyle w:val="CharSectno"/>
        </w:rPr>
        <w:t>33</w:t>
      </w:r>
      <w:r>
        <w:t>.</w:t>
      </w:r>
      <w:r>
        <w:tab/>
        <w:t>Charge options for land in Carnarvon Irrigation District</w:t>
      </w:r>
      <w:bookmarkEnd w:id="528"/>
      <w:bookmarkEnd w:id="529"/>
      <w:bookmarkEnd w:id="530"/>
    </w:p>
    <w:p>
      <w:pPr>
        <w:pStyle w:val="Subsection"/>
      </w:pPr>
      <w:r>
        <w:tab/>
        <w:t>(1)</w:t>
      </w:r>
      <w:r>
        <w:tab/>
        <w:t>In this by</w:t>
      </w:r>
      <w:r>
        <w:noBreakHyphen/>
        <w:t>law —</w:t>
      </w:r>
    </w:p>
    <w:p>
      <w:pPr>
        <w:pStyle w:val="Defstart"/>
      </w:pPr>
      <w:r>
        <w:tab/>
      </w:r>
      <w:r>
        <w:rPr>
          <w:rStyle w:val="CharDefText"/>
        </w:rPr>
        <w:t>customer</w:t>
      </w:r>
      <w:r>
        <w:t xml:space="preserve"> means an owner or occupier of land in the Carnarvon Irrigation District who is entitled under the</w:t>
      </w:r>
      <w:r>
        <w:rPr>
          <w:i/>
        </w:rPr>
        <w:t xml:space="preserve"> Rights in Water and Irrigation Act 1914</w:t>
      </w:r>
      <w:r>
        <w:t xml:space="preserve"> to the supply to the land of water for irrigation purposes.</w:t>
      </w:r>
    </w:p>
    <w:p>
      <w:pPr>
        <w:pStyle w:val="Subsection"/>
      </w:pPr>
      <w:r>
        <w:tab/>
        <w:t>(2)</w:t>
      </w:r>
      <w:r>
        <w:tab/>
        <w:t>A customer is to select whether the charges for the supply to the land of water for irrigation purpose are to be made in accordance with —</w:t>
      </w:r>
    </w:p>
    <w:p>
      <w:pPr>
        <w:pStyle w:val="Indenta"/>
      </w:pPr>
      <w:r>
        <w:tab/>
        <w:t>(a)</w:t>
      </w:r>
      <w:r>
        <w:tab/>
        <w:t>Schedule 5 clause 1(1)(a) (</w:t>
      </w:r>
      <w:r>
        <w:rPr>
          <w:rStyle w:val="CharDefText"/>
        </w:rPr>
        <w:t>option A</w:t>
      </w:r>
      <w:r>
        <w:t>); or</w:t>
      </w:r>
    </w:p>
    <w:p>
      <w:pPr>
        <w:pStyle w:val="Indenta"/>
      </w:pPr>
      <w:r>
        <w:tab/>
        <w:t>(b)</w:t>
      </w:r>
      <w:r>
        <w:tab/>
        <w:t>Schedule 5 clause 1(1)(b) (</w:t>
      </w:r>
      <w:r>
        <w:rPr>
          <w:rStyle w:val="CharDefText"/>
        </w:rPr>
        <w:t>option B</w:t>
      </w:r>
      <w:r>
        <w:t>).</w:t>
      </w:r>
    </w:p>
    <w:p>
      <w:pPr>
        <w:pStyle w:val="Subsection"/>
      </w:pPr>
      <w:r>
        <w:tab/>
        <w:t>(3)</w:t>
      </w:r>
      <w:r>
        <w:tab/>
        <w:t>Until a customer selects otherwise, the customer is taken to have selected option A.</w:t>
      </w:r>
    </w:p>
    <w:p>
      <w:pPr>
        <w:pStyle w:val="Subsection"/>
      </w:pPr>
      <w:r>
        <w:tab/>
        <w:t>(4)</w:t>
      </w:r>
      <w:r>
        <w:tab/>
        <w:t>A customer may change the customer’s selection by giving notice in writing to the Corporation.</w:t>
      </w:r>
    </w:p>
    <w:p>
      <w:pPr>
        <w:pStyle w:val="Subsection"/>
      </w:pPr>
      <w:r>
        <w:tab/>
        <w:t>(5)</w:t>
      </w:r>
      <w:r>
        <w:tab/>
        <w:t>If notice of a change of selection is received by the Corporation before 1 June in a calendar year, the change has effect with respect to water supplied on or after 1 July in that year.</w:t>
      </w:r>
    </w:p>
    <w:p>
      <w:pPr>
        <w:pStyle w:val="Subsection"/>
      </w:pPr>
      <w:r>
        <w:tab/>
        <w:t>(6)</w:t>
      </w:r>
      <w:r>
        <w:tab/>
        <w:t>If notice of a change of selection is received by the Corporation on or after 1 June in a calendar year, the change has effect with respect to water supplied on or after 1 July in the next year.</w:t>
      </w:r>
    </w:p>
    <w:p>
      <w:pPr>
        <w:pStyle w:val="Subsection"/>
      </w:pPr>
      <w:r>
        <w:tab/>
        <w:t>(7)</w:t>
      </w:r>
      <w:r>
        <w:tab/>
        <w:t>If there is a change in the person who is the customer in respect of land, then until the new customer selects otherwise, the new customer is taken to have selected the option that applied in relation to the old customer immediately before the change.</w:t>
      </w:r>
    </w:p>
    <w:p>
      <w:pPr>
        <w:pStyle w:val="Footnotesection"/>
      </w:pPr>
      <w:r>
        <w:tab/>
        <w:t>[By</w:t>
      </w:r>
      <w:r>
        <w:noBreakHyphen/>
        <w:t>law 33 inserted in Gazette 22 Feb 2002 p. 767</w:t>
      </w:r>
      <w:r>
        <w:noBreakHyphen/>
        <w:t>8.]</w:t>
      </w:r>
    </w:p>
    <w:p>
      <w:pPr>
        <w:pStyle w:val="Ednotepart"/>
      </w:pPr>
      <w:r>
        <w:t>[Part 6 deleted in Gazette 29 Jun 1989 p. 1871.]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31" w:name="_Toc265743506"/>
      <w:bookmarkStart w:id="532" w:name="_Toc139771087"/>
      <w:bookmarkStart w:id="533" w:name="_Toc139771465"/>
      <w:bookmarkStart w:id="534" w:name="_Toc151191680"/>
      <w:bookmarkStart w:id="535" w:name="_Toc151260573"/>
      <w:bookmarkStart w:id="536" w:name="_Toc164158680"/>
      <w:bookmarkStart w:id="537" w:name="_Toc164221052"/>
      <w:bookmarkStart w:id="538" w:name="_Toc170879060"/>
      <w:bookmarkStart w:id="539" w:name="_Toc170894718"/>
      <w:bookmarkStart w:id="540" w:name="_Toc175712684"/>
      <w:bookmarkStart w:id="541" w:name="_Toc175970625"/>
      <w:bookmarkStart w:id="542" w:name="_Toc176335344"/>
      <w:bookmarkStart w:id="543" w:name="_Toc176338919"/>
      <w:bookmarkStart w:id="544" w:name="_Toc178742944"/>
      <w:bookmarkStart w:id="545" w:name="_Toc179363367"/>
      <w:bookmarkStart w:id="546" w:name="_Toc179604436"/>
      <w:bookmarkStart w:id="547" w:name="_Toc180204629"/>
      <w:bookmarkStart w:id="548" w:name="_Toc180204845"/>
      <w:bookmarkStart w:id="549" w:name="_Toc185844590"/>
      <w:bookmarkStart w:id="550" w:name="_Toc185845210"/>
      <w:bookmarkStart w:id="551" w:name="_Toc185927175"/>
      <w:bookmarkStart w:id="552" w:name="_Toc202505964"/>
      <w:bookmarkStart w:id="553" w:name="_Toc202672696"/>
      <w:bookmarkStart w:id="554" w:name="_Toc202691760"/>
      <w:bookmarkStart w:id="555" w:name="_Toc121801198"/>
      <w:bookmarkStart w:id="556" w:name="_Toc121818311"/>
      <w:bookmarkStart w:id="557" w:name="_Toc121880921"/>
      <w:bookmarkStart w:id="558" w:name="_Toc129481992"/>
      <w:bookmarkStart w:id="559" w:name="_Toc130095361"/>
      <w:bookmarkStart w:id="560" w:name="_Toc130273425"/>
      <w:r>
        <w:rPr>
          <w:rStyle w:val="CharSchNo"/>
        </w:rPr>
        <w:t>Schedule 1</w:t>
      </w:r>
      <w:r>
        <w:t> — </w:t>
      </w:r>
      <w:r>
        <w:rPr>
          <w:rStyle w:val="CharSchText"/>
        </w:rPr>
        <w:t xml:space="preserve">Charges for water supply other than under the </w:t>
      </w:r>
      <w:r>
        <w:rPr>
          <w:rStyle w:val="CharSchText"/>
          <w:i/>
          <w:iCs/>
        </w:rPr>
        <w:t>Rights in Water and Irrigation Act 1914</w:t>
      </w:r>
      <w:r>
        <w:rPr>
          <w:rStyle w:val="CharSchText"/>
        </w:rPr>
        <w:t xml:space="preserve"> for 2010/2011</w:t>
      </w:r>
      <w:bookmarkEnd w:id="531"/>
    </w:p>
    <w:p>
      <w:pPr>
        <w:pStyle w:val="yShoulderClause"/>
      </w:pPr>
      <w:r>
        <w:t xml:space="preserve">[bl. </w:t>
      </w:r>
      <w:r>
        <w:rPr>
          <w:snapToGrid w:val="0"/>
        </w:rPr>
        <w:t>11, 17B, 17C, 19A</w:t>
      </w:r>
      <w:r>
        <w:t>]</w:t>
      </w:r>
    </w:p>
    <w:p>
      <w:pPr>
        <w:pStyle w:val="yFootnoteheading"/>
      </w:pPr>
      <w:r>
        <w:tab/>
        <w:t>[Heading inserted in Gazette 25 Jun 2010 p. 2907.]</w:t>
      </w:r>
    </w:p>
    <w:p>
      <w:pPr>
        <w:pStyle w:val="yHeading3"/>
      </w:pPr>
      <w:bookmarkStart w:id="561" w:name="_Toc265743507"/>
      <w:r>
        <w:rPr>
          <w:rStyle w:val="CharSDivNo"/>
        </w:rPr>
        <w:t>Division 1</w:t>
      </w:r>
      <w:r>
        <w:rPr>
          <w:b w:val="0"/>
        </w:rPr>
        <w:t> — </w:t>
      </w:r>
      <w:r>
        <w:rPr>
          <w:rStyle w:val="CharSDivText"/>
        </w:rPr>
        <w:t>Fixed charges</w:t>
      </w:r>
      <w:bookmarkEnd w:id="561"/>
    </w:p>
    <w:p>
      <w:pPr>
        <w:pStyle w:val="yFootnoteheading"/>
        <w:spacing w:after="120"/>
      </w:pPr>
      <w:r>
        <w:tab/>
        <w:t>[Heading inserted in Gazette 25 Jun 2010 p. 2907.]</w:t>
      </w:r>
    </w:p>
    <w:tbl>
      <w:tblPr>
        <w:tblW w:w="0" w:type="auto"/>
        <w:tblInd w:w="534" w:type="dxa"/>
        <w:tblLook w:val="0000" w:firstRow="0" w:lastRow="0" w:firstColumn="0" w:lastColumn="0" w:noHBand="0" w:noVBand="0"/>
      </w:tblPr>
      <w:tblGrid>
        <w:gridCol w:w="850"/>
        <w:gridCol w:w="4235"/>
        <w:gridCol w:w="1152"/>
      </w:tblGrid>
      <w:tr>
        <w:trPr>
          <w:cantSplit/>
        </w:trPr>
        <w:tc>
          <w:tcPr>
            <w:tcW w:w="850" w:type="dxa"/>
          </w:tcPr>
          <w:p>
            <w:pPr>
              <w:pStyle w:val="yHeading5"/>
            </w:pPr>
            <w:bookmarkStart w:id="562" w:name="_Toc265743508"/>
            <w:r>
              <w:t>1.</w:t>
            </w:r>
            <w:bookmarkEnd w:id="562"/>
          </w:p>
        </w:tc>
        <w:tc>
          <w:tcPr>
            <w:tcW w:w="4235" w:type="dxa"/>
          </w:tcPr>
          <w:p>
            <w:pPr>
              <w:pStyle w:val="yHeading5"/>
            </w:pPr>
            <w:bookmarkStart w:id="563" w:name="_Toc265743509"/>
            <w:r>
              <w:t>Residential</w:t>
            </w:r>
            <w:bookmarkEnd w:id="563"/>
          </w:p>
        </w:tc>
        <w:tc>
          <w:tcPr>
            <w:tcW w:w="1152" w:type="dxa"/>
          </w:tcPr>
          <w:p>
            <w:pPr>
              <w:pStyle w:val="yHeading5"/>
            </w:pPr>
          </w:p>
        </w:tc>
      </w:tr>
      <w:tr>
        <w:trPr>
          <w:cantSplit/>
        </w:trPr>
        <w:tc>
          <w:tcPr>
            <w:tcW w:w="850" w:type="dxa"/>
          </w:tcPr>
          <w:p>
            <w:pPr>
              <w:pStyle w:val="yTableNAm"/>
            </w:pPr>
          </w:p>
        </w:tc>
        <w:tc>
          <w:tcPr>
            <w:tcW w:w="4235" w:type="dxa"/>
          </w:tcPr>
          <w:p>
            <w:pPr>
              <w:pStyle w:val="yTableNAm"/>
              <w:tabs>
                <w:tab w:val="left" w:leader="dot" w:pos="4019"/>
              </w:tabs>
            </w:pPr>
            <w:r>
              <w:t xml:space="preserve">In respect of each residential property, not being land mentioned in item 3, 4, 7, 8 or 9 </w:t>
            </w:r>
            <w:r>
              <w:tab/>
            </w:r>
          </w:p>
        </w:tc>
        <w:tc>
          <w:tcPr>
            <w:tcW w:w="1152" w:type="dxa"/>
          </w:tcPr>
          <w:p>
            <w:pPr>
              <w:pStyle w:val="yTableNAm"/>
            </w:pPr>
            <w:r>
              <w:br/>
              <w:t>$186.60</w:t>
            </w:r>
          </w:p>
        </w:tc>
      </w:tr>
      <w:tr>
        <w:trPr>
          <w:cantSplit/>
        </w:trPr>
        <w:tc>
          <w:tcPr>
            <w:tcW w:w="850" w:type="dxa"/>
          </w:tcPr>
          <w:p>
            <w:pPr>
              <w:pStyle w:val="yHeading5"/>
            </w:pPr>
            <w:bookmarkStart w:id="564" w:name="_Toc265743510"/>
            <w:r>
              <w:t>2.</w:t>
            </w:r>
            <w:bookmarkEnd w:id="564"/>
          </w:p>
        </w:tc>
        <w:tc>
          <w:tcPr>
            <w:tcW w:w="4235" w:type="dxa"/>
          </w:tcPr>
          <w:p>
            <w:pPr>
              <w:pStyle w:val="yHeading5"/>
            </w:pPr>
            <w:bookmarkStart w:id="565" w:name="_Toc265743511"/>
            <w:r>
              <w:t>Metropolitan residential garden supply</w:t>
            </w:r>
            <w:bookmarkEnd w:id="565"/>
          </w:p>
        </w:tc>
        <w:tc>
          <w:tcPr>
            <w:tcW w:w="1152" w:type="dxa"/>
          </w:tcPr>
          <w:p>
            <w:pPr>
              <w:pStyle w:val="yHeading5"/>
            </w:pPr>
          </w:p>
        </w:tc>
      </w:tr>
      <w:tr>
        <w:trPr>
          <w:cantSplit/>
        </w:trPr>
        <w:tc>
          <w:tcPr>
            <w:tcW w:w="850" w:type="dxa"/>
          </w:tcPr>
          <w:p>
            <w:pPr>
              <w:pStyle w:val="yTableNAm"/>
            </w:pPr>
          </w:p>
        </w:tc>
        <w:tc>
          <w:tcPr>
            <w:tcW w:w="4235" w:type="dxa"/>
          </w:tcPr>
          <w:p>
            <w:pPr>
              <w:pStyle w:val="yTableNAm"/>
            </w:pPr>
            <w:r>
              <w:t xml:space="preserve">In respect of each residential property in the metropolitan area, not being land mentioned in item 3, 4, 7 or 8, that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1981</w:t>
            </w:r>
            <w:r>
              <w:t xml:space="preserve"> by</w:t>
            </w:r>
            <w:r>
              <w:noBreakHyphen/>
              <w:t>law 1.1 —</w:t>
            </w:r>
          </w:p>
        </w:tc>
        <w:tc>
          <w:tcPr>
            <w:tcW w:w="1152" w:type="dxa"/>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 w:val="left" w:leader="dot" w:pos="4019"/>
              </w:tabs>
              <w:ind w:left="896" w:hanging="896"/>
            </w:pPr>
            <w:r>
              <w:tab/>
              <w:t>(a)</w:t>
            </w:r>
            <w:r>
              <w:tab/>
              <w:t>if the area of land is less than 400 m</w:t>
            </w:r>
            <w:r>
              <w:rPr>
                <w:vertAlign w:val="superscript"/>
              </w:rPr>
              <w:t>2</w:t>
            </w:r>
            <w:r>
              <w:t xml:space="preserve">, in addition to any other charge applicable to the land under this Schedule, a charge of </w:t>
            </w:r>
            <w:r>
              <w:tab/>
            </w:r>
          </w:p>
        </w:tc>
        <w:tc>
          <w:tcPr>
            <w:tcW w:w="1152" w:type="dxa"/>
          </w:tcPr>
          <w:p>
            <w:pPr>
              <w:pStyle w:val="yTableNAm"/>
            </w:pPr>
            <w:r>
              <w:br/>
            </w:r>
            <w:r>
              <w:br/>
            </w:r>
            <w:r>
              <w:br/>
              <w:t>$69.30</w:t>
            </w:r>
          </w:p>
        </w:tc>
      </w:tr>
      <w:tr>
        <w:trPr>
          <w:cantSplit/>
        </w:trPr>
        <w:tc>
          <w:tcPr>
            <w:tcW w:w="850" w:type="dxa"/>
          </w:tcPr>
          <w:p>
            <w:pPr>
              <w:pStyle w:val="yTableNAm"/>
            </w:pPr>
          </w:p>
        </w:tc>
        <w:tc>
          <w:tcPr>
            <w:tcW w:w="4235" w:type="dxa"/>
          </w:tcPr>
          <w:p>
            <w:pPr>
              <w:pStyle w:val="yTableNAm"/>
              <w:tabs>
                <w:tab w:val="clear" w:pos="567"/>
                <w:tab w:val="left" w:pos="416"/>
                <w:tab w:val="left" w:pos="896"/>
                <w:tab w:val="left" w:leader="dot" w:pos="4019"/>
              </w:tabs>
              <w:ind w:left="896" w:hanging="896"/>
            </w:pPr>
            <w:r>
              <w:tab/>
              <w:t>(b)</w:t>
            </w:r>
            <w:r>
              <w:tab/>
              <w:t>if the area of land is equal to or greater than 400 m</w:t>
            </w:r>
            <w:r>
              <w:rPr>
                <w:vertAlign w:val="superscript"/>
              </w:rPr>
              <w:t>2</w:t>
            </w:r>
            <w:r>
              <w:t xml:space="preserve">, in addition to any other charge applicable to the land under this Schedule, a charge of </w:t>
            </w:r>
            <w:r>
              <w:tab/>
            </w:r>
          </w:p>
        </w:tc>
        <w:tc>
          <w:tcPr>
            <w:tcW w:w="1152" w:type="dxa"/>
          </w:tcPr>
          <w:p>
            <w:pPr>
              <w:pStyle w:val="yTableNAm"/>
            </w:pPr>
            <w:r>
              <w:br/>
            </w:r>
            <w:r>
              <w:br/>
            </w:r>
            <w:r>
              <w:br/>
            </w:r>
            <w:r>
              <w:br/>
              <w:t>$138.70</w:t>
            </w:r>
          </w:p>
        </w:tc>
      </w:tr>
      <w:tr>
        <w:trPr>
          <w:cantSplit/>
        </w:trPr>
        <w:tc>
          <w:tcPr>
            <w:tcW w:w="850" w:type="dxa"/>
          </w:tcPr>
          <w:p>
            <w:pPr>
              <w:pStyle w:val="yHeading5"/>
            </w:pPr>
            <w:bookmarkStart w:id="566" w:name="_Toc265743512"/>
            <w:r>
              <w:t>3.</w:t>
            </w:r>
            <w:bookmarkEnd w:id="566"/>
          </w:p>
        </w:tc>
        <w:tc>
          <w:tcPr>
            <w:tcW w:w="4235" w:type="dxa"/>
          </w:tcPr>
          <w:p>
            <w:pPr>
              <w:pStyle w:val="yHeading5"/>
            </w:pPr>
            <w:bookmarkStart w:id="567" w:name="_Toc265743513"/>
            <w:r>
              <w:t>Connected metropolitan exempt</w:t>
            </w:r>
            <w:bookmarkEnd w:id="567"/>
          </w:p>
        </w:tc>
        <w:tc>
          <w:tcPr>
            <w:tcW w:w="1152" w:type="dxa"/>
          </w:tcPr>
          <w:p>
            <w:pPr>
              <w:pStyle w:val="yHeading5"/>
            </w:pPr>
          </w:p>
        </w:tc>
      </w:tr>
      <w:tr>
        <w:trPr>
          <w:cantSplit/>
        </w:trPr>
        <w:tc>
          <w:tcPr>
            <w:tcW w:w="850" w:type="dxa"/>
          </w:tcPr>
          <w:p>
            <w:pPr>
              <w:pStyle w:val="yTableNAm"/>
            </w:pPr>
          </w:p>
        </w:tc>
        <w:tc>
          <w:tcPr>
            <w:tcW w:w="4235" w:type="dxa"/>
          </w:tcPr>
          <w:p>
            <w:pPr>
              <w:pStyle w:val="yTableNAm"/>
              <w:tabs>
                <w:tab w:val="clear" w:pos="567"/>
                <w:tab w:val="left" w:pos="416"/>
              </w:tabs>
            </w:pPr>
            <w:r>
              <w:t>In respect of land described in by</w:t>
            </w:r>
            <w:r>
              <w:noBreakHyphen/>
              <w:t>law 4 that is in the metropolitan area —</w:t>
            </w:r>
          </w:p>
        </w:tc>
        <w:tc>
          <w:tcPr>
            <w:tcW w:w="1152" w:type="dxa"/>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 w:val="left" w:leader="dot" w:pos="4019"/>
              </w:tabs>
              <w:ind w:left="896" w:hanging="896"/>
            </w:pPr>
            <w:r>
              <w:tab/>
              <w:t>(a)</w:t>
            </w:r>
            <w:r>
              <w:tab/>
              <w:t>in the case of land described in by</w:t>
            </w:r>
            <w:r>
              <w:noBreakHyphen/>
              <w:t xml:space="preserve">law 4(1)(e) </w:t>
            </w:r>
            <w:r>
              <w:tab/>
            </w:r>
          </w:p>
        </w:tc>
        <w:tc>
          <w:tcPr>
            <w:tcW w:w="1152" w:type="dxa"/>
          </w:tcPr>
          <w:p>
            <w:pPr>
              <w:pStyle w:val="yTableNAm"/>
            </w:pPr>
            <w:r>
              <w:br/>
              <w:t>No charge</w:t>
            </w:r>
          </w:p>
        </w:tc>
      </w:tr>
      <w:tr>
        <w:trPr>
          <w:cantSplit/>
        </w:trPr>
        <w:tc>
          <w:tcPr>
            <w:tcW w:w="850" w:type="dxa"/>
          </w:tcPr>
          <w:p>
            <w:pPr>
              <w:pStyle w:val="yTableNAm"/>
            </w:pPr>
          </w:p>
        </w:tc>
        <w:tc>
          <w:tcPr>
            <w:tcW w:w="4235" w:type="dxa"/>
          </w:tcPr>
          <w:p>
            <w:pPr>
              <w:pStyle w:val="yTableNAm"/>
              <w:tabs>
                <w:tab w:val="clear" w:pos="567"/>
                <w:tab w:val="left" w:pos="416"/>
                <w:tab w:val="left" w:pos="896"/>
                <w:tab w:val="left" w:leader="dot" w:pos="4019"/>
              </w:tabs>
              <w:ind w:left="896" w:hanging="896"/>
            </w:pPr>
            <w:r>
              <w:tab/>
              <w:t>(b)</w:t>
            </w:r>
            <w:r>
              <w:tab/>
              <w:t xml:space="preserve">in any other case </w:t>
            </w:r>
            <w:r>
              <w:tab/>
            </w:r>
          </w:p>
        </w:tc>
        <w:tc>
          <w:tcPr>
            <w:tcW w:w="1152" w:type="dxa"/>
          </w:tcPr>
          <w:p>
            <w:pPr>
              <w:pStyle w:val="yTableNAm"/>
            </w:pPr>
            <w:r>
              <w:t>No charge</w:t>
            </w:r>
          </w:p>
        </w:tc>
      </w:tr>
      <w:tr>
        <w:trPr>
          <w:cantSplit/>
        </w:trPr>
        <w:tc>
          <w:tcPr>
            <w:tcW w:w="850" w:type="dxa"/>
          </w:tcPr>
          <w:p>
            <w:pPr>
              <w:pStyle w:val="yHeading5"/>
            </w:pPr>
            <w:bookmarkStart w:id="568" w:name="_Toc265743514"/>
            <w:r>
              <w:t>4.</w:t>
            </w:r>
            <w:bookmarkEnd w:id="568"/>
          </w:p>
        </w:tc>
        <w:tc>
          <w:tcPr>
            <w:tcW w:w="4235" w:type="dxa"/>
          </w:tcPr>
          <w:p>
            <w:pPr>
              <w:pStyle w:val="yHeading5"/>
              <w:tabs>
                <w:tab w:val="clear" w:pos="879"/>
              </w:tabs>
              <w:ind w:left="0" w:firstLine="0"/>
            </w:pPr>
            <w:bookmarkStart w:id="569" w:name="_Toc265743515"/>
            <w:r>
              <w:t>Strata</w:t>
            </w:r>
            <w:r>
              <w:noBreakHyphen/>
              <w:t>titled (or long</w:t>
            </w:r>
            <w:r>
              <w:noBreakHyphen/>
              <w:t>term residential) caravan bays</w:t>
            </w:r>
            <w:bookmarkEnd w:id="569"/>
          </w:p>
        </w:tc>
        <w:tc>
          <w:tcPr>
            <w:tcW w:w="1152" w:type="dxa"/>
          </w:tcPr>
          <w:p>
            <w:pPr>
              <w:pStyle w:val="yHeading5"/>
            </w:pPr>
          </w:p>
        </w:tc>
      </w:tr>
      <w:tr>
        <w:trPr>
          <w:cantSplit/>
        </w:trPr>
        <w:tc>
          <w:tcPr>
            <w:tcW w:w="850" w:type="dxa"/>
          </w:tcPr>
          <w:p>
            <w:pPr>
              <w:pStyle w:val="yTableNAm"/>
            </w:pPr>
          </w:p>
        </w:tc>
        <w:tc>
          <w:tcPr>
            <w:tcW w:w="4235" w:type="dxa"/>
          </w:tcPr>
          <w:p>
            <w:pPr>
              <w:pStyle w:val="yTableNAm"/>
              <w:tabs>
                <w:tab w:val="clear" w:pos="567"/>
                <w:tab w:val="left" w:pos="416"/>
                <w:tab w:val="left" w:leader="dot" w:pos="4019"/>
              </w:tabs>
            </w:pPr>
            <w:r>
              <w:t>In respect of each caravan bay that is a residential property and a lot within the meaning of the Strata Titles Act 1985, or a caravan bay designated as a long</w:t>
            </w:r>
            <w:r>
              <w:noBreakHyphen/>
              <w:t xml:space="preserve">term residential caravan bay </w:t>
            </w:r>
            <w:r>
              <w:tab/>
            </w:r>
          </w:p>
        </w:tc>
        <w:tc>
          <w:tcPr>
            <w:tcW w:w="1152" w:type="dxa"/>
          </w:tcPr>
          <w:p>
            <w:pPr>
              <w:pStyle w:val="yTableNAm"/>
            </w:pPr>
            <w:r>
              <w:br/>
            </w:r>
            <w:r>
              <w:br/>
            </w:r>
            <w:r>
              <w:br/>
            </w:r>
            <w:r>
              <w:br/>
              <w:t>$131.10</w:t>
            </w:r>
          </w:p>
        </w:tc>
      </w:tr>
      <w:tr>
        <w:trPr>
          <w:cantSplit/>
        </w:trPr>
        <w:tc>
          <w:tcPr>
            <w:tcW w:w="850" w:type="dxa"/>
          </w:tcPr>
          <w:p>
            <w:pPr>
              <w:pStyle w:val="yHeading5"/>
            </w:pPr>
            <w:bookmarkStart w:id="570" w:name="_Toc265743516"/>
            <w:r>
              <w:t>5.</w:t>
            </w:r>
            <w:bookmarkEnd w:id="570"/>
          </w:p>
        </w:tc>
        <w:tc>
          <w:tcPr>
            <w:tcW w:w="4235" w:type="dxa"/>
          </w:tcPr>
          <w:p>
            <w:pPr>
              <w:pStyle w:val="yHeading5"/>
              <w:tabs>
                <w:tab w:val="clear" w:pos="879"/>
              </w:tabs>
              <w:ind w:left="0" w:firstLine="0"/>
            </w:pPr>
            <w:bookmarkStart w:id="571" w:name="_Toc265743517"/>
            <w:r>
              <w:t>Strata</w:t>
            </w:r>
            <w:r>
              <w:noBreakHyphen/>
              <w:t>titled storage unit and strata</w:t>
            </w:r>
            <w:r>
              <w:noBreakHyphen/>
              <w:t>titled parking bay</w:t>
            </w:r>
            <w:bookmarkEnd w:id="571"/>
          </w:p>
        </w:tc>
        <w:tc>
          <w:tcPr>
            <w:tcW w:w="1152" w:type="dxa"/>
          </w:tcPr>
          <w:p>
            <w:pPr>
              <w:pStyle w:val="yHeading5"/>
            </w:pPr>
          </w:p>
        </w:tc>
      </w:tr>
      <w:tr>
        <w:trPr>
          <w:cantSplit/>
        </w:trPr>
        <w:tc>
          <w:tcPr>
            <w:tcW w:w="850" w:type="dxa"/>
          </w:tcPr>
          <w:p>
            <w:pPr>
              <w:pStyle w:val="yTableNAm"/>
            </w:pPr>
          </w:p>
        </w:tc>
        <w:tc>
          <w:tcPr>
            <w:tcW w:w="4235" w:type="dxa"/>
          </w:tcPr>
          <w:p>
            <w:pPr>
              <w:pStyle w:val="yTableNAm"/>
              <w:tabs>
                <w:tab w:val="clear" w:pos="567"/>
                <w:tab w:val="left" w:pos="416"/>
                <w:tab w:val="left" w:leader="dot" w:pos="5103"/>
              </w:tabs>
            </w:pPr>
            <w:r>
              <w:t xml:space="preserve">In respect of land comprised in a unit used for storage purposes or as a parking bay that is a lot within the meaning of the </w:t>
            </w:r>
            <w:r>
              <w:rPr>
                <w:i/>
                <w:iCs/>
              </w:rPr>
              <w:t xml:space="preserve">Strata Titles Act 1985 </w:t>
            </w:r>
            <w:r>
              <w:rPr>
                <w:i/>
                <w:iCs/>
              </w:rPr>
              <w:tab/>
            </w:r>
          </w:p>
        </w:tc>
        <w:tc>
          <w:tcPr>
            <w:tcW w:w="1152" w:type="dxa"/>
          </w:tcPr>
          <w:p>
            <w:pPr>
              <w:pStyle w:val="yTableNAm"/>
            </w:pPr>
            <w:r>
              <w:br/>
            </w:r>
            <w:r>
              <w:br/>
            </w:r>
            <w:r>
              <w:br/>
              <w:t>$65.70</w:t>
            </w:r>
          </w:p>
        </w:tc>
      </w:tr>
      <w:tr>
        <w:trPr>
          <w:cantSplit/>
        </w:trPr>
        <w:tc>
          <w:tcPr>
            <w:tcW w:w="850" w:type="dxa"/>
          </w:tcPr>
          <w:p>
            <w:pPr>
              <w:pStyle w:val="yHeading5"/>
              <w:tabs>
                <w:tab w:val="clear" w:pos="879"/>
              </w:tabs>
              <w:ind w:left="0" w:firstLine="0"/>
            </w:pPr>
            <w:bookmarkStart w:id="572" w:name="_Toc265743518"/>
            <w:r>
              <w:t>6.</w:t>
            </w:r>
            <w:bookmarkEnd w:id="572"/>
          </w:p>
        </w:tc>
        <w:tc>
          <w:tcPr>
            <w:tcW w:w="4235" w:type="dxa"/>
          </w:tcPr>
          <w:p>
            <w:pPr>
              <w:pStyle w:val="yHeading5"/>
              <w:tabs>
                <w:tab w:val="clear" w:pos="879"/>
              </w:tabs>
              <w:ind w:left="0" w:firstLine="0"/>
            </w:pPr>
            <w:bookmarkStart w:id="573" w:name="_Toc265743519"/>
            <w:r>
              <w:t>Non</w:t>
            </w:r>
            <w:r>
              <w:noBreakHyphen/>
              <w:t>residential strata</w:t>
            </w:r>
            <w:r>
              <w:noBreakHyphen/>
              <w:t>titled units that share a service</w:t>
            </w:r>
            <w:bookmarkEnd w:id="573"/>
          </w:p>
        </w:tc>
        <w:tc>
          <w:tcPr>
            <w:tcW w:w="1152" w:type="dxa"/>
          </w:tcPr>
          <w:p>
            <w:pPr>
              <w:pStyle w:val="yHeading5"/>
              <w:tabs>
                <w:tab w:val="clear" w:pos="879"/>
              </w:tabs>
              <w:ind w:left="0" w:firstLine="0"/>
            </w:pPr>
          </w:p>
        </w:tc>
      </w:tr>
      <w:tr>
        <w:trPr>
          <w:cantSplit/>
        </w:trPr>
        <w:tc>
          <w:tcPr>
            <w:tcW w:w="850" w:type="dxa"/>
          </w:tcPr>
          <w:p>
            <w:pPr>
              <w:pStyle w:val="yTableNAm"/>
            </w:pPr>
          </w:p>
        </w:tc>
        <w:tc>
          <w:tcPr>
            <w:tcW w:w="4235" w:type="dxa"/>
          </w:tcPr>
          <w:p>
            <w:pPr>
              <w:pStyle w:val="yTableNAm"/>
              <w:tabs>
                <w:tab w:val="clear" w:pos="567"/>
                <w:tab w:val="left" w:pos="416"/>
                <w:tab w:val="left" w:pos="896"/>
              </w:tabs>
              <w:ind w:left="896" w:hanging="896"/>
            </w:pPr>
            <w:r>
              <w:t>In respect of land that —</w:t>
            </w:r>
          </w:p>
        </w:tc>
        <w:tc>
          <w:tcPr>
            <w:tcW w:w="1152" w:type="dxa"/>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 w:val="left" w:leader="dot" w:pos="4019"/>
              </w:tabs>
              <w:ind w:left="896" w:hanging="896"/>
            </w:pPr>
            <w:r>
              <w:tab/>
              <w:t>(a)</w:t>
            </w:r>
            <w:r>
              <w:tab/>
              <w:t>is not referred to in item 4 or 5; and</w:t>
            </w:r>
          </w:p>
        </w:tc>
        <w:tc>
          <w:tcPr>
            <w:tcW w:w="1152" w:type="dxa"/>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 w:val="left" w:leader="dot" w:pos="4019"/>
              </w:tabs>
              <w:ind w:left="896" w:hanging="896"/>
            </w:pPr>
            <w:r>
              <w:tab/>
              <w:t>(b)</w:t>
            </w:r>
            <w:r>
              <w:tab/>
              <w:t xml:space="preserve">comprises a unit that is a lot within the meaning of the </w:t>
            </w:r>
            <w:r>
              <w:rPr>
                <w:i/>
                <w:iCs/>
              </w:rPr>
              <w:t>Strata Titles Act 1985</w:t>
            </w:r>
            <w:r>
              <w:t>; and</w:t>
            </w:r>
          </w:p>
        </w:tc>
        <w:tc>
          <w:tcPr>
            <w:tcW w:w="1152" w:type="dxa"/>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 w:val="left" w:leader="dot" w:pos="4019"/>
              </w:tabs>
              <w:ind w:left="896" w:hanging="896"/>
            </w:pPr>
            <w:r>
              <w:tab/>
              <w:t>(c)</w:t>
            </w:r>
            <w:r>
              <w:tab/>
              <w:t xml:space="preserve">shares a service with another unit described in paragraph (b) </w:t>
            </w:r>
            <w:r>
              <w:tab/>
            </w:r>
          </w:p>
        </w:tc>
        <w:tc>
          <w:tcPr>
            <w:tcW w:w="1152" w:type="dxa"/>
          </w:tcPr>
          <w:p>
            <w:pPr>
              <w:pStyle w:val="yTableNAm"/>
            </w:pPr>
            <w:r>
              <w:br/>
              <w:t>$186.60</w:t>
            </w:r>
          </w:p>
        </w:tc>
      </w:tr>
      <w:tr>
        <w:trPr>
          <w:cantSplit/>
        </w:trPr>
        <w:tc>
          <w:tcPr>
            <w:tcW w:w="850" w:type="dxa"/>
          </w:tcPr>
          <w:p>
            <w:pPr>
              <w:pStyle w:val="yHeading5"/>
              <w:tabs>
                <w:tab w:val="clear" w:pos="879"/>
              </w:tabs>
              <w:ind w:left="0" w:firstLine="0"/>
            </w:pPr>
            <w:bookmarkStart w:id="574" w:name="_Toc265743520"/>
            <w:r>
              <w:t>7.</w:t>
            </w:r>
            <w:bookmarkEnd w:id="574"/>
          </w:p>
        </w:tc>
        <w:tc>
          <w:tcPr>
            <w:tcW w:w="4235" w:type="dxa"/>
          </w:tcPr>
          <w:p>
            <w:pPr>
              <w:pStyle w:val="yHeading5"/>
              <w:tabs>
                <w:tab w:val="clear" w:pos="879"/>
              </w:tabs>
              <w:ind w:left="0" w:firstLine="0"/>
            </w:pPr>
            <w:bookmarkStart w:id="575" w:name="_Toc265743521"/>
            <w:r>
              <w:t>Community residential</w:t>
            </w:r>
            <w:bookmarkEnd w:id="575"/>
          </w:p>
        </w:tc>
        <w:tc>
          <w:tcPr>
            <w:tcW w:w="1152" w:type="dxa"/>
          </w:tcPr>
          <w:p>
            <w:pPr>
              <w:pStyle w:val="yHeading5"/>
              <w:tabs>
                <w:tab w:val="clear" w:pos="879"/>
              </w:tabs>
              <w:ind w:left="0" w:firstLine="0"/>
            </w:pPr>
          </w:p>
        </w:tc>
      </w:tr>
      <w:tr>
        <w:trPr>
          <w:cantSplit/>
        </w:trPr>
        <w:tc>
          <w:tcPr>
            <w:tcW w:w="850" w:type="dxa"/>
          </w:tcPr>
          <w:p>
            <w:pPr>
              <w:pStyle w:val="yTableNAm"/>
            </w:pPr>
          </w:p>
        </w:tc>
        <w:tc>
          <w:tcPr>
            <w:tcW w:w="4235" w:type="dxa"/>
          </w:tcPr>
          <w:p>
            <w:pPr>
              <w:pStyle w:val="yTableNAm"/>
              <w:tabs>
                <w:tab w:val="clear" w:pos="567"/>
                <w:tab w:val="left" w:pos="416"/>
                <w:tab w:val="left" w:leader="dot" w:pos="4019"/>
              </w:tabs>
            </w:pPr>
            <w:r>
              <w:t>In respect of each discrete residential unit as determined under by</w:t>
            </w:r>
            <w:r>
              <w:noBreakHyphen/>
              <w:t xml:space="preserve">law 16 </w:t>
            </w:r>
            <w:r>
              <w:tab/>
            </w:r>
          </w:p>
        </w:tc>
        <w:tc>
          <w:tcPr>
            <w:tcW w:w="1152" w:type="dxa"/>
          </w:tcPr>
          <w:p>
            <w:pPr>
              <w:pStyle w:val="yTableNAm"/>
            </w:pPr>
            <w:r>
              <w:br/>
              <w:t>$93.30</w:t>
            </w:r>
          </w:p>
        </w:tc>
      </w:tr>
      <w:tr>
        <w:trPr>
          <w:cantSplit/>
        </w:trPr>
        <w:tc>
          <w:tcPr>
            <w:tcW w:w="850" w:type="dxa"/>
          </w:tcPr>
          <w:p>
            <w:pPr>
              <w:pStyle w:val="yHeading5"/>
              <w:tabs>
                <w:tab w:val="clear" w:pos="879"/>
              </w:tabs>
              <w:ind w:left="0" w:firstLine="0"/>
            </w:pPr>
            <w:bookmarkStart w:id="576" w:name="_Toc265743522"/>
            <w:r>
              <w:t>8.</w:t>
            </w:r>
            <w:bookmarkEnd w:id="576"/>
          </w:p>
        </w:tc>
        <w:tc>
          <w:tcPr>
            <w:tcW w:w="4235" w:type="dxa"/>
          </w:tcPr>
          <w:p>
            <w:pPr>
              <w:pStyle w:val="yHeading5"/>
              <w:tabs>
                <w:tab w:val="clear" w:pos="879"/>
              </w:tabs>
              <w:ind w:left="0" w:firstLine="0"/>
            </w:pPr>
            <w:bookmarkStart w:id="577" w:name="_Toc265743523"/>
            <w:r>
              <w:t>Semi</w:t>
            </w:r>
            <w:r>
              <w:noBreakHyphen/>
              <w:t>rural residential</w:t>
            </w:r>
            <w:bookmarkEnd w:id="577"/>
          </w:p>
        </w:tc>
        <w:tc>
          <w:tcPr>
            <w:tcW w:w="1152" w:type="dxa"/>
          </w:tcPr>
          <w:p>
            <w:pPr>
              <w:pStyle w:val="yHeading5"/>
              <w:tabs>
                <w:tab w:val="clear" w:pos="879"/>
              </w:tabs>
              <w:ind w:left="0" w:firstLine="0"/>
            </w:pPr>
          </w:p>
        </w:tc>
      </w:tr>
      <w:tr>
        <w:trPr>
          <w:cantSplit/>
        </w:trPr>
        <w:tc>
          <w:tcPr>
            <w:tcW w:w="850" w:type="dxa"/>
          </w:tcPr>
          <w:p>
            <w:pPr>
              <w:pStyle w:val="yTableNAm"/>
            </w:pPr>
          </w:p>
        </w:tc>
        <w:tc>
          <w:tcPr>
            <w:tcW w:w="4235" w:type="dxa"/>
          </w:tcPr>
          <w:p>
            <w:pPr>
              <w:pStyle w:val="yTableNAm"/>
              <w:tabs>
                <w:tab w:val="clear" w:pos="567"/>
                <w:tab w:val="left" w:pos="416"/>
              </w:tabs>
            </w:pPr>
            <w:r>
              <w:t>In respect of each semi</w:t>
            </w:r>
            <w:r>
              <w:noBreakHyphen/>
              <w:t>rural residential property not being land mentioned in item 3</w:t>
            </w:r>
          </w:p>
        </w:tc>
        <w:tc>
          <w:tcPr>
            <w:tcW w:w="1152" w:type="dxa"/>
          </w:tcPr>
          <w:p>
            <w:pPr>
              <w:pStyle w:val="yTableNAm"/>
            </w:pPr>
            <w:r>
              <w:br/>
              <w:t>$186.60</w:t>
            </w:r>
          </w:p>
        </w:tc>
      </w:tr>
      <w:tr>
        <w:trPr>
          <w:cantSplit/>
        </w:trPr>
        <w:tc>
          <w:tcPr>
            <w:tcW w:w="850" w:type="dxa"/>
          </w:tcPr>
          <w:p>
            <w:pPr>
              <w:pStyle w:val="yHeading5"/>
              <w:tabs>
                <w:tab w:val="clear" w:pos="879"/>
              </w:tabs>
              <w:ind w:left="0" w:firstLine="0"/>
            </w:pPr>
            <w:bookmarkStart w:id="578" w:name="_Toc265743524"/>
            <w:r>
              <w:t>9.</w:t>
            </w:r>
            <w:bookmarkEnd w:id="578"/>
          </w:p>
        </w:tc>
        <w:tc>
          <w:tcPr>
            <w:tcW w:w="4235" w:type="dxa"/>
          </w:tcPr>
          <w:p>
            <w:pPr>
              <w:pStyle w:val="yHeading5"/>
              <w:tabs>
                <w:tab w:val="clear" w:pos="879"/>
              </w:tabs>
              <w:ind w:left="0" w:firstLine="0"/>
            </w:pPr>
            <w:bookmarkStart w:id="579" w:name="_Toc265743525"/>
            <w:r>
              <w:t>Connected non</w:t>
            </w:r>
            <w:r>
              <w:noBreakHyphen/>
              <w:t>metropolitan exempt</w:t>
            </w:r>
            <w:bookmarkEnd w:id="579"/>
          </w:p>
        </w:tc>
        <w:tc>
          <w:tcPr>
            <w:tcW w:w="1152" w:type="dxa"/>
          </w:tcPr>
          <w:p>
            <w:pPr>
              <w:pStyle w:val="yHeading5"/>
              <w:tabs>
                <w:tab w:val="clear" w:pos="879"/>
              </w:tabs>
              <w:ind w:left="0" w:firstLine="0"/>
            </w:pPr>
          </w:p>
        </w:tc>
      </w:tr>
      <w:tr>
        <w:trPr>
          <w:cantSplit/>
        </w:trPr>
        <w:tc>
          <w:tcPr>
            <w:tcW w:w="850" w:type="dxa"/>
          </w:tcPr>
          <w:p>
            <w:pPr>
              <w:pStyle w:val="yTableNAm"/>
            </w:pPr>
          </w:p>
        </w:tc>
        <w:tc>
          <w:tcPr>
            <w:tcW w:w="4235" w:type="dxa"/>
          </w:tcPr>
          <w:p>
            <w:pPr>
              <w:pStyle w:val="yTableNAm"/>
              <w:tabs>
                <w:tab w:val="clear" w:pos="567"/>
                <w:tab w:val="left" w:pos="416"/>
                <w:tab w:val="left" w:leader="dot" w:pos="4019"/>
              </w:tabs>
            </w:pPr>
            <w:r>
              <w:t>In respect of land described in by</w:t>
            </w:r>
            <w:r>
              <w:noBreakHyphen/>
              <w:t xml:space="preserve">law 4 that is comprised in a residential property and is not in the metropolitan area </w:t>
            </w:r>
            <w:r>
              <w:tab/>
            </w:r>
          </w:p>
        </w:tc>
        <w:tc>
          <w:tcPr>
            <w:tcW w:w="1152" w:type="dxa"/>
          </w:tcPr>
          <w:p>
            <w:pPr>
              <w:pStyle w:val="yTableNAm"/>
            </w:pPr>
            <w:r>
              <w:br/>
            </w:r>
            <w:r>
              <w:br/>
              <w:t>No charge</w:t>
            </w:r>
          </w:p>
        </w:tc>
      </w:tr>
      <w:tr>
        <w:trPr>
          <w:cantSplit/>
        </w:trPr>
        <w:tc>
          <w:tcPr>
            <w:tcW w:w="850" w:type="dxa"/>
          </w:tcPr>
          <w:p>
            <w:pPr>
              <w:pStyle w:val="yHeading5"/>
              <w:tabs>
                <w:tab w:val="clear" w:pos="879"/>
              </w:tabs>
              <w:ind w:left="0" w:firstLine="0"/>
            </w:pPr>
            <w:bookmarkStart w:id="580" w:name="_Toc265743526"/>
            <w:r>
              <w:t>10.</w:t>
            </w:r>
            <w:bookmarkEnd w:id="580"/>
          </w:p>
        </w:tc>
        <w:tc>
          <w:tcPr>
            <w:tcW w:w="4235" w:type="dxa"/>
          </w:tcPr>
          <w:p>
            <w:pPr>
              <w:pStyle w:val="yHeading5"/>
              <w:tabs>
                <w:tab w:val="clear" w:pos="879"/>
              </w:tabs>
              <w:ind w:left="0" w:firstLine="0"/>
            </w:pPr>
            <w:bookmarkStart w:id="581" w:name="_Toc265743527"/>
            <w:r>
              <w:t>Non</w:t>
            </w:r>
            <w:r>
              <w:noBreakHyphen/>
              <w:t>metropolitan non</w:t>
            </w:r>
            <w:r>
              <w:noBreakHyphen/>
              <w:t>residential or commercial residential</w:t>
            </w:r>
            <w:bookmarkEnd w:id="581"/>
          </w:p>
        </w:tc>
        <w:tc>
          <w:tcPr>
            <w:tcW w:w="1152" w:type="dxa"/>
          </w:tcPr>
          <w:p>
            <w:pPr>
              <w:pStyle w:val="yHeading5"/>
              <w:tabs>
                <w:tab w:val="clear" w:pos="879"/>
              </w:tabs>
              <w:ind w:left="0" w:firstLine="0"/>
            </w:pPr>
          </w:p>
        </w:tc>
      </w:tr>
      <w:tr>
        <w:trPr>
          <w:cantSplit/>
        </w:trPr>
        <w:tc>
          <w:tcPr>
            <w:tcW w:w="850" w:type="dxa"/>
          </w:tcPr>
          <w:p>
            <w:pPr>
              <w:pStyle w:val="yTableNAm"/>
            </w:pPr>
          </w:p>
        </w:tc>
        <w:tc>
          <w:tcPr>
            <w:tcW w:w="4235" w:type="dxa"/>
          </w:tcPr>
          <w:p>
            <w:pPr>
              <w:pStyle w:val="yTableNAm"/>
              <w:tabs>
                <w:tab w:val="clear" w:pos="567"/>
                <w:tab w:val="left" w:pos="416"/>
              </w:tabs>
            </w:pPr>
            <w:r>
              <w:t>In respect of land that is neither in the metropolitan area nor comprised in a residential property, where —</w:t>
            </w:r>
          </w:p>
        </w:tc>
        <w:tc>
          <w:tcPr>
            <w:tcW w:w="1152" w:type="dxa"/>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s>
              <w:ind w:left="896" w:hanging="896"/>
            </w:pPr>
            <w:r>
              <w:tab/>
              <w:t>(a)</w:t>
            </w:r>
            <w:r>
              <w:tab/>
              <w:t>the land is classified as government or charitable purposes</w:t>
            </w:r>
          </w:p>
        </w:tc>
        <w:tc>
          <w:tcPr>
            <w:tcW w:w="1152" w:type="dxa"/>
          </w:tcPr>
          <w:p>
            <w:pPr>
              <w:pStyle w:val="yTableNAm"/>
            </w:pPr>
            <w:r>
              <w:br/>
              <w:t>No charge</w:t>
            </w:r>
          </w:p>
        </w:tc>
      </w:tr>
      <w:tr>
        <w:trPr>
          <w:cantSplit/>
        </w:trPr>
        <w:tc>
          <w:tcPr>
            <w:tcW w:w="850" w:type="dxa"/>
          </w:tcPr>
          <w:p>
            <w:pPr>
              <w:pStyle w:val="yTableNAm"/>
            </w:pPr>
          </w:p>
        </w:tc>
        <w:tc>
          <w:tcPr>
            <w:tcW w:w="4235" w:type="dxa"/>
          </w:tcPr>
          <w:p>
            <w:pPr>
              <w:pStyle w:val="yTableNAm"/>
              <w:tabs>
                <w:tab w:val="clear" w:pos="567"/>
                <w:tab w:val="left" w:pos="416"/>
                <w:tab w:val="left" w:pos="896"/>
                <w:tab w:val="left" w:leader="dot" w:pos="4019"/>
              </w:tabs>
              <w:ind w:left="896" w:hanging="896"/>
            </w:pPr>
            <w:r>
              <w:tab/>
              <w:t>(b)</w:t>
            </w:r>
            <w:r>
              <w:tab/>
              <w:t xml:space="preserve">the land is classified as institutional public </w:t>
            </w:r>
            <w:r>
              <w:tab/>
            </w:r>
          </w:p>
        </w:tc>
        <w:tc>
          <w:tcPr>
            <w:tcW w:w="1152" w:type="dxa"/>
          </w:tcPr>
          <w:p>
            <w:pPr>
              <w:pStyle w:val="yTableNAm"/>
            </w:pPr>
            <w:r>
              <w:br/>
              <w:t>No charge</w:t>
            </w:r>
          </w:p>
        </w:tc>
      </w:tr>
      <w:tr>
        <w:trPr>
          <w:cantSplit/>
        </w:trPr>
        <w:tc>
          <w:tcPr>
            <w:tcW w:w="850" w:type="dxa"/>
          </w:tcPr>
          <w:p>
            <w:pPr>
              <w:pStyle w:val="yTableNAm"/>
            </w:pPr>
          </w:p>
        </w:tc>
        <w:tc>
          <w:tcPr>
            <w:tcW w:w="4235" w:type="dxa"/>
          </w:tcPr>
          <w:p>
            <w:pPr>
              <w:pStyle w:val="yTableNAm"/>
              <w:tabs>
                <w:tab w:val="clear" w:pos="567"/>
                <w:tab w:val="left" w:pos="416"/>
                <w:tab w:val="left" w:pos="896"/>
              </w:tabs>
              <w:ind w:left="896" w:hanging="896"/>
            </w:pPr>
            <w:r>
              <w:tab/>
              <w:t>(c)</w:t>
            </w:r>
            <w:r>
              <w:tab/>
              <w:t>the land —</w:t>
            </w:r>
          </w:p>
        </w:tc>
        <w:tc>
          <w:tcPr>
            <w:tcW w:w="1152" w:type="dxa"/>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 w:val="left" w:pos="1376"/>
              </w:tabs>
              <w:ind w:left="1376" w:hanging="1376"/>
            </w:pPr>
            <w:r>
              <w:tab/>
            </w:r>
            <w:r>
              <w:tab/>
              <w:t>(i)</w:t>
            </w:r>
            <w:r>
              <w:tab/>
              <w:t>is classified as non</w:t>
            </w:r>
            <w:r>
              <w:noBreakHyphen/>
              <w:t>residential or commercial residential; and</w:t>
            </w:r>
          </w:p>
        </w:tc>
        <w:tc>
          <w:tcPr>
            <w:tcW w:w="1152" w:type="dxa"/>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 w:val="left" w:pos="1376"/>
              </w:tabs>
              <w:ind w:left="1376" w:hanging="1376"/>
            </w:pPr>
            <w:r>
              <w:tab/>
            </w:r>
            <w:r>
              <w:tab/>
              <w:t>(ii)</w:t>
            </w:r>
            <w:r>
              <w:tab/>
              <w:t>is not mentioned in item 5 or 6,</w:t>
            </w:r>
          </w:p>
        </w:tc>
        <w:tc>
          <w:tcPr>
            <w:tcW w:w="1152" w:type="dxa"/>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s>
            </w:pPr>
            <w:r>
              <w:t>a charge payable for the relevant meter size as set out in the following Table —</w:t>
            </w:r>
          </w:p>
        </w:tc>
        <w:tc>
          <w:tcPr>
            <w:tcW w:w="1152" w:type="dxa"/>
          </w:tcPr>
          <w:p>
            <w:pPr>
              <w:pStyle w:val="yTableNAm"/>
            </w:pPr>
          </w:p>
        </w:tc>
      </w:tr>
    </w:tbl>
    <w:p>
      <w:pPr>
        <w:pStyle w:val="yTHeadingNAm"/>
      </w:pPr>
      <w:r>
        <w:t>Table of meter</w:t>
      </w:r>
      <w:r>
        <w:noBreakHyphen/>
        <w:t>based fixed charges</w:t>
      </w:r>
    </w:p>
    <w:tbl>
      <w:tblPr>
        <w:tblW w:w="6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87"/>
        <w:gridCol w:w="3084"/>
      </w:tblGrid>
      <w:tr>
        <w:trPr>
          <w:cantSplit/>
          <w:tblHeader/>
          <w:jc w:val="center"/>
        </w:trPr>
        <w:tc>
          <w:tcPr>
            <w:tcW w:w="3187" w:type="dxa"/>
            <w:tcBorders>
              <w:top w:val="single" w:sz="4" w:space="0" w:color="auto"/>
              <w:left w:val="nil"/>
              <w:bottom w:val="single" w:sz="4" w:space="0" w:color="auto"/>
              <w:right w:val="nil"/>
            </w:tcBorders>
          </w:tcPr>
          <w:p>
            <w:pPr>
              <w:pStyle w:val="yTableNAm"/>
              <w:jc w:val="center"/>
              <w:rPr>
                <w:b/>
                <w:bCs/>
              </w:rP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jc w:val="center"/>
              <w:rPr>
                <w:b/>
                <w:bCs/>
              </w:rPr>
            </w:pPr>
            <w:r>
              <w:rPr>
                <w:b/>
                <w:bCs/>
              </w:rPr>
              <w:t>Charge</w:t>
            </w:r>
            <w:r>
              <w:rPr>
                <w:b/>
                <w:bCs/>
              </w:rPr>
              <w:br/>
              <w:t>$</w:t>
            </w:r>
          </w:p>
        </w:tc>
      </w:tr>
      <w:tr>
        <w:trPr>
          <w:cantSplit/>
          <w:tblHeader/>
          <w:jc w:val="center"/>
        </w:trPr>
        <w:tc>
          <w:tcPr>
            <w:tcW w:w="3187" w:type="dxa"/>
            <w:tcBorders>
              <w:top w:val="nil"/>
              <w:left w:val="nil"/>
              <w:bottom w:val="nil"/>
              <w:right w:val="nil"/>
            </w:tcBorders>
          </w:tcPr>
          <w:p>
            <w:pPr>
              <w:pStyle w:val="yTableNAm"/>
              <w:jc w:val="center"/>
            </w:pPr>
            <w:r>
              <w:t>15, 20</w:t>
            </w:r>
          </w:p>
        </w:tc>
        <w:tc>
          <w:tcPr>
            <w:tcW w:w="3084" w:type="dxa"/>
            <w:tcBorders>
              <w:top w:val="nil"/>
              <w:left w:val="nil"/>
              <w:bottom w:val="nil"/>
              <w:right w:val="nil"/>
            </w:tcBorders>
          </w:tcPr>
          <w:p>
            <w:pPr>
              <w:pStyle w:val="yTableNAm"/>
              <w:jc w:val="center"/>
            </w:pPr>
            <w:r>
              <w:t>365.90</w:t>
            </w:r>
          </w:p>
        </w:tc>
      </w:tr>
      <w:tr>
        <w:trPr>
          <w:cantSplit/>
          <w:tblHeader/>
          <w:jc w:val="center"/>
        </w:trPr>
        <w:tc>
          <w:tcPr>
            <w:tcW w:w="3187" w:type="dxa"/>
            <w:tcBorders>
              <w:top w:val="nil"/>
              <w:left w:val="nil"/>
              <w:bottom w:val="nil"/>
              <w:right w:val="nil"/>
            </w:tcBorders>
          </w:tcPr>
          <w:p>
            <w:pPr>
              <w:pStyle w:val="yTableNAm"/>
              <w:jc w:val="center"/>
            </w:pPr>
            <w:r>
              <w:t>25</w:t>
            </w:r>
          </w:p>
        </w:tc>
        <w:tc>
          <w:tcPr>
            <w:tcW w:w="3084" w:type="dxa"/>
            <w:tcBorders>
              <w:top w:val="nil"/>
              <w:left w:val="nil"/>
              <w:bottom w:val="nil"/>
              <w:right w:val="nil"/>
            </w:tcBorders>
          </w:tcPr>
          <w:p>
            <w:pPr>
              <w:pStyle w:val="yTableNAm"/>
              <w:jc w:val="center"/>
            </w:pPr>
            <w:r>
              <w:t>571.70</w:t>
            </w:r>
          </w:p>
        </w:tc>
      </w:tr>
      <w:tr>
        <w:trPr>
          <w:cantSplit/>
          <w:tblHeader/>
          <w:jc w:val="center"/>
        </w:trPr>
        <w:tc>
          <w:tcPr>
            <w:tcW w:w="3187" w:type="dxa"/>
            <w:tcBorders>
              <w:top w:val="nil"/>
              <w:left w:val="nil"/>
              <w:bottom w:val="nil"/>
              <w:right w:val="nil"/>
            </w:tcBorders>
          </w:tcPr>
          <w:p>
            <w:pPr>
              <w:pStyle w:val="yTableNAm"/>
              <w:jc w:val="center"/>
            </w:pPr>
            <w:r>
              <w:t>30</w:t>
            </w:r>
          </w:p>
        </w:tc>
        <w:tc>
          <w:tcPr>
            <w:tcW w:w="3084" w:type="dxa"/>
            <w:tcBorders>
              <w:top w:val="nil"/>
              <w:left w:val="nil"/>
              <w:bottom w:val="nil"/>
              <w:right w:val="nil"/>
            </w:tcBorders>
          </w:tcPr>
          <w:p>
            <w:pPr>
              <w:pStyle w:val="yTableNAm"/>
              <w:jc w:val="center"/>
            </w:pPr>
            <w:r>
              <w:t>823.20</w:t>
            </w:r>
          </w:p>
        </w:tc>
      </w:tr>
      <w:tr>
        <w:trPr>
          <w:cantSplit/>
          <w:tblHeader/>
          <w:jc w:val="center"/>
        </w:trPr>
        <w:tc>
          <w:tcPr>
            <w:tcW w:w="3187" w:type="dxa"/>
            <w:tcBorders>
              <w:top w:val="nil"/>
              <w:left w:val="nil"/>
              <w:bottom w:val="nil"/>
              <w:right w:val="nil"/>
            </w:tcBorders>
          </w:tcPr>
          <w:p>
            <w:pPr>
              <w:pStyle w:val="yTableNAm"/>
              <w:jc w:val="center"/>
            </w:pPr>
            <w:r>
              <w:t>35, 38, 40</w:t>
            </w:r>
          </w:p>
        </w:tc>
        <w:tc>
          <w:tcPr>
            <w:tcW w:w="3084" w:type="dxa"/>
            <w:tcBorders>
              <w:top w:val="nil"/>
              <w:left w:val="nil"/>
              <w:bottom w:val="nil"/>
              <w:right w:val="nil"/>
            </w:tcBorders>
          </w:tcPr>
          <w:p>
            <w:pPr>
              <w:pStyle w:val="yTableNAm"/>
              <w:jc w:val="center"/>
            </w:pPr>
            <w:r>
              <w:t>1 463.50</w:t>
            </w:r>
          </w:p>
        </w:tc>
      </w:tr>
      <w:tr>
        <w:trPr>
          <w:cantSplit/>
          <w:tblHeader/>
          <w:jc w:val="center"/>
        </w:trPr>
        <w:tc>
          <w:tcPr>
            <w:tcW w:w="3187" w:type="dxa"/>
            <w:tcBorders>
              <w:top w:val="nil"/>
              <w:left w:val="nil"/>
              <w:bottom w:val="nil"/>
              <w:right w:val="nil"/>
            </w:tcBorders>
          </w:tcPr>
          <w:p>
            <w:pPr>
              <w:pStyle w:val="yTableNAm"/>
              <w:jc w:val="center"/>
            </w:pPr>
            <w:r>
              <w:t>50</w:t>
            </w:r>
          </w:p>
        </w:tc>
        <w:tc>
          <w:tcPr>
            <w:tcW w:w="3084" w:type="dxa"/>
            <w:tcBorders>
              <w:top w:val="nil"/>
              <w:left w:val="nil"/>
              <w:bottom w:val="nil"/>
              <w:right w:val="nil"/>
            </w:tcBorders>
          </w:tcPr>
          <w:p>
            <w:pPr>
              <w:pStyle w:val="yTableNAm"/>
              <w:jc w:val="center"/>
            </w:pPr>
            <w:r>
              <w:t>2 286.70</w:t>
            </w:r>
          </w:p>
        </w:tc>
      </w:tr>
      <w:tr>
        <w:trPr>
          <w:cantSplit/>
          <w:tblHeader/>
          <w:jc w:val="center"/>
        </w:trPr>
        <w:tc>
          <w:tcPr>
            <w:tcW w:w="3187" w:type="dxa"/>
            <w:tcBorders>
              <w:top w:val="nil"/>
              <w:left w:val="nil"/>
              <w:bottom w:val="nil"/>
              <w:right w:val="nil"/>
            </w:tcBorders>
          </w:tcPr>
          <w:p>
            <w:pPr>
              <w:pStyle w:val="yTableNAm"/>
              <w:jc w:val="center"/>
            </w:pPr>
            <w:r>
              <w:t>70, 75, 80</w:t>
            </w:r>
          </w:p>
        </w:tc>
        <w:tc>
          <w:tcPr>
            <w:tcW w:w="3084" w:type="dxa"/>
            <w:tcBorders>
              <w:top w:val="nil"/>
              <w:left w:val="nil"/>
              <w:bottom w:val="nil"/>
              <w:right w:val="nil"/>
            </w:tcBorders>
          </w:tcPr>
          <w:p>
            <w:pPr>
              <w:pStyle w:val="yTableNAm"/>
              <w:jc w:val="center"/>
            </w:pPr>
            <w:r>
              <w:t>5 853.90</w:t>
            </w:r>
          </w:p>
        </w:tc>
      </w:tr>
      <w:tr>
        <w:trPr>
          <w:cantSplit/>
          <w:tblHeader/>
          <w:jc w:val="center"/>
        </w:trPr>
        <w:tc>
          <w:tcPr>
            <w:tcW w:w="3187" w:type="dxa"/>
            <w:tcBorders>
              <w:top w:val="nil"/>
              <w:left w:val="nil"/>
              <w:bottom w:val="nil"/>
              <w:right w:val="nil"/>
            </w:tcBorders>
          </w:tcPr>
          <w:p>
            <w:pPr>
              <w:pStyle w:val="yTableNAm"/>
              <w:jc w:val="center"/>
            </w:pPr>
            <w:r>
              <w:t>100</w:t>
            </w:r>
          </w:p>
        </w:tc>
        <w:tc>
          <w:tcPr>
            <w:tcW w:w="3084" w:type="dxa"/>
            <w:tcBorders>
              <w:top w:val="nil"/>
              <w:left w:val="nil"/>
              <w:bottom w:val="nil"/>
              <w:right w:val="nil"/>
            </w:tcBorders>
          </w:tcPr>
          <w:p>
            <w:pPr>
              <w:pStyle w:val="yTableNAm"/>
              <w:jc w:val="center"/>
            </w:pPr>
            <w:r>
              <w:t>9 146.70</w:t>
            </w:r>
          </w:p>
        </w:tc>
      </w:tr>
      <w:tr>
        <w:trPr>
          <w:cantSplit/>
          <w:tblHeader/>
          <w:jc w:val="center"/>
        </w:trPr>
        <w:tc>
          <w:tcPr>
            <w:tcW w:w="3187" w:type="dxa"/>
            <w:tcBorders>
              <w:top w:val="nil"/>
              <w:left w:val="nil"/>
              <w:bottom w:val="single" w:sz="4" w:space="0" w:color="auto"/>
              <w:right w:val="nil"/>
            </w:tcBorders>
          </w:tcPr>
          <w:p>
            <w:pPr>
              <w:pStyle w:val="yTableNAm"/>
              <w:jc w:val="center"/>
            </w:pPr>
            <w:r>
              <w:t>140, 150</w:t>
            </w:r>
          </w:p>
        </w:tc>
        <w:tc>
          <w:tcPr>
            <w:tcW w:w="3084" w:type="dxa"/>
            <w:tcBorders>
              <w:top w:val="nil"/>
              <w:left w:val="nil"/>
              <w:bottom w:val="single" w:sz="4" w:space="0" w:color="auto"/>
              <w:right w:val="nil"/>
            </w:tcBorders>
          </w:tcPr>
          <w:p>
            <w:pPr>
              <w:pStyle w:val="yTableNAm"/>
              <w:jc w:val="center"/>
            </w:pPr>
            <w:r>
              <w:t>20 580.10</w:t>
            </w:r>
          </w:p>
        </w:tc>
      </w:tr>
    </w:tbl>
    <w:p>
      <w:pPr>
        <w:rPr>
          <w:sz w:val="18"/>
        </w:rPr>
      </w:pPr>
    </w:p>
    <w:tbl>
      <w:tblPr>
        <w:tblW w:w="0" w:type="auto"/>
        <w:tblInd w:w="534" w:type="dxa"/>
        <w:tblLook w:val="0000" w:firstRow="0" w:lastRow="0" w:firstColumn="0" w:lastColumn="0" w:noHBand="0" w:noVBand="0"/>
      </w:tblPr>
      <w:tblGrid>
        <w:gridCol w:w="850"/>
        <w:gridCol w:w="4235"/>
        <w:gridCol w:w="1152"/>
      </w:tblGrid>
      <w:tr>
        <w:trPr>
          <w:cantSplit/>
        </w:trPr>
        <w:tc>
          <w:tcPr>
            <w:tcW w:w="850" w:type="dxa"/>
          </w:tcPr>
          <w:p>
            <w:pPr>
              <w:pStyle w:val="yHeading5"/>
              <w:tabs>
                <w:tab w:val="clear" w:pos="879"/>
              </w:tabs>
              <w:ind w:left="0" w:firstLine="0"/>
            </w:pPr>
            <w:bookmarkStart w:id="582" w:name="_Toc265743528"/>
            <w:r>
              <w:t>11.</w:t>
            </w:r>
            <w:bookmarkEnd w:id="582"/>
          </w:p>
        </w:tc>
        <w:tc>
          <w:tcPr>
            <w:tcW w:w="4235" w:type="dxa"/>
          </w:tcPr>
          <w:p>
            <w:pPr>
              <w:pStyle w:val="yHeading5"/>
              <w:tabs>
                <w:tab w:val="clear" w:pos="879"/>
              </w:tabs>
              <w:ind w:left="0" w:firstLine="0"/>
            </w:pPr>
            <w:bookmarkStart w:id="583" w:name="_Toc265743529"/>
            <w:r>
              <w:t>Stock</w:t>
            </w:r>
            <w:bookmarkEnd w:id="583"/>
          </w:p>
        </w:tc>
        <w:tc>
          <w:tcPr>
            <w:tcW w:w="1152" w:type="dxa"/>
          </w:tcPr>
          <w:p>
            <w:pPr>
              <w:pStyle w:val="yHeading5"/>
              <w:tabs>
                <w:tab w:val="clear" w:pos="879"/>
              </w:tabs>
              <w:ind w:left="0" w:firstLine="0"/>
            </w:pPr>
          </w:p>
        </w:tc>
      </w:tr>
      <w:tr>
        <w:trPr>
          <w:cantSplit/>
        </w:trPr>
        <w:tc>
          <w:tcPr>
            <w:tcW w:w="850" w:type="dxa"/>
          </w:tcPr>
          <w:p>
            <w:pPr>
              <w:pStyle w:val="yTableNAm"/>
            </w:pPr>
          </w:p>
        </w:tc>
        <w:tc>
          <w:tcPr>
            <w:tcW w:w="4235" w:type="dxa"/>
          </w:tcPr>
          <w:p>
            <w:pPr>
              <w:pStyle w:val="yTableNAm"/>
              <w:tabs>
                <w:tab w:val="left" w:leader="dot" w:pos="4019"/>
              </w:tabs>
            </w:pPr>
            <w:r>
              <w:t xml:space="preserve">For the supply of water for the purpose of watering stock on land that is not the subject of a charge under item 10 </w:t>
            </w:r>
            <w:r>
              <w:tab/>
            </w:r>
          </w:p>
        </w:tc>
        <w:tc>
          <w:tcPr>
            <w:tcW w:w="1152" w:type="dxa"/>
          </w:tcPr>
          <w:p>
            <w:pPr>
              <w:pStyle w:val="yTableNAm"/>
            </w:pPr>
            <w:r>
              <w:br/>
            </w:r>
            <w:r>
              <w:br/>
              <w:t>$186.60</w:t>
            </w:r>
          </w:p>
        </w:tc>
      </w:tr>
      <w:tr>
        <w:trPr>
          <w:cantSplit/>
        </w:trPr>
        <w:tc>
          <w:tcPr>
            <w:tcW w:w="850" w:type="dxa"/>
          </w:tcPr>
          <w:p>
            <w:pPr>
              <w:pStyle w:val="yHeading5"/>
              <w:tabs>
                <w:tab w:val="clear" w:pos="879"/>
              </w:tabs>
              <w:ind w:left="0" w:firstLine="0"/>
            </w:pPr>
            <w:bookmarkStart w:id="584" w:name="_Toc265743530"/>
            <w:r>
              <w:t>12.</w:t>
            </w:r>
            <w:bookmarkEnd w:id="584"/>
          </w:p>
        </w:tc>
        <w:tc>
          <w:tcPr>
            <w:tcW w:w="4235" w:type="dxa"/>
          </w:tcPr>
          <w:p>
            <w:pPr>
              <w:pStyle w:val="yHeading5"/>
              <w:tabs>
                <w:tab w:val="clear" w:pos="879"/>
              </w:tabs>
              <w:ind w:left="0" w:firstLine="0"/>
            </w:pPr>
            <w:bookmarkStart w:id="585" w:name="_Toc265743531"/>
            <w:r>
              <w:t>Additional connections</w:t>
            </w:r>
            <w:bookmarkEnd w:id="585"/>
          </w:p>
        </w:tc>
        <w:tc>
          <w:tcPr>
            <w:tcW w:w="1152" w:type="dxa"/>
          </w:tcPr>
          <w:p>
            <w:pPr>
              <w:pStyle w:val="yHeading5"/>
              <w:tabs>
                <w:tab w:val="clear" w:pos="879"/>
              </w:tabs>
              <w:ind w:left="0" w:firstLine="0"/>
            </w:pPr>
          </w:p>
        </w:tc>
      </w:tr>
      <w:tr>
        <w:trPr>
          <w:cantSplit/>
        </w:trPr>
        <w:tc>
          <w:tcPr>
            <w:tcW w:w="850" w:type="dxa"/>
          </w:tcPr>
          <w:p>
            <w:pPr>
              <w:pStyle w:val="yTableNAm"/>
            </w:pPr>
          </w:p>
        </w:tc>
        <w:tc>
          <w:tcPr>
            <w:tcW w:w="4235" w:type="dxa"/>
          </w:tcPr>
          <w:p>
            <w:pPr>
              <w:pStyle w:val="yTableNAm"/>
              <w:tabs>
                <w:tab w:val="left" w:leader="dot" w:pos="4019"/>
              </w:tabs>
            </w:pPr>
            <w:r>
              <w:t>Where water is supplied to land through more than one water supply connection, for each additional connection, not being a connection the subject of a charge under item 15 or a connection for a water supply the subject of item 2 or 19 —</w:t>
            </w:r>
          </w:p>
        </w:tc>
        <w:tc>
          <w:tcPr>
            <w:tcW w:w="1152" w:type="dxa"/>
          </w:tcPr>
          <w:p>
            <w:pPr>
              <w:pStyle w:val="yTableNAm"/>
            </w:pPr>
          </w:p>
        </w:tc>
      </w:tr>
      <w:tr>
        <w:trPr>
          <w:cantSplit/>
        </w:trPr>
        <w:tc>
          <w:tcPr>
            <w:tcW w:w="850" w:type="dxa"/>
          </w:tcPr>
          <w:p>
            <w:pPr>
              <w:pStyle w:val="yTableNAm"/>
            </w:pPr>
          </w:p>
        </w:tc>
        <w:tc>
          <w:tcPr>
            <w:tcW w:w="4235" w:type="dxa"/>
          </w:tcPr>
          <w:p>
            <w:pPr>
              <w:pStyle w:val="yTableNAm"/>
              <w:tabs>
                <w:tab w:val="clear" w:pos="567"/>
                <w:tab w:val="left" w:pos="296"/>
                <w:tab w:val="left" w:pos="776"/>
                <w:tab w:val="left" w:leader="dot" w:pos="4019"/>
              </w:tabs>
              <w:ind w:left="776" w:hanging="776"/>
            </w:pPr>
            <w:r>
              <w:tab/>
              <w:t>(a)</w:t>
            </w:r>
            <w:r>
              <w:tab/>
              <w:t xml:space="preserve">for land, other than land to which paragraph (b) applies, a charge of </w:t>
            </w:r>
            <w:r>
              <w:tab/>
            </w:r>
          </w:p>
        </w:tc>
        <w:tc>
          <w:tcPr>
            <w:tcW w:w="1152" w:type="dxa"/>
          </w:tcPr>
          <w:p>
            <w:pPr>
              <w:pStyle w:val="yTableNAm"/>
            </w:pPr>
            <w:r>
              <w:br/>
              <w:t>$186.60</w:t>
            </w:r>
          </w:p>
        </w:tc>
      </w:tr>
      <w:tr>
        <w:trPr>
          <w:cantSplit/>
        </w:trPr>
        <w:tc>
          <w:tcPr>
            <w:tcW w:w="850" w:type="dxa"/>
          </w:tcPr>
          <w:p>
            <w:pPr>
              <w:pStyle w:val="yTableNAm"/>
            </w:pPr>
          </w:p>
        </w:tc>
        <w:tc>
          <w:tcPr>
            <w:tcW w:w="4235" w:type="dxa"/>
          </w:tcPr>
          <w:p>
            <w:pPr>
              <w:pStyle w:val="yTableNAm"/>
              <w:tabs>
                <w:tab w:val="clear" w:pos="567"/>
                <w:tab w:val="left" w:pos="296"/>
                <w:tab w:val="left" w:pos="776"/>
                <w:tab w:val="left" w:leader="dot" w:pos="4019"/>
              </w:tabs>
              <w:ind w:left="776" w:hanging="776"/>
            </w:pPr>
            <w:r>
              <w:tab/>
              <w:t>(b)</w:t>
            </w:r>
            <w:r>
              <w:tab/>
              <w:t>for land that is classified as non</w:t>
            </w:r>
            <w:r>
              <w:noBreakHyphen/>
              <w:t>residential or commercial residential, a charge based on meter size of the additional service as set out in the following Table —</w:t>
            </w:r>
          </w:p>
        </w:tc>
        <w:tc>
          <w:tcPr>
            <w:tcW w:w="1152" w:type="dxa"/>
          </w:tcPr>
          <w:p>
            <w:pPr>
              <w:pStyle w:val="yTableNAm"/>
            </w:pPr>
          </w:p>
        </w:tc>
      </w:tr>
    </w:tbl>
    <w:p>
      <w:pPr>
        <w:pStyle w:val="yTHeadingNAm"/>
      </w:pPr>
      <w:r>
        <w:t>Table of meter</w:t>
      </w:r>
      <w:r>
        <w:noBreakHyphen/>
        <w:t>based fixed charges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5"/>
        <w:gridCol w:w="3084"/>
      </w:tblGrid>
      <w:tr>
        <w:trPr>
          <w:cantSplit/>
          <w:tblHeader/>
          <w:jc w:val="center"/>
        </w:trPr>
        <w:tc>
          <w:tcPr>
            <w:tcW w:w="3215" w:type="dxa"/>
            <w:tcBorders>
              <w:top w:val="single" w:sz="4" w:space="0" w:color="auto"/>
              <w:left w:val="nil"/>
              <w:bottom w:val="single" w:sz="4" w:space="0" w:color="auto"/>
              <w:right w:val="nil"/>
            </w:tcBorders>
          </w:tcPr>
          <w:p>
            <w:pPr>
              <w:pStyle w:val="yTableNAm"/>
              <w:jc w:val="center"/>
              <w:rPr>
                <w:b/>
                <w:bCs/>
              </w:rP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jc w:val="center"/>
              <w:rPr>
                <w:b/>
                <w:bCs/>
              </w:rPr>
            </w:pPr>
            <w:r>
              <w:rPr>
                <w:b/>
                <w:bCs/>
              </w:rPr>
              <w:t>Charge</w:t>
            </w:r>
            <w:r>
              <w:rPr>
                <w:b/>
                <w:bCs/>
              </w:rPr>
              <w:br/>
              <w:t>$</w:t>
            </w:r>
          </w:p>
        </w:tc>
      </w:tr>
      <w:tr>
        <w:trPr>
          <w:cantSplit/>
          <w:tblHeader/>
          <w:jc w:val="center"/>
        </w:trPr>
        <w:tc>
          <w:tcPr>
            <w:tcW w:w="3215" w:type="dxa"/>
            <w:tcBorders>
              <w:top w:val="nil"/>
              <w:left w:val="nil"/>
              <w:bottom w:val="nil"/>
              <w:right w:val="nil"/>
            </w:tcBorders>
          </w:tcPr>
          <w:p>
            <w:pPr>
              <w:pStyle w:val="yTableNAm"/>
              <w:jc w:val="center"/>
            </w:pPr>
            <w:r>
              <w:t>15, 20</w:t>
            </w:r>
          </w:p>
        </w:tc>
        <w:tc>
          <w:tcPr>
            <w:tcW w:w="3084" w:type="dxa"/>
            <w:tcBorders>
              <w:top w:val="nil"/>
              <w:left w:val="nil"/>
              <w:bottom w:val="nil"/>
              <w:right w:val="nil"/>
            </w:tcBorders>
          </w:tcPr>
          <w:p>
            <w:pPr>
              <w:pStyle w:val="yTableNAm"/>
              <w:jc w:val="center"/>
            </w:pPr>
            <w:r>
              <w:t>365.90</w:t>
            </w:r>
          </w:p>
        </w:tc>
      </w:tr>
      <w:tr>
        <w:trPr>
          <w:cantSplit/>
          <w:tblHeader/>
          <w:jc w:val="center"/>
        </w:trPr>
        <w:tc>
          <w:tcPr>
            <w:tcW w:w="3215" w:type="dxa"/>
            <w:tcBorders>
              <w:top w:val="nil"/>
              <w:left w:val="nil"/>
              <w:bottom w:val="nil"/>
              <w:right w:val="nil"/>
            </w:tcBorders>
          </w:tcPr>
          <w:p>
            <w:pPr>
              <w:pStyle w:val="yTableNAm"/>
              <w:jc w:val="center"/>
            </w:pPr>
            <w:r>
              <w:t>25</w:t>
            </w:r>
          </w:p>
        </w:tc>
        <w:tc>
          <w:tcPr>
            <w:tcW w:w="3084" w:type="dxa"/>
            <w:tcBorders>
              <w:top w:val="nil"/>
              <w:left w:val="nil"/>
              <w:bottom w:val="nil"/>
              <w:right w:val="nil"/>
            </w:tcBorders>
          </w:tcPr>
          <w:p>
            <w:pPr>
              <w:pStyle w:val="yTableNAm"/>
              <w:jc w:val="center"/>
            </w:pPr>
            <w:r>
              <w:t>571.70</w:t>
            </w:r>
          </w:p>
        </w:tc>
      </w:tr>
      <w:tr>
        <w:trPr>
          <w:cantSplit/>
          <w:tblHeader/>
          <w:jc w:val="center"/>
        </w:trPr>
        <w:tc>
          <w:tcPr>
            <w:tcW w:w="3215" w:type="dxa"/>
            <w:tcBorders>
              <w:top w:val="nil"/>
              <w:left w:val="nil"/>
              <w:bottom w:val="nil"/>
              <w:right w:val="nil"/>
            </w:tcBorders>
          </w:tcPr>
          <w:p>
            <w:pPr>
              <w:pStyle w:val="yTableNAm"/>
              <w:jc w:val="center"/>
            </w:pPr>
            <w:r>
              <w:t>30</w:t>
            </w:r>
          </w:p>
        </w:tc>
        <w:tc>
          <w:tcPr>
            <w:tcW w:w="3084" w:type="dxa"/>
            <w:tcBorders>
              <w:top w:val="nil"/>
              <w:left w:val="nil"/>
              <w:bottom w:val="nil"/>
              <w:right w:val="nil"/>
            </w:tcBorders>
          </w:tcPr>
          <w:p>
            <w:pPr>
              <w:pStyle w:val="yTableNAm"/>
              <w:jc w:val="center"/>
            </w:pPr>
            <w:r>
              <w:t>823.20</w:t>
            </w:r>
          </w:p>
        </w:tc>
      </w:tr>
      <w:tr>
        <w:trPr>
          <w:cantSplit/>
          <w:tblHeader/>
          <w:jc w:val="center"/>
        </w:trPr>
        <w:tc>
          <w:tcPr>
            <w:tcW w:w="3215" w:type="dxa"/>
            <w:tcBorders>
              <w:top w:val="nil"/>
              <w:left w:val="nil"/>
              <w:bottom w:val="nil"/>
              <w:right w:val="nil"/>
            </w:tcBorders>
          </w:tcPr>
          <w:p>
            <w:pPr>
              <w:pStyle w:val="yTableNAm"/>
              <w:jc w:val="center"/>
            </w:pPr>
            <w:r>
              <w:t>35, 38, 40</w:t>
            </w:r>
          </w:p>
        </w:tc>
        <w:tc>
          <w:tcPr>
            <w:tcW w:w="3084" w:type="dxa"/>
            <w:tcBorders>
              <w:top w:val="nil"/>
              <w:left w:val="nil"/>
              <w:bottom w:val="nil"/>
              <w:right w:val="nil"/>
            </w:tcBorders>
          </w:tcPr>
          <w:p>
            <w:pPr>
              <w:pStyle w:val="yTableNAm"/>
              <w:jc w:val="center"/>
            </w:pPr>
            <w:r>
              <w:t>1 463.50</w:t>
            </w:r>
          </w:p>
        </w:tc>
      </w:tr>
      <w:tr>
        <w:trPr>
          <w:cantSplit/>
          <w:tblHeader/>
          <w:jc w:val="center"/>
        </w:trPr>
        <w:tc>
          <w:tcPr>
            <w:tcW w:w="3215" w:type="dxa"/>
            <w:tcBorders>
              <w:top w:val="nil"/>
              <w:left w:val="nil"/>
              <w:bottom w:val="nil"/>
              <w:right w:val="nil"/>
            </w:tcBorders>
          </w:tcPr>
          <w:p>
            <w:pPr>
              <w:pStyle w:val="yTableNAm"/>
              <w:jc w:val="center"/>
            </w:pPr>
            <w:r>
              <w:t>50</w:t>
            </w:r>
          </w:p>
        </w:tc>
        <w:tc>
          <w:tcPr>
            <w:tcW w:w="3084" w:type="dxa"/>
            <w:tcBorders>
              <w:top w:val="nil"/>
              <w:left w:val="nil"/>
              <w:bottom w:val="nil"/>
              <w:right w:val="nil"/>
            </w:tcBorders>
          </w:tcPr>
          <w:p>
            <w:pPr>
              <w:pStyle w:val="yTableNAm"/>
              <w:jc w:val="center"/>
            </w:pPr>
            <w:r>
              <w:t>2 286.70</w:t>
            </w:r>
          </w:p>
        </w:tc>
      </w:tr>
      <w:tr>
        <w:trPr>
          <w:cantSplit/>
          <w:tblHeader/>
          <w:jc w:val="center"/>
        </w:trPr>
        <w:tc>
          <w:tcPr>
            <w:tcW w:w="3215" w:type="dxa"/>
            <w:tcBorders>
              <w:top w:val="nil"/>
              <w:left w:val="nil"/>
              <w:bottom w:val="nil"/>
              <w:right w:val="nil"/>
            </w:tcBorders>
          </w:tcPr>
          <w:p>
            <w:pPr>
              <w:pStyle w:val="yTableNAm"/>
              <w:jc w:val="center"/>
            </w:pPr>
            <w:r>
              <w:t>70, 75, 80</w:t>
            </w:r>
          </w:p>
        </w:tc>
        <w:tc>
          <w:tcPr>
            <w:tcW w:w="3084" w:type="dxa"/>
            <w:tcBorders>
              <w:top w:val="nil"/>
              <w:left w:val="nil"/>
              <w:bottom w:val="nil"/>
              <w:right w:val="nil"/>
            </w:tcBorders>
          </w:tcPr>
          <w:p>
            <w:pPr>
              <w:pStyle w:val="yTableNAm"/>
              <w:jc w:val="center"/>
            </w:pPr>
            <w:r>
              <w:t>5 853.90</w:t>
            </w:r>
          </w:p>
        </w:tc>
      </w:tr>
      <w:tr>
        <w:trPr>
          <w:cantSplit/>
          <w:tblHeader/>
          <w:jc w:val="center"/>
        </w:trPr>
        <w:tc>
          <w:tcPr>
            <w:tcW w:w="3215" w:type="dxa"/>
            <w:tcBorders>
              <w:top w:val="nil"/>
              <w:left w:val="nil"/>
              <w:bottom w:val="nil"/>
              <w:right w:val="nil"/>
            </w:tcBorders>
          </w:tcPr>
          <w:p>
            <w:pPr>
              <w:pStyle w:val="yTableNAm"/>
              <w:jc w:val="center"/>
            </w:pPr>
            <w:r>
              <w:t>100</w:t>
            </w:r>
          </w:p>
        </w:tc>
        <w:tc>
          <w:tcPr>
            <w:tcW w:w="3084" w:type="dxa"/>
            <w:tcBorders>
              <w:top w:val="nil"/>
              <w:left w:val="nil"/>
              <w:bottom w:val="nil"/>
              <w:right w:val="nil"/>
            </w:tcBorders>
          </w:tcPr>
          <w:p>
            <w:pPr>
              <w:pStyle w:val="yTableNAm"/>
              <w:jc w:val="center"/>
            </w:pPr>
            <w:r>
              <w:t>9 146.70</w:t>
            </w:r>
          </w:p>
        </w:tc>
      </w:tr>
      <w:tr>
        <w:trPr>
          <w:cantSplit/>
          <w:tblHeader/>
          <w:jc w:val="center"/>
        </w:trPr>
        <w:tc>
          <w:tcPr>
            <w:tcW w:w="3215" w:type="dxa"/>
            <w:tcBorders>
              <w:top w:val="nil"/>
              <w:left w:val="nil"/>
              <w:bottom w:val="nil"/>
              <w:right w:val="nil"/>
            </w:tcBorders>
          </w:tcPr>
          <w:p>
            <w:pPr>
              <w:pStyle w:val="yTableNAm"/>
              <w:jc w:val="center"/>
            </w:pPr>
            <w:r>
              <w:t>140, 150</w:t>
            </w:r>
          </w:p>
        </w:tc>
        <w:tc>
          <w:tcPr>
            <w:tcW w:w="3084" w:type="dxa"/>
            <w:tcBorders>
              <w:top w:val="nil"/>
              <w:left w:val="nil"/>
              <w:bottom w:val="nil"/>
              <w:right w:val="nil"/>
            </w:tcBorders>
          </w:tcPr>
          <w:p>
            <w:pPr>
              <w:pStyle w:val="yTableNAm"/>
              <w:jc w:val="center"/>
            </w:pPr>
            <w:r>
              <w:t>20 580.10</w:t>
            </w:r>
          </w:p>
        </w:tc>
      </w:tr>
      <w:tr>
        <w:trPr>
          <w:cantSplit/>
          <w:tblHeader/>
          <w:jc w:val="center"/>
        </w:trPr>
        <w:tc>
          <w:tcPr>
            <w:tcW w:w="3215" w:type="dxa"/>
            <w:tcBorders>
              <w:top w:val="nil"/>
              <w:left w:val="nil"/>
              <w:bottom w:val="nil"/>
              <w:right w:val="nil"/>
            </w:tcBorders>
          </w:tcPr>
          <w:p>
            <w:pPr>
              <w:pStyle w:val="yTableNAm"/>
              <w:jc w:val="center"/>
            </w:pPr>
            <w:r>
              <w:t>200</w:t>
            </w:r>
          </w:p>
        </w:tc>
        <w:tc>
          <w:tcPr>
            <w:tcW w:w="3084" w:type="dxa"/>
            <w:tcBorders>
              <w:top w:val="nil"/>
              <w:left w:val="nil"/>
              <w:bottom w:val="nil"/>
              <w:right w:val="nil"/>
            </w:tcBorders>
          </w:tcPr>
          <w:p>
            <w:pPr>
              <w:pStyle w:val="yTableNAm"/>
              <w:jc w:val="center"/>
            </w:pPr>
            <w:r>
              <w:t>36 586.80</w:t>
            </w:r>
          </w:p>
        </w:tc>
      </w:tr>
      <w:tr>
        <w:trPr>
          <w:cantSplit/>
          <w:tblHeader/>
          <w:jc w:val="center"/>
        </w:trPr>
        <w:tc>
          <w:tcPr>
            <w:tcW w:w="3215" w:type="dxa"/>
            <w:tcBorders>
              <w:top w:val="nil"/>
              <w:left w:val="nil"/>
              <w:bottom w:val="nil"/>
              <w:right w:val="nil"/>
            </w:tcBorders>
          </w:tcPr>
          <w:p>
            <w:pPr>
              <w:pStyle w:val="yTableNAm"/>
              <w:jc w:val="center"/>
            </w:pPr>
            <w:r>
              <w:t>250</w:t>
            </w:r>
          </w:p>
        </w:tc>
        <w:tc>
          <w:tcPr>
            <w:tcW w:w="3084" w:type="dxa"/>
            <w:tcBorders>
              <w:top w:val="nil"/>
              <w:left w:val="nil"/>
              <w:bottom w:val="nil"/>
              <w:right w:val="nil"/>
            </w:tcBorders>
          </w:tcPr>
          <w:p>
            <w:pPr>
              <w:pStyle w:val="yTableNAm"/>
              <w:jc w:val="center"/>
            </w:pPr>
            <w:r>
              <w:t>57 166.80</w:t>
            </w:r>
          </w:p>
        </w:tc>
      </w:tr>
      <w:tr>
        <w:trPr>
          <w:cantSplit/>
          <w:tblHeader/>
          <w:jc w:val="center"/>
        </w:trPr>
        <w:tc>
          <w:tcPr>
            <w:tcW w:w="3215" w:type="dxa"/>
            <w:tcBorders>
              <w:top w:val="nil"/>
              <w:left w:val="nil"/>
              <w:bottom w:val="nil"/>
              <w:right w:val="nil"/>
            </w:tcBorders>
          </w:tcPr>
          <w:p>
            <w:pPr>
              <w:pStyle w:val="yTableNAm"/>
              <w:jc w:val="center"/>
            </w:pPr>
            <w:r>
              <w:t>300</w:t>
            </w:r>
          </w:p>
        </w:tc>
        <w:tc>
          <w:tcPr>
            <w:tcW w:w="3084" w:type="dxa"/>
            <w:tcBorders>
              <w:top w:val="nil"/>
              <w:left w:val="nil"/>
              <w:bottom w:val="nil"/>
              <w:right w:val="nil"/>
            </w:tcBorders>
          </w:tcPr>
          <w:p>
            <w:pPr>
              <w:pStyle w:val="yTableNAm"/>
              <w:jc w:val="center"/>
            </w:pPr>
            <w:r>
              <w:t>82 320.20</w:t>
            </w:r>
          </w:p>
        </w:tc>
      </w:tr>
      <w:tr>
        <w:trPr>
          <w:cantSplit/>
          <w:tblHeader/>
          <w:jc w:val="center"/>
        </w:trPr>
        <w:tc>
          <w:tcPr>
            <w:tcW w:w="3215" w:type="dxa"/>
            <w:tcBorders>
              <w:top w:val="nil"/>
              <w:left w:val="nil"/>
              <w:bottom w:val="single" w:sz="4" w:space="0" w:color="auto"/>
              <w:right w:val="nil"/>
            </w:tcBorders>
          </w:tcPr>
          <w:p>
            <w:pPr>
              <w:pStyle w:val="yTableNAm"/>
              <w:jc w:val="center"/>
            </w:pPr>
            <w:r>
              <w:t>350</w:t>
            </w:r>
          </w:p>
        </w:tc>
        <w:tc>
          <w:tcPr>
            <w:tcW w:w="3084" w:type="dxa"/>
            <w:tcBorders>
              <w:top w:val="nil"/>
              <w:left w:val="nil"/>
              <w:bottom w:val="single" w:sz="4" w:space="0" w:color="auto"/>
              <w:right w:val="nil"/>
            </w:tcBorders>
          </w:tcPr>
          <w:p>
            <w:pPr>
              <w:pStyle w:val="yTableNAm"/>
              <w:jc w:val="center"/>
            </w:pPr>
            <w:r>
              <w:t>112 046.90</w:t>
            </w:r>
          </w:p>
        </w:tc>
      </w:tr>
    </w:tbl>
    <w:p>
      <w:pPr>
        <w:rPr>
          <w:sz w:val="18"/>
        </w:rPr>
      </w:pPr>
    </w:p>
    <w:tbl>
      <w:tblPr>
        <w:tblW w:w="0" w:type="auto"/>
        <w:tblInd w:w="534" w:type="dxa"/>
        <w:tblLook w:val="0000" w:firstRow="0" w:lastRow="0" w:firstColumn="0" w:lastColumn="0" w:noHBand="0" w:noVBand="0"/>
      </w:tblPr>
      <w:tblGrid>
        <w:gridCol w:w="850"/>
        <w:gridCol w:w="4234"/>
        <w:gridCol w:w="1153"/>
      </w:tblGrid>
      <w:tr>
        <w:trPr>
          <w:cantSplit/>
        </w:trPr>
        <w:tc>
          <w:tcPr>
            <w:tcW w:w="850" w:type="dxa"/>
          </w:tcPr>
          <w:p>
            <w:pPr>
              <w:pStyle w:val="yHeading5"/>
              <w:tabs>
                <w:tab w:val="clear" w:pos="879"/>
              </w:tabs>
              <w:ind w:left="0" w:firstLine="0"/>
            </w:pPr>
            <w:bookmarkStart w:id="586" w:name="_Toc265743532"/>
            <w:r>
              <w:t>13.</w:t>
            </w:r>
            <w:bookmarkEnd w:id="586"/>
          </w:p>
        </w:tc>
        <w:tc>
          <w:tcPr>
            <w:tcW w:w="4234" w:type="dxa"/>
          </w:tcPr>
          <w:p>
            <w:pPr>
              <w:pStyle w:val="yHeading5"/>
              <w:tabs>
                <w:tab w:val="clear" w:pos="879"/>
              </w:tabs>
              <w:ind w:left="0" w:firstLine="0"/>
            </w:pPr>
            <w:bookmarkStart w:id="587" w:name="_Toc265743533"/>
            <w:r>
              <w:t>Shipping (non</w:t>
            </w:r>
            <w:r>
              <w:noBreakHyphen/>
              <w:t>metropolitan)</w:t>
            </w:r>
            <w:bookmarkEnd w:id="587"/>
          </w:p>
        </w:tc>
        <w:tc>
          <w:tcPr>
            <w:tcW w:w="1153" w:type="dxa"/>
          </w:tcPr>
          <w:p>
            <w:pPr>
              <w:pStyle w:val="yHeading5"/>
              <w:tabs>
                <w:tab w:val="clear" w:pos="879"/>
              </w:tabs>
              <w:ind w:left="0" w:firstLine="0"/>
            </w:pPr>
          </w:p>
        </w:tc>
      </w:tr>
      <w:tr>
        <w:trPr>
          <w:cantSplit/>
        </w:trPr>
        <w:tc>
          <w:tcPr>
            <w:tcW w:w="850" w:type="dxa"/>
          </w:tcPr>
          <w:p>
            <w:pPr>
              <w:pStyle w:val="yTableNAm"/>
            </w:pPr>
          </w:p>
        </w:tc>
        <w:tc>
          <w:tcPr>
            <w:tcW w:w="4234" w:type="dxa"/>
          </w:tcPr>
          <w:p>
            <w:pPr>
              <w:pStyle w:val="yTableNAm"/>
              <w:tabs>
                <w:tab w:val="left" w:leader="dot" w:pos="4018"/>
              </w:tabs>
            </w:pPr>
            <w:r>
              <w:t>For each water supply connection provided for the purpose of water being taken on board any ship in a port not in the metropolitan area the charge applicable for the relevant meter size in the Table to item 10.</w:t>
            </w:r>
          </w:p>
        </w:tc>
        <w:tc>
          <w:tcPr>
            <w:tcW w:w="1153" w:type="dxa"/>
          </w:tcPr>
          <w:p>
            <w:pPr>
              <w:pStyle w:val="yTableNAm"/>
            </w:pPr>
          </w:p>
        </w:tc>
      </w:tr>
      <w:tr>
        <w:trPr>
          <w:cantSplit/>
        </w:trPr>
        <w:tc>
          <w:tcPr>
            <w:tcW w:w="850" w:type="dxa"/>
          </w:tcPr>
          <w:p>
            <w:pPr>
              <w:pStyle w:val="yHeading5"/>
              <w:tabs>
                <w:tab w:val="clear" w:pos="879"/>
              </w:tabs>
              <w:ind w:left="0" w:firstLine="0"/>
            </w:pPr>
            <w:bookmarkStart w:id="588" w:name="_Toc265743534"/>
            <w:r>
              <w:t>14.</w:t>
            </w:r>
            <w:bookmarkEnd w:id="588"/>
          </w:p>
        </w:tc>
        <w:tc>
          <w:tcPr>
            <w:tcW w:w="4234" w:type="dxa"/>
          </w:tcPr>
          <w:p>
            <w:pPr>
              <w:pStyle w:val="yHeading5"/>
              <w:tabs>
                <w:tab w:val="clear" w:pos="879"/>
              </w:tabs>
              <w:ind w:left="0" w:firstLine="0"/>
            </w:pPr>
            <w:bookmarkStart w:id="589" w:name="_Toc265743535"/>
            <w:r>
              <w:t>Local government standpipes</w:t>
            </w:r>
            <w:bookmarkEnd w:id="589"/>
          </w:p>
        </w:tc>
        <w:tc>
          <w:tcPr>
            <w:tcW w:w="1153" w:type="dxa"/>
          </w:tcPr>
          <w:p>
            <w:pPr>
              <w:pStyle w:val="yHeading5"/>
              <w:tabs>
                <w:tab w:val="clear" w:pos="879"/>
              </w:tabs>
              <w:ind w:left="0" w:firstLine="0"/>
            </w:pPr>
          </w:p>
        </w:tc>
      </w:tr>
      <w:tr>
        <w:trPr>
          <w:cantSplit/>
        </w:trPr>
        <w:tc>
          <w:tcPr>
            <w:tcW w:w="850" w:type="dxa"/>
          </w:tcPr>
          <w:p>
            <w:pPr>
              <w:pStyle w:val="yTableNAm"/>
            </w:pPr>
          </w:p>
        </w:tc>
        <w:tc>
          <w:tcPr>
            <w:tcW w:w="4234" w:type="dxa"/>
          </w:tcPr>
          <w:p>
            <w:pPr>
              <w:pStyle w:val="yTableNAm"/>
              <w:tabs>
                <w:tab w:val="left" w:leader="dot" w:pos="4018"/>
              </w:tabs>
            </w:pPr>
            <w:r>
              <w:t xml:space="preserve">For each local government standpipe </w:t>
            </w:r>
            <w:r>
              <w:tab/>
            </w:r>
          </w:p>
        </w:tc>
        <w:tc>
          <w:tcPr>
            <w:tcW w:w="1153" w:type="dxa"/>
          </w:tcPr>
          <w:p>
            <w:pPr>
              <w:pStyle w:val="yTableNAm"/>
            </w:pPr>
            <w:r>
              <w:t>$186.60</w:t>
            </w:r>
          </w:p>
        </w:tc>
      </w:tr>
      <w:tr>
        <w:trPr>
          <w:cantSplit/>
        </w:trPr>
        <w:tc>
          <w:tcPr>
            <w:tcW w:w="850" w:type="dxa"/>
          </w:tcPr>
          <w:p>
            <w:pPr>
              <w:pStyle w:val="yHeading5"/>
              <w:tabs>
                <w:tab w:val="clear" w:pos="879"/>
              </w:tabs>
              <w:ind w:left="0" w:firstLine="0"/>
            </w:pPr>
            <w:bookmarkStart w:id="590" w:name="_Toc265743536"/>
            <w:r>
              <w:t>15.</w:t>
            </w:r>
            <w:bookmarkEnd w:id="590"/>
          </w:p>
        </w:tc>
        <w:tc>
          <w:tcPr>
            <w:tcW w:w="4234" w:type="dxa"/>
          </w:tcPr>
          <w:p>
            <w:pPr>
              <w:pStyle w:val="yHeading5"/>
              <w:tabs>
                <w:tab w:val="clear" w:pos="879"/>
              </w:tabs>
              <w:ind w:left="0" w:firstLine="0"/>
            </w:pPr>
            <w:bookmarkStart w:id="591" w:name="_Toc265743537"/>
            <w:r>
              <w:t>Firefighting connections</w:t>
            </w:r>
            <w:bookmarkEnd w:id="591"/>
          </w:p>
        </w:tc>
        <w:tc>
          <w:tcPr>
            <w:tcW w:w="1153" w:type="dxa"/>
          </w:tcPr>
          <w:p>
            <w:pPr>
              <w:pStyle w:val="yHeading5"/>
              <w:tabs>
                <w:tab w:val="clear" w:pos="879"/>
              </w:tabs>
              <w:ind w:left="0" w:firstLine="0"/>
            </w:pPr>
          </w:p>
        </w:tc>
      </w:tr>
      <w:tr>
        <w:trPr>
          <w:cantSplit/>
        </w:trPr>
        <w:tc>
          <w:tcPr>
            <w:tcW w:w="850" w:type="dxa"/>
          </w:tcPr>
          <w:p>
            <w:pPr>
              <w:pStyle w:val="yTableNAm"/>
            </w:pPr>
          </w:p>
        </w:tc>
        <w:tc>
          <w:tcPr>
            <w:tcW w:w="4234" w:type="dxa"/>
          </w:tcPr>
          <w:p>
            <w:pPr>
              <w:pStyle w:val="yTableNAm"/>
              <w:tabs>
                <w:tab w:val="left" w:leader="dot" w:pos="4018"/>
              </w:tabs>
            </w:pPr>
            <w:r>
              <w:t xml:space="preserve">For each water supply connection provided for the purpose of firefighting </w:t>
            </w:r>
            <w:r>
              <w:tab/>
            </w:r>
          </w:p>
        </w:tc>
        <w:tc>
          <w:tcPr>
            <w:tcW w:w="1153" w:type="dxa"/>
          </w:tcPr>
          <w:p>
            <w:pPr>
              <w:pStyle w:val="yTableNAm"/>
            </w:pPr>
            <w:r>
              <w:br/>
              <w:t>$186.60</w:t>
            </w:r>
          </w:p>
        </w:tc>
      </w:tr>
      <w:tr>
        <w:trPr>
          <w:cantSplit/>
        </w:trPr>
        <w:tc>
          <w:tcPr>
            <w:tcW w:w="850" w:type="dxa"/>
          </w:tcPr>
          <w:p>
            <w:pPr>
              <w:pStyle w:val="yHeading5"/>
              <w:tabs>
                <w:tab w:val="clear" w:pos="879"/>
              </w:tabs>
              <w:ind w:left="0" w:firstLine="0"/>
            </w:pPr>
            <w:bookmarkStart w:id="592" w:name="_Toc265743538"/>
            <w:r>
              <w:t>16.</w:t>
            </w:r>
            <w:bookmarkEnd w:id="592"/>
          </w:p>
        </w:tc>
        <w:tc>
          <w:tcPr>
            <w:tcW w:w="4234" w:type="dxa"/>
          </w:tcPr>
          <w:p>
            <w:pPr>
              <w:pStyle w:val="yHeading5"/>
              <w:tabs>
                <w:tab w:val="clear" w:pos="879"/>
              </w:tabs>
              <w:ind w:left="0" w:firstLine="0"/>
            </w:pPr>
            <w:bookmarkStart w:id="593" w:name="_Toc265743539"/>
            <w:r>
              <w:t>Farmland</w:t>
            </w:r>
            <w:bookmarkEnd w:id="593"/>
          </w:p>
        </w:tc>
        <w:tc>
          <w:tcPr>
            <w:tcW w:w="1153" w:type="dxa"/>
          </w:tcPr>
          <w:p>
            <w:pPr>
              <w:pStyle w:val="yHeading5"/>
              <w:tabs>
                <w:tab w:val="clear" w:pos="879"/>
              </w:tabs>
              <w:ind w:left="0" w:firstLine="0"/>
            </w:pPr>
          </w:p>
        </w:tc>
      </w:tr>
      <w:tr>
        <w:trPr>
          <w:cantSplit/>
        </w:trPr>
        <w:tc>
          <w:tcPr>
            <w:tcW w:w="850" w:type="dxa"/>
          </w:tcPr>
          <w:p>
            <w:pPr>
              <w:pStyle w:val="yTableNAm"/>
            </w:pPr>
          </w:p>
        </w:tc>
        <w:tc>
          <w:tcPr>
            <w:tcW w:w="4234" w:type="dxa"/>
          </w:tcPr>
          <w:p>
            <w:pPr>
              <w:pStyle w:val="yTableNAm"/>
              <w:tabs>
                <w:tab w:val="left" w:leader="dot" w:pos="4018"/>
              </w:tabs>
            </w:pPr>
            <w:r>
              <w:t xml:space="preserve">In respect of land that is classified as farmland </w:t>
            </w:r>
            <w:r>
              <w:tab/>
            </w:r>
          </w:p>
        </w:tc>
        <w:tc>
          <w:tcPr>
            <w:tcW w:w="1153" w:type="dxa"/>
          </w:tcPr>
          <w:p>
            <w:pPr>
              <w:pStyle w:val="yTableNAm"/>
            </w:pPr>
            <w:r>
              <w:br/>
              <w:t>$186.60</w:t>
            </w:r>
          </w:p>
        </w:tc>
      </w:tr>
      <w:tr>
        <w:trPr>
          <w:cantSplit/>
        </w:trPr>
        <w:tc>
          <w:tcPr>
            <w:tcW w:w="850" w:type="dxa"/>
          </w:tcPr>
          <w:p>
            <w:pPr>
              <w:pStyle w:val="yHeading5"/>
              <w:tabs>
                <w:tab w:val="clear" w:pos="879"/>
              </w:tabs>
              <w:ind w:left="0" w:firstLine="0"/>
            </w:pPr>
            <w:bookmarkStart w:id="594" w:name="_Toc265743540"/>
            <w:r>
              <w:t>17.</w:t>
            </w:r>
            <w:bookmarkEnd w:id="594"/>
          </w:p>
        </w:tc>
        <w:tc>
          <w:tcPr>
            <w:tcW w:w="4234" w:type="dxa"/>
          </w:tcPr>
          <w:p>
            <w:pPr>
              <w:pStyle w:val="yHeading5"/>
              <w:tabs>
                <w:tab w:val="clear" w:pos="879"/>
              </w:tabs>
              <w:ind w:left="0" w:firstLine="0"/>
            </w:pPr>
            <w:bookmarkStart w:id="595" w:name="_Toc265743541"/>
            <w:r>
              <w:t>Metropolitan non</w:t>
            </w:r>
            <w:r>
              <w:noBreakHyphen/>
              <w:t>residential (except strata</w:t>
            </w:r>
            <w:r>
              <w:noBreakHyphen/>
              <w:t>titled units that share a service)</w:t>
            </w:r>
            <w:bookmarkEnd w:id="595"/>
          </w:p>
        </w:tc>
        <w:tc>
          <w:tcPr>
            <w:tcW w:w="1153" w:type="dxa"/>
          </w:tcPr>
          <w:p>
            <w:pPr>
              <w:pStyle w:val="yHeading5"/>
              <w:tabs>
                <w:tab w:val="clear" w:pos="879"/>
              </w:tabs>
              <w:ind w:left="0" w:firstLine="0"/>
            </w:pPr>
          </w:p>
        </w:tc>
      </w:tr>
      <w:tr>
        <w:trPr>
          <w:cantSplit/>
        </w:trPr>
        <w:tc>
          <w:tcPr>
            <w:tcW w:w="850" w:type="dxa"/>
          </w:tcPr>
          <w:p>
            <w:pPr>
              <w:pStyle w:val="yTableNAm"/>
            </w:pPr>
          </w:p>
        </w:tc>
        <w:tc>
          <w:tcPr>
            <w:tcW w:w="4234" w:type="dxa"/>
          </w:tcPr>
          <w:p>
            <w:pPr>
              <w:pStyle w:val="yTableNAm"/>
              <w:tabs>
                <w:tab w:val="left" w:leader="dot" w:pos="4018"/>
              </w:tabs>
            </w:pPr>
            <w:r>
              <w:t>In respect of non</w:t>
            </w:r>
            <w:r>
              <w:noBreakHyphen/>
              <w:t>residential land in the metropolitan area, not being land mentioned in item 18, a charge determined by meter size as set out in the following Table —</w:t>
            </w:r>
          </w:p>
        </w:tc>
        <w:tc>
          <w:tcPr>
            <w:tcW w:w="1153" w:type="dxa"/>
          </w:tcPr>
          <w:p>
            <w:pPr>
              <w:pStyle w:val="yTableNAm"/>
            </w:pPr>
          </w:p>
        </w:tc>
      </w:tr>
    </w:tbl>
    <w:p>
      <w:pPr>
        <w:pStyle w:val="yTHeadingNAm"/>
      </w:pPr>
      <w:r>
        <w:t>Table of meter</w:t>
      </w:r>
      <w:r>
        <w:noBreakHyphen/>
        <w:t>based fixed charges</w:t>
      </w:r>
    </w:p>
    <w:tbl>
      <w:tblPr>
        <w:tblW w:w="0" w:type="auto"/>
        <w:jc w:val="center"/>
        <w:tblLayout w:type="fixed"/>
        <w:tblLook w:val="0000" w:firstRow="0" w:lastRow="0" w:firstColumn="0" w:lastColumn="0" w:noHBand="0" w:noVBand="0"/>
      </w:tblPr>
      <w:tblGrid>
        <w:gridCol w:w="3206"/>
        <w:gridCol w:w="3093"/>
      </w:tblGrid>
      <w:tr>
        <w:trPr>
          <w:cantSplit/>
          <w:tblHeader/>
          <w:jc w:val="center"/>
        </w:trPr>
        <w:tc>
          <w:tcPr>
            <w:tcW w:w="3206" w:type="dxa"/>
            <w:tcBorders>
              <w:top w:val="single" w:sz="4" w:space="0" w:color="auto"/>
              <w:bottom w:val="single" w:sz="4" w:space="0" w:color="auto"/>
            </w:tcBorders>
          </w:tcPr>
          <w:p>
            <w:pPr>
              <w:pStyle w:val="yTableNAm"/>
              <w:jc w:val="center"/>
              <w:rPr>
                <w:b/>
                <w:bCs/>
              </w:rPr>
            </w:pPr>
            <w:r>
              <w:rPr>
                <w:b/>
                <w:bCs/>
              </w:rPr>
              <w:t>Meter size</w:t>
            </w:r>
            <w:r>
              <w:rPr>
                <w:b/>
                <w:bCs/>
              </w:rPr>
              <w:br/>
              <w:t>mm</w:t>
            </w:r>
          </w:p>
        </w:tc>
        <w:tc>
          <w:tcPr>
            <w:tcW w:w="3093" w:type="dxa"/>
            <w:tcBorders>
              <w:top w:val="single" w:sz="4" w:space="0" w:color="auto"/>
              <w:bottom w:val="single" w:sz="4" w:space="0" w:color="auto"/>
            </w:tcBorders>
          </w:tcPr>
          <w:p>
            <w:pPr>
              <w:pStyle w:val="yTableNAm"/>
              <w:jc w:val="center"/>
              <w:rPr>
                <w:b/>
                <w:bCs/>
              </w:rPr>
            </w:pPr>
            <w:r>
              <w:rPr>
                <w:b/>
                <w:bCs/>
              </w:rPr>
              <w:t>Charge</w:t>
            </w:r>
            <w:r>
              <w:rPr>
                <w:b/>
                <w:bCs/>
              </w:rPr>
              <w:br/>
              <w:t>$</w:t>
            </w:r>
          </w:p>
        </w:tc>
      </w:tr>
      <w:tr>
        <w:trPr>
          <w:cantSplit/>
          <w:jc w:val="center"/>
        </w:trPr>
        <w:tc>
          <w:tcPr>
            <w:tcW w:w="3206" w:type="dxa"/>
          </w:tcPr>
          <w:p>
            <w:pPr>
              <w:pStyle w:val="yTableNAm"/>
              <w:jc w:val="center"/>
            </w:pPr>
            <w:r>
              <w:t>20</w:t>
            </w:r>
          </w:p>
        </w:tc>
        <w:tc>
          <w:tcPr>
            <w:tcW w:w="3093" w:type="dxa"/>
          </w:tcPr>
          <w:p>
            <w:pPr>
              <w:pStyle w:val="yTableNAm"/>
              <w:jc w:val="center"/>
            </w:pPr>
            <w:r>
              <w:t>365.90</w:t>
            </w:r>
          </w:p>
        </w:tc>
      </w:tr>
      <w:tr>
        <w:trPr>
          <w:cantSplit/>
          <w:jc w:val="center"/>
        </w:trPr>
        <w:tc>
          <w:tcPr>
            <w:tcW w:w="3206" w:type="dxa"/>
          </w:tcPr>
          <w:p>
            <w:pPr>
              <w:pStyle w:val="yTableNAm"/>
              <w:jc w:val="center"/>
            </w:pPr>
            <w:r>
              <w:t>25</w:t>
            </w:r>
          </w:p>
        </w:tc>
        <w:tc>
          <w:tcPr>
            <w:tcW w:w="3093" w:type="dxa"/>
          </w:tcPr>
          <w:p>
            <w:pPr>
              <w:pStyle w:val="yTableNAm"/>
              <w:jc w:val="center"/>
            </w:pPr>
            <w:r>
              <w:t>571.70</w:t>
            </w:r>
          </w:p>
        </w:tc>
      </w:tr>
      <w:tr>
        <w:trPr>
          <w:cantSplit/>
          <w:jc w:val="center"/>
        </w:trPr>
        <w:tc>
          <w:tcPr>
            <w:tcW w:w="3206" w:type="dxa"/>
          </w:tcPr>
          <w:p>
            <w:pPr>
              <w:pStyle w:val="yTableNAm"/>
              <w:jc w:val="center"/>
            </w:pPr>
            <w:r>
              <w:t>30</w:t>
            </w:r>
          </w:p>
        </w:tc>
        <w:tc>
          <w:tcPr>
            <w:tcW w:w="3093" w:type="dxa"/>
          </w:tcPr>
          <w:p>
            <w:pPr>
              <w:pStyle w:val="yTableNAm"/>
              <w:jc w:val="center"/>
            </w:pPr>
            <w:r>
              <w:t>823.20</w:t>
            </w:r>
          </w:p>
        </w:tc>
      </w:tr>
      <w:tr>
        <w:trPr>
          <w:cantSplit/>
          <w:jc w:val="center"/>
        </w:trPr>
        <w:tc>
          <w:tcPr>
            <w:tcW w:w="3206" w:type="dxa"/>
          </w:tcPr>
          <w:p>
            <w:pPr>
              <w:pStyle w:val="yTableNAm"/>
              <w:jc w:val="center"/>
            </w:pPr>
            <w:r>
              <w:t>40</w:t>
            </w:r>
          </w:p>
        </w:tc>
        <w:tc>
          <w:tcPr>
            <w:tcW w:w="3093" w:type="dxa"/>
          </w:tcPr>
          <w:p>
            <w:pPr>
              <w:pStyle w:val="yTableNAm"/>
              <w:jc w:val="center"/>
            </w:pPr>
            <w:r>
              <w:t>1 463.50</w:t>
            </w:r>
          </w:p>
        </w:tc>
      </w:tr>
      <w:tr>
        <w:trPr>
          <w:cantSplit/>
          <w:jc w:val="center"/>
        </w:trPr>
        <w:tc>
          <w:tcPr>
            <w:tcW w:w="3206" w:type="dxa"/>
          </w:tcPr>
          <w:p>
            <w:pPr>
              <w:pStyle w:val="yTableNAm"/>
              <w:jc w:val="center"/>
            </w:pPr>
            <w:r>
              <w:t>50</w:t>
            </w:r>
          </w:p>
        </w:tc>
        <w:tc>
          <w:tcPr>
            <w:tcW w:w="3093" w:type="dxa"/>
          </w:tcPr>
          <w:p>
            <w:pPr>
              <w:pStyle w:val="yTableNAm"/>
              <w:jc w:val="center"/>
            </w:pPr>
            <w:r>
              <w:t>2 286.70</w:t>
            </w:r>
          </w:p>
        </w:tc>
      </w:tr>
      <w:tr>
        <w:trPr>
          <w:cantSplit/>
          <w:jc w:val="center"/>
        </w:trPr>
        <w:tc>
          <w:tcPr>
            <w:tcW w:w="3206" w:type="dxa"/>
          </w:tcPr>
          <w:p>
            <w:pPr>
              <w:pStyle w:val="yTableNAm"/>
              <w:jc w:val="center"/>
            </w:pPr>
            <w:r>
              <w:t>80</w:t>
            </w:r>
          </w:p>
        </w:tc>
        <w:tc>
          <w:tcPr>
            <w:tcW w:w="3093" w:type="dxa"/>
          </w:tcPr>
          <w:p>
            <w:pPr>
              <w:pStyle w:val="yTableNAm"/>
              <w:jc w:val="center"/>
            </w:pPr>
            <w:r>
              <w:t>5 853.90</w:t>
            </w:r>
          </w:p>
        </w:tc>
      </w:tr>
      <w:tr>
        <w:trPr>
          <w:cantSplit/>
          <w:jc w:val="center"/>
        </w:trPr>
        <w:tc>
          <w:tcPr>
            <w:tcW w:w="3206" w:type="dxa"/>
          </w:tcPr>
          <w:p>
            <w:pPr>
              <w:pStyle w:val="yTableNAm"/>
              <w:jc w:val="center"/>
            </w:pPr>
            <w:r>
              <w:t>100</w:t>
            </w:r>
          </w:p>
        </w:tc>
        <w:tc>
          <w:tcPr>
            <w:tcW w:w="3093" w:type="dxa"/>
          </w:tcPr>
          <w:p>
            <w:pPr>
              <w:pStyle w:val="yTableNAm"/>
              <w:jc w:val="center"/>
            </w:pPr>
            <w:r>
              <w:t>9 146.70</w:t>
            </w:r>
          </w:p>
        </w:tc>
      </w:tr>
      <w:tr>
        <w:trPr>
          <w:cantSplit/>
          <w:jc w:val="center"/>
        </w:trPr>
        <w:tc>
          <w:tcPr>
            <w:tcW w:w="3206" w:type="dxa"/>
          </w:tcPr>
          <w:p>
            <w:pPr>
              <w:pStyle w:val="yTableNAm"/>
              <w:jc w:val="center"/>
            </w:pPr>
            <w:r>
              <w:t>150</w:t>
            </w:r>
          </w:p>
        </w:tc>
        <w:tc>
          <w:tcPr>
            <w:tcW w:w="3093" w:type="dxa"/>
          </w:tcPr>
          <w:p>
            <w:pPr>
              <w:pStyle w:val="yTableNAm"/>
              <w:jc w:val="center"/>
            </w:pPr>
            <w:r>
              <w:t>20 580.10</w:t>
            </w:r>
          </w:p>
        </w:tc>
      </w:tr>
      <w:tr>
        <w:trPr>
          <w:cantSplit/>
          <w:jc w:val="center"/>
        </w:trPr>
        <w:tc>
          <w:tcPr>
            <w:tcW w:w="3206" w:type="dxa"/>
          </w:tcPr>
          <w:p>
            <w:pPr>
              <w:pStyle w:val="yTableNAm"/>
              <w:jc w:val="center"/>
            </w:pPr>
            <w:r>
              <w:t>200</w:t>
            </w:r>
          </w:p>
        </w:tc>
        <w:tc>
          <w:tcPr>
            <w:tcW w:w="3093" w:type="dxa"/>
          </w:tcPr>
          <w:p>
            <w:pPr>
              <w:pStyle w:val="yTableNAm"/>
              <w:jc w:val="center"/>
            </w:pPr>
            <w:r>
              <w:t>36 586.80</w:t>
            </w:r>
          </w:p>
        </w:tc>
      </w:tr>
      <w:tr>
        <w:trPr>
          <w:cantSplit/>
          <w:jc w:val="center"/>
        </w:trPr>
        <w:tc>
          <w:tcPr>
            <w:tcW w:w="3206" w:type="dxa"/>
          </w:tcPr>
          <w:p>
            <w:pPr>
              <w:pStyle w:val="yTableNAm"/>
              <w:jc w:val="center"/>
            </w:pPr>
            <w:r>
              <w:t>250</w:t>
            </w:r>
          </w:p>
        </w:tc>
        <w:tc>
          <w:tcPr>
            <w:tcW w:w="3093" w:type="dxa"/>
          </w:tcPr>
          <w:p>
            <w:pPr>
              <w:pStyle w:val="yTableNAm"/>
              <w:jc w:val="center"/>
            </w:pPr>
            <w:r>
              <w:t>57 166.80</w:t>
            </w:r>
          </w:p>
        </w:tc>
      </w:tr>
      <w:tr>
        <w:trPr>
          <w:cantSplit/>
          <w:jc w:val="center"/>
        </w:trPr>
        <w:tc>
          <w:tcPr>
            <w:tcW w:w="3206" w:type="dxa"/>
          </w:tcPr>
          <w:p>
            <w:pPr>
              <w:pStyle w:val="yTableNAm"/>
              <w:jc w:val="center"/>
            </w:pPr>
            <w:r>
              <w:t>300</w:t>
            </w:r>
          </w:p>
        </w:tc>
        <w:tc>
          <w:tcPr>
            <w:tcW w:w="3093" w:type="dxa"/>
          </w:tcPr>
          <w:p>
            <w:pPr>
              <w:pStyle w:val="yTableNAm"/>
              <w:jc w:val="center"/>
            </w:pPr>
            <w:r>
              <w:t>82 320.20</w:t>
            </w:r>
          </w:p>
        </w:tc>
      </w:tr>
      <w:tr>
        <w:trPr>
          <w:cantSplit/>
          <w:jc w:val="center"/>
        </w:trPr>
        <w:tc>
          <w:tcPr>
            <w:tcW w:w="3206" w:type="dxa"/>
            <w:tcBorders>
              <w:bottom w:val="single" w:sz="4" w:space="0" w:color="auto"/>
            </w:tcBorders>
          </w:tcPr>
          <w:p>
            <w:pPr>
              <w:pStyle w:val="yTableNAm"/>
              <w:jc w:val="center"/>
            </w:pPr>
            <w:r>
              <w:t>350</w:t>
            </w:r>
          </w:p>
        </w:tc>
        <w:tc>
          <w:tcPr>
            <w:tcW w:w="3093" w:type="dxa"/>
            <w:tcBorders>
              <w:bottom w:val="single" w:sz="4" w:space="0" w:color="auto"/>
            </w:tcBorders>
          </w:tcPr>
          <w:p>
            <w:pPr>
              <w:pStyle w:val="yTableNAm"/>
              <w:jc w:val="center"/>
            </w:pPr>
            <w:r>
              <w:t>112 046.90</w:t>
            </w:r>
          </w:p>
        </w:tc>
      </w:tr>
    </w:tbl>
    <w:p>
      <w:pPr>
        <w:rPr>
          <w:sz w:val="18"/>
        </w:rPr>
      </w:pPr>
    </w:p>
    <w:tbl>
      <w:tblPr>
        <w:tblW w:w="0" w:type="auto"/>
        <w:tblInd w:w="534" w:type="dxa"/>
        <w:tblLook w:val="0000" w:firstRow="0" w:lastRow="0" w:firstColumn="0" w:lastColumn="0" w:noHBand="0" w:noVBand="0"/>
      </w:tblPr>
      <w:tblGrid>
        <w:gridCol w:w="850"/>
        <w:gridCol w:w="4234"/>
        <w:gridCol w:w="1153"/>
      </w:tblGrid>
      <w:tr>
        <w:trPr>
          <w:cantSplit/>
        </w:trPr>
        <w:tc>
          <w:tcPr>
            <w:tcW w:w="850" w:type="dxa"/>
          </w:tcPr>
          <w:p>
            <w:pPr>
              <w:pStyle w:val="yHeading5"/>
              <w:tabs>
                <w:tab w:val="clear" w:pos="879"/>
              </w:tabs>
              <w:ind w:left="0" w:firstLine="0"/>
            </w:pPr>
            <w:bookmarkStart w:id="596" w:name="_Toc265743542"/>
            <w:r>
              <w:t>18.</w:t>
            </w:r>
            <w:bookmarkEnd w:id="596"/>
          </w:p>
        </w:tc>
        <w:tc>
          <w:tcPr>
            <w:tcW w:w="4234" w:type="dxa"/>
          </w:tcPr>
          <w:p>
            <w:pPr>
              <w:pStyle w:val="yHeading5"/>
              <w:tabs>
                <w:tab w:val="clear" w:pos="879"/>
              </w:tabs>
              <w:ind w:left="0" w:firstLine="0"/>
            </w:pPr>
            <w:bookmarkStart w:id="597" w:name="_Toc265743543"/>
            <w:r>
              <w:t>Vacant land</w:t>
            </w:r>
            <w:bookmarkEnd w:id="597"/>
          </w:p>
        </w:tc>
        <w:tc>
          <w:tcPr>
            <w:tcW w:w="1153" w:type="dxa"/>
          </w:tcPr>
          <w:p>
            <w:pPr>
              <w:pStyle w:val="yHeading5"/>
              <w:tabs>
                <w:tab w:val="clear" w:pos="879"/>
              </w:tabs>
              <w:ind w:left="0" w:firstLine="0"/>
            </w:pPr>
          </w:p>
        </w:tc>
      </w:tr>
      <w:tr>
        <w:trPr>
          <w:cantSplit/>
        </w:trPr>
        <w:tc>
          <w:tcPr>
            <w:tcW w:w="850" w:type="dxa"/>
          </w:tcPr>
          <w:p>
            <w:pPr>
              <w:pStyle w:val="yTableNAm"/>
            </w:pPr>
          </w:p>
        </w:tc>
        <w:tc>
          <w:tcPr>
            <w:tcW w:w="4234" w:type="dxa"/>
          </w:tcPr>
          <w:p>
            <w:pPr>
              <w:pStyle w:val="yTableNAm"/>
              <w:tabs>
                <w:tab w:val="clear" w:pos="567"/>
                <w:tab w:val="left" w:pos="416"/>
                <w:tab w:val="left" w:pos="896"/>
                <w:tab w:val="left" w:leader="dot" w:pos="4018"/>
              </w:tabs>
            </w:pPr>
            <w:r>
              <w:t>In respect of land classified as vacant land ..</w:t>
            </w:r>
          </w:p>
        </w:tc>
        <w:tc>
          <w:tcPr>
            <w:tcW w:w="1153" w:type="dxa"/>
          </w:tcPr>
          <w:p>
            <w:pPr>
              <w:pStyle w:val="yTableNAm"/>
            </w:pPr>
            <w:r>
              <w:t>$186.60</w:t>
            </w:r>
          </w:p>
        </w:tc>
      </w:tr>
      <w:tr>
        <w:trPr>
          <w:cantSplit/>
        </w:trPr>
        <w:tc>
          <w:tcPr>
            <w:tcW w:w="850" w:type="dxa"/>
          </w:tcPr>
          <w:p>
            <w:pPr>
              <w:pStyle w:val="yHeading5"/>
              <w:tabs>
                <w:tab w:val="clear" w:pos="879"/>
              </w:tabs>
              <w:ind w:left="0" w:firstLine="0"/>
            </w:pPr>
            <w:bookmarkStart w:id="598" w:name="_Toc265743544"/>
            <w:r>
              <w:t>19.</w:t>
            </w:r>
            <w:bookmarkEnd w:id="598"/>
          </w:p>
        </w:tc>
        <w:tc>
          <w:tcPr>
            <w:tcW w:w="4234" w:type="dxa"/>
          </w:tcPr>
          <w:p>
            <w:pPr>
              <w:pStyle w:val="yHeading5"/>
              <w:tabs>
                <w:tab w:val="clear" w:pos="879"/>
              </w:tabs>
              <w:ind w:left="0" w:firstLine="0"/>
            </w:pPr>
            <w:bookmarkStart w:id="599" w:name="_Toc265743545"/>
            <w:r>
              <w:t>Garden supply for metropolitan vacant land</w:t>
            </w:r>
            <w:bookmarkEnd w:id="599"/>
          </w:p>
        </w:tc>
        <w:tc>
          <w:tcPr>
            <w:tcW w:w="1153" w:type="dxa"/>
          </w:tcPr>
          <w:p>
            <w:pPr>
              <w:pStyle w:val="yHeading5"/>
              <w:tabs>
                <w:tab w:val="clear" w:pos="879"/>
              </w:tabs>
              <w:ind w:left="0" w:firstLine="0"/>
            </w:pPr>
          </w:p>
        </w:tc>
      </w:tr>
      <w:tr>
        <w:trPr>
          <w:cantSplit/>
        </w:trPr>
        <w:tc>
          <w:tcPr>
            <w:tcW w:w="850" w:type="dxa"/>
          </w:tcPr>
          <w:p>
            <w:pPr>
              <w:pStyle w:val="yTableNAm"/>
            </w:pPr>
          </w:p>
        </w:tc>
        <w:tc>
          <w:tcPr>
            <w:tcW w:w="4234" w:type="dxa"/>
          </w:tcPr>
          <w:p>
            <w:pPr>
              <w:pStyle w:val="yTableNAm"/>
              <w:tabs>
                <w:tab w:val="clear" w:pos="567"/>
                <w:tab w:val="left" w:pos="416"/>
                <w:tab w:val="left" w:pos="896"/>
                <w:tab w:val="left" w:leader="dot" w:pos="4018"/>
              </w:tabs>
            </w:pPr>
            <w:r>
              <w:t xml:space="preserve">In respect of land in the metropolitan area that is classified as vacant land and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1981</w:t>
            </w:r>
            <w:r>
              <w:t xml:space="preserve"> by</w:t>
            </w:r>
            <w:r>
              <w:noBreakHyphen/>
              <w:t>law 1.1 —</w:t>
            </w:r>
          </w:p>
        </w:tc>
        <w:tc>
          <w:tcPr>
            <w:tcW w:w="1153" w:type="dxa"/>
          </w:tcPr>
          <w:p>
            <w:pPr>
              <w:pStyle w:val="yTableNAm"/>
            </w:pPr>
          </w:p>
        </w:tc>
      </w:tr>
      <w:tr>
        <w:trPr>
          <w:cantSplit/>
        </w:trPr>
        <w:tc>
          <w:tcPr>
            <w:tcW w:w="850" w:type="dxa"/>
          </w:tcPr>
          <w:p>
            <w:pPr>
              <w:pStyle w:val="yTableNAm"/>
            </w:pPr>
          </w:p>
        </w:tc>
        <w:tc>
          <w:tcPr>
            <w:tcW w:w="4234" w:type="dxa"/>
          </w:tcPr>
          <w:p>
            <w:pPr>
              <w:pStyle w:val="yTableNAm"/>
              <w:tabs>
                <w:tab w:val="clear" w:pos="567"/>
                <w:tab w:val="left" w:pos="416"/>
                <w:tab w:val="left" w:pos="896"/>
                <w:tab w:val="left" w:leader="dot" w:pos="4018"/>
              </w:tabs>
              <w:ind w:left="896" w:hanging="896"/>
            </w:pPr>
            <w:r>
              <w:tab/>
              <w:t>(a)</w:t>
            </w:r>
            <w:r>
              <w:tab/>
              <w:t>if the area of land is less than 400 m</w:t>
            </w:r>
            <w:r>
              <w:rPr>
                <w:vertAlign w:val="superscript"/>
              </w:rPr>
              <w:t>2</w:t>
            </w:r>
            <w:r>
              <w:t xml:space="preserve">, in addition to any other charge applicable to the land under this Schedule, a charge of </w:t>
            </w:r>
            <w:r>
              <w:tab/>
            </w:r>
          </w:p>
        </w:tc>
        <w:tc>
          <w:tcPr>
            <w:tcW w:w="1153" w:type="dxa"/>
          </w:tcPr>
          <w:p>
            <w:pPr>
              <w:pStyle w:val="yTableNAm"/>
            </w:pPr>
            <w:r>
              <w:br/>
            </w:r>
            <w:r>
              <w:br/>
            </w:r>
            <w:r>
              <w:br/>
              <w:t>$69.30</w:t>
            </w:r>
          </w:p>
        </w:tc>
      </w:tr>
      <w:tr>
        <w:trPr>
          <w:cantSplit/>
        </w:trPr>
        <w:tc>
          <w:tcPr>
            <w:tcW w:w="850" w:type="dxa"/>
          </w:tcPr>
          <w:p>
            <w:pPr>
              <w:pStyle w:val="yTableNAm"/>
            </w:pPr>
          </w:p>
        </w:tc>
        <w:tc>
          <w:tcPr>
            <w:tcW w:w="4234" w:type="dxa"/>
          </w:tcPr>
          <w:p>
            <w:pPr>
              <w:pStyle w:val="yTableNAm"/>
              <w:tabs>
                <w:tab w:val="clear" w:pos="567"/>
                <w:tab w:val="left" w:pos="416"/>
                <w:tab w:val="left" w:pos="896"/>
                <w:tab w:val="left" w:leader="dot" w:pos="4018"/>
              </w:tabs>
              <w:ind w:left="896" w:hanging="896"/>
            </w:pPr>
            <w:r>
              <w:tab/>
              <w:t>(b)</w:t>
            </w:r>
            <w:r>
              <w:tab/>
              <w:t>if the area of land is equal to or greater than 400 m</w:t>
            </w:r>
            <w:r>
              <w:rPr>
                <w:vertAlign w:val="superscript"/>
              </w:rPr>
              <w:t>2</w:t>
            </w:r>
            <w:r>
              <w:t xml:space="preserve">, in addition to any other charge applicable to the land under this Schedule, a charge of </w:t>
            </w:r>
            <w:r>
              <w:tab/>
            </w:r>
          </w:p>
        </w:tc>
        <w:tc>
          <w:tcPr>
            <w:tcW w:w="1153" w:type="dxa"/>
          </w:tcPr>
          <w:p>
            <w:pPr>
              <w:pStyle w:val="yTableNAm"/>
            </w:pPr>
            <w:r>
              <w:br/>
            </w:r>
            <w:r>
              <w:br/>
            </w:r>
            <w:r>
              <w:br/>
            </w:r>
            <w:r>
              <w:br/>
              <w:t>$138.70</w:t>
            </w:r>
          </w:p>
        </w:tc>
      </w:tr>
    </w:tbl>
    <w:p>
      <w:pPr>
        <w:pStyle w:val="yFootnotesection"/>
      </w:pPr>
      <w:r>
        <w:tab/>
        <w:t>[Division 1 inserted in Gazette 25 Jun 2010 p. 2907</w:t>
      </w:r>
      <w:r>
        <w:noBreakHyphen/>
        <w:t>13.]</w:t>
      </w:r>
    </w:p>
    <w:p>
      <w:pPr>
        <w:pStyle w:val="yHeading3"/>
      </w:pPr>
      <w:bookmarkStart w:id="600" w:name="_Toc265743546"/>
      <w:r>
        <w:rPr>
          <w:rStyle w:val="CharSDivNo"/>
        </w:rPr>
        <w:t>Division 2</w:t>
      </w:r>
      <w:r>
        <w:rPr>
          <w:b w:val="0"/>
        </w:rPr>
        <w:t> — </w:t>
      </w:r>
      <w:r>
        <w:rPr>
          <w:rStyle w:val="CharSDivText"/>
        </w:rPr>
        <w:t>Quantity charges</w:t>
      </w:r>
      <w:bookmarkEnd w:id="600"/>
    </w:p>
    <w:p>
      <w:pPr>
        <w:pStyle w:val="yFootnoteheading"/>
      </w:pPr>
      <w:r>
        <w:tab/>
        <w:t>[Heading inserted in Gazette 25 Jun 2010 p. 2913.]</w:t>
      </w:r>
    </w:p>
    <w:tbl>
      <w:tblPr>
        <w:tblW w:w="0" w:type="auto"/>
        <w:tblInd w:w="534" w:type="dxa"/>
        <w:tblLook w:val="0000" w:firstRow="0" w:lastRow="0" w:firstColumn="0" w:lastColumn="0" w:noHBand="0" w:noVBand="0"/>
      </w:tblPr>
      <w:tblGrid>
        <w:gridCol w:w="850"/>
        <w:gridCol w:w="4237"/>
        <w:gridCol w:w="1291"/>
      </w:tblGrid>
      <w:tr>
        <w:trPr>
          <w:cantSplit/>
        </w:trPr>
        <w:tc>
          <w:tcPr>
            <w:tcW w:w="850" w:type="dxa"/>
          </w:tcPr>
          <w:p>
            <w:pPr>
              <w:pStyle w:val="yHeading5"/>
              <w:tabs>
                <w:tab w:val="clear" w:pos="879"/>
              </w:tabs>
              <w:ind w:left="0" w:firstLine="0"/>
            </w:pPr>
            <w:bookmarkStart w:id="601" w:name="_Toc265743547"/>
            <w:r>
              <w:t>20.</w:t>
            </w:r>
            <w:bookmarkEnd w:id="601"/>
          </w:p>
        </w:tc>
        <w:tc>
          <w:tcPr>
            <w:tcW w:w="4237" w:type="dxa"/>
          </w:tcPr>
          <w:p>
            <w:pPr>
              <w:pStyle w:val="yHeading5"/>
              <w:tabs>
                <w:tab w:val="clear" w:pos="879"/>
              </w:tabs>
              <w:ind w:left="0" w:firstLine="0"/>
            </w:pPr>
            <w:bookmarkStart w:id="602" w:name="_Toc265743548"/>
            <w:r>
              <w:t>Metropolitan residential</w:t>
            </w:r>
            <w:bookmarkEnd w:id="602"/>
          </w:p>
        </w:tc>
        <w:tc>
          <w:tcPr>
            <w:tcW w:w="1291" w:type="dxa"/>
          </w:tcPr>
          <w:p>
            <w:pPr>
              <w:pStyle w:val="yHeading5"/>
              <w:tabs>
                <w:tab w:val="clear" w:pos="879"/>
              </w:tabs>
              <w:ind w:left="0" w:firstLine="0"/>
            </w:pPr>
          </w:p>
        </w:tc>
      </w:tr>
      <w:tr>
        <w:trPr>
          <w:cantSplit/>
        </w:trPr>
        <w:tc>
          <w:tcPr>
            <w:tcW w:w="850" w:type="dxa"/>
          </w:tcPr>
          <w:p>
            <w:pPr>
              <w:pStyle w:val="yTableNAm"/>
            </w:pPr>
          </w:p>
        </w:tc>
        <w:tc>
          <w:tcPr>
            <w:tcW w:w="4237" w:type="dxa"/>
          </w:tcPr>
          <w:p>
            <w:pPr>
              <w:pStyle w:val="yTableNAm"/>
              <w:tabs>
                <w:tab w:val="left" w:leader="dot" w:pos="4021"/>
              </w:tabs>
            </w:pPr>
            <w:r>
              <w:t>For each kilolitre of water supplied to a residential property, or any other land classified as vacant land and held for residential purposes, in the metropolitan area, not being water for which a charge is otherwise specifically provided in this Division or water from a water supply the subject of item 2 or 19 —</w:t>
            </w:r>
          </w:p>
        </w:tc>
        <w:tc>
          <w:tcPr>
            <w:tcW w:w="1291" w:type="dxa"/>
          </w:tcPr>
          <w:p>
            <w:pPr>
              <w:pStyle w:val="yTableNAm"/>
            </w:pPr>
          </w:p>
        </w:tc>
      </w:tr>
      <w:tr>
        <w:trPr>
          <w:cantSplit/>
        </w:trPr>
        <w:tc>
          <w:tcPr>
            <w:tcW w:w="850" w:type="dxa"/>
          </w:tcPr>
          <w:p>
            <w:pPr>
              <w:pStyle w:val="yTableNAm"/>
            </w:pPr>
          </w:p>
        </w:tc>
        <w:tc>
          <w:tcPr>
            <w:tcW w:w="4237" w:type="dxa"/>
          </w:tcPr>
          <w:p>
            <w:pPr>
              <w:pStyle w:val="yTableNAm"/>
              <w:tabs>
                <w:tab w:val="left" w:leader="dot" w:pos="4021"/>
              </w:tabs>
            </w:pPr>
            <w:r>
              <w:t xml:space="preserve">up to 150 kL </w:t>
            </w:r>
            <w:r>
              <w:tab/>
            </w:r>
          </w:p>
        </w:tc>
        <w:tc>
          <w:tcPr>
            <w:tcW w:w="1291" w:type="dxa"/>
          </w:tcPr>
          <w:p>
            <w:pPr>
              <w:pStyle w:val="yTableNAm"/>
            </w:pPr>
            <w:r>
              <w:t>98.2 cents</w:t>
            </w:r>
          </w:p>
        </w:tc>
      </w:tr>
      <w:tr>
        <w:trPr>
          <w:cantSplit/>
        </w:trPr>
        <w:tc>
          <w:tcPr>
            <w:tcW w:w="850" w:type="dxa"/>
          </w:tcPr>
          <w:p>
            <w:pPr>
              <w:pStyle w:val="yTableNAm"/>
            </w:pPr>
          </w:p>
        </w:tc>
        <w:tc>
          <w:tcPr>
            <w:tcW w:w="4237" w:type="dxa"/>
          </w:tcPr>
          <w:p>
            <w:pPr>
              <w:pStyle w:val="yTableNAm"/>
              <w:tabs>
                <w:tab w:val="left" w:leader="dot" w:pos="4021"/>
              </w:tabs>
            </w:pPr>
            <w:r>
              <w:t xml:space="preserve">over 150 but not over 350 kL </w:t>
            </w:r>
            <w:r>
              <w:tab/>
            </w:r>
          </w:p>
        </w:tc>
        <w:tc>
          <w:tcPr>
            <w:tcW w:w="1291" w:type="dxa"/>
          </w:tcPr>
          <w:p>
            <w:pPr>
              <w:pStyle w:val="yTableNAm"/>
            </w:pPr>
            <w:r>
              <w:t>123.7 cents</w:t>
            </w:r>
          </w:p>
        </w:tc>
      </w:tr>
      <w:tr>
        <w:trPr>
          <w:cantSplit/>
        </w:trPr>
        <w:tc>
          <w:tcPr>
            <w:tcW w:w="850" w:type="dxa"/>
          </w:tcPr>
          <w:p>
            <w:pPr>
              <w:pStyle w:val="yTableNAm"/>
            </w:pPr>
          </w:p>
        </w:tc>
        <w:tc>
          <w:tcPr>
            <w:tcW w:w="4237" w:type="dxa"/>
          </w:tcPr>
          <w:p>
            <w:pPr>
              <w:pStyle w:val="yTableNAm"/>
              <w:tabs>
                <w:tab w:val="left" w:leader="dot" w:pos="4021"/>
              </w:tabs>
            </w:pPr>
            <w:r>
              <w:t xml:space="preserve">over 350 but not over 500 kL </w:t>
            </w:r>
            <w:r>
              <w:tab/>
            </w:r>
          </w:p>
        </w:tc>
        <w:tc>
          <w:tcPr>
            <w:tcW w:w="1291" w:type="dxa"/>
          </w:tcPr>
          <w:p>
            <w:pPr>
              <w:pStyle w:val="yTableNAm"/>
            </w:pPr>
            <w:r>
              <w:t>133.2 cents</w:t>
            </w:r>
          </w:p>
        </w:tc>
      </w:tr>
      <w:tr>
        <w:trPr>
          <w:cantSplit/>
        </w:trPr>
        <w:tc>
          <w:tcPr>
            <w:tcW w:w="850" w:type="dxa"/>
          </w:tcPr>
          <w:p>
            <w:pPr>
              <w:pStyle w:val="yTableNAm"/>
            </w:pPr>
          </w:p>
        </w:tc>
        <w:tc>
          <w:tcPr>
            <w:tcW w:w="4237" w:type="dxa"/>
          </w:tcPr>
          <w:p>
            <w:pPr>
              <w:pStyle w:val="yTableNAm"/>
              <w:tabs>
                <w:tab w:val="left" w:leader="dot" w:pos="4021"/>
              </w:tabs>
            </w:pPr>
            <w:r>
              <w:t xml:space="preserve">over 500 but not over 550 kL </w:t>
            </w:r>
            <w:r>
              <w:tab/>
            </w:r>
          </w:p>
        </w:tc>
        <w:tc>
          <w:tcPr>
            <w:tcW w:w="1291" w:type="dxa"/>
          </w:tcPr>
          <w:p>
            <w:pPr>
              <w:pStyle w:val="yTableNAm"/>
            </w:pPr>
            <w:r>
              <w:t>144.3 cents</w:t>
            </w:r>
          </w:p>
        </w:tc>
      </w:tr>
      <w:tr>
        <w:trPr>
          <w:cantSplit/>
        </w:trPr>
        <w:tc>
          <w:tcPr>
            <w:tcW w:w="850" w:type="dxa"/>
          </w:tcPr>
          <w:p>
            <w:pPr>
              <w:pStyle w:val="yTableNAm"/>
            </w:pPr>
          </w:p>
        </w:tc>
        <w:tc>
          <w:tcPr>
            <w:tcW w:w="4237" w:type="dxa"/>
          </w:tcPr>
          <w:p>
            <w:pPr>
              <w:pStyle w:val="yTableNAm"/>
              <w:tabs>
                <w:tab w:val="left" w:leader="dot" w:pos="4021"/>
              </w:tabs>
            </w:pPr>
            <w:r>
              <w:t xml:space="preserve">over 550 but not over 950 kL </w:t>
            </w:r>
            <w:r>
              <w:tab/>
            </w:r>
          </w:p>
        </w:tc>
        <w:tc>
          <w:tcPr>
            <w:tcW w:w="1291" w:type="dxa"/>
          </w:tcPr>
          <w:p>
            <w:pPr>
              <w:pStyle w:val="yTableNAm"/>
            </w:pPr>
            <w:r>
              <w:t>179.5 cents</w:t>
            </w:r>
          </w:p>
        </w:tc>
      </w:tr>
      <w:tr>
        <w:trPr>
          <w:cantSplit/>
        </w:trPr>
        <w:tc>
          <w:tcPr>
            <w:tcW w:w="850" w:type="dxa"/>
          </w:tcPr>
          <w:p>
            <w:pPr>
              <w:pStyle w:val="yTableNAm"/>
            </w:pPr>
          </w:p>
        </w:tc>
        <w:tc>
          <w:tcPr>
            <w:tcW w:w="4237" w:type="dxa"/>
          </w:tcPr>
          <w:p>
            <w:pPr>
              <w:pStyle w:val="yTableNAm"/>
              <w:tabs>
                <w:tab w:val="left" w:leader="dot" w:pos="4021"/>
              </w:tabs>
            </w:pPr>
            <w:r>
              <w:t xml:space="preserve">over 950 kL </w:t>
            </w:r>
            <w:r>
              <w:tab/>
            </w:r>
          </w:p>
        </w:tc>
        <w:tc>
          <w:tcPr>
            <w:tcW w:w="1291" w:type="dxa"/>
          </w:tcPr>
          <w:p>
            <w:pPr>
              <w:pStyle w:val="yTableNAm"/>
            </w:pPr>
            <w:r>
              <w:t>196.0 cents</w:t>
            </w:r>
          </w:p>
        </w:tc>
      </w:tr>
      <w:tr>
        <w:trPr>
          <w:cantSplit/>
        </w:trPr>
        <w:tc>
          <w:tcPr>
            <w:tcW w:w="850" w:type="dxa"/>
          </w:tcPr>
          <w:p>
            <w:pPr>
              <w:pStyle w:val="yHeading5"/>
              <w:tabs>
                <w:tab w:val="clear" w:pos="879"/>
              </w:tabs>
              <w:ind w:left="0" w:firstLine="0"/>
            </w:pPr>
            <w:bookmarkStart w:id="603" w:name="_Toc265743549"/>
            <w:r>
              <w:t>21.</w:t>
            </w:r>
            <w:bookmarkEnd w:id="603"/>
          </w:p>
        </w:tc>
        <w:tc>
          <w:tcPr>
            <w:tcW w:w="4237" w:type="dxa"/>
          </w:tcPr>
          <w:p>
            <w:pPr>
              <w:pStyle w:val="yHeading5"/>
              <w:tabs>
                <w:tab w:val="clear" w:pos="879"/>
              </w:tabs>
              <w:ind w:left="0" w:firstLine="0"/>
            </w:pPr>
            <w:bookmarkStart w:id="604" w:name="_Toc265743550"/>
            <w:r>
              <w:t>Metropolitan semi</w:t>
            </w:r>
            <w:r>
              <w:noBreakHyphen/>
              <w:t>rural residential</w:t>
            </w:r>
            <w:bookmarkEnd w:id="604"/>
          </w:p>
        </w:tc>
        <w:tc>
          <w:tcPr>
            <w:tcW w:w="1291" w:type="dxa"/>
          </w:tcPr>
          <w:p>
            <w:pPr>
              <w:pStyle w:val="yHeading5"/>
              <w:tabs>
                <w:tab w:val="clear" w:pos="879"/>
              </w:tabs>
              <w:ind w:left="0" w:firstLine="0"/>
            </w:pPr>
          </w:p>
        </w:tc>
      </w:tr>
      <w:tr>
        <w:trPr>
          <w:cantSplit/>
        </w:trPr>
        <w:tc>
          <w:tcPr>
            <w:tcW w:w="850" w:type="dxa"/>
          </w:tcPr>
          <w:p>
            <w:pPr>
              <w:pStyle w:val="yTableNAm"/>
            </w:pPr>
          </w:p>
        </w:tc>
        <w:tc>
          <w:tcPr>
            <w:tcW w:w="4237" w:type="dxa"/>
          </w:tcPr>
          <w:p>
            <w:pPr>
              <w:pStyle w:val="yTableNAm"/>
              <w:tabs>
                <w:tab w:val="left" w:leader="dot" w:pos="4021"/>
              </w:tabs>
            </w:pPr>
            <w:r>
              <w:t>For each kilolitre of water supplied to a semi</w:t>
            </w:r>
            <w:r>
              <w:noBreakHyphen/>
              <w:t>rural residential property, not being water for which a charge is otherwise specifically provided in this Division —</w:t>
            </w:r>
          </w:p>
        </w:tc>
        <w:tc>
          <w:tcPr>
            <w:tcW w:w="1291" w:type="dxa"/>
          </w:tcPr>
          <w:p>
            <w:pPr>
              <w:pStyle w:val="yTableNAm"/>
            </w:pPr>
          </w:p>
        </w:tc>
      </w:tr>
      <w:tr>
        <w:trPr>
          <w:cantSplit/>
        </w:trPr>
        <w:tc>
          <w:tcPr>
            <w:tcW w:w="850" w:type="dxa"/>
          </w:tcPr>
          <w:p>
            <w:pPr>
              <w:pStyle w:val="yTableNAm"/>
            </w:pPr>
          </w:p>
        </w:tc>
        <w:tc>
          <w:tcPr>
            <w:tcW w:w="4237" w:type="dxa"/>
          </w:tcPr>
          <w:p>
            <w:pPr>
              <w:pStyle w:val="yTableNAm"/>
              <w:tabs>
                <w:tab w:val="left" w:leader="dot" w:pos="4021"/>
              </w:tabs>
            </w:pPr>
            <w:r>
              <w:t xml:space="preserve">up to 150 kL </w:t>
            </w:r>
            <w:r>
              <w:tab/>
            </w:r>
          </w:p>
        </w:tc>
        <w:tc>
          <w:tcPr>
            <w:tcW w:w="1291" w:type="dxa"/>
          </w:tcPr>
          <w:p>
            <w:pPr>
              <w:pStyle w:val="yTableNAm"/>
            </w:pPr>
            <w:r>
              <w:t>98.2 cents</w:t>
            </w:r>
          </w:p>
        </w:tc>
      </w:tr>
      <w:tr>
        <w:trPr>
          <w:cantSplit/>
        </w:trPr>
        <w:tc>
          <w:tcPr>
            <w:tcW w:w="850" w:type="dxa"/>
          </w:tcPr>
          <w:p>
            <w:pPr>
              <w:pStyle w:val="yTableNAm"/>
            </w:pPr>
          </w:p>
        </w:tc>
        <w:tc>
          <w:tcPr>
            <w:tcW w:w="4237" w:type="dxa"/>
          </w:tcPr>
          <w:p>
            <w:pPr>
              <w:pStyle w:val="yTableNAm"/>
              <w:tabs>
                <w:tab w:val="left" w:leader="dot" w:pos="4021"/>
              </w:tabs>
            </w:pPr>
            <w:r>
              <w:t xml:space="preserve">over 150 but not over 350 kL </w:t>
            </w:r>
            <w:r>
              <w:tab/>
            </w:r>
          </w:p>
        </w:tc>
        <w:tc>
          <w:tcPr>
            <w:tcW w:w="1291" w:type="dxa"/>
          </w:tcPr>
          <w:p>
            <w:pPr>
              <w:pStyle w:val="yTableNAm"/>
            </w:pPr>
            <w:r>
              <w:t>123.7 cents</w:t>
            </w:r>
          </w:p>
        </w:tc>
      </w:tr>
      <w:tr>
        <w:trPr>
          <w:cantSplit/>
        </w:trPr>
        <w:tc>
          <w:tcPr>
            <w:tcW w:w="850" w:type="dxa"/>
          </w:tcPr>
          <w:p>
            <w:pPr>
              <w:pStyle w:val="yTableNAm"/>
            </w:pPr>
          </w:p>
        </w:tc>
        <w:tc>
          <w:tcPr>
            <w:tcW w:w="4237" w:type="dxa"/>
          </w:tcPr>
          <w:p>
            <w:pPr>
              <w:pStyle w:val="yTableNAm"/>
              <w:tabs>
                <w:tab w:val="left" w:leader="dot" w:pos="4021"/>
              </w:tabs>
            </w:pPr>
            <w:r>
              <w:t xml:space="preserve">over 350 but not over 500 kL </w:t>
            </w:r>
            <w:r>
              <w:tab/>
            </w:r>
          </w:p>
        </w:tc>
        <w:tc>
          <w:tcPr>
            <w:tcW w:w="1291" w:type="dxa"/>
          </w:tcPr>
          <w:p>
            <w:pPr>
              <w:pStyle w:val="yTableNAm"/>
            </w:pPr>
            <w:r>
              <w:t>133.2 cents</w:t>
            </w:r>
          </w:p>
        </w:tc>
      </w:tr>
      <w:tr>
        <w:trPr>
          <w:cantSplit/>
        </w:trPr>
        <w:tc>
          <w:tcPr>
            <w:tcW w:w="850" w:type="dxa"/>
          </w:tcPr>
          <w:p>
            <w:pPr>
              <w:pStyle w:val="yTableNAm"/>
            </w:pPr>
          </w:p>
        </w:tc>
        <w:tc>
          <w:tcPr>
            <w:tcW w:w="4237" w:type="dxa"/>
          </w:tcPr>
          <w:p>
            <w:pPr>
              <w:pStyle w:val="yTableNAm"/>
              <w:tabs>
                <w:tab w:val="left" w:leader="dot" w:pos="4021"/>
              </w:tabs>
            </w:pPr>
            <w:r>
              <w:t xml:space="preserve">over 500 but not over 550 kL </w:t>
            </w:r>
            <w:r>
              <w:tab/>
            </w:r>
          </w:p>
        </w:tc>
        <w:tc>
          <w:tcPr>
            <w:tcW w:w="1291" w:type="dxa"/>
          </w:tcPr>
          <w:p>
            <w:pPr>
              <w:pStyle w:val="yTableNAm"/>
            </w:pPr>
            <w:r>
              <w:t>144.3 cents</w:t>
            </w:r>
          </w:p>
        </w:tc>
      </w:tr>
      <w:tr>
        <w:trPr>
          <w:cantSplit/>
        </w:trPr>
        <w:tc>
          <w:tcPr>
            <w:tcW w:w="850" w:type="dxa"/>
          </w:tcPr>
          <w:p>
            <w:pPr>
              <w:pStyle w:val="yTableNAm"/>
            </w:pPr>
          </w:p>
        </w:tc>
        <w:tc>
          <w:tcPr>
            <w:tcW w:w="4237" w:type="dxa"/>
          </w:tcPr>
          <w:p>
            <w:pPr>
              <w:pStyle w:val="yTableNAm"/>
              <w:tabs>
                <w:tab w:val="left" w:leader="dot" w:pos="4021"/>
              </w:tabs>
            </w:pPr>
            <w:r>
              <w:t xml:space="preserve">over 550 but not over 950 kL </w:t>
            </w:r>
            <w:r>
              <w:tab/>
            </w:r>
          </w:p>
        </w:tc>
        <w:tc>
          <w:tcPr>
            <w:tcW w:w="1291" w:type="dxa"/>
          </w:tcPr>
          <w:p>
            <w:pPr>
              <w:pStyle w:val="yTableNAm"/>
            </w:pPr>
            <w:r>
              <w:t>179.5 cents</w:t>
            </w:r>
          </w:p>
        </w:tc>
      </w:tr>
      <w:tr>
        <w:trPr>
          <w:cantSplit/>
        </w:trPr>
        <w:tc>
          <w:tcPr>
            <w:tcW w:w="850" w:type="dxa"/>
          </w:tcPr>
          <w:p>
            <w:pPr>
              <w:pStyle w:val="yTableNAm"/>
            </w:pPr>
          </w:p>
        </w:tc>
        <w:tc>
          <w:tcPr>
            <w:tcW w:w="4237" w:type="dxa"/>
          </w:tcPr>
          <w:p>
            <w:pPr>
              <w:pStyle w:val="yTableNAm"/>
              <w:tabs>
                <w:tab w:val="left" w:leader="dot" w:pos="4021"/>
              </w:tabs>
            </w:pPr>
            <w:r>
              <w:t xml:space="preserve">over 950 kL </w:t>
            </w:r>
            <w:r>
              <w:tab/>
            </w:r>
          </w:p>
        </w:tc>
        <w:tc>
          <w:tcPr>
            <w:tcW w:w="1291" w:type="dxa"/>
          </w:tcPr>
          <w:p>
            <w:pPr>
              <w:pStyle w:val="yTableNAm"/>
            </w:pPr>
            <w:r>
              <w:t>196.0 cents</w:t>
            </w:r>
          </w:p>
        </w:tc>
      </w:tr>
      <w:tr>
        <w:trPr>
          <w:cantSplit/>
        </w:trPr>
        <w:tc>
          <w:tcPr>
            <w:tcW w:w="850" w:type="dxa"/>
          </w:tcPr>
          <w:p>
            <w:pPr>
              <w:pStyle w:val="yHeading5"/>
              <w:tabs>
                <w:tab w:val="clear" w:pos="879"/>
              </w:tabs>
              <w:ind w:left="0" w:firstLine="0"/>
            </w:pPr>
            <w:bookmarkStart w:id="605" w:name="_Toc265743551"/>
            <w:r>
              <w:t>22.</w:t>
            </w:r>
            <w:bookmarkEnd w:id="605"/>
          </w:p>
        </w:tc>
        <w:tc>
          <w:tcPr>
            <w:tcW w:w="4237" w:type="dxa"/>
          </w:tcPr>
          <w:p>
            <w:pPr>
              <w:pStyle w:val="yHeading5"/>
              <w:tabs>
                <w:tab w:val="clear" w:pos="879"/>
              </w:tabs>
              <w:ind w:left="0" w:firstLine="0"/>
            </w:pPr>
            <w:bookmarkStart w:id="606" w:name="_Toc265743552"/>
            <w:r>
              <w:t>Non</w:t>
            </w:r>
            <w:r>
              <w:noBreakHyphen/>
              <w:t>metropolitan residential</w:t>
            </w:r>
            <w:bookmarkEnd w:id="606"/>
          </w:p>
        </w:tc>
        <w:tc>
          <w:tcPr>
            <w:tcW w:w="1291" w:type="dxa"/>
          </w:tcPr>
          <w:p>
            <w:pPr>
              <w:pStyle w:val="yHeading5"/>
              <w:tabs>
                <w:tab w:val="clear" w:pos="879"/>
              </w:tabs>
              <w:ind w:left="0" w:firstLine="0"/>
            </w:pPr>
          </w:p>
        </w:tc>
      </w:tr>
      <w:tr>
        <w:trPr>
          <w:cantSplit/>
        </w:trPr>
        <w:tc>
          <w:tcPr>
            <w:tcW w:w="850" w:type="dxa"/>
          </w:tcPr>
          <w:p>
            <w:pPr>
              <w:pStyle w:val="yTableNAm"/>
            </w:pPr>
          </w:p>
        </w:tc>
        <w:tc>
          <w:tcPr>
            <w:tcW w:w="4237" w:type="dxa"/>
          </w:tcPr>
          <w:p>
            <w:pPr>
              <w:pStyle w:val="yTableNAm"/>
              <w:tabs>
                <w:tab w:val="left" w:leader="dot" w:pos="4021"/>
              </w:tabs>
            </w:pPr>
            <w:r>
              <w:t>For each kilolitre of water, not being water for which a charge is otherwise specifically provided in this Division, supplied to a residential property, or any other land classified as vacant land and held for residential purposes, not in the metropolitan area, according to the residential classification of the town/area set out in Schedule 10 —</w:t>
            </w:r>
          </w:p>
        </w:tc>
        <w:tc>
          <w:tcPr>
            <w:tcW w:w="1291" w:type="dxa"/>
          </w:tcPr>
          <w:p>
            <w:pPr>
              <w:pStyle w:val="yTableNAm"/>
            </w:pPr>
          </w:p>
        </w:tc>
      </w:tr>
    </w:tbl>
    <w:p>
      <w:pPr>
        <w:rPr>
          <w:sz w:val="18"/>
        </w:rPr>
      </w:pPr>
    </w:p>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cantSplit/>
          <w:tblHeader/>
        </w:trPr>
        <w:tc>
          <w:tcPr>
            <w:tcW w:w="1417" w:type="dxa"/>
            <w:tcBorders>
              <w:top w:val="single" w:sz="4" w:space="0" w:color="auto"/>
              <w:bottom w:val="single" w:sz="4" w:space="0" w:color="auto"/>
            </w:tcBorders>
          </w:tcPr>
          <w:p>
            <w:pPr>
              <w:pStyle w:val="yTableNAm"/>
              <w:rPr>
                <w:b/>
                <w:bCs/>
              </w:rPr>
            </w:pPr>
            <w:r>
              <w:rPr>
                <w:b/>
                <w:bCs/>
              </w:rPr>
              <w:br w:type="page"/>
              <w:t>Consumption (kL)</w:t>
            </w:r>
          </w:p>
        </w:tc>
        <w:tc>
          <w:tcPr>
            <w:tcW w:w="992" w:type="dxa"/>
            <w:tcBorders>
              <w:top w:val="single" w:sz="4" w:space="0" w:color="auto"/>
              <w:bottom w:val="single" w:sz="4" w:space="0" w:color="auto"/>
            </w:tcBorders>
          </w:tcPr>
          <w:p>
            <w:pPr>
              <w:pStyle w:val="yTableNAm"/>
              <w:tabs>
                <w:tab w:val="clear" w:pos="567"/>
                <w:tab w:val="center" w:pos="529"/>
              </w:tabs>
              <w:ind w:right="167"/>
              <w:jc w:val="center"/>
              <w:rPr>
                <w:b/>
                <w:bCs/>
              </w:rPr>
            </w:pPr>
            <w:r>
              <w:rPr>
                <w:b/>
                <w:bCs/>
              </w:rPr>
              <w:t>Class 1 (c/kL)</w:t>
            </w:r>
          </w:p>
        </w:tc>
        <w:tc>
          <w:tcPr>
            <w:tcW w:w="992" w:type="dxa"/>
            <w:tcBorders>
              <w:top w:val="single" w:sz="4" w:space="0" w:color="auto"/>
              <w:bottom w:val="single" w:sz="4" w:space="0" w:color="auto"/>
            </w:tcBorders>
          </w:tcPr>
          <w:p>
            <w:pPr>
              <w:pStyle w:val="yTableNAm"/>
              <w:ind w:right="79"/>
              <w:jc w:val="center"/>
              <w:rPr>
                <w:b/>
                <w:bCs/>
              </w:rPr>
            </w:pPr>
            <w:r>
              <w:rPr>
                <w:b/>
                <w:bCs/>
              </w:rPr>
              <w:t>Class 2 (c/kL)</w:t>
            </w:r>
          </w:p>
        </w:tc>
        <w:tc>
          <w:tcPr>
            <w:tcW w:w="992" w:type="dxa"/>
            <w:tcBorders>
              <w:top w:val="single" w:sz="4" w:space="0" w:color="auto"/>
              <w:bottom w:val="single" w:sz="4" w:space="0" w:color="auto"/>
            </w:tcBorders>
          </w:tcPr>
          <w:p>
            <w:pPr>
              <w:pStyle w:val="yTableNAm"/>
              <w:ind w:right="111"/>
              <w:jc w:val="center"/>
              <w:rPr>
                <w:b/>
                <w:bCs/>
              </w:rPr>
            </w:pPr>
            <w:r>
              <w:rPr>
                <w:b/>
                <w:bCs/>
              </w:rPr>
              <w:t>Class 3 (c/kL)</w:t>
            </w:r>
          </w:p>
        </w:tc>
        <w:tc>
          <w:tcPr>
            <w:tcW w:w="992" w:type="dxa"/>
            <w:tcBorders>
              <w:top w:val="single" w:sz="4" w:space="0" w:color="auto"/>
              <w:bottom w:val="single" w:sz="4" w:space="0" w:color="auto"/>
            </w:tcBorders>
          </w:tcPr>
          <w:p>
            <w:pPr>
              <w:pStyle w:val="yTableNAm"/>
              <w:ind w:right="116"/>
              <w:jc w:val="center"/>
              <w:rPr>
                <w:b/>
                <w:bCs/>
              </w:rPr>
            </w:pPr>
            <w:r>
              <w:rPr>
                <w:b/>
                <w:bCs/>
              </w:rPr>
              <w:t>Class 4 (c/kL)</w:t>
            </w:r>
          </w:p>
        </w:tc>
        <w:tc>
          <w:tcPr>
            <w:tcW w:w="993" w:type="dxa"/>
            <w:tcBorders>
              <w:top w:val="single" w:sz="4" w:space="0" w:color="auto"/>
              <w:bottom w:val="single" w:sz="4" w:space="0" w:color="auto"/>
            </w:tcBorders>
          </w:tcPr>
          <w:p>
            <w:pPr>
              <w:pStyle w:val="yTableNAm"/>
              <w:ind w:right="117"/>
              <w:jc w:val="center"/>
              <w:rPr>
                <w:b/>
                <w:bCs/>
              </w:rPr>
            </w:pPr>
            <w:r>
              <w:rPr>
                <w:b/>
                <w:bCs/>
              </w:rPr>
              <w:t>Class 5 (c/kL)</w:t>
            </w:r>
          </w:p>
        </w:tc>
      </w:tr>
      <w:tr>
        <w:trPr>
          <w:cantSplit/>
        </w:trPr>
        <w:tc>
          <w:tcPr>
            <w:tcW w:w="1417" w:type="dxa"/>
          </w:tcPr>
          <w:p>
            <w:pPr>
              <w:pStyle w:val="yTableNAm"/>
            </w:pPr>
            <w:r>
              <w:t>Up to 150</w:t>
            </w:r>
          </w:p>
        </w:tc>
        <w:tc>
          <w:tcPr>
            <w:tcW w:w="992" w:type="dxa"/>
          </w:tcPr>
          <w:p>
            <w:pPr>
              <w:pStyle w:val="yTableNAm"/>
              <w:tabs>
                <w:tab w:val="clear" w:pos="567"/>
                <w:tab w:val="decimal" w:pos="409"/>
              </w:tabs>
              <w:ind w:right="116"/>
            </w:pPr>
            <w:r>
              <w:t>84.7</w:t>
            </w:r>
          </w:p>
        </w:tc>
        <w:tc>
          <w:tcPr>
            <w:tcW w:w="992" w:type="dxa"/>
          </w:tcPr>
          <w:p>
            <w:pPr>
              <w:pStyle w:val="yTableNAm"/>
              <w:tabs>
                <w:tab w:val="clear" w:pos="567"/>
                <w:tab w:val="decimal" w:pos="409"/>
              </w:tabs>
              <w:ind w:right="116"/>
            </w:pPr>
            <w:r>
              <w:t>98.2</w:t>
            </w:r>
          </w:p>
        </w:tc>
        <w:tc>
          <w:tcPr>
            <w:tcW w:w="992" w:type="dxa"/>
          </w:tcPr>
          <w:p>
            <w:pPr>
              <w:pStyle w:val="yTableNAm"/>
              <w:tabs>
                <w:tab w:val="clear" w:pos="567"/>
                <w:tab w:val="decimal" w:pos="409"/>
              </w:tabs>
              <w:ind w:right="116"/>
            </w:pPr>
            <w:r>
              <w:t>98.2</w:t>
            </w:r>
          </w:p>
        </w:tc>
        <w:tc>
          <w:tcPr>
            <w:tcW w:w="992" w:type="dxa"/>
          </w:tcPr>
          <w:p>
            <w:pPr>
              <w:pStyle w:val="yTableNAm"/>
              <w:tabs>
                <w:tab w:val="clear" w:pos="567"/>
                <w:tab w:val="decimal" w:pos="409"/>
              </w:tabs>
              <w:ind w:right="116"/>
            </w:pPr>
            <w:r>
              <w:t>98.2</w:t>
            </w:r>
          </w:p>
        </w:tc>
        <w:tc>
          <w:tcPr>
            <w:tcW w:w="993" w:type="dxa"/>
          </w:tcPr>
          <w:p>
            <w:pPr>
              <w:pStyle w:val="yTableNAm"/>
              <w:tabs>
                <w:tab w:val="clear" w:pos="567"/>
                <w:tab w:val="decimal" w:pos="409"/>
              </w:tabs>
              <w:ind w:right="116"/>
            </w:pPr>
            <w:r>
              <w:t>98.2</w:t>
            </w:r>
          </w:p>
        </w:tc>
      </w:tr>
      <w:tr>
        <w:trPr>
          <w:cantSplit/>
        </w:trPr>
        <w:tc>
          <w:tcPr>
            <w:tcW w:w="1417" w:type="dxa"/>
          </w:tcPr>
          <w:p>
            <w:pPr>
              <w:pStyle w:val="yTableNAm"/>
            </w:pPr>
            <w:r>
              <w:t>Over 150 but not over 300</w:t>
            </w:r>
          </w:p>
        </w:tc>
        <w:tc>
          <w:tcPr>
            <w:tcW w:w="992" w:type="dxa"/>
          </w:tcPr>
          <w:p>
            <w:pPr>
              <w:pStyle w:val="yTableNAm"/>
              <w:tabs>
                <w:tab w:val="clear" w:pos="567"/>
                <w:tab w:val="decimal" w:pos="409"/>
              </w:tabs>
              <w:ind w:right="116"/>
            </w:pPr>
            <w:r>
              <w:br/>
              <w:t>106.0</w:t>
            </w:r>
          </w:p>
        </w:tc>
        <w:tc>
          <w:tcPr>
            <w:tcW w:w="992" w:type="dxa"/>
          </w:tcPr>
          <w:p>
            <w:pPr>
              <w:pStyle w:val="yTableNAm"/>
              <w:tabs>
                <w:tab w:val="clear" w:pos="567"/>
                <w:tab w:val="decimal" w:pos="409"/>
              </w:tabs>
              <w:ind w:right="116"/>
            </w:pPr>
            <w:r>
              <w:br/>
              <w:t>123.7</w:t>
            </w:r>
          </w:p>
        </w:tc>
        <w:tc>
          <w:tcPr>
            <w:tcW w:w="992" w:type="dxa"/>
          </w:tcPr>
          <w:p>
            <w:pPr>
              <w:pStyle w:val="yTableNAm"/>
              <w:tabs>
                <w:tab w:val="clear" w:pos="567"/>
                <w:tab w:val="decimal" w:pos="409"/>
              </w:tabs>
              <w:ind w:right="116"/>
            </w:pPr>
            <w:r>
              <w:br/>
              <w:t>123.7</w:t>
            </w:r>
          </w:p>
        </w:tc>
        <w:tc>
          <w:tcPr>
            <w:tcW w:w="992" w:type="dxa"/>
          </w:tcPr>
          <w:p>
            <w:pPr>
              <w:pStyle w:val="yTableNAm"/>
              <w:tabs>
                <w:tab w:val="clear" w:pos="567"/>
                <w:tab w:val="decimal" w:pos="409"/>
              </w:tabs>
              <w:ind w:right="116"/>
            </w:pPr>
            <w:r>
              <w:br/>
              <w:t>123.7</w:t>
            </w:r>
          </w:p>
        </w:tc>
        <w:tc>
          <w:tcPr>
            <w:tcW w:w="993" w:type="dxa"/>
          </w:tcPr>
          <w:p>
            <w:pPr>
              <w:pStyle w:val="yTableNAm"/>
              <w:tabs>
                <w:tab w:val="clear" w:pos="567"/>
                <w:tab w:val="decimal" w:pos="409"/>
              </w:tabs>
              <w:ind w:right="116"/>
            </w:pPr>
            <w:r>
              <w:br/>
              <w:t>123.7</w:t>
            </w:r>
          </w:p>
        </w:tc>
      </w:tr>
      <w:tr>
        <w:trPr>
          <w:cantSplit/>
        </w:trPr>
        <w:tc>
          <w:tcPr>
            <w:tcW w:w="1417" w:type="dxa"/>
          </w:tcPr>
          <w:p>
            <w:pPr>
              <w:pStyle w:val="yTableNAm"/>
            </w:pPr>
            <w:r>
              <w:t>Over 300 but not over 350</w:t>
            </w:r>
          </w:p>
        </w:tc>
        <w:tc>
          <w:tcPr>
            <w:tcW w:w="992" w:type="dxa"/>
          </w:tcPr>
          <w:p>
            <w:pPr>
              <w:pStyle w:val="yTableNAm"/>
              <w:tabs>
                <w:tab w:val="clear" w:pos="567"/>
                <w:tab w:val="decimal" w:pos="409"/>
              </w:tabs>
              <w:ind w:right="116"/>
            </w:pPr>
            <w:r>
              <w:br/>
              <w:t>106.0</w:t>
            </w:r>
          </w:p>
        </w:tc>
        <w:tc>
          <w:tcPr>
            <w:tcW w:w="992" w:type="dxa"/>
          </w:tcPr>
          <w:p>
            <w:pPr>
              <w:pStyle w:val="yTableNAm"/>
              <w:tabs>
                <w:tab w:val="clear" w:pos="567"/>
                <w:tab w:val="decimal" w:pos="409"/>
              </w:tabs>
              <w:ind w:right="116"/>
            </w:pPr>
            <w:r>
              <w:br/>
              <w:t>134.7</w:t>
            </w:r>
          </w:p>
        </w:tc>
        <w:tc>
          <w:tcPr>
            <w:tcW w:w="992" w:type="dxa"/>
          </w:tcPr>
          <w:p>
            <w:pPr>
              <w:pStyle w:val="yTableNAm"/>
              <w:tabs>
                <w:tab w:val="clear" w:pos="567"/>
                <w:tab w:val="decimal" w:pos="409"/>
              </w:tabs>
              <w:ind w:right="116"/>
            </w:pPr>
            <w:r>
              <w:br/>
              <w:t>156.8</w:t>
            </w:r>
          </w:p>
        </w:tc>
        <w:tc>
          <w:tcPr>
            <w:tcW w:w="992" w:type="dxa"/>
          </w:tcPr>
          <w:p>
            <w:pPr>
              <w:pStyle w:val="yTableNAm"/>
              <w:tabs>
                <w:tab w:val="clear" w:pos="567"/>
                <w:tab w:val="decimal" w:pos="409"/>
              </w:tabs>
              <w:ind w:right="116"/>
            </w:pPr>
            <w:r>
              <w:br/>
              <w:t>180.5</w:t>
            </w:r>
          </w:p>
        </w:tc>
        <w:tc>
          <w:tcPr>
            <w:tcW w:w="993" w:type="dxa"/>
          </w:tcPr>
          <w:p>
            <w:pPr>
              <w:pStyle w:val="yTableNAm"/>
              <w:tabs>
                <w:tab w:val="clear" w:pos="567"/>
                <w:tab w:val="decimal" w:pos="409"/>
              </w:tabs>
              <w:ind w:right="116"/>
            </w:pPr>
            <w:r>
              <w:br/>
              <w:t>202.8</w:t>
            </w:r>
          </w:p>
        </w:tc>
      </w:tr>
      <w:tr>
        <w:trPr>
          <w:cantSplit/>
        </w:trPr>
        <w:tc>
          <w:tcPr>
            <w:tcW w:w="1417" w:type="dxa"/>
          </w:tcPr>
          <w:p>
            <w:pPr>
              <w:pStyle w:val="yTableNAm"/>
            </w:pPr>
            <w:r>
              <w:t>Over 350 but not over 450</w:t>
            </w:r>
          </w:p>
        </w:tc>
        <w:tc>
          <w:tcPr>
            <w:tcW w:w="992" w:type="dxa"/>
          </w:tcPr>
          <w:p>
            <w:pPr>
              <w:pStyle w:val="yTableNAm"/>
              <w:tabs>
                <w:tab w:val="clear" w:pos="567"/>
                <w:tab w:val="decimal" w:pos="409"/>
              </w:tabs>
              <w:ind w:right="116"/>
            </w:pPr>
            <w:r>
              <w:br/>
              <w:t>112.6</w:t>
            </w:r>
          </w:p>
        </w:tc>
        <w:tc>
          <w:tcPr>
            <w:tcW w:w="992" w:type="dxa"/>
          </w:tcPr>
          <w:p>
            <w:pPr>
              <w:pStyle w:val="yTableNAm"/>
              <w:tabs>
                <w:tab w:val="clear" w:pos="567"/>
                <w:tab w:val="decimal" w:pos="409"/>
              </w:tabs>
              <w:ind w:right="116"/>
            </w:pPr>
            <w:r>
              <w:br/>
              <w:t>142.4</w:t>
            </w:r>
          </w:p>
        </w:tc>
        <w:tc>
          <w:tcPr>
            <w:tcW w:w="992" w:type="dxa"/>
          </w:tcPr>
          <w:p>
            <w:pPr>
              <w:pStyle w:val="yTableNAm"/>
              <w:tabs>
                <w:tab w:val="clear" w:pos="567"/>
                <w:tab w:val="decimal" w:pos="409"/>
              </w:tabs>
              <w:ind w:right="116"/>
            </w:pPr>
            <w:r>
              <w:br/>
              <w:t>164.5</w:t>
            </w:r>
          </w:p>
        </w:tc>
        <w:tc>
          <w:tcPr>
            <w:tcW w:w="992" w:type="dxa"/>
          </w:tcPr>
          <w:p>
            <w:pPr>
              <w:pStyle w:val="yTableNAm"/>
              <w:tabs>
                <w:tab w:val="clear" w:pos="567"/>
                <w:tab w:val="decimal" w:pos="409"/>
              </w:tabs>
              <w:ind w:right="116"/>
            </w:pPr>
            <w:r>
              <w:br/>
              <w:t>188.2</w:t>
            </w:r>
          </w:p>
        </w:tc>
        <w:tc>
          <w:tcPr>
            <w:tcW w:w="993" w:type="dxa"/>
          </w:tcPr>
          <w:p>
            <w:pPr>
              <w:pStyle w:val="yTableNAm"/>
              <w:tabs>
                <w:tab w:val="clear" w:pos="567"/>
                <w:tab w:val="decimal" w:pos="409"/>
              </w:tabs>
              <w:ind w:right="116"/>
            </w:pPr>
            <w:r>
              <w:br/>
              <w:t>210.6</w:t>
            </w:r>
          </w:p>
        </w:tc>
      </w:tr>
      <w:tr>
        <w:trPr>
          <w:cantSplit/>
        </w:trPr>
        <w:tc>
          <w:tcPr>
            <w:tcW w:w="1417" w:type="dxa"/>
          </w:tcPr>
          <w:p>
            <w:pPr>
              <w:pStyle w:val="yTableNAm"/>
            </w:pPr>
            <w:r>
              <w:t>Over 450 but not over 550</w:t>
            </w:r>
          </w:p>
        </w:tc>
        <w:tc>
          <w:tcPr>
            <w:tcW w:w="992" w:type="dxa"/>
          </w:tcPr>
          <w:p>
            <w:pPr>
              <w:pStyle w:val="yTableNAm"/>
              <w:tabs>
                <w:tab w:val="clear" w:pos="567"/>
                <w:tab w:val="decimal" w:pos="409"/>
              </w:tabs>
              <w:ind w:right="116"/>
            </w:pPr>
            <w:r>
              <w:br/>
              <w:t>112.6</w:t>
            </w:r>
          </w:p>
        </w:tc>
        <w:tc>
          <w:tcPr>
            <w:tcW w:w="992" w:type="dxa"/>
          </w:tcPr>
          <w:p>
            <w:pPr>
              <w:pStyle w:val="yTableNAm"/>
              <w:tabs>
                <w:tab w:val="clear" w:pos="567"/>
                <w:tab w:val="decimal" w:pos="409"/>
              </w:tabs>
              <w:ind w:right="116"/>
            </w:pPr>
            <w:r>
              <w:br/>
              <w:t>154.0</w:t>
            </w:r>
          </w:p>
        </w:tc>
        <w:tc>
          <w:tcPr>
            <w:tcW w:w="992" w:type="dxa"/>
          </w:tcPr>
          <w:p>
            <w:pPr>
              <w:pStyle w:val="yTableNAm"/>
              <w:tabs>
                <w:tab w:val="clear" w:pos="567"/>
                <w:tab w:val="decimal" w:pos="409"/>
              </w:tabs>
              <w:ind w:right="116"/>
            </w:pPr>
            <w:r>
              <w:br/>
              <w:t>181.2</w:t>
            </w:r>
          </w:p>
        </w:tc>
        <w:tc>
          <w:tcPr>
            <w:tcW w:w="992" w:type="dxa"/>
          </w:tcPr>
          <w:p>
            <w:pPr>
              <w:pStyle w:val="yTableNAm"/>
              <w:tabs>
                <w:tab w:val="clear" w:pos="567"/>
                <w:tab w:val="decimal" w:pos="409"/>
              </w:tabs>
              <w:ind w:right="116"/>
            </w:pPr>
            <w:r>
              <w:br/>
              <w:t>210.1</w:t>
            </w:r>
          </w:p>
        </w:tc>
        <w:tc>
          <w:tcPr>
            <w:tcW w:w="993" w:type="dxa"/>
          </w:tcPr>
          <w:p>
            <w:pPr>
              <w:pStyle w:val="yTableNAm"/>
              <w:tabs>
                <w:tab w:val="clear" w:pos="567"/>
                <w:tab w:val="decimal" w:pos="409"/>
              </w:tabs>
              <w:ind w:right="116"/>
            </w:pPr>
            <w:r>
              <w:br/>
              <w:t>234.2</w:t>
            </w:r>
          </w:p>
        </w:tc>
      </w:tr>
      <w:tr>
        <w:trPr>
          <w:cantSplit/>
        </w:trPr>
        <w:tc>
          <w:tcPr>
            <w:tcW w:w="1417" w:type="dxa"/>
          </w:tcPr>
          <w:p>
            <w:pPr>
              <w:pStyle w:val="yTableNAm"/>
            </w:pPr>
            <w:r>
              <w:t>Over 550 but not over 750</w:t>
            </w:r>
          </w:p>
        </w:tc>
        <w:tc>
          <w:tcPr>
            <w:tcW w:w="992" w:type="dxa"/>
          </w:tcPr>
          <w:p>
            <w:pPr>
              <w:pStyle w:val="yTableNAm"/>
              <w:tabs>
                <w:tab w:val="clear" w:pos="567"/>
                <w:tab w:val="decimal" w:pos="409"/>
              </w:tabs>
              <w:ind w:right="116"/>
            </w:pPr>
            <w:r>
              <w:br/>
              <w:t>158.9</w:t>
            </w:r>
          </w:p>
        </w:tc>
        <w:tc>
          <w:tcPr>
            <w:tcW w:w="992" w:type="dxa"/>
          </w:tcPr>
          <w:p>
            <w:pPr>
              <w:pStyle w:val="yTableNAm"/>
              <w:tabs>
                <w:tab w:val="clear" w:pos="567"/>
                <w:tab w:val="decimal" w:pos="409"/>
              </w:tabs>
              <w:ind w:right="116"/>
            </w:pPr>
            <w:r>
              <w:br/>
              <w:t>200.8</w:t>
            </w:r>
          </w:p>
        </w:tc>
        <w:tc>
          <w:tcPr>
            <w:tcW w:w="992" w:type="dxa"/>
          </w:tcPr>
          <w:p>
            <w:pPr>
              <w:pStyle w:val="yTableNAm"/>
              <w:tabs>
                <w:tab w:val="clear" w:pos="567"/>
                <w:tab w:val="decimal" w:pos="409"/>
              </w:tabs>
              <w:ind w:right="116"/>
            </w:pPr>
            <w:r>
              <w:br/>
              <w:t>248.5</w:t>
            </w:r>
          </w:p>
        </w:tc>
        <w:tc>
          <w:tcPr>
            <w:tcW w:w="992" w:type="dxa"/>
          </w:tcPr>
          <w:p>
            <w:pPr>
              <w:pStyle w:val="yTableNAm"/>
              <w:tabs>
                <w:tab w:val="clear" w:pos="567"/>
                <w:tab w:val="decimal" w:pos="409"/>
              </w:tabs>
              <w:ind w:right="116"/>
            </w:pPr>
            <w:r>
              <w:br/>
              <w:t>317.3</w:t>
            </w:r>
          </w:p>
        </w:tc>
        <w:tc>
          <w:tcPr>
            <w:tcW w:w="993" w:type="dxa"/>
          </w:tcPr>
          <w:p>
            <w:pPr>
              <w:pStyle w:val="yTableNAm"/>
              <w:tabs>
                <w:tab w:val="clear" w:pos="567"/>
                <w:tab w:val="decimal" w:pos="409"/>
              </w:tabs>
              <w:ind w:right="116"/>
            </w:pPr>
            <w:r>
              <w:br/>
              <w:t>389.1</w:t>
            </w:r>
          </w:p>
        </w:tc>
      </w:tr>
      <w:tr>
        <w:trPr>
          <w:cantSplit/>
        </w:trPr>
        <w:tc>
          <w:tcPr>
            <w:tcW w:w="1417" w:type="dxa"/>
          </w:tcPr>
          <w:p>
            <w:pPr>
              <w:pStyle w:val="yTableNAm"/>
            </w:pPr>
            <w:r>
              <w:t>Over 750 but not over 950</w:t>
            </w:r>
          </w:p>
        </w:tc>
        <w:tc>
          <w:tcPr>
            <w:tcW w:w="992" w:type="dxa"/>
          </w:tcPr>
          <w:p>
            <w:pPr>
              <w:pStyle w:val="yTableNAm"/>
              <w:tabs>
                <w:tab w:val="clear" w:pos="567"/>
                <w:tab w:val="decimal" w:pos="409"/>
              </w:tabs>
              <w:ind w:right="116"/>
            </w:pPr>
            <w:r>
              <w:br/>
              <w:t>174.1</w:t>
            </w:r>
          </w:p>
        </w:tc>
        <w:tc>
          <w:tcPr>
            <w:tcW w:w="992" w:type="dxa"/>
          </w:tcPr>
          <w:p>
            <w:pPr>
              <w:pStyle w:val="yTableNAm"/>
              <w:tabs>
                <w:tab w:val="clear" w:pos="567"/>
                <w:tab w:val="decimal" w:pos="409"/>
              </w:tabs>
              <w:ind w:right="116"/>
            </w:pPr>
            <w:r>
              <w:br/>
              <w:t>238.7</w:t>
            </w:r>
          </w:p>
        </w:tc>
        <w:tc>
          <w:tcPr>
            <w:tcW w:w="992" w:type="dxa"/>
          </w:tcPr>
          <w:p>
            <w:pPr>
              <w:pStyle w:val="yTableNAm"/>
              <w:tabs>
                <w:tab w:val="clear" w:pos="567"/>
                <w:tab w:val="decimal" w:pos="409"/>
              </w:tabs>
              <w:ind w:right="116"/>
            </w:pPr>
            <w:r>
              <w:br/>
              <w:t>288.6</w:t>
            </w:r>
          </w:p>
        </w:tc>
        <w:tc>
          <w:tcPr>
            <w:tcW w:w="992" w:type="dxa"/>
          </w:tcPr>
          <w:p>
            <w:pPr>
              <w:pStyle w:val="yTableNAm"/>
              <w:tabs>
                <w:tab w:val="clear" w:pos="567"/>
                <w:tab w:val="decimal" w:pos="409"/>
              </w:tabs>
              <w:ind w:right="116"/>
            </w:pPr>
            <w:r>
              <w:br/>
              <w:t>365.1</w:t>
            </w:r>
          </w:p>
        </w:tc>
        <w:tc>
          <w:tcPr>
            <w:tcW w:w="993" w:type="dxa"/>
          </w:tcPr>
          <w:p>
            <w:pPr>
              <w:pStyle w:val="yTableNAm"/>
              <w:tabs>
                <w:tab w:val="clear" w:pos="567"/>
                <w:tab w:val="decimal" w:pos="409"/>
              </w:tabs>
              <w:ind w:right="116"/>
            </w:pPr>
            <w:r>
              <w:br/>
              <w:t>444.7</w:t>
            </w:r>
          </w:p>
        </w:tc>
      </w:tr>
      <w:tr>
        <w:trPr>
          <w:cantSplit/>
        </w:trPr>
        <w:tc>
          <w:tcPr>
            <w:tcW w:w="1417" w:type="dxa"/>
          </w:tcPr>
          <w:p>
            <w:pPr>
              <w:pStyle w:val="yTableNAm"/>
            </w:pPr>
            <w:r>
              <w:t>Over 950 but not over 1 150</w:t>
            </w:r>
          </w:p>
        </w:tc>
        <w:tc>
          <w:tcPr>
            <w:tcW w:w="992" w:type="dxa"/>
          </w:tcPr>
          <w:p>
            <w:pPr>
              <w:pStyle w:val="yTableNAm"/>
              <w:tabs>
                <w:tab w:val="clear" w:pos="567"/>
                <w:tab w:val="decimal" w:pos="409"/>
              </w:tabs>
              <w:ind w:right="116"/>
            </w:pPr>
            <w:r>
              <w:br/>
              <w:t>176.5</w:t>
            </w:r>
          </w:p>
        </w:tc>
        <w:tc>
          <w:tcPr>
            <w:tcW w:w="992" w:type="dxa"/>
          </w:tcPr>
          <w:p>
            <w:pPr>
              <w:pStyle w:val="yTableNAm"/>
              <w:tabs>
                <w:tab w:val="clear" w:pos="567"/>
                <w:tab w:val="decimal" w:pos="409"/>
              </w:tabs>
              <w:ind w:right="116"/>
            </w:pPr>
            <w:r>
              <w:br/>
              <w:t>250.7</w:t>
            </w:r>
          </w:p>
        </w:tc>
        <w:tc>
          <w:tcPr>
            <w:tcW w:w="992" w:type="dxa"/>
          </w:tcPr>
          <w:p>
            <w:pPr>
              <w:pStyle w:val="yTableNAm"/>
              <w:tabs>
                <w:tab w:val="clear" w:pos="567"/>
                <w:tab w:val="decimal" w:pos="409"/>
              </w:tabs>
              <w:ind w:right="116"/>
            </w:pPr>
            <w:r>
              <w:br/>
              <w:t>315.2</w:t>
            </w:r>
          </w:p>
        </w:tc>
        <w:tc>
          <w:tcPr>
            <w:tcW w:w="992" w:type="dxa"/>
          </w:tcPr>
          <w:p>
            <w:pPr>
              <w:pStyle w:val="yTableNAm"/>
              <w:tabs>
                <w:tab w:val="clear" w:pos="567"/>
                <w:tab w:val="decimal" w:pos="409"/>
              </w:tabs>
              <w:ind w:right="116"/>
            </w:pPr>
            <w:r>
              <w:br/>
              <w:t>400.7</w:t>
            </w:r>
          </w:p>
        </w:tc>
        <w:tc>
          <w:tcPr>
            <w:tcW w:w="993" w:type="dxa"/>
          </w:tcPr>
          <w:p>
            <w:pPr>
              <w:pStyle w:val="yTableNAm"/>
              <w:tabs>
                <w:tab w:val="clear" w:pos="567"/>
                <w:tab w:val="decimal" w:pos="409"/>
              </w:tabs>
              <w:ind w:right="116"/>
            </w:pPr>
            <w:r>
              <w:br/>
              <w:t>504.4</w:t>
            </w:r>
          </w:p>
        </w:tc>
      </w:tr>
      <w:tr>
        <w:trPr>
          <w:cantSplit/>
        </w:trPr>
        <w:tc>
          <w:tcPr>
            <w:tcW w:w="1417" w:type="dxa"/>
          </w:tcPr>
          <w:p>
            <w:pPr>
              <w:pStyle w:val="yTableNAm"/>
            </w:pPr>
            <w:r>
              <w:t>Over 1 150 but not over 1 550</w:t>
            </w:r>
          </w:p>
        </w:tc>
        <w:tc>
          <w:tcPr>
            <w:tcW w:w="992" w:type="dxa"/>
          </w:tcPr>
          <w:p>
            <w:pPr>
              <w:pStyle w:val="yTableNAm"/>
              <w:tabs>
                <w:tab w:val="clear" w:pos="567"/>
                <w:tab w:val="decimal" w:pos="409"/>
              </w:tabs>
              <w:ind w:right="116"/>
            </w:pPr>
            <w:r>
              <w:br/>
              <w:t>207.4</w:t>
            </w:r>
          </w:p>
        </w:tc>
        <w:tc>
          <w:tcPr>
            <w:tcW w:w="992" w:type="dxa"/>
          </w:tcPr>
          <w:p>
            <w:pPr>
              <w:pStyle w:val="yTableNAm"/>
              <w:tabs>
                <w:tab w:val="clear" w:pos="567"/>
                <w:tab w:val="decimal" w:pos="409"/>
              </w:tabs>
              <w:ind w:right="116"/>
            </w:pPr>
            <w:r>
              <w:br/>
              <w:t>294.9</w:t>
            </w:r>
          </w:p>
        </w:tc>
        <w:tc>
          <w:tcPr>
            <w:tcW w:w="992" w:type="dxa"/>
          </w:tcPr>
          <w:p>
            <w:pPr>
              <w:pStyle w:val="yTableNAm"/>
              <w:tabs>
                <w:tab w:val="clear" w:pos="567"/>
                <w:tab w:val="decimal" w:pos="409"/>
              </w:tabs>
              <w:ind w:right="116"/>
            </w:pPr>
            <w:r>
              <w:br/>
              <w:t>370.5</w:t>
            </w:r>
          </w:p>
        </w:tc>
        <w:tc>
          <w:tcPr>
            <w:tcW w:w="992" w:type="dxa"/>
          </w:tcPr>
          <w:p>
            <w:pPr>
              <w:pStyle w:val="yTableNAm"/>
              <w:tabs>
                <w:tab w:val="clear" w:pos="567"/>
                <w:tab w:val="decimal" w:pos="409"/>
              </w:tabs>
              <w:ind w:right="116"/>
            </w:pPr>
            <w:r>
              <w:br/>
              <w:t>500.3</w:t>
            </w:r>
          </w:p>
        </w:tc>
        <w:tc>
          <w:tcPr>
            <w:tcW w:w="993" w:type="dxa"/>
          </w:tcPr>
          <w:p>
            <w:pPr>
              <w:pStyle w:val="yTableNAm"/>
              <w:tabs>
                <w:tab w:val="clear" w:pos="567"/>
                <w:tab w:val="decimal" w:pos="409"/>
              </w:tabs>
              <w:ind w:right="116"/>
            </w:pPr>
            <w:r>
              <w:br/>
              <w:t>640.8</w:t>
            </w:r>
          </w:p>
        </w:tc>
      </w:tr>
      <w:tr>
        <w:trPr>
          <w:cantSplit/>
        </w:trPr>
        <w:tc>
          <w:tcPr>
            <w:tcW w:w="1417" w:type="dxa"/>
          </w:tcPr>
          <w:p>
            <w:pPr>
              <w:pStyle w:val="yTableNAm"/>
            </w:pPr>
            <w:r>
              <w:t>Over 1 550 but not over 1 950</w:t>
            </w:r>
          </w:p>
        </w:tc>
        <w:tc>
          <w:tcPr>
            <w:tcW w:w="992" w:type="dxa"/>
          </w:tcPr>
          <w:p>
            <w:pPr>
              <w:pStyle w:val="yTableNAm"/>
              <w:tabs>
                <w:tab w:val="clear" w:pos="567"/>
                <w:tab w:val="decimal" w:pos="409"/>
              </w:tabs>
              <w:ind w:right="116"/>
            </w:pPr>
            <w:r>
              <w:br/>
              <w:t>222.9</w:t>
            </w:r>
          </w:p>
        </w:tc>
        <w:tc>
          <w:tcPr>
            <w:tcW w:w="992" w:type="dxa"/>
          </w:tcPr>
          <w:p>
            <w:pPr>
              <w:pStyle w:val="yTableNAm"/>
              <w:tabs>
                <w:tab w:val="clear" w:pos="567"/>
                <w:tab w:val="decimal" w:pos="409"/>
              </w:tabs>
              <w:ind w:right="116"/>
            </w:pPr>
            <w:r>
              <w:br/>
              <w:t>328.0</w:t>
            </w:r>
          </w:p>
        </w:tc>
        <w:tc>
          <w:tcPr>
            <w:tcW w:w="992" w:type="dxa"/>
          </w:tcPr>
          <w:p>
            <w:pPr>
              <w:pStyle w:val="yTableNAm"/>
              <w:tabs>
                <w:tab w:val="clear" w:pos="567"/>
                <w:tab w:val="decimal" w:pos="409"/>
              </w:tabs>
              <w:ind w:right="116"/>
            </w:pPr>
            <w:r>
              <w:br/>
              <w:t>422.2</w:t>
            </w:r>
          </w:p>
        </w:tc>
        <w:tc>
          <w:tcPr>
            <w:tcW w:w="992" w:type="dxa"/>
          </w:tcPr>
          <w:p>
            <w:pPr>
              <w:pStyle w:val="yTableNAm"/>
              <w:tabs>
                <w:tab w:val="clear" w:pos="567"/>
                <w:tab w:val="decimal" w:pos="409"/>
              </w:tabs>
              <w:ind w:right="116"/>
            </w:pPr>
            <w:r>
              <w:br/>
              <w:t>544.6</w:t>
            </w:r>
          </w:p>
        </w:tc>
        <w:tc>
          <w:tcPr>
            <w:tcW w:w="993" w:type="dxa"/>
          </w:tcPr>
          <w:p>
            <w:pPr>
              <w:pStyle w:val="yTableNAm"/>
              <w:tabs>
                <w:tab w:val="clear" w:pos="567"/>
                <w:tab w:val="decimal" w:pos="409"/>
              </w:tabs>
              <w:ind w:right="116"/>
            </w:pPr>
            <w:r>
              <w:br/>
              <w:t>685.2</w:t>
            </w:r>
          </w:p>
        </w:tc>
      </w:tr>
      <w:tr>
        <w:trPr>
          <w:cantSplit/>
        </w:trPr>
        <w:tc>
          <w:tcPr>
            <w:tcW w:w="1417" w:type="dxa"/>
            <w:tcBorders>
              <w:bottom w:val="single" w:sz="4" w:space="0" w:color="auto"/>
            </w:tcBorders>
          </w:tcPr>
          <w:p>
            <w:pPr>
              <w:pStyle w:val="yTableNAm"/>
            </w:pPr>
            <w:r>
              <w:t>Over 1 950</w:t>
            </w:r>
          </w:p>
        </w:tc>
        <w:tc>
          <w:tcPr>
            <w:tcW w:w="992" w:type="dxa"/>
            <w:tcBorders>
              <w:bottom w:val="single" w:sz="4" w:space="0" w:color="auto"/>
            </w:tcBorders>
          </w:tcPr>
          <w:p>
            <w:pPr>
              <w:pStyle w:val="yTableNAm"/>
              <w:tabs>
                <w:tab w:val="clear" w:pos="567"/>
                <w:tab w:val="decimal" w:pos="409"/>
              </w:tabs>
              <w:ind w:right="116"/>
            </w:pPr>
            <w:r>
              <w:t>241.9</w:t>
            </w:r>
          </w:p>
        </w:tc>
        <w:tc>
          <w:tcPr>
            <w:tcW w:w="992" w:type="dxa"/>
            <w:tcBorders>
              <w:bottom w:val="single" w:sz="4" w:space="0" w:color="auto"/>
            </w:tcBorders>
          </w:tcPr>
          <w:p>
            <w:pPr>
              <w:pStyle w:val="yTableNAm"/>
              <w:tabs>
                <w:tab w:val="clear" w:pos="567"/>
                <w:tab w:val="decimal" w:pos="409"/>
              </w:tabs>
              <w:ind w:right="116"/>
            </w:pPr>
            <w:r>
              <w:t>376.1</w:t>
            </w:r>
          </w:p>
        </w:tc>
        <w:tc>
          <w:tcPr>
            <w:tcW w:w="992" w:type="dxa"/>
            <w:tcBorders>
              <w:bottom w:val="single" w:sz="4" w:space="0" w:color="auto"/>
            </w:tcBorders>
          </w:tcPr>
          <w:p>
            <w:pPr>
              <w:pStyle w:val="yTableNAm"/>
              <w:tabs>
                <w:tab w:val="clear" w:pos="567"/>
                <w:tab w:val="decimal" w:pos="409"/>
              </w:tabs>
              <w:ind w:right="116"/>
            </w:pPr>
            <w:r>
              <w:t>466.5</w:t>
            </w:r>
          </w:p>
        </w:tc>
        <w:tc>
          <w:tcPr>
            <w:tcW w:w="992" w:type="dxa"/>
            <w:tcBorders>
              <w:bottom w:val="single" w:sz="4" w:space="0" w:color="auto"/>
            </w:tcBorders>
          </w:tcPr>
          <w:p>
            <w:pPr>
              <w:pStyle w:val="yTableNAm"/>
              <w:tabs>
                <w:tab w:val="clear" w:pos="567"/>
                <w:tab w:val="decimal" w:pos="409"/>
              </w:tabs>
              <w:ind w:right="116"/>
            </w:pPr>
            <w:r>
              <w:t>588.8</w:t>
            </w:r>
          </w:p>
        </w:tc>
        <w:tc>
          <w:tcPr>
            <w:tcW w:w="993" w:type="dxa"/>
            <w:tcBorders>
              <w:bottom w:val="single" w:sz="4" w:space="0" w:color="auto"/>
            </w:tcBorders>
          </w:tcPr>
          <w:p>
            <w:pPr>
              <w:pStyle w:val="yTableNAm"/>
              <w:tabs>
                <w:tab w:val="clear" w:pos="567"/>
                <w:tab w:val="decimal" w:pos="409"/>
              </w:tabs>
              <w:ind w:right="116"/>
            </w:pPr>
            <w:r>
              <w:t>722.0</w:t>
            </w:r>
          </w:p>
        </w:tc>
      </w:tr>
    </w:tbl>
    <w:p>
      <w:pPr>
        <w:rPr>
          <w:sz w:val="18"/>
        </w:rPr>
      </w:pPr>
    </w:p>
    <w:tbl>
      <w:tblPr>
        <w:tblW w:w="0" w:type="auto"/>
        <w:tblInd w:w="534" w:type="dxa"/>
        <w:tblLook w:val="0000" w:firstRow="0" w:lastRow="0" w:firstColumn="0" w:lastColumn="0" w:noHBand="0" w:noVBand="0"/>
      </w:tblPr>
      <w:tblGrid>
        <w:gridCol w:w="850"/>
        <w:gridCol w:w="4237"/>
        <w:gridCol w:w="1291"/>
      </w:tblGrid>
      <w:tr>
        <w:trPr>
          <w:cantSplit/>
        </w:trPr>
        <w:tc>
          <w:tcPr>
            <w:tcW w:w="850" w:type="dxa"/>
          </w:tcPr>
          <w:p>
            <w:pPr>
              <w:pStyle w:val="yTableNAm"/>
            </w:pPr>
          </w:p>
        </w:tc>
        <w:tc>
          <w:tcPr>
            <w:tcW w:w="4237" w:type="dxa"/>
          </w:tcPr>
          <w:p>
            <w:pPr>
              <w:pStyle w:val="yTableNAm"/>
              <w:tabs>
                <w:tab w:val="clear" w:pos="567"/>
                <w:tab w:val="left" w:pos="416"/>
                <w:tab w:val="left" w:pos="896"/>
              </w:tabs>
              <w:ind w:left="896" w:hanging="896"/>
              <w:rPr>
                <w:spacing w:val="-1"/>
              </w:rPr>
            </w:pPr>
            <w:r>
              <w:t>except that if the property is —</w:t>
            </w:r>
          </w:p>
        </w:tc>
        <w:tc>
          <w:tcPr>
            <w:tcW w:w="1291" w:type="dxa"/>
          </w:tcPr>
          <w:p>
            <w:pPr>
              <w:pStyle w:val="yTableNAm"/>
            </w:pPr>
          </w:p>
        </w:tc>
      </w:tr>
      <w:tr>
        <w:trPr>
          <w:cantSplit/>
        </w:trPr>
        <w:tc>
          <w:tcPr>
            <w:tcW w:w="850" w:type="dxa"/>
          </w:tcPr>
          <w:p>
            <w:pPr>
              <w:pStyle w:val="yTableNAm"/>
            </w:pPr>
          </w:p>
        </w:tc>
        <w:tc>
          <w:tcPr>
            <w:tcW w:w="4237" w:type="dxa"/>
          </w:tcPr>
          <w:p>
            <w:pPr>
              <w:pStyle w:val="yTableNAm"/>
              <w:tabs>
                <w:tab w:val="clear" w:pos="567"/>
                <w:tab w:val="left" w:pos="416"/>
                <w:tab w:val="left" w:pos="896"/>
              </w:tabs>
              <w:ind w:left="896" w:hanging="896"/>
              <w:rPr>
                <w:b/>
                <w:bCs/>
                <w:spacing w:val="-1"/>
              </w:rPr>
            </w:pPr>
            <w:r>
              <w:rPr>
                <w:snapToGrid w:val="0"/>
              </w:rPr>
              <w:tab/>
              <w:t>(a)</w:t>
            </w:r>
            <w:r>
              <w:rPr>
                <w:snapToGrid w:val="0"/>
              </w:rPr>
              <w:tab/>
              <w:t>in the town of Cue, Laverton, Leonora, Meekatharra, Menzies, Mt Magnet, Mullewa, Sandstone, Wiluna or Yalgoo; or</w:t>
            </w:r>
          </w:p>
        </w:tc>
        <w:tc>
          <w:tcPr>
            <w:tcW w:w="1291" w:type="dxa"/>
          </w:tcPr>
          <w:p>
            <w:pPr>
              <w:pStyle w:val="yTableNAm"/>
              <w:rPr>
                <w:b/>
                <w:bCs/>
              </w:rPr>
            </w:pPr>
          </w:p>
        </w:tc>
      </w:tr>
      <w:tr>
        <w:trPr>
          <w:cantSplit/>
        </w:trPr>
        <w:tc>
          <w:tcPr>
            <w:tcW w:w="850" w:type="dxa"/>
          </w:tcPr>
          <w:p>
            <w:pPr>
              <w:pStyle w:val="yTableNAm"/>
            </w:pPr>
          </w:p>
        </w:tc>
        <w:tc>
          <w:tcPr>
            <w:tcW w:w="4237" w:type="dxa"/>
          </w:tcPr>
          <w:p>
            <w:pPr>
              <w:pStyle w:val="yTableNAm"/>
              <w:tabs>
                <w:tab w:val="clear" w:pos="567"/>
                <w:tab w:val="left" w:pos="416"/>
                <w:tab w:val="left" w:pos="896"/>
              </w:tabs>
              <w:ind w:left="896" w:hanging="896"/>
              <w:rPr>
                <w:spacing w:val="-1"/>
              </w:rPr>
            </w:pPr>
            <w:r>
              <w:rPr>
                <w:snapToGrid w:val="0"/>
              </w:rPr>
              <w:tab/>
              <w:t>(b)</w:t>
            </w:r>
            <w:r>
              <w:rPr>
                <w:snapToGrid w:val="0"/>
              </w:rPr>
              <w:tab/>
              <w:t>north of 26ºS Latitude,</w:t>
            </w:r>
          </w:p>
        </w:tc>
        <w:tc>
          <w:tcPr>
            <w:tcW w:w="1291" w:type="dxa"/>
          </w:tcPr>
          <w:p>
            <w:pPr>
              <w:pStyle w:val="yTableNAm"/>
            </w:pPr>
          </w:p>
        </w:tc>
      </w:tr>
      <w:tr>
        <w:trPr>
          <w:cantSplit/>
        </w:trPr>
        <w:tc>
          <w:tcPr>
            <w:tcW w:w="850" w:type="dxa"/>
          </w:tcPr>
          <w:p>
            <w:pPr>
              <w:pStyle w:val="yTableNAm"/>
            </w:pPr>
          </w:p>
        </w:tc>
        <w:tc>
          <w:tcPr>
            <w:tcW w:w="4237" w:type="dxa"/>
          </w:tcPr>
          <w:p>
            <w:pPr>
              <w:pStyle w:val="yTableNAm"/>
              <w:tabs>
                <w:tab w:val="clear" w:pos="567"/>
                <w:tab w:val="left" w:pos="416"/>
                <w:tab w:val="left" w:pos="896"/>
              </w:tabs>
              <w:ind w:left="896" w:hanging="896"/>
              <w:rPr>
                <w:snapToGrid w:val="0"/>
              </w:rPr>
            </w:pPr>
            <w:r>
              <w:t>the charge for each kilolitre of water is —</w:t>
            </w:r>
          </w:p>
        </w:tc>
        <w:tc>
          <w:tcPr>
            <w:tcW w:w="1291" w:type="dxa"/>
          </w:tcPr>
          <w:p>
            <w:pPr>
              <w:pStyle w:val="yTableNAm"/>
            </w:pPr>
          </w:p>
        </w:tc>
      </w:tr>
    </w:tbl>
    <w:p>
      <w:pPr>
        <w:rPr>
          <w:sz w:val="18"/>
        </w:rPr>
      </w:pPr>
    </w:p>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cantSplit/>
          <w:tblHeader/>
        </w:trPr>
        <w:tc>
          <w:tcPr>
            <w:tcW w:w="1417" w:type="dxa"/>
            <w:tcBorders>
              <w:top w:val="single" w:sz="4" w:space="0" w:color="auto"/>
              <w:bottom w:val="single" w:sz="4" w:space="0" w:color="auto"/>
            </w:tcBorders>
          </w:tcPr>
          <w:p>
            <w:pPr>
              <w:pStyle w:val="yTableNAm"/>
              <w:rPr>
                <w:b/>
                <w:bCs/>
              </w:rPr>
            </w:pPr>
            <w:r>
              <w:rPr>
                <w:b/>
                <w:bCs/>
              </w:rPr>
              <w:br w:type="page"/>
              <w:t>Consumption (kL)</w:t>
            </w:r>
          </w:p>
        </w:tc>
        <w:tc>
          <w:tcPr>
            <w:tcW w:w="992" w:type="dxa"/>
            <w:tcBorders>
              <w:top w:val="single" w:sz="4" w:space="0" w:color="auto"/>
              <w:bottom w:val="single" w:sz="4" w:space="0" w:color="auto"/>
            </w:tcBorders>
          </w:tcPr>
          <w:p>
            <w:pPr>
              <w:pStyle w:val="yTableNAm"/>
              <w:ind w:right="167"/>
              <w:jc w:val="center"/>
              <w:rPr>
                <w:b/>
                <w:bCs/>
              </w:rPr>
            </w:pPr>
            <w:r>
              <w:rPr>
                <w:b/>
                <w:bCs/>
              </w:rPr>
              <w:t>Class 1 (c/kL)</w:t>
            </w:r>
          </w:p>
        </w:tc>
        <w:tc>
          <w:tcPr>
            <w:tcW w:w="992" w:type="dxa"/>
            <w:tcBorders>
              <w:top w:val="single" w:sz="4" w:space="0" w:color="auto"/>
              <w:bottom w:val="single" w:sz="4" w:space="0" w:color="auto"/>
            </w:tcBorders>
          </w:tcPr>
          <w:p>
            <w:pPr>
              <w:pStyle w:val="yTableNAm"/>
              <w:tabs>
                <w:tab w:val="left" w:pos="737"/>
              </w:tabs>
              <w:ind w:right="167"/>
              <w:jc w:val="center"/>
              <w:rPr>
                <w:b/>
                <w:bCs/>
              </w:rPr>
            </w:pPr>
            <w:r>
              <w:rPr>
                <w:b/>
                <w:bCs/>
              </w:rPr>
              <w:t>Class 2 (c/kL)</w:t>
            </w:r>
          </w:p>
        </w:tc>
        <w:tc>
          <w:tcPr>
            <w:tcW w:w="992" w:type="dxa"/>
            <w:tcBorders>
              <w:top w:val="single" w:sz="4" w:space="0" w:color="auto"/>
              <w:bottom w:val="single" w:sz="4" w:space="0" w:color="auto"/>
            </w:tcBorders>
          </w:tcPr>
          <w:p>
            <w:pPr>
              <w:pStyle w:val="yTableNAm"/>
              <w:ind w:right="111"/>
              <w:jc w:val="center"/>
              <w:rPr>
                <w:b/>
                <w:bCs/>
              </w:rPr>
            </w:pPr>
            <w:r>
              <w:rPr>
                <w:b/>
                <w:bCs/>
              </w:rPr>
              <w:t>Class 3 (c/kL)</w:t>
            </w:r>
          </w:p>
        </w:tc>
        <w:tc>
          <w:tcPr>
            <w:tcW w:w="992" w:type="dxa"/>
            <w:tcBorders>
              <w:top w:val="single" w:sz="4" w:space="0" w:color="auto"/>
              <w:bottom w:val="single" w:sz="4" w:space="0" w:color="auto"/>
            </w:tcBorders>
          </w:tcPr>
          <w:p>
            <w:pPr>
              <w:pStyle w:val="yTableNAm"/>
              <w:ind w:right="143"/>
              <w:jc w:val="center"/>
              <w:rPr>
                <w:b/>
                <w:bCs/>
              </w:rPr>
            </w:pPr>
            <w:r>
              <w:rPr>
                <w:b/>
                <w:bCs/>
              </w:rPr>
              <w:t>Class 4 (c/kL)</w:t>
            </w:r>
          </w:p>
        </w:tc>
        <w:tc>
          <w:tcPr>
            <w:tcW w:w="993" w:type="dxa"/>
            <w:tcBorders>
              <w:top w:val="single" w:sz="4" w:space="0" w:color="auto"/>
              <w:bottom w:val="single" w:sz="4" w:space="0" w:color="auto"/>
            </w:tcBorders>
          </w:tcPr>
          <w:p>
            <w:pPr>
              <w:pStyle w:val="yTableNAm"/>
              <w:ind w:right="176"/>
              <w:jc w:val="center"/>
              <w:rPr>
                <w:b/>
                <w:bCs/>
              </w:rPr>
            </w:pPr>
            <w:r>
              <w:rPr>
                <w:b/>
                <w:bCs/>
              </w:rPr>
              <w:t>Class 5 (c/kL)</w:t>
            </w:r>
          </w:p>
        </w:tc>
      </w:tr>
      <w:tr>
        <w:trPr>
          <w:cantSplit/>
        </w:trPr>
        <w:tc>
          <w:tcPr>
            <w:tcW w:w="1417" w:type="dxa"/>
          </w:tcPr>
          <w:p>
            <w:pPr>
              <w:pStyle w:val="yTableNAm"/>
            </w:pPr>
            <w:r>
              <w:t>Up to 150</w:t>
            </w:r>
          </w:p>
        </w:tc>
        <w:tc>
          <w:tcPr>
            <w:tcW w:w="992" w:type="dxa"/>
          </w:tcPr>
          <w:p>
            <w:pPr>
              <w:pStyle w:val="yTableNAm"/>
              <w:tabs>
                <w:tab w:val="clear" w:pos="567"/>
                <w:tab w:val="decimal" w:pos="409"/>
              </w:tabs>
              <w:ind w:right="116"/>
            </w:pPr>
            <w:r>
              <w:t>84.7</w:t>
            </w:r>
          </w:p>
        </w:tc>
        <w:tc>
          <w:tcPr>
            <w:tcW w:w="992" w:type="dxa"/>
          </w:tcPr>
          <w:p>
            <w:pPr>
              <w:pStyle w:val="yTableNAm"/>
              <w:tabs>
                <w:tab w:val="clear" w:pos="567"/>
                <w:tab w:val="decimal" w:pos="409"/>
              </w:tabs>
              <w:ind w:right="116"/>
            </w:pPr>
            <w:r>
              <w:t>98.2</w:t>
            </w:r>
          </w:p>
        </w:tc>
        <w:tc>
          <w:tcPr>
            <w:tcW w:w="992" w:type="dxa"/>
          </w:tcPr>
          <w:p>
            <w:pPr>
              <w:pStyle w:val="yTableNAm"/>
              <w:tabs>
                <w:tab w:val="clear" w:pos="567"/>
                <w:tab w:val="decimal" w:pos="409"/>
              </w:tabs>
              <w:ind w:right="116"/>
            </w:pPr>
            <w:r>
              <w:t>98.2</w:t>
            </w:r>
          </w:p>
        </w:tc>
        <w:tc>
          <w:tcPr>
            <w:tcW w:w="992" w:type="dxa"/>
          </w:tcPr>
          <w:p>
            <w:pPr>
              <w:pStyle w:val="yTableNAm"/>
              <w:tabs>
                <w:tab w:val="clear" w:pos="567"/>
                <w:tab w:val="decimal" w:pos="409"/>
              </w:tabs>
              <w:ind w:right="116"/>
            </w:pPr>
            <w:r>
              <w:t>98.2</w:t>
            </w:r>
          </w:p>
        </w:tc>
        <w:tc>
          <w:tcPr>
            <w:tcW w:w="993" w:type="dxa"/>
          </w:tcPr>
          <w:p>
            <w:pPr>
              <w:pStyle w:val="yTableNAm"/>
              <w:tabs>
                <w:tab w:val="clear" w:pos="567"/>
                <w:tab w:val="decimal" w:pos="409"/>
              </w:tabs>
              <w:ind w:right="116"/>
            </w:pPr>
            <w:r>
              <w:t>98.2</w:t>
            </w:r>
          </w:p>
        </w:tc>
      </w:tr>
      <w:tr>
        <w:trPr>
          <w:cantSplit/>
        </w:trPr>
        <w:tc>
          <w:tcPr>
            <w:tcW w:w="1417" w:type="dxa"/>
          </w:tcPr>
          <w:p>
            <w:pPr>
              <w:pStyle w:val="yTableNAm"/>
            </w:pPr>
            <w:r>
              <w:t>Over 150 but not over 350</w:t>
            </w:r>
          </w:p>
        </w:tc>
        <w:tc>
          <w:tcPr>
            <w:tcW w:w="992" w:type="dxa"/>
          </w:tcPr>
          <w:p>
            <w:pPr>
              <w:pStyle w:val="yTableNAm"/>
              <w:tabs>
                <w:tab w:val="clear" w:pos="567"/>
                <w:tab w:val="decimal" w:pos="409"/>
              </w:tabs>
              <w:ind w:right="116"/>
            </w:pPr>
            <w:r>
              <w:br/>
              <w:t>95.2</w:t>
            </w:r>
          </w:p>
        </w:tc>
        <w:tc>
          <w:tcPr>
            <w:tcW w:w="992" w:type="dxa"/>
          </w:tcPr>
          <w:p>
            <w:pPr>
              <w:pStyle w:val="yTableNAm"/>
              <w:tabs>
                <w:tab w:val="clear" w:pos="567"/>
                <w:tab w:val="decimal" w:pos="409"/>
              </w:tabs>
              <w:ind w:right="116"/>
            </w:pPr>
            <w:r>
              <w:br/>
              <w:t>108.7</w:t>
            </w:r>
          </w:p>
        </w:tc>
        <w:tc>
          <w:tcPr>
            <w:tcW w:w="992" w:type="dxa"/>
          </w:tcPr>
          <w:p>
            <w:pPr>
              <w:pStyle w:val="yTableNAm"/>
              <w:tabs>
                <w:tab w:val="clear" w:pos="567"/>
                <w:tab w:val="decimal" w:pos="409"/>
              </w:tabs>
              <w:ind w:right="116"/>
            </w:pPr>
            <w:r>
              <w:br/>
              <w:t>108.7</w:t>
            </w:r>
          </w:p>
        </w:tc>
        <w:tc>
          <w:tcPr>
            <w:tcW w:w="992" w:type="dxa"/>
          </w:tcPr>
          <w:p>
            <w:pPr>
              <w:pStyle w:val="yTableNAm"/>
              <w:tabs>
                <w:tab w:val="clear" w:pos="567"/>
                <w:tab w:val="decimal" w:pos="409"/>
              </w:tabs>
              <w:ind w:right="116"/>
            </w:pPr>
            <w:r>
              <w:br/>
              <w:t>108.7</w:t>
            </w:r>
          </w:p>
        </w:tc>
        <w:tc>
          <w:tcPr>
            <w:tcW w:w="993" w:type="dxa"/>
          </w:tcPr>
          <w:p>
            <w:pPr>
              <w:pStyle w:val="yTableNAm"/>
              <w:tabs>
                <w:tab w:val="clear" w:pos="567"/>
                <w:tab w:val="decimal" w:pos="409"/>
              </w:tabs>
              <w:ind w:right="116"/>
            </w:pPr>
            <w:r>
              <w:br/>
              <w:t>108.7</w:t>
            </w:r>
          </w:p>
        </w:tc>
      </w:tr>
      <w:tr>
        <w:trPr>
          <w:cantSplit/>
        </w:trPr>
        <w:tc>
          <w:tcPr>
            <w:tcW w:w="1417" w:type="dxa"/>
          </w:tcPr>
          <w:p>
            <w:pPr>
              <w:pStyle w:val="yTableNAm"/>
            </w:pPr>
            <w:r>
              <w:t>Over 350 but not over 500</w:t>
            </w:r>
          </w:p>
        </w:tc>
        <w:tc>
          <w:tcPr>
            <w:tcW w:w="992" w:type="dxa"/>
          </w:tcPr>
          <w:p>
            <w:pPr>
              <w:pStyle w:val="yTableNAm"/>
              <w:tabs>
                <w:tab w:val="clear" w:pos="567"/>
                <w:tab w:val="decimal" w:pos="409"/>
              </w:tabs>
              <w:ind w:right="116"/>
            </w:pPr>
            <w:r>
              <w:br/>
              <w:t>106.0</w:t>
            </w:r>
          </w:p>
        </w:tc>
        <w:tc>
          <w:tcPr>
            <w:tcW w:w="992" w:type="dxa"/>
          </w:tcPr>
          <w:p>
            <w:pPr>
              <w:pStyle w:val="yTableNAm"/>
              <w:tabs>
                <w:tab w:val="clear" w:pos="567"/>
                <w:tab w:val="decimal" w:pos="409"/>
              </w:tabs>
              <w:ind w:right="116"/>
            </w:pPr>
            <w:r>
              <w:br/>
              <w:t>123.7</w:t>
            </w:r>
          </w:p>
        </w:tc>
        <w:tc>
          <w:tcPr>
            <w:tcW w:w="992" w:type="dxa"/>
          </w:tcPr>
          <w:p>
            <w:pPr>
              <w:pStyle w:val="yTableNAm"/>
              <w:tabs>
                <w:tab w:val="clear" w:pos="567"/>
                <w:tab w:val="decimal" w:pos="409"/>
              </w:tabs>
              <w:ind w:right="116"/>
            </w:pPr>
            <w:r>
              <w:br/>
              <w:t>123.7</w:t>
            </w:r>
          </w:p>
        </w:tc>
        <w:tc>
          <w:tcPr>
            <w:tcW w:w="992" w:type="dxa"/>
          </w:tcPr>
          <w:p>
            <w:pPr>
              <w:pStyle w:val="yTableNAm"/>
              <w:tabs>
                <w:tab w:val="clear" w:pos="567"/>
                <w:tab w:val="decimal" w:pos="409"/>
              </w:tabs>
              <w:ind w:right="116"/>
            </w:pPr>
            <w:r>
              <w:br/>
              <w:t>123.7</w:t>
            </w:r>
          </w:p>
        </w:tc>
        <w:tc>
          <w:tcPr>
            <w:tcW w:w="993" w:type="dxa"/>
          </w:tcPr>
          <w:p>
            <w:pPr>
              <w:pStyle w:val="yTableNAm"/>
              <w:tabs>
                <w:tab w:val="clear" w:pos="567"/>
                <w:tab w:val="decimal" w:pos="409"/>
              </w:tabs>
              <w:ind w:right="116"/>
            </w:pPr>
            <w:r>
              <w:br/>
              <w:t>123.7</w:t>
            </w:r>
          </w:p>
        </w:tc>
      </w:tr>
      <w:tr>
        <w:trPr>
          <w:cantSplit/>
        </w:trPr>
        <w:tc>
          <w:tcPr>
            <w:tcW w:w="1417" w:type="dxa"/>
          </w:tcPr>
          <w:p>
            <w:pPr>
              <w:pStyle w:val="yTableNAm"/>
            </w:pPr>
            <w:r>
              <w:t>Over 500 but not over 550</w:t>
            </w:r>
          </w:p>
        </w:tc>
        <w:tc>
          <w:tcPr>
            <w:tcW w:w="992" w:type="dxa"/>
          </w:tcPr>
          <w:p>
            <w:pPr>
              <w:pStyle w:val="yTableNAm"/>
              <w:tabs>
                <w:tab w:val="clear" w:pos="567"/>
                <w:tab w:val="decimal" w:pos="409"/>
              </w:tabs>
              <w:ind w:right="116"/>
            </w:pPr>
            <w:r>
              <w:br/>
              <w:t>106.0</w:t>
            </w:r>
          </w:p>
        </w:tc>
        <w:tc>
          <w:tcPr>
            <w:tcW w:w="992" w:type="dxa"/>
          </w:tcPr>
          <w:p>
            <w:pPr>
              <w:pStyle w:val="yTableNAm"/>
              <w:tabs>
                <w:tab w:val="clear" w:pos="567"/>
                <w:tab w:val="decimal" w:pos="409"/>
              </w:tabs>
              <w:ind w:right="116"/>
            </w:pPr>
            <w:r>
              <w:br/>
              <w:t>134.7</w:t>
            </w:r>
          </w:p>
        </w:tc>
        <w:tc>
          <w:tcPr>
            <w:tcW w:w="992" w:type="dxa"/>
          </w:tcPr>
          <w:p>
            <w:pPr>
              <w:pStyle w:val="yTableNAm"/>
              <w:tabs>
                <w:tab w:val="clear" w:pos="567"/>
                <w:tab w:val="decimal" w:pos="409"/>
              </w:tabs>
              <w:ind w:right="116"/>
            </w:pPr>
            <w:r>
              <w:br/>
              <w:t>156.8</w:t>
            </w:r>
          </w:p>
        </w:tc>
        <w:tc>
          <w:tcPr>
            <w:tcW w:w="992" w:type="dxa"/>
          </w:tcPr>
          <w:p>
            <w:pPr>
              <w:pStyle w:val="yTableNAm"/>
              <w:tabs>
                <w:tab w:val="clear" w:pos="567"/>
                <w:tab w:val="decimal" w:pos="409"/>
              </w:tabs>
              <w:ind w:right="116"/>
            </w:pPr>
            <w:r>
              <w:br/>
              <w:t>180.5</w:t>
            </w:r>
          </w:p>
        </w:tc>
        <w:tc>
          <w:tcPr>
            <w:tcW w:w="993" w:type="dxa"/>
          </w:tcPr>
          <w:p>
            <w:pPr>
              <w:pStyle w:val="yTableNAm"/>
              <w:tabs>
                <w:tab w:val="clear" w:pos="567"/>
                <w:tab w:val="decimal" w:pos="409"/>
              </w:tabs>
              <w:ind w:right="116"/>
            </w:pPr>
            <w:r>
              <w:br/>
              <w:t>202.8</w:t>
            </w:r>
          </w:p>
        </w:tc>
      </w:tr>
      <w:tr>
        <w:trPr>
          <w:cantSplit/>
        </w:trPr>
        <w:tc>
          <w:tcPr>
            <w:tcW w:w="1417" w:type="dxa"/>
          </w:tcPr>
          <w:p>
            <w:pPr>
              <w:pStyle w:val="yTableNAm"/>
            </w:pPr>
            <w:r>
              <w:t>Over 550 but not over 650</w:t>
            </w:r>
          </w:p>
        </w:tc>
        <w:tc>
          <w:tcPr>
            <w:tcW w:w="992" w:type="dxa"/>
          </w:tcPr>
          <w:p>
            <w:pPr>
              <w:pStyle w:val="yTableNAm"/>
              <w:tabs>
                <w:tab w:val="clear" w:pos="567"/>
                <w:tab w:val="decimal" w:pos="409"/>
              </w:tabs>
              <w:ind w:right="116"/>
            </w:pPr>
            <w:r>
              <w:br/>
              <w:t>111.7</w:t>
            </w:r>
          </w:p>
        </w:tc>
        <w:tc>
          <w:tcPr>
            <w:tcW w:w="992" w:type="dxa"/>
          </w:tcPr>
          <w:p>
            <w:pPr>
              <w:pStyle w:val="yTableNAm"/>
              <w:tabs>
                <w:tab w:val="clear" w:pos="567"/>
                <w:tab w:val="decimal" w:pos="409"/>
              </w:tabs>
              <w:ind w:right="116"/>
            </w:pPr>
            <w:r>
              <w:br/>
              <w:t>140.4</w:t>
            </w:r>
          </w:p>
        </w:tc>
        <w:tc>
          <w:tcPr>
            <w:tcW w:w="992" w:type="dxa"/>
          </w:tcPr>
          <w:p>
            <w:pPr>
              <w:pStyle w:val="yTableNAm"/>
              <w:tabs>
                <w:tab w:val="clear" w:pos="567"/>
                <w:tab w:val="decimal" w:pos="409"/>
              </w:tabs>
              <w:ind w:right="116"/>
            </w:pPr>
            <w:r>
              <w:br/>
              <w:t>162.6</w:t>
            </w:r>
          </w:p>
        </w:tc>
        <w:tc>
          <w:tcPr>
            <w:tcW w:w="992" w:type="dxa"/>
          </w:tcPr>
          <w:p>
            <w:pPr>
              <w:pStyle w:val="yTableNAm"/>
              <w:tabs>
                <w:tab w:val="clear" w:pos="567"/>
                <w:tab w:val="decimal" w:pos="409"/>
              </w:tabs>
              <w:ind w:right="116"/>
            </w:pPr>
            <w:r>
              <w:br/>
              <w:t>186.2</w:t>
            </w:r>
          </w:p>
        </w:tc>
        <w:tc>
          <w:tcPr>
            <w:tcW w:w="993" w:type="dxa"/>
          </w:tcPr>
          <w:p>
            <w:pPr>
              <w:pStyle w:val="yTableNAm"/>
              <w:tabs>
                <w:tab w:val="clear" w:pos="567"/>
                <w:tab w:val="decimal" w:pos="409"/>
              </w:tabs>
              <w:ind w:right="116"/>
            </w:pPr>
            <w:r>
              <w:br/>
              <w:t>208.6</w:t>
            </w:r>
          </w:p>
        </w:tc>
      </w:tr>
      <w:tr>
        <w:trPr>
          <w:cantSplit/>
        </w:trPr>
        <w:tc>
          <w:tcPr>
            <w:tcW w:w="1417" w:type="dxa"/>
          </w:tcPr>
          <w:p>
            <w:pPr>
              <w:pStyle w:val="yTableNAm"/>
            </w:pPr>
            <w:r>
              <w:t>Over 650 but not over 750</w:t>
            </w:r>
          </w:p>
        </w:tc>
        <w:tc>
          <w:tcPr>
            <w:tcW w:w="992" w:type="dxa"/>
          </w:tcPr>
          <w:p>
            <w:pPr>
              <w:pStyle w:val="yTableNAm"/>
              <w:tabs>
                <w:tab w:val="clear" w:pos="567"/>
                <w:tab w:val="decimal" w:pos="409"/>
              </w:tabs>
              <w:ind w:right="116"/>
            </w:pPr>
            <w:r>
              <w:br/>
              <w:t>129.6</w:t>
            </w:r>
          </w:p>
        </w:tc>
        <w:tc>
          <w:tcPr>
            <w:tcW w:w="992" w:type="dxa"/>
          </w:tcPr>
          <w:p>
            <w:pPr>
              <w:pStyle w:val="yTableNAm"/>
              <w:tabs>
                <w:tab w:val="clear" w:pos="567"/>
                <w:tab w:val="decimal" w:pos="409"/>
              </w:tabs>
              <w:ind w:right="116"/>
            </w:pPr>
            <w:r>
              <w:br/>
              <w:t>160.7</w:t>
            </w:r>
          </w:p>
        </w:tc>
        <w:tc>
          <w:tcPr>
            <w:tcW w:w="992" w:type="dxa"/>
          </w:tcPr>
          <w:p>
            <w:pPr>
              <w:pStyle w:val="yTableNAm"/>
              <w:tabs>
                <w:tab w:val="clear" w:pos="567"/>
                <w:tab w:val="decimal" w:pos="409"/>
              </w:tabs>
              <w:ind w:right="116"/>
            </w:pPr>
            <w:r>
              <w:br/>
              <w:t>191.7</w:t>
            </w:r>
          </w:p>
        </w:tc>
        <w:tc>
          <w:tcPr>
            <w:tcW w:w="992" w:type="dxa"/>
          </w:tcPr>
          <w:p>
            <w:pPr>
              <w:pStyle w:val="yTableNAm"/>
              <w:tabs>
                <w:tab w:val="clear" w:pos="567"/>
                <w:tab w:val="decimal" w:pos="409"/>
              </w:tabs>
              <w:ind w:right="116"/>
            </w:pPr>
            <w:r>
              <w:br/>
              <w:t>222.5</w:t>
            </w:r>
          </w:p>
        </w:tc>
        <w:tc>
          <w:tcPr>
            <w:tcW w:w="993" w:type="dxa"/>
          </w:tcPr>
          <w:p>
            <w:pPr>
              <w:pStyle w:val="yTableNAm"/>
              <w:tabs>
                <w:tab w:val="clear" w:pos="567"/>
                <w:tab w:val="decimal" w:pos="409"/>
              </w:tabs>
              <w:ind w:right="116"/>
            </w:pPr>
            <w:r>
              <w:br/>
              <w:t>251.8</w:t>
            </w:r>
          </w:p>
        </w:tc>
      </w:tr>
      <w:tr>
        <w:trPr>
          <w:cantSplit/>
        </w:trPr>
        <w:tc>
          <w:tcPr>
            <w:tcW w:w="1417" w:type="dxa"/>
          </w:tcPr>
          <w:p>
            <w:pPr>
              <w:pStyle w:val="yTableNAm"/>
            </w:pPr>
            <w:r>
              <w:t>Over 750 but not over 950</w:t>
            </w:r>
          </w:p>
        </w:tc>
        <w:tc>
          <w:tcPr>
            <w:tcW w:w="992" w:type="dxa"/>
          </w:tcPr>
          <w:p>
            <w:pPr>
              <w:pStyle w:val="yTableNAm"/>
              <w:tabs>
                <w:tab w:val="clear" w:pos="567"/>
                <w:tab w:val="decimal" w:pos="409"/>
              </w:tabs>
              <w:ind w:right="116"/>
            </w:pPr>
            <w:r>
              <w:br/>
              <w:t>174.1</w:t>
            </w:r>
          </w:p>
        </w:tc>
        <w:tc>
          <w:tcPr>
            <w:tcW w:w="992" w:type="dxa"/>
          </w:tcPr>
          <w:p>
            <w:pPr>
              <w:pStyle w:val="yTableNAm"/>
              <w:tabs>
                <w:tab w:val="clear" w:pos="567"/>
                <w:tab w:val="decimal" w:pos="409"/>
              </w:tabs>
              <w:ind w:right="116"/>
            </w:pPr>
            <w:r>
              <w:br/>
              <w:t>238.7</w:t>
            </w:r>
          </w:p>
        </w:tc>
        <w:tc>
          <w:tcPr>
            <w:tcW w:w="992" w:type="dxa"/>
          </w:tcPr>
          <w:p>
            <w:pPr>
              <w:pStyle w:val="yTableNAm"/>
              <w:tabs>
                <w:tab w:val="clear" w:pos="567"/>
                <w:tab w:val="decimal" w:pos="409"/>
              </w:tabs>
              <w:ind w:right="116"/>
            </w:pPr>
            <w:r>
              <w:br/>
              <w:t>288.6</w:t>
            </w:r>
          </w:p>
        </w:tc>
        <w:tc>
          <w:tcPr>
            <w:tcW w:w="992" w:type="dxa"/>
          </w:tcPr>
          <w:p>
            <w:pPr>
              <w:pStyle w:val="yTableNAm"/>
              <w:tabs>
                <w:tab w:val="clear" w:pos="567"/>
                <w:tab w:val="decimal" w:pos="409"/>
              </w:tabs>
              <w:ind w:right="116"/>
            </w:pPr>
            <w:r>
              <w:br/>
              <w:t>365.1</w:t>
            </w:r>
          </w:p>
        </w:tc>
        <w:tc>
          <w:tcPr>
            <w:tcW w:w="993" w:type="dxa"/>
          </w:tcPr>
          <w:p>
            <w:pPr>
              <w:pStyle w:val="yTableNAm"/>
              <w:tabs>
                <w:tab w:val="clear" w:pos="567"/>
                <w:tab w:val="decimal" w:pos="409"/>
              </w:tabs>
              <w:ind w:right="116"/>
            </w:pPr>
            <w:r>
              <w:br/>
              <w:t>444.7</w:t>
            </w:r>
          </w:p>
        </w:tc>
      </w:tr>
      <w:tr>
        <w:trPr>
          <w:cantSplit/>
        </w:trPr>
        <w:tc>
          <w:tcPr>
            <w:tcW w:w="1417" w:type="dxa"/>
          </w:tcPr>
          <w:p>
            <w:pPr>
              <w:pStyle w:val="yTableNAm"/>
            </w:pPr>
            <w:r>
              <w:t>Over 950 but not over 1 150</w:t>
            </w:r>
          </w:p>
        </w:tc>
        <w:tc>
          <w:tcPr>
            <w:tcW w:w="992" w:type="dxa"/>
          </w:tcPr>
          <w:p>
            <w:pPr>
              <w:pStyle w:val="yTableNAm"/>
              <w:tabs>
                <w:tab w:val="clear" w:pos="567"/>
                <w:tab w:val="decimal" w:pos="409"/>
              </w:tabs>
              <w:ind w:right="116"/>
            </w:pPr>
            <w:r>
              <w:br/>
              <w:t>174.1</w:t>
            </w:r>
          </w:p>
        </w:tc>
        <w:tc>
          <w:tcPr>
            <w:tcW w:w="992" w:type="dxa"/>
          </w:tcPr>
          <w:p>
            <w:pPr>
              <w:pStyle w:val="yTableNAm"/>
              <w:tabs>
                <w:tab w:val="clear" w:pos="567"/>
                <w:tab w:val="decimal" w:pos="409"/>
              </w:tabs>
              <w:ind w:right="116"/>
            </w:pPr>
            <w:r>
              <w:br/>
              <w:t>238.7</w:t>
            </w:r>
          </w:p>
        </w:tc>
        <w:tc>
          <w:tcPr>
            <w:tcW w:w="992" w:type="dxa"/>
          </w:tcPr>
          <w:p>
            <w:pPr>
              <w:pStyle w:val="yTableNAm"/>
              <w:tabs>
                <w:tab w:val="clear" w:pos="567"/>
                <w:tab w:val="decimal" w:pos="409"/>
              </w:tabs>
              <w:ind w:right="116"/>
            </w:pPr>
            <w:r>
              <w:br/>
              <w:t>288.6</w:t>
            </w:r>
          </w:p>
        </w:tc>
        <w:tc>
          <w:tcPr>
            <w:tcW w:w="992" w:type="dxa"/>
          </w:tcPr>
          <w:p>
            <w:pPr>
              <w:pStyle w:val="yTableNAm"/>
              <w:tabs>
                <w:tab w:val="clear" w:pos="567"/>
                <w:tab w:val="decimal" w:pos="409"/>
              </w:tabs>
              <w:ind w:right="116"/>
            </w:pPr>
            <w:r>
              <w:br/>
              <w:t>365.1</w:t>
            </w:r>
          </w:p>
        </w:tc>
        <w:tc>
          <w:tcPr>
            <w:tcW w:w="993" w:type="dxa"/>
          </w:tcPr>
          <w:p>
            <w:pPr>
              <w:pStyle w:val="yTableNAm"/>
              <w:tabs>
                <w:tab w:val="clear" w:pos="567"/>
                <w:tab w:val="decimal" w:pos="409"/>
              </w:tabs>
              <w:ind w:right="116"/>
            </w:pPr>
            <w:r>
              <w:br/>
              <w:t>444.7</w:t>
            </w:r>
          </w:p>
        </w:tc>
      </w:tr>
      <w:tr>
        <w:trPr>
          <w:cantSplit/>
        </w:trPr>
        <w:tc>
          <w:tcPr>
            <w:tcW w:w="1417" w:type="dxa"/>
          </w:tcPr>
          <w:p>
            <w:pPr>
              <w:pStyle w:val="yTableNAm"/>
            </w:pPr>
            <w:r>
              <w:t>Over 1 150 but not over 1 550</w:t>
            </w:r>
          </w:p>
        </w:tc>
        <w:tc>
          <w:tcPr>
            <w:tcW w:w="992" w:type="dxa"/>
          </w:tcPr>
          <w:p>
            <w:pPr>
              <w:pStyle w:val="yTableNAm"/>
              <w:tabs>
                <w:tab w:val="clear" w:pos="567"/>
                <w:tab w:val="decimal" w:pos="409"/>
              </w:tabs>
              <w:ind w:right="116"/>
            </w:pPr>
            <w:r>
              <w:br/>
              <w:t>207.4</w:t>
            </w:r>
          </w:p>
        </w:tc>
        <w:tc>
          <w:tcPr>
            <w:tcW w:w="992" w:type="dxa"/>
          </w:tcPr>
          <w:p>
            <w:pPr>
              <w:pStyle w:val="yTableNAm"/>
              <w:tabs>
                <w:tab w:val="clear" w:pos="567"/>
                <w:tab w:val="decimal" w:pos="409"/>
              </w:tabs>
              <w:ind w:right="116"/>
            </w:pPr>
            <w:r>
              <w:br/>
              <w:t>294.9</w:t>
            </w:r>
          </w:p>
        </w:tc>
        <w:tc>
          <w:tcPr>
            <w:tcW w:w="992" w:type="dxa"/>
          </w:tcPr>
          <w:p>
            <w:pPr>
              <w:pStyle w:val="yTableNAm"/>
              <w:tabs>
                <w:tab w:val="clear" w:pos="567"/>
                <w:tab w:val="decimal" w:pos="409"/>
              </w:tabs>
              <w:ind w:right="116"/>
            </w:pPr>
            <w:r>
              <w:br/>
              <w:t>370.5</w:t>
            </w:r>
          </w:p>
        </w:tc>
        <w:tc>
          <w:tcPr>
            <w:tcW w:w="992" w:type="dxa"/>
          </w:tcPr>
          <w:p>
            <w:pPr>
              <w:pStyle w:val="yTableNAm"/>
              <w:tabs>
                <w:tab w:val="clear" w:pos="567"/>
                <w:tab w:val="decimal" w:pos="409"/>
              </w:tabs>
              <w:ind w:right="116"/>
            </w:pPr>
            <w:r>
              <w:br/>
              <w:t>500.3</w:t>
            </w:r>
          </w:p>
        </w:tc>
        <w:tc>
          <w:tcPr>
            <w:tcW w:w="993" w:type="dxa"/>
          </w:tcPr>
          <w:p>
            <w:pPr>
              <w:pStyle w:val="yTableNAm"/>
              <w:tabs>
                <w:tab w:val="clear" w:pos="567"/>
                <w:tab w:val="decimal" w:pos="409"/>
              </w:tabs>
              <w:ind w:right="116"/>
            </w:pPr>
            <w:r>
              <w:br/>
              <w:t>640.8</w:t>
            </w:r>
          </w:p>
        </w:tc>
      </w:tr>
      <w:tr>
        <w:trPr>
          <w:cantSplit/>
        </w:trPr>
        <w:tc>
          <w:tcPr>
            <w:tcW w:w="1417" w:type="dxa"/>
          </w:tcPr>
          <w:p>
            <w:pPr>
              <w:pStyle w:val="yTableNAm"/>
            </w:pPr>
            <w:r>
              <w:t>Over 1 550 but not over 1 950</w:t>
            </w:r>
          </w:p>
        </w:tc>
        <w:tc>
          <w:tcPr>
            <w:tcW w:w="992" w:type="dxa"/>
          </w:tcPr>
          <w:p>
            <w:pPr>
              <w:pStyle w:val="yTableNAm"/>
              <w:tabs>
                <w:tab w:val="clear" w:pos="567"/>
                <w:tab w:val="decimal" w:pos="409"/>
              </w:tabs>
              <w:ind w:right="116"/>
            </w:pPr>
            <w:r>
              <w:br/>
              <w:t>222.9</w:t>
            </w:r>
          </w:p>
        </w:tc>
        <w:tc>
          <w:tcPr>
            <w:tcW w:w="992" w:type="dxa"/>
          </w:tcPr>
          <w:p>
            <w:pPr>
              <w:pStyle w:val="yTableNAm"/>
              <w:tabs>
                <w:tab w:val="clear" w:pos="567"/>
                <w:tab w:val="decimal" w:pos="409"/>
              </w:tabs>
              <w:ind w:right="116"/>
            </w:pPr>
            <w:r>
              <w:br/>
              <w:t>328.0</w:t>
            </w:r>
          </w:p>
        </w:tc>
        <w:tc>
          <w:tcPr>
            <w:tcW w:w="992" w:type="dxa"/>
          </w:tcPr>
          <w:p>
            <w:pPr>
              <w:pStyle w:val="yTableNAm"/>
              <w:tabs>
                <w:tab w:val="clear" w:pos="567"/>
                <w:tab w:val="decimal" w:pos="409"/>
              </w:tabs>
              <w:ind w:right="116"/>
            </w:pPr>
            <w:r>
              <w:br/>
              <w:t>422.2</w:t>
            </w:r>
          </w:p>
        </w:tc>
        <w:tc>
          <w:tcPr>
            <w:tcW w:w="992" w:type="dxa"/>
          </w:tcPr>
          <w:p>
            <w:pPr>
              <w:pStyle w:val="yTableNAm"/>
              <w:tabs>
                <w:tab w:val="clear" w:pos="567"/>
                <w:tab w:val="decimal" w:pos="409"/>
              </w:tabs>
              <w:ind w:right="116"/>
            </w:pPr>
            <w:r>
              <w:br/>
              <w:t>544.6</w:t>
            </w:r>
          </w:p>
        </w:tc>
        <w:tc>
          <w:tcPr>
            <w:tcW w:w="993" w:type="dxa"/>
          </w:tcPr>
          <w:p>
            <w:pPr>
              <w:pStyle w:val="yTableNAm"/>
              <w:tabs>
                <w:tab w:val="clear" w:pos="567"/>
                <w:tab w:val="decimal" w:pos="409"/>
              </w:tabs>
              <w:ind w:right="116"/>
            </w:pPr>
            <w:r>
              <w:br/>
              <w:t>685.2</w:t>
            </w:r>
          </w:p>
        </w:tc>
      </w:tr>
      <w:tr>
        <w:trPr>
          <w:cantSplit/>
        </w:trPr>
        <w:tc>
          <w:tcPr>
            <w:tcW w:w="1417" w:type="dxa"/>
            <w:tcBorders>
              <w:bottom w:val="single" w:sz="4" w:space="0" w:color="auto"/>
            </w:tcBorders>
          </w:tcPr>
          <w:p>
            <w:pPr>
              <w:pStyle w:val="yTableNAm"/>
            </w:pPr>
            <w:r>
              <w:t>Over 1 950</w:t>
            </w:r>
          </w:p>
        </w:tc>
        <w:tc>
          <w:tcPr>
            <w:tcW w:w="992" w:type="dxa"/>
            <w:tcBorders>
              <w:bottom w:val="single" w:sz="4" w:space="0" w:color="auto"/>
            </w:tcBorders>
          </w:tcPr>
          <w:p>
            <w:pPr>
              <w:pStyle w:val="yTableNAm"/>
              <w:tabs>
                <w:tab w:val="clear" w:pos="567"/>
                <w:tab w:val="decimal" w:pos="409"/>
              </w:tabs>
              <w:ind w:right="116"/>
            </w:pPr>
            <w:r>
              <w:t>241.9</w:t>
            </w:r>
          </w:p>
        </w:tc>
        <w:tc>
          <w:tcPr>
            <w:tcW w:w="992" w:type="dxa"/>
            <w:tcBorders>
              <w:bottom w:val="single" w:sz="4" w:space="0" w:color="auto"/>
            </w:tcBorders>
          </w:tcPr>
          <w:p>
            <w:pPr>
              <w:pStyle w:val="yTableNAm"/>
              <w:tabs>
                <w:tab w:val="clear" w:pos="567"/>
                <w:tab w:val="decimal" w:pos="409"/>
              </w:tabs>
              <w:ind w:right="116"/>
            </w:pPr>
            <w:r>
              <w:t>376.1</w:t>
            </w:r>
          </w:p>
        </w:tc>
        <w:tc>
          <w:tcPr>
            <w:tcW w:w="992" w:type="dxa"/>
            <w:tcBorders>
              <w:bottom w:val="single" w:sz="4" w:space="0" w:color="auto"/>
            </w:tcBorders>
          </w:tcPr>
          <w:p>
            <w:pPr>
              <w:pStyle w:val="yTableNAm"/>
              <w:tabs>
                <w:tab w:val="clear" w:pos="567"/>
                <w:tab w:val="decimal" w:pos="409"/>
              </w:tabs>
              <w:ind w:right="116"/>
            </w:pPr>
            <w:r>
              <w:t>466.5</w:t>
            </w:r>
          </w:p>
        </w:tc>
        <w:tc>
          <w:tcPr>
            <w:tcW w:w="992" w:type="dxa"/>
            <w:tcBorders>
              <w:bottom w:val="single" w:sz="4" w:space="0" w:color="auto"/>
            </w:tcBorders>
          </w:tcPr>
          <w:p>
            <w:pPr>
              <w:pStyle w:val="yTableNAm"/>
              <w:tabs>
                <w:tab w:val="clear" w:pos="567"/>
                <w:tab w:val="decimal" w:pos="409"/>
              </w:tabs>
              <w:ind w:right="116"/>
            </w:pPr>
            <w:r>
              <w:t>588.8</w:t>
            </w:r>
          </w:p>
        </w:tc>
        <w:tc>
          <w:tcPr>
            <w:tcW w:w="993" w:type="dxa"/>
            <w:tcBorders>
              <w:bottom w:val="single" w:sz="4" w:space="0" w:color="auto"/>
            </w:tcBorders>
          </w:tcPr>
          <w:p>
            <w:pPr>
              <w:pStyle w:val="yTableNAm"/>
              <w:tabs>
                <w:tab w:val="clear" w:pos="567"/>
                <w:tab w:val="decimal" w:pos="409"/>
              </w:tabs>
              <w:ind w:right="116"/>
            </w:pPr>
            <w:r>
              <w:t>722.0</w:t>
            </w:r>
          </w:p>
        </w:tc>
      </w:tr>
    </w:tbl>
    <w:p>
      <w:pPr>
        <w:rPr>
          <w:sz w:val="18"/>
        </w:rPr>
      </w:pPr>
    </w:p>
    <w:tbl>
      <w:tblPr>
        <w:tblW w:w="0" w:type="auto"/>
        <w:tblInd w:w="534" w:type="dxa"/>
        <w:tblLook w:val="0000" w:firstRow="0" w:lastRow="0" w:firstColumn="0" w:lastColumn="0" w:noHBand="0" w:noVBand="0"/>
      </w:tblPr>
      <w:tblGrid>
        <w:gridCol w:w="850"/>
        <w:gridCol w:w="4237"/>
        <w:gridCol w:w="1292"/>
      </w:tblGrid>
      <w:tr>
        <w:trPr>
          <w:cantSplit/>
        </w:trPr>
        <w:tc>
          <w:tcPr>
            <w:tcW w:w="850" w:type="dxa"/>
          </w:tcPr>
          <w:p>
            <w:pPr>
              <w:pStyle w:val="yHeading5"/>
              <w:tabs>
                <w:tab w:val="clear" w:pos="879"/>
              </w:tabs>
              <w:ind w:left="0" w:firstLine="0"/>
            </w:pPr>
            <w:bookmarkStart w:id="607" w:name="_Toc265743553"/>
            <w:r>
              <w:t>23.</w:t>
            </w:r>
            <w:bookmarkEnd w:id="607"/>
          </w:p>
        </w:tc>
        <w:tc>
          <w:tcPr>
            <w:tcW w:w="4237" w:type="dxa"/>
          </w:tcPr>
          <w:p>
            <w:pPr>
              <w:pStyle w:val="yHeading5"/>
              <w:tabs>
                <w:tab w:val="clear" w:pos="879"/>
              </w:tabs>
              <w:ind w:left="0" w:firstLine="0"/>
            </w:pPr>
            <w:bookmarkStart w:id="608" w:name="_Toc265743554"/>
            <w:r>
              <w:t>Community residential</w:t>
            </w:r>
            <w:bookmarkEnd w:id="608"/>
          </w:p>
        </w:tc>
        <w:tc>
          <w:tcPr>
            <w:tcW w:w="1292" w:type="dxa"/>
          </w:tcPr>
          <w:p>
            <w:pPr>
              <w:pStyle w:val="yHeading5"/>
              <w:tabs>
                <w:tab w:val="clear" w:pos="879"/>
              </w:tabs>
              <w:ind w:left="0" w:firstLine="0"/>
            </w:pPr>
          </w:p>
        </w:tc>
      </w:tr>
      <w:tr>
        <w:trPr>
          <w:cantSplit/>
        </w:trPr>
        <w:tc>
          <w:tcPr>
            <w:tcW w:w="850" w:type="dxa"/>
          </w:tcPr>
          <w:p>
            <w:pPr>
              <w:pStyle w:val="yTableNAm"/>
            </w:pPr>
          </w:p>
        </w:tc>
        <w:tc>
          <w:tcPr>
            <w:tcW w:w="4237" w:type="dxa"/>
          </w:tcPr>
          <w:p>
            <w:pPr>
              <w:pStyle w:val="yTableNAm"/>
              <w:tabs>
                <w:tab w:val="clear" w:pos="567"/>
                <w:tab w:val="left" w:pos="176"/>
                <w:tab w:val="left" w:pos="536"/>
              </w:tabs>
              <w:ind w:left="536" w:hanging="776"/>
            </w:pPr>
            <w:r>
              <w:tab/>
              <w:t>(1)</w:t>
            </w:r>
            <w:r>
              <w:tab/>
              <w:t>For each kilolitre of water supplied to a discrete residential unit as determined under by</w:t>
            </w:r>
            <w:r>
              <w:noBreakHyphen/>
              <w:t>law 16 that is in the metropolitan area —</w:t>
            </w:r>
          </w:p>
        </w:tc>
        <w:tc>
          <w:tcPr>
            <w:tcW w:w="1292" w:type="dxa"/>
          </w:tcPr>
          <w:p>
            <w:pPr>
              <w:pStyle w:val="yTableNAm"/>
            </w:pPr>
          </w:p>
        </w:tc>
      </w:tr>
      <w:tr>
        <w:trPr>
          <w:cantSplit/>
        </w:trPr>
        <w:tc>
          <w:tcPr>
            <w:tcW w:w="850" w:type="dxa"/>
          </w:tcPr>
          <w:p>
            <w:pPr>
              <w:pStyle w:val="yTableNAm"/>
            </w:pPr>
          </w:p>
        </w:tc>
        <w:tc>
          <w:tcPr>
            <w:tcW w:w="4237" w:type="dxa"/>
          </w:tcPr>
          <w:p>
            <w:pPr>
              <w:pStyle w:val="yTableNAm"/>
              <w:tabs>
                <w:tab w:val="left" w:pos="776"/>
                <w:tab w:val="left" w:leader="dot" w:pos="4021"/>
              </w:tabs>
              <w:rPr>
                <w:spacing w:val="-1"/>
              </w:rPr>
            </w:pPr>
            <w:r>
              <w:rPr>
                <w:spacing w:val="-1"/>
              </w:rPr>
              <w:tab/>
            </w:r>
            <w:r>
              <w:rPr>
                <w:spacing w:val="-1"/>
              </w:rPr>
              <w:tab/>
              <w:t xml:space="preserve">up to 150 kL </w:t>
            </w:r>
            <w:r>
              <w:rPr>
                <w:spacing w:val="-1"/>
              </w:rPr>
              <w:tab/>
            </w:r>
          </w:p>
        </w:tc>
        <w:tc>
          <w:tcPr>
            <w:tcW w:w="1292" w:type="dxa"/>
          </w:tcPr>
          <w:p>
            <w:pPr>
              <w:pStyle w:val="yTableNAm"/>
            </w:pPr>
            <w:r>
              <w:t>49.1 cents</w:t>
            </w:r>
          </w:p>
        </w:tc>
      </w:tr>
      <w:tr>
        <w:trPr>
          <w:cantSplit/>
        </w:trPr>
        <w:tc>
          <w:tcPr>
            <w:tcW w:w="850" w:type="dxa"/>
          </w:tcPr>
          <w:p>
            <w:pPr>
              <w:pStyle w:val="yTableNAm"/>
            </w:pPr>
          </w:p>
        </w:tc>
        <w:tc>
          <w:tcPr>
            <w:tcW w:w="4237" w:type="dxa"/>
          </w:tcPr>
          <w:p>
            <w:pPr>
              <w:pStyle w:val="yTableNAm"/>
              <w:tabs>
                <w:tab w:val="left" w:pos="776"/>
                <w:tab w:val="left" w:leader="dot" w:pos="4021"/>
              </w:tabs>
              <w:rPr>
                <w:spacing w:val="-1"/>
              </w:rPr>
            </w:pPr>
            <w:r>
              <w:rPr>
                <w:spacing w:val="-1"/>
              </w:rPr>
              <w:tab/>
            </w:r>
            <w:r>
              <w:rPr>
                <w:spacing w:val="-1"/>
              </w:rPr>
              <w:tab/>
              <w:t xml:space="preserve">over 150 but not over 350 kL </w:t>
            </w:r>
            <w:r>
              <w:rPr>
                <w:spacing w:val="-1"/>
              </w:rPr>
              <w:tab/>
            </w:r>
          </w:p>
        </w:tc>
        <w:tc>
          <w:tcPr>
            <w:tcW w:w="1292" w:type="dxa"/>
          </w:tcPr>
          <w:p>
            <w:pPr>
              <w:pStyle w:val="yTableNAm"/>
            </w:pPr>
            <w:r>
              <w:t>123.7 cents</w:t>
            </w:r>
          </w:p>
        </w:tc>
      </w:tr>
      <w:tr>
        <w:trPr>
          <w:cantSplit/>
        </w:trPr>
        <w:tc>
          <w:tcPr>
            <w:tcW w:w="850" w:type="dxa"/>
          </w:tcPr>
          <w:p>
            <w:pPr>
              <w:pStyle w:val="yTableNAm"/>
            </w:pPr>
          </w:p>
        </w:tc>
        <w:tc>
          <w:tcPr>
            <w:tcW w:w="4237" w:type="dxa"/>
          </w:tcPr>
          <w:p>
            <w:pPr>
              <w:pStyle w:val="yTableNAm"/>
              <w:tabs>
                <w:tab w:val="left" w:pos="776"/>
                <w:tab w:val="left" w:leader="dot" w:pos="4021"/>
              </w:tabs>
              <w:rPr>
                <w:spacing w:val="-1"/>
              </w:rPr>
            </w:pPr>
            <w:r>
              <w:rPr>
                <w:spacing w:val="-1"/>
              </w:rPr>
              <w:tab/>
            </w:r>
            <w:r>
              <w:rPr>
                <w:spacing w:val="-1"/>
              </w:rPr>
              <w:tab/>
              <w:t xml:space="preserve">over 350 but not over 500 kL </w:t>
            </w:r>
            <w:r>
              <w:rPr>
                <w:spacing w:val="-1"/>
              </w:rPr>
              <w:tab/>
            </w:r>
          </w:p>
        </w:tc>
        <w:tc>
          <w:tcPr>
            <w:tcW w:w="1292" w:type="dxa"/>
          </w:tcPr>
          <w:p>
            <w:pPr>
              <w:pStyle w:val="yTableNAm"/>
            </w:pPr>
            <w:r>
              <w:t>133.2 cents</w:t>
            </w:r>
          </w:p>
        </w:tc>
      </w:tr>
      <w:tr>
        <w:trPr>
          <w:cantSplit/>
        </w:trPr>
        <w:tc>
          <w:tcPr>
            <w:tcW w:w="850" w:type="dxa"/>
          </w:tcPr>
          <w:p>
            <w:pPr>
              <w:pStyle w:val="yTableNAm"/>
            </w:pPr>
          </w:p>
        </w:tc>
        <w:tc>
          <w:tcPr>
            <w:tcW w:w="4237" w:type="dxa"/>
          </w:tcPr>
          <w:p>
            <w:pPr>
              <w:pStyle w:val="yTableNAm"/>
              <w:tabs>
                <w:tab w:val="left" w:pos="776"/>
                <w:tab w:val="left" w:leader="dot" w:pos="4021"/>
              </w:tabs>
              <w:rPr>
                <w:spacing w:val="-1"/>
              </w:rPr>
            </w:pPr>
            <w:r>
              <w:rPr>
                <w:spacing w:val="-1"/>
              </w:rPr>
              <w:tab/>
            </w:r>
            <w:r>
              <w:rPr>
                <w:spacing w:val="-1"/>
              </w:rPr>
              <w:tab/>
              <w:t xml:space="preserve">over 500 but not over 550 kL </w:t>
            </w:r>
            <w:r>
              <w:rPr>
                <w:spacing w:val="-1"/>
              </w:rPr>
              <w:tab/>
            </w:r>
          </w:p>
        </w:tc>
        <w:tc>
          <w:tcPr>
            <w:tcW w:w="1292" w:type="dxa"/>
          </w:tcPr>
          <w:p>
            <w:pPr>
              <w:pStyle w:val="yTableNAm"/>
            </w:pPr>
            <w:r>
              <w:t>144.3 cents</w:t>
            </w:r>
          </w:p>
        </w:tc>
      </w:tr>
      <w:tr>
        <w:trPr>
          <w:cantSplit/>
        </w:trPr>
        <w:tc>
          <w:tcPr>
            <w:tcW w:w="850" w:type="dxa"/>
          </w:tcPr>
          <w:p>
            <w:pPr>
              <w:pStyle w:val="yTableNAm"/>
            </w:pPr>
          </w:p>
        </w:tc>
        <w:tc>
          <w:tcPr>
            <w:tcW w:w="4237" w:type="dxa"/>
          </w:tcPr>
          <w:p>
            <w:pPr>
              <w:pStyle w:val="yTableNAm"/>
              <w:tabs>
                <w:tab w:val="left" w:pos="776"/>
                <w:tab w:val="left" w:leader="dot" w:pos="4021"/>
              </w:tabs>
              <w:rPr>
                <w:spacing w:val="-1"/>
              </w:rPr>
            </w:pPr>
            <w:r>
              <w:rPr>
                <w:spacing w:val="-1"/>
              </w:rPr>
              <w:tab/>
            </w:r>
            <w:r>
              <w:rPr>
                <w:spacing w:val="-1"/>
              </w:rPr>
              <w:tab/>
              <w:t xml:space="preserve">over 550 but not over 950 kL </w:t>
            </w:r>
            <w:r>
              <w:rPr>
                <w:spacing w:val="-1"/>
              </w:rPr>
              <w:tab/>
            </w:r>
          </w:p>
        </w:tc>
        <w:tc>
          <w:tcPr>
            <w:tcW w:w="1292" w:type="dxa"/>
          </w:tcPr>
          <w:p>
            <w:pPr>
              <w:pStyle w:val="yTableNAm"/>
            </w:pPr>
            <w:r>
              <w:t>179.5 cents</w:t>
            </w:r>
          </w:p>
        </w:tc>
      </w:tr>
      <w:tr>
        <w:trPr>
          <w:cantSplit/>
        </w:trPr>
        <w:tc>
          <w:tcPr>
            <w:tcW w:w="850" w:type="dxa"/>
          </w:tcPr>
          <w:p>
            <w:pPr>
              <w:pStyle w:val="yTableNAm"/>
            </w:pPr>
          </w:p>
        </w:tc>
        <w:tc>
          <w:tcPr>
            <w:tcW w:w="4237" w:type="dxa"/>
          </w:tcPr>
          <w:p>
            <w:pPr>
              <w:pStyle w:val="yTableNAm"/>
              <w:tabs>
                <w:tab w:val="left" w:pos="776"/>
                <w:tab w:val="left" w:leader="dot" w:pos="4021"/>
              </w:tabs>
              <w:rPr>
                <w:spacing w:val="-1"/>
              </w:rPr>
            </w:pPr>
            <w:r>
              <w:rPr>
                <w:spacing w:val="-1"/>
              </w:rPr>
              <w:tab/>
            </w:r>
            <w:r>
              <w:rPr>
                <w:spacing w:val="-1"/>
              </w:rPr>
              <w:tab/>
              <w:t xml:space="preserve">over 950 kL </w:t>
            </w:r>
            <w:r>
              <w:rPr>
                <w:spacing w:val="-1"/>
              </w:rPr>
              <w:tab/>
            </w:r>
          </w:p>
        </w:tc>
        <w:tc>
          <w:tcPr>
            <w:tcW w:w="1292" w:type="dxa"/>
          </w:tcPr>
          <w:p>
            <w:pPr>
              <w:pStyle w:val="yTableNAm"/>
            </w:pPr>
            <w:r>
              <w:t>196.0 cents</w:t>
            </w:r>
          </w:p>
        </w:tc>
      </w:tr>
      <w:tr>
        <w:trPr>
          <w:cantSplit/>
        </w:trPr>
        <w:tc>
          <w:tcPr>
            <w:tcW w:w="850" w:type="dxa"/>
          </w:tcPr>
          <w:p>
            <w:pPr>
              <w:pStyle w:val="yTableNAm"/>
            </w:pPr>
          </w:p>
        </w:tc>
        <w:tc>
          <w:tcPr>
            <w:tcW w:w="4237" w:type="dxa"/>
          </w:tcPr>
          <w:p>
            <w:pPr>
              <w:pStyle w:val="yTableNAm"/>
              <w:tabs>
                <w:tab w:val="clear" w:pos="567"/>
                <w:tab w:val="left" w:pos="176"/>
                <w:tab w:val="left" w:pos="536"/>
              </w:tabs>
              <w:ind w:left="536" w:hanging="776"/>
              <w:rPr>
                <w:spacing w:val="-1"/>
              </w:rPr>
            </w:pPr>
            <w:r>
              <w:tab/>
              <w:t>(2)</w:t>
            </w:r>
            <w:r>
              <w:tab/>
              <w:t>For each kilolitre of water supplied to a discrete residential unit as determined under by</w:t>
            </w:r>
            <w:r>
              <w:noBreakHyphen/>
              <w:t>law 16 that is not in the metropolitan area, according to the residential classification of the town/area set out in Schedule 10 —</w:t>
            </w:r>
          </w:p>
        </w:tc>
        <w:tc>
          <w:tcPr>
            <w:tcW w:w="1292" w:type="dxa"/>
          </w:tcPr>
          <w:p>
            <w:pPr>
              <w:pStyle w:val="yTableNAm"/>
            </w:pPr>
          </w:p>
        </w:tc>
      </w:tr>
    </w:tbl>
    <w:p>
      <w:pPr>
        <w:rPr>
          <w:sz w:val="18"/>
        </w:rPr>
      </w:pPr>
    </w:p>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cantSplit/>
          <w:tblHeader/>
        </w:trPr>
        <w:tc>
          <w:tcPr>
            <w:tcW w:w="1417" w:type="dxa"/>
            <w:tcBorders>
              <w:top w:val="single" w:sz="4" w:space="0" w:color="auto"/>
              <w:bottom w:val="single" w:sz="4" w:space="0" w:color="auto"/>
            </w:tcBorders>
          </w:tcPr>
          <w:p>
            <w:pPr>
              <w:pStyle w:val="yTableNAm"/>
              <w:rPr>
                <w:b/>
                <w:bCs/>
              </w:rPr>
            </w:pPr>
            <w:r>
              <w:rPr>
                <w:b/>
                <w:bCs/>
              </w:rPr>
              <w:br w:type="page"/>
              <w:t>Consumption (kL)</w:t>
            </w:r>
          </w:p>
        </w:tc>
        <w:tc>
          <w:tcPr>
            <w:tcW w:w="992" w:type="dxa"/>
            <w:tcBorders>
              <w:top w:val="single" w:sz="4" w:space="0" w:color="auto"/>
              <w:bottom w:val="single" w:sz="4" w:space="0" w:color="auto"/>
            </w:tcBorders>
          </w:tcPr>
          <w:p>
            <w:pPr>
              <w:pStyle w:val="yTableNAm"/>
              <w:tabs>
                <w:tab w:val="clear" w:pos="567"/>
                <w:tab w:val="decimal" w:pos="529"/>
              </w:tabs>
              <w:jc w:val="center"/>
              <w:rPr>
                <w:b/>
                <w:bCs/>
              </w:rPr>
            </w:pPr>
            <w:r>
              <w:rPr>
                <w:b/>
                <w:bCs/>
              </w:rPr>
              <w:t>Class 1 (c/kL)</w:t>
            </w:r>
          </w:p>
        </w:tc>
        <w:tc>
          <w:tcPr>
            <w:tcW w:w="992" w:type="dxa"/>
            <w:tcBorders>
              <w:top w:val="single" w:sz="4" w:space="0" w:color="auto"/>
              <w:bottom w:val="single" w:sz="4" w:space="0" w:color="auto"/>
            </w:tcBorders>
          </w:tcPr>
          <w:p>
            <w:pPr>
              <w:pStyle w:val="yTableNAm"/>
              <w:tabs>
                <w:tab w:val="clear" w:pos="567"/>
                <w:tab w:val="decimal" w:pos="409"/>
              </w:tabs>
              <w:ind w:right="79"/>
              <w:jc w:val="center"/>
              <w:rPr>
                <w:b/>
                <w:bCs/>
              </w:rPr>
            </w:pPr>
            <w:r>
              <w:rPr>
                <w:b/>
                <w:bCs/>
              </w:rPr>
              <w:t>Class 2 (c/kL)</w:t>
            </w:r>
          </w:p>
        </w:tc>
        <w:tc>
          <w:tcPr>
            <w:tcW w:w="992" w:type="dxa"/>
            <w:tcBorders>
              <w:top w:val="single" w:sz="4" w:space="0" w:color="auto"/>
              <w:bottom w:val="single" w:sz="4" w:space="0" w:color="auto"/>
            </w:tcBorders>
          </w:tcPr>
          <w:p>
            <w:pPr>
              <w:pStyle w:val="yTableNAm"/>
              <w:tabs>
                <w:tab w:val="clear" w:pos="567"/>
                <w:tab w:val="decimal" w:pos="409"/>
              </w:tabs>
              <w:ind w:right="111"/>
              <w:jc w:val="center"/>
              <w:rPr>
                <w:b/>
                <w:bCs/>
              </w:rPr>
            </w:pPr>
            <w:r>
              <w:rPr>
                <w:b/>
                <w:bCs/>
              </w:rPr>
              <w:t>Class 3 (c/kL)</w:t>
            </w:r>
          </w:p>
        </w:tc>
        <w:tc>
          <w:tcPr>
            <w:tcW w:w="992" w:type="dxa"/>
            <w:tcBorders>
              <w:top w:val="single" w:sz="4" w:space="0" w:color="auto"/>
              <w:bottom w:val="single" w:sz="4" w:space="0" w:color="auto"/>
            </w:tcBorders>
          </w:tcPr>
          <w:p>
            <w:pPr>
              <w:pStyle w:val="yTableNAm"/>
              <w:tabs>
                <w:tab w:val="clear" w:pos="567"/>
                <w:tab w:val="decimal" w:pos="409"/>
              </w:tabs>
              <w:ind w:right="143"/>
              <w:jc w:val="center"/>
              <w:rPr>
                <w:b/>
                <w:bCs/>
              </w:rPr>
            </w:pPr>
            <w:r>
              <w:rPr>
                <w:b/>
                <w:bCs/>
              </w:rPr>
              <w:t>Class 4 (c/kL)</w:t>
            </w:r>
          </w:p>
        </w:tc>
        <w:tc>
          <w:tcPr>
            <w:tcW w:w="993" w:type="dxa"/>
            <w:tcBorders>
              <w:top w:val="single" w:sz="4" w:space="0" w:color="auto"/>
              <w:bottom w:val="single" w:sz="4" w:space="0" w:color="auto"/>
            </w:tcBorders>
          </w:tcPr>
          <w:p>
            <w:pPr>
              <w:pStyle w:val="yTableNAm"/>
              <w:tabs>
                <w:tab w:val="clear" w:pos="567"/>
                <w:tab w:val="decimal" w:pos="409"/>
              </w:tabs>
              <w:ind w:right="117"/>
              <w:jc w:val="center"/>
              <w:rPr>
                <w:b/>
                <w:bCs/>
              </w:rPr>
            </w:pPr>
            <w:r>
              <w:rPr>
                <w:b/>
                <w:bCs/>
              </w:rPr>
              <w:t>Class 5 (c/kL)</w:t>
            </w:r>
          </w:p>
        </w:tc>
      </w:tr>
      <w:tr>
        <w:trPr>
          <w:cantSplit/>
        </w:trPr>
        <w:tc>
          <w:tcPr>
            <w:tcW w:w="1417" w:type="dxa"/>
          </w:tcPr>
          <w:p>
            <w:pPr>
              <w:pStyle w:val="yTableNAm"/>
            </w:pPr>
            <w:r>
              <w:t>Up to 150</w:t>
            </w:r>
          </w:p>
        </w:tc>
        <w:tc>
          <w:tcPr>
            <w:tcW w:w="992" w:type="dxa"/>
          </w:tcPr>
          <w:p>
            <w:pPr>
              <w:pStyle w:val="yTableNAm"/>
              <w:tabs>
                <w:tab w:val="clear" w:pos="567"/>
                <w:tab w:val="decimal" w:pos="409"/>
              </w:tabs>
              <w:ind w:right="116"/>
            </w:pPr>
            <w:r>
              <w:t>42.4</w:t>
            </w:r>
          </w:p>
        </w:tc>
        <w:tc>
          <w:tcPr>
            <w:tcW w:w="992" w:type="dxa"/>
          </w:tcPr>
          <w:p>
            <w:pPr>
              <w:pStyle w:val="yTableNAm"/>
              <w:tabs>
                <w:tab w:val="clear" w:pos="567"/>
                <w:tab w:val="decimal" w:pos="409"/>
              </w:tabs>
              <w:ind w:right="116"/>
            </w:pPr>
            <w:r>
              <w:t>49.1</w:t>
            </w:r>
          </w:p>
        </w:tc>
        <w:tc>
          <w:tcPr>
            <w:tcW w:w="992" w:type="dxa"/>
          </w:tcPr>
          <w:p>
            <w:pPr>
              <w:pStyle w:val="yTableNAm"/>
              <w:tabs>
                <w:tab w:val="clear" w:pos="567"/>
                <w:tab w:val="decimal" w:pos="409"/>
              </w:tabs>
              <w:ind w:right="116"/>
            </w:pPr>
            <w:r>
              <w:t>49.1</w:t>
            </w:r>
          </w:p>
        </w:tc>
        <w:tc>
          <w:tcPr>
            <w:tcW w:w="992" w:type="dxa"/>
          </w:tcPr>
          <w:p>
            <w:pPr>
              <w:pStyle w:val="yTableNAm"/>
              <w:tabs>
                <w:tab w:val="clear" w:pos="567"/>
                <w:tab w:val="decimal" w:pos="409"/>
              </w:tabs>
              <w:ind w:right="116"/>
            </w:pPr>
            <w:r>
              <w:t>49.1</w:t>
            </w:r>
          </w:p>
        </w:tc>
        <w:tc>
          <w:tcPr>
            <w:tcW w:w="993" w:type="dxa"/>
          </w:tcPr>
          <w:p>
            <w:pPr>
              <w:pStyle w:val="yTableNAm"/>
              <w:tabs>
                <w:tab w:val="clear" w:pos="567"/>
                <w:tab w:val="decimal" w:pos="409"/>
              </w:tabs>
              <w:ind w:right="116"/>
            </w:pPr>
            <w:r>
              <w:t>49.1</w:t>
            </w:r>
          </w:p>
        </w:tc>
      </w:tr>
      <w:tr>
        <w:trPr>
          <w:cantSplit/>
        </w:trPr>
        <w:tc>
          <w:tcPr>
            <w:tcW w:w="1417" w:type="dxa"/>
          </w:tcPr>
          <w:p>
            <w:pPr>
              <w:pStyle w:val="yTableNAm"/>
            </w:pPr>
            <w:r>
              <w:t>Over 150 but not over 300</w:t>
            </w:r>
          </w:p>
        </w:tc>
        <w:tc>
          <w:tcPr>
            <w:tcW w:w="992" w:type="dxa"/>
          </w:tcPr>
          <w:p>
            <w:pPr>
              <w:pStyle w:val="yTableNAm"/>
              <w:tabs>
                <w:tab w:val="clear" w:pos="567"/>
                <w:tab w:val="decimal" w:pos="409"/>
              </w:tabs>
              <w:ind w:right="116"/>
            </w:pPr>
            <w:r>
              <w:br/>
              <w:t>53.0</w:t>
            </w:r>
          </w:p>
        </w:tc>
        <w:tc>
          <w:tcPr>
            <w:tcW w:w="992" w:type="dxa"/>
          </w:tcPr>
          <w:p>
            <w:pPr>
              <w:pStyle w:val="yTableNAm"/>
              <w:tabs>
                <w:tab w:val="clear" w:pos="567"/>
                <w:tab w:val="decimal" w:pos="409"/>
              </w:tabs>
              <w:ind w:right="116"/>
            </w:pPr>
            <w:r>
              <w:br/>
              <w:t>61.9</w:t>
            </w:r>
          </w:p>
        </w:tc>
        <w:tc>
          <w:tcPr>
            <w:tcW w:w="992" w:type="dxa"/>
          </w:tcPr>
          <w:p>
            <w:pPr>
              <w:pStyle w:val="yTableNAm"/>
              <w:tabs>
                <w:tab w:val="clear" w:pos="567"/>
                <w:tab w:val="decimal" w:pos="409"/>
              </w:tabs>
              <w:ind w:right="116"/>
            </w:pPr>
            <w:r>
              <w:br/>
              <w:t>61.9</w:t>
            </w:r>
          </w:p>
        </w:tc>
        <w:tc>
          <w:tcPr>
            <w:tcW w:w="992" w:type="dxa"/>
          </w:tcPr>
          <w:p>
            <w:pPr>
              <w:pStyle w:val="yTableNAm"/>
              <w:tabs>
                <w:tab w:val="clear" w:pos="567"/>
                <w:tab w:val="decimal" w:pos="409"/>
              </w:tabs>
              <w:ind w:right="116"/>
            </w:pPr>
            <w:r>
              <w:br/>
              <w:t>61.9</w:t>
            </w:r>
          </w:p>
        </w:tc>
        <w:tc>
          <w:tcPr>
            <w:tcW w:w="993" w:type="dxa"/>
          </w:tcPr>
          <w:p>
            <w:pPr>
              <w:pStyle w:val="yTableNAm"/>
              <w:tabs>
                <w:tab w:val="clear" w:pos="567"/>
                <w:tab w:val="decimal" w:pos="409"/>
              </w:tabs>
              <w:ind w:right="116"/>
            </w:pPr>
            <w:r>
              <w:br/>
              <w:t>61.9</w:t>
            </w:r>
          </w:p>
        </w:tc>
      </w:tr>
      <w:tr>
        <w:trPr>
          <w:cantSplit/>
        </w:trPr>
        <w:tc>
          <w:tcPr>
            <w:tcW w:w="1417" w:type="dxa"/>
          </w:tcPr>
          <w:p>
            <w:pPr>
              <w:pStyle w:val="yTableNAm"/>
            </w:pPr>
            <w:r>
              <w:t>Over 300 but not over 350</w:t>
            </w:r>
          </w:p>
        </w:tc>
        <w:tc>
          <w:tcPr>
            <w:tcW w:w="992" w:type="dxa"/>
          </w:tcPr>
          <w:p>
            <w:pPr>
              <w:pStyle w:val="yTableNAm"/>
              <w:tabs>
                <w:tab w:val="clear" w:pos="567"/>
                <w:tab w:val="decimal" w:pos="409"/>
              </w:tabs>
              <w:ind w:right="116"/>
            </w:pPr>
            <w:r>
              <w:br/>
              <w:t>53.0</w:t>
            </w:r>
          </w:p>
        </w:tc>
        <w:tc>
          <w:tcPr>
            <w:tcW w:w="992" w:type="dxa"/>
          </w:tcPr>
          <w:p>
            <w:pPr>
              <w:pStyle w:val="yTableNAm"/>
              <w:tabs>
                <w:tab w:val="clear" w:pos="567"/>
                <w:tab w:val="decimal" w:pos="409"/>
              </w:tabs>
              <w:ind w:right="116"/>
            </w:pPr>
            <w:r>
              <w:br/>
              <w:t>67.4</w:t>
            </w:r>
          </w:p>
        </w:tc>
        <w:tc>
          <w:tcPr>
            <w:tcW w:w="992" w:type="dxa"/>
          </w:tcPr>
          <w:p>
            <w:pPr>
              <w:pStyle w:val="yTableNAm"/>
              <w:tabs>
                <w:tab w:val="clear" w:pos="567"/>
                <w:tab w:val="decimal" w:pos="409"/>
              </w:tabs>
              <w:ind w:right="116"/>
            </w:pPr>
            <w:r>
              <w:br/>
              <w:t>78.4</w:t>
            </w:r>
          </w:p>
        </w:tc>
        <w:tc>
          <w:tcPr>
            <w:tcW w:w="992" w:type="dxa"/>
          </w:tcPr>
          <w:p>
            <w:pPr>
              <w:pStyle w:val="yTableNAm"/>
              <w:tabs>
                <w:tab w:val="clear" w:pos="567"/>
                <w:tab w:val="decimal" w:pos="409"/>
              </w:tabs>
              <w:ind w:right="116"/>
            </w:pPr>
            <w:r>
              <w:br/>
              <w:t>90.3</w:t>
            </w:r>
          </w:p>
        </w:tc>
        <w:tc>
          <w:tcPr>
            <w:tcW w:w="993" w:type="dxa"/>
          </w:tcPr>
          <w:p>
            <w:pPr>
              <w:pStyle w:val="yTableNAm"/>
              <w:tabs>
                <w:tab w:val="clear" w:pos="567"/>
                <w:tab w:val="decimal" w:pos="409"/>
              </w:tabs>
              <w:ind w:right="116"/>
            </w:pPr>
            <w:r>
              <w:br/>
              <w:t>101.4</w:t>
            </w:r>
          </w:p>
        </w:tc>
      </w:tr>
      <w:tr>
        <w:trPr>
          <w:cantSplit/>
        </w:trPr>
        <w:tc>
          <w:tcPr>
            <w:tcW w:w="1417" w:type="dxa"/>
          </w:tcPr>
          <w:p>
            <w:pPr>
              <w:pStyle w:val="yTableNAm"/>
            </w:pPr>
            <w:r>
              <w:t>Over 350 but not over 400</w:t>
            </w:r>
          </w:p>
        </w:tc>
        <w:tc>
          <w:tcPr>
            <w:tcW w:w="992" w:type="dxa"/>
          </w:tcPr>
          <w:p>
            <w:pPr>
              <w:pStyle w:val="yTableNAm"/>
              <w:tabs>
                <w:tab w:val="clear" w:pos="567"/>
                <w:tab w:val="decimal" w:pos="409"/>
              </w:tabs>
              <w:ind w:right="116"/>
            </w:pPr>
            <w:r>
              <w:br/>
              <w:t>56.3</w:t>
            </w:r>
          </w:p>
        </w:tc>
        <w:tc>
          <w:tcPr>
            <w:tcW w:w="992" w:type="dxa"/>
          </w:tcPr>
          <w:p>
            <w:pPr>
              <w:pStyle w:val="yTableNAm"/>
              <w:tabs>
                <w:tab w:val="clear" w:pos="567"/>
                <w:tab w:val="decimal" w:pos="409"/>
              </w:tabs>
              <w:ind w:right="116"/>
            </w:pPr>
            <w:r>
              <w:br/>
              <w:t>71.2</w:t>
            </w:r>
          </w:p>
        </w:tc>
        <w:tc>
          <w:tcPr>
            <w:tcW w:w="992" w:type="dxa"/>
          </w:tcPr>
          <w:p>
            <w:pPr>
              <w:pStyle w:val="yTableNAm"/>
              <w:tabs>
                <w:tab w:val="clear" w:pos="567"/>
                <w:tab w:val="decimal" w:pos="409"/>
              </w:tabs>
              <w:ind w:right="116"/>
            </w:pPr>
            <w:r>
              <w:br/>
              <w:t>82.3</w:t>
            </w:r>
          </w:p>
        </w:tc>
        <w:tc>
          <w:tcPr>
            <w:tcW w:w="992" w:type="dxa"/>
          </w:tcPr>
          <w:p>
            <w:pPr>
              <w:pStyle w:val="yTableNAm"/>
              <w:tabs>
                <w:tab w:val="clear" w:pos="567"/>
                <w:tab w:val="decimal" w:pos="409"/>
              </w:tabs>
              <w:ind w:right="116"/>
            </w:pPr>
            <w:r>
              <w:br/>
              <w:t>94.1</w:t>
            </w:r>
          </w:p>
        </w:tc>
        <w:tc>
          <w:tcPr>
            <w:tcW w:w="993" w:type="dxa"/>
          </w:tcPr>
          <w:p>
            <w:pPr>
              <w:pStyle w:val="yTableNAm"/>
              <w:tabs>
                <w:tab w:val="clear" w:pos="567"/>
                <w:tab w:val="decimal" w:pos="409"/>
              </w:tabs>
              <w:ind w:right="116"/>
            </w:pPr>
            <w:r>
              <w:br/>
              <w:t>105.3</w:t>
            </w:r>
          </w:p>
        </w:tc>
      </w:tr>
      <w:tr>
        <w:trPr>
          <w:cantSplit/>
        </w:trPr>
        <w:tc>
          <w:tcPr>
            <w:tcW w:w="1417" w:type="dxa"/>
          </w:tcPr>
          <w:p>
            <w:pPr>
              <w:pStyle w:val="yTableNAm"/>
            </w:pPr>
            <w:r>
              <w:t>Over 400 but not over 450</w:t>
            </w:r>
          </w:p>
        </w:tc>
        <w:tc>
          <w:tcPr>
            <w:tcW w:w="992" w:type="dxa"/>
          </w:tcPr>
          <w:p>
            <w:pPr>
              <w:pStyle w:val="yTableNAm"/>
              <w:tabs>
                <w:tab w:val="clear" w:pos="567"/>
                <w:tab w:val="decimal" w:pos="409"/>
              </w:tabs>
              <w:ind w:right="116"/>
            </w:pPr>
            <w:r>
              <w:br/>
              <w:t>112.6</w:t>
            </w:r>
          </w:p>
        </w:tc>
        <w:tc>
          <w:tcPr>
            <w:tcW w:w="992" w:type="dxa"/>
          </w:tcPr>
          <w:p>
            <w:pPr>
              <w:pStyle w:val="yTableNAm"/>
              <w:tabs>
                <w:tab w:val="clear" w:pos="567"/>
                <w:tab w:val="decimal" w:pos="409"/>
              </w:tabs>
              <w:ind w:right="116"/>
            </w:pPr>
            <w:r>
              <w:br/>
              <w:t>142.4</w:t>
            </w:r>
          </w:p>
        </w:tc>
        <w:tc>
          <w:tcPr>
            <w:tcW w:w="992" w:type="dxa"/>
          </w:tcPr>
          <w:p>
            <w:pPr>
              <w:pStyle w:val="yTableNAm"/>
              <w:tabs>
                <w:tab w:val="clear" w:pos="567"/>
                <w:tab w:val="decimal" w:pos="409"/>
              </w:tabs>
              <w:ind w:right="116"/>
            </w:pPr>
            <w:r>
              <w:br/>
              <w:t>164.5</w:t>
            </w:r>
          </w:p>
        </w:tc>
        <w:tc>
          <w:tcPr>
            <w:tcW w:w="992" w:type="dxa"/>
          </w:tcPr>
          <w:p>
            <w:pPr>
              <w:pStyle w:val="yTableNAm"/>
              <w:tabs>
                <w:tab w:val="clear" w:pos="567"/>
                <w:tab w:val="decimal" w:pos="409"/>
              </w:tabs>
              <w:ind w:right="116"/>
            </w:pPr>
            <w:r>
              <w:br/>
              <w:t>188.2</w:t>
            </w:r>
          </w:p>
        </w:tc>
        <w:tc>
          <w:tcPr>
            <w:tcW w:w="993" w:type="dxa"/>
          </w:tcPr>
          <w:p>
            <w:pPr>
              <w:pStyle w:val="yTableNAm"/>
              <w:tabs>
                <w:tab w:val="clear" w:pos="567"/>
                <w:tab w:val="decimal" w:pos="409"/>
              </w:tabs>
              <w:ind w:right="116"/>
            </w:pPr>
            <w:r>
              <w:br/>
              <w:t>210.6</w:t>
            </w:r>
          </w:p>
        </w:tc>
      </w:tr>
      <w:tr>
        <w:trPr>
          <w:cantSplit/>
        </w:trPr>
        <w:tc>
          <w:tcPr>
            <w:tcW w:w="1417" w:type="dxa"/>
          </w:tcPr>
          <w:p>
            <w:pPr>
              <w:pStyle w:val="yTableNAm"/>
            </w:pPr>
            <w:r>
              <w:t>Over 450 but not over 550</w:t>
            </w:r>
          </w:p>
        </w:tc>
        <w:tc>
          <w:tcPr>
            <w:tcW w:w="992" w:type="dxa"/>
          </w:tcPr>
          <w:p>
            <w:pPr>
              <w:pStyle w:val="yTableNAm"/>
              <w:tabs>
                <w:tab w:val="clear" w:pos="567"/>
                <w:tab w:val="decimal" w:pos="409"/>
              </w:tabs>
              <w:ind w:right="116"/>
            </w:pPr>
            <w:r>
              <w:br/>
              <w:t>112.6</w:t>
            </w:r>
          </w:p>
        </w:tc>
        <w:tc>
          <w:tcPr>
            <w:tcW w:w="992" w:type="dxa"/>
          </w:tcPr>
          <w:p>
            <w:pPr>
              <w:pStyle w:val="yTableNAm"/>
              <w:tabs>
                <w:tab w:val="clear" w:pos="567"/>
                <w:tab w:val="decimal" w:pos="409"/>
              </w:tabs>
              <w:ind w:right="116"/>
            </w:pPr>
            <w:r>
              <w:br/>
              <w:t>154.0</w:t>
            </w:r>
          </w:p>
        </w:tc>
        <w:tc>
          <w:tcPr>
            <w:tcW w:w="992" w:type="dxa"/>
          </w:tcPr>
          <w:p>
            <w:pPr>
              <w:pStyle w:val="yTableNAm"/>
              <w:tabs>
                <w:tab w:val="clear" w:pos="567"/>
                <w:tab w:val="decimal" w:pos="409"/>
              </w:tabs>
              <w:ind w:right="116"/>
            </w:pPr>
            <w:r>
              <w:br/>
              <w:t>181.2</w:t>
            </w:r>
          </w:p>
        </w:tc>
        <w:tc>
          <w:tcPr>
            <w:tcW w:w="992" w:type="dxa"/>
          </w:tcPr>
          <w:p>
            <w:pPr>
              <w:pStyle w:val="yTableNAm"/>
              <w:tabs>
                <w:tab w:val="clear" w:pos="567"/>
                <w:tab w:val="decimal" w:pos="409"/>
              </w:tabs>
              <w:ind w:right="116"/>
            </w:pPr>
            <w:r>
              <w:br/>
              <w:t>210.1</w:t>
            </w:r>
          </w:p>
        </w:tc>
        <w:tc>
          <w:tcPr>
            <w:tcW w:w="993" w:type="dxa"/>
          </w:tcPr>
          <w:p>
            <w:pPr>
              <w:pStyle w:val="yTableNAm"/>
              <w:tabs>
                <w:tab w:val="clear" w:pos="567"/>
                <w:tab w:val="decimal" w:pos="409"/>
              </w:tabs>
              <w:ind w:right="116"/>
            </w:pPr>
            <w:r>
              <w:br/>
              <w:t>234.2</w:t>
            </w:r>
          </w:p>
        </w:tc>
      </w:tr>
      <w:tr>
        <w:trPr>
          <w:cantSplit/>
        </w:trPr>
        <w:tc>
          <w:tcPr>
            <w:tcW w:w="1417" w:type="dxa"/>
          </w:tcPr>
          <w:p>
            <w:pPr>
              <w:pStyle w:val="yTableNAm"/>
            </w:pPr>
            <w:r>
              <w:t>Over 550 but not over 750</w:t>
            </w:r>
          </w:p>
        </w:tc>
        <w:tc>
          <w:tcPr>
            <w:tcW w:w="992" w:type="dxa"/>
          </w:tcPr>
          <w:p>
            <w:pPr>
              <w:pStyle w:val="yTableNAm"/>
              <w:tabs>
                <w:tab w:val="clear" w:pos="567"/>
                <w:tab w:val="decimal" w:pos="409"/>
              </w:tabs>
              <w:ind w:right="116"/>
            </w:pPr>
            <w:r>
              <w:br/>
              <w:t>158.9</w:t>
            </w:r>
          </w:p>
        </w:tc>
        <w:tc>
          <w:tcPr>
            <w:tcW w:w="992" w:type="dxa"/>
          </w:tcPr>
          <w:p>
            <w:pPr>
              <w:pStyle w:val="yTableNAm"/>
              <w:tabs>
                <w:tab w:val="clear" w:pos="567"/>
                <w:tab w:val="decimal" w:pos="409"/>
              </w:tabs>
              <w:ind w:right="116"/>
            </w:pPr>
            <w:r>
              <w:br/>
              <w:t>200.8</w:t>
            </w:r>
          </w:p>
        </w:tc>
        <w:tc>
          <w:tcPr>
            <w:tcW w:w="992" w:type="dxa"/>
          </w:tcPr>
          <w:p>
            <w:pPr>
              <w:pStyle w:val="yTableNAm"/>
              <w:tabs>
                <w:tab w:val="clear" w:pos="567"/>
                <w:tab w:val="decimal" w:pos="409"/>
              </w:tabs>
              <w:ind w:right="116"/>
            </w:pPr>
            <w:r>
              <w:br/>
              <w:t>248.5</w:t>
            </w:r>
          </w:p>
        </w:tc>
        <w:tc>
          <w:tcPr>
            <w:tcW w:w="992" w:type="dxa"/>
          </w:tcPr>
          <w:p>
            <w:pPr>
              <w:pStyle w:val="yTableNAm"/>
              <w:tabs>
                <w:tab w:val="clear" w:pos="567"/>
                <w:tab w:val="decimal" w:pos="409"/>
              </w:tabs>
              <w:ind w:right="116"/>
            </w:pPr>
            <w:r>
              <w:br/>
              <w:t>317.3</w:t>
            </w:r>
          </w:p>
        </w:tc>
        <w:tc>
          <w:tcPr>
            <w:tcW w:w="993" w:type="dxa"/>
          </w:tcPr>
          <w:p>
            <w:pPr>
              <w:pStyle w:val="yTableNAm"/>
              <w:tabs>
                <w:tab w:val="clear" w:pos="567"/>
                <w:tab w:val="decimal" w:pos="409"/>
              </w:tabs>
              <w:ind w:right="116"/>
            </w:pPr>
            <w:r>
              <w:br/>
              <w:t>389.1</w:t>
            </w:r>
          </w:p>
        </w:tc>
      </w:tr>
      <w:tr>
        <w:trPr>
          <w:cantSplit/>
        </w:trPr>
        <w:tc>
          <w:tcPr>
            <w:tcW w:w="1417" w:type="dxa"/>
          </w:tcPr>
          <w:p>
            <w:pPr>
              <w:pStyle w:val="yTableNAm"/>
            </w:pPr>
            <w:r>
              <w:t>Over 750 but not over 950</w:t>
            </w:r>
          </w:p>
        </w:tc>
        <w:tc>
          <w:tcPr>
            <w:tcW w:w="992" w:type="dxa"/>
          </w:tcPr>
          <w:p>
            <w:pPr>
              <w:pStyle w:val="yTableNAm"/>
              <w:tabs>
                <w:tab w:val="clear" w:pos="567"/>
                <w:tab w:val="decimal" w:pos="409"/>
              </w:tabs>
              <w:ind w:right="116"/>
            </w:pPr>
            <w:r>
              <w:br/>
              <w:t>174.1</w:t>
            </w:r>
          </w:p>
        </w:tc>
        <w:tc>
          <w:tcPr>
            <w:tcW w:w="992" w:type="dxa"/>
          </w:tcPr>
          <w:p>
            <w:pPr>
              <w:pStyle w:val="yTableNAm"/>
              <w:tabs>
                <w:tab w:val="clear" w:pos="567"/>
                <w:tab w:val="decimal" w:pos="409"/>
              </w:tabs>
              <w:ind w:right="116"/>
            </w:pPr>
            <w:r>
              <w:br/>
              <w:t>238.7</w:t>
            </w:r>
          </w:p>
        </w:tc>
        <w:tc>
          <w:tcPr>
            <w:tcW w:w="992" w:type="dxa"/>
          </w:tcPr>
          <w:p>
            <w:pPr>
              <w:pStyle w:val="yTableNAm"/>
              <w:tabs>
                <w:tab w:val="clear" w:pos="567"/>
                <w:tab w:val="decimal" w:pos="409"/>
              </w:tabs>
              <w:ind w:right="116"/>
            </w:pPr>
            <w:r>
              <w:br/>
              <w:t>288.6</w:t>
            </w:r>
          </w:p>
        </w:tc>
        <w:tc>
          <w:tcPr>
            <w:tcW w:w="992" w:type="dxa"/>
          </w:tcPr>
          <w:p>
            <w:pPr>
              <w:pStyle w:val="yTableNAm"/>
              <w:tabs>
                <w:tab w:val="clear" w:pos="567"/>
                <w:tab w:val="decimal" w:pos="409"/>
              </w:tabs>
              <w:ind w:right="116"/>
            </w:pPr>
            <w:r>
              <w:br/>
              <w:t>365.1</w:t>
            </w:r>
          </w:p>
        </w:tc>
        <w:tc>
          <w:tcPr>
            <w:tcW w:w="993" w:type="dxa"/>
          </w:tcPr>
          <w:p>
            <w:pPr>
              <w:pStyle w:val="yTableNAm"/>
              <w:tabs>
                <w:tab w:val="clear" w:pos="567"/>
                <w:tab w:val="decimal" w:pos="409"/>
              </w:tabs>
              <w:ind w:right="116"/>
            </w:pPr>
            <w:r>
              <w:br/>
              <w:t>444.7</w:t>
            </w:r>
          </w:p>
        </w:tc>
      </w:tr>
      <w:tr>
        <w:trPr>
          <w:cantSplit/>
        </w:trPr>
        <w:tc>
          <w:tcPr>
            <w:tcW w:w="1417" w:type="dxa"/>
          </w:tcPr>
          <w:p>
            <w:pPr>
              <w:pStyle w:val="yTableNAm"/>
            </w:pPr>
            <w:r>
              <w:t>Over 950 but not over 1 150</w:t>
            </w:r>
          </w:p>
        </w:tc>
        <w:tc>
          <w:tcPr>
            <w:tcW w:w="992" w:type="dxa"/>
          </w:tcPr>
          <w:p>
            <w:pPr>
              <w:pStyle w:val="yTableNAm"/>
              <w:tabs>
                <w:tab w:val="clear" w:pos="567"/>
                <w:tab w:val="decimal" w:pos="409"/>
              </w:tabs>
              <w:ind w:right="116"/>
            </w:pPr>
            <w:r>
              <w:br/>
              <w:t>176.5</w:t>
            </w:r>
          </w:p>
        </w:tc>
        <w:tc>
          <w:tcPr>
            <w:tcW w:w="992" w:type="dxa"/>
          </w:tcPr>
          <w:p>
            <w:pPr>
              <w:pStyle w:val="yTableNAm"/>
              <w:tabs>
                <w:tab w:val="clear" w:pos="567"/>
                <w:tab w:val="decimal" w:pos="409"/>
              </w:tabs>
              <w:ind w:right="116"/>
            </w:pPr>
            <w:r>
              <w:br/>
              <w:t>250.7</w:t>
            </w:r>
          </w:p>
        </w:tc>
        <w:tc>
          <w:tcPr>
            <w:tcW w:w="992" w:type="dxa"/>
          </w:tcPr>
          <w:p>
            <w:pPr>
              <w:pStyle w:val="yTableNAm"/>
              <w:tabs>
                <w:tab w:val="clear" w:pos="567"/>
                <w:tab w:val="decimal" w:pos="409"/>
              </w:tabs>
              <w:ind w:right="116"/>
            </w:pPr>
            <w:r>
              <w:br/>
              <w:t>315.2</w:t>
            </w:r>
          </w:p>
        </w:tc>
        <w:tc>
          <w:tcPr>
            <w:tcW w:w="992" w:type="dxa"/>
          </w:tcPr>
          <w:p>
            <w:pPr>
              <w:pStyle w:val="yTableNAm"/>
              <w:tabs>
                <w:tab w:val="clear" w:pos="567"/>
                <w:tab w:val="decimal" w:pos="409"/>
              </w:tabs>
              <w:ind w:right="116"/>
            </w:pPr>
            <w:r>
              <w:br/>
              <w:t>400.7</w:t>
            </w:r>
          </w:p>
        </w:tc>
        <w:tc>
          <w:tcPr>
            <w:tcW w:w="993" w:type="dxa"/>
          </w:tcPr>
          <w:p>
            <w:pPr>
              <w:pStyle w:val="yTableNAm"/>
              <w:tabs>
                <w:tab w:val="clear" w:pos="567"/>
                <w:tab w:val="decimal" w:pos="409"/>
              </w:tabs>
              <w:ind w:right="116"/>
            </w:pPr>
            <w:r>
              <w:br/>
              <w:t>504.4</w:t>
            </w:r>
          </w:p>
        </w:tc>
      </w:tr>
      <w:tr>
        <w:trPr>
          <w:cantSplit/>
        </w:trPr>
        <w:tc>
          <w:tcPr>
            <w:tcW w:w="1417" w:type="dxa"/>
          </w:tcPr>
          <w:p>
            <w:pPr>
              <w:pStyle w:val="yTableNAm"/>
            </w:pPr>
            <w:r>
              <w:t>Over 1 150 but not over 1 550</w:t>
            </w:r>
          </w:p>
        </w:tc>
        <w:tc>
          <w:tcPr>
            <w:tcW w:w="992" w:type="dxa"/>
          </w:tcPr>
          <w:p>
            <w:pPr>
              <w:pStyle w:val="yTableNAm"/>
              <w:tabs>
                <w:tab w:val="clear" w:pos="567"/>
                <w:tab w:val="decimal" w:pos="409"/>
              </w:tabs>
              <w:ind w:right="116"/>
            </w:pPr>
            <w:r>
              <w:br/>
              <w:t>207.4</w:t>
            </w:r>
          </w:p>
        </w:tc>
        <w:tc>
          <w:tcPr>
            <w:tcW w:w="992" w:type="dxa"/>
          </w:tcPr>
          <w:p>
            <w:pPr>
              <w:pStyle w:val="yTableNAm"/>
              <w:tabs>
                <w:tab w:val="clear" w:pos="567"/>
                <w:tab w:val="decimal" w:pos="409"/>
              </w:tabs>
              <w:ind w:right="116"/>
            </w:pPr>
            <w:r>
              <w:br/>
              <w:t>294.9</w:t>
            </w:r>
          </w:p>
        </w:tc>
        <w:tc>
          <w:tcPr>
            <w:tcW w:w="992" w:type="dxa"/>
          </w:tcPr>
          <w:p>
            <w:pPr>
              <w:pStyle w:val="yTableNAm"/>
              <w:tabs>
                <w:tab w:val="clear" w:pos="567"/>
                <w:tab w:val="decimal" w:pos="409"/>
              </w:tabs>
              <w:ind w:right="116"/>
            </w:pPr>
            <w:r>
              <w:br/>
              <w:t>370.5</w:t>
            </w:r>
          </w:p>
        </w:tc>
        <w:tc>
          <w:tcPr>
            <w:tcW w:w="992" w:type="dxa"/>
          </w:tcPr>
          <w:p>
            <w:pPr>
              <w:pStyle w:val="yTableNAm"/>
              <w:tabs>
                <w:tab w:val="clear" w:pos="567"/>
                <w:tab w:val="decimal" w:pos="409"/>
              </w:tabs>
              <w:ind w:right="116"/>
            </w:pPr>
            <w:r>
              <w:br/>
              <w:t>500.3</w:t>
            </w:r>
          </w:p>
        </w:tc>
        <w:tc>
          <w:tcPr>
            <w:tcW w:w="993" w:type="dxa"/>
          </w:tcPr>
          <w:p>
            <w:pPr>
              <w:pStyle w:val="yTableNAm"/>
              <w:tabs>
                <w:tab w:val="clear" w:pos="567"/>
                <w:tab w:val="decimal" w:pos="409"/>
              </w:tabs>
              <w:ind w:right="116"/>
            </w:pPr>
            <w:r>
              <w:br/>
              <w:t>640.8</w:t>
            </w:r>
          </w:p>
        </w:tc>
      </w:tr>
      <w:tr>
        <w:trPr>
          <w:cantSplit/>
        </w:trPr>
        <w:tc>
          <w:tcPr>
            <w:tcW w:w="1417" w:type="dxa"/>
          </w:tcPr>
          <w:p>
            <w:pPr>
              <w:pStyle w:val="yTableNAm"/>
            </w:pPr>
            <w:r>
              <w:t>Over 1 550 but not over 1 950</w:t>
            </w:r>
          </w:p>
        </w:tc>
        <w:tc>
          <w:tcPr>
            <w:tcW w:w="992" w:type="dxa"/>
          </w:tcPr>
          <w:p>
            <w:pPr>
              <w:pStyle w:val="yTableNAm"/>
              <w:tabs>
                <w:tab w:val="clear" w:pos="567"/>
                <w:tab w:val="decimal" w:pos="409"/>
              </w:tabs>
              <w:ind w:right="116"/>
            </w:pPr>
            <w:r>
              <w:br/>
              <w:t>222.9</w:t>
            </w:r>
          </w:p>
        </w:tc>
        <w:tc>
          <w:tcPr>
            <w:tcW w:w="992" w:type="dxa"/>
          </w:tcPr>
          <w:p>
            <w:pPr>
              <w:pStyle w:val="yTableNAm"/>
              <w:tabs>
                <w:tab w:val="clear" w:pos="567"/>
                <w:tab w:val="decimal" w:pos="409"/>
              </w:tabs>
              <w:ind w:right="116"/>
            </w:pPr>
            <w:r>
              <w:br/>
              <w:t>328.0</w:t>
            </w:r>
          </w:p>
        </w:tc>
        <w:tc>
          <w:tcPr>
            <w:tcW w:w="992" w:type="dxa"/>
          </w:tcPr>
          <w:p>
            <w:pPr>
              <w:pStyle w:val="yTableNAm"/>
              <w:tabs>
                <w:tab w:val="clear" w:pos="567"/>
                <w:tab w:val="decimal" w:pos="409"/>
              </w:tabs>
              <w:ind w:right="116"/>
            </w:pPr>
            <w:r>
              <w:br/>
              <w:t>422.2</w:t>
            </w:r>
          </w:p>
        </w:tc>
        <w:tc>
          <w:tcPr>
            <w:tcW w:w="992" w:type="dxa"/>
          </w:tcPr>
          <w:p>
            <w:pPr>
              <w:pStyle w:val="yTableNAm"/>
              <w:tabs>
                <w:tab w:val="clear" w:pos="567"/>
                <w:tab w:val="decimal" w:pos="409"/>
              </w:tabs>
              <w:ind w:right="116"/>
            </w:pPr>
            <w:r>
              <w:br/>
              <w:t>544.6</w:t>
            </w:r>
          </w:p>
        </w:tc>
        <w:tc>
          <w:tcPr>
            <w:tcW w:w="993" w:type="dxa"/>
          </w:tcPr>
          <w:p>
            <w:pPr>
              <w:pStyle w:val="yTableNAm"/>
              <w:tabs>
                <w:tab w:val="clear" w:pos="567"/>
                <w:tab w:val="decimal" w:pos="409"/>
              </w:tabs>
              <w:ind w:right="116"/>
            </w:pPr>
            <w:r>
              <w:br/>
              <w:t>685.2</w:t>
            </w:r>
          </w:p>
        </w:tc>
      </w:tr>
      <w:tr>
        <w:trPr>
          <w:cantSplit/>
        </w:trPr>
        <w:tc>
          <w:tcPr>
            <w:tcW w:w="1417" w:type="dxa"/>
            <w:tcBorders>
              <w:bottom w:val="single" w:sz="4" w:space="0" w:color="auto"/>
            </w:tcBorders>
          </w:tcPr>
          <w:p>
            <w:pPr>
              <w:pStyle w:val="yTableNAm"/>
            </w:pPr>
            <w:r>
              <w:t>Over 1 950</w:t>
            </w:r>
          </w:p>
        </w:tc>
        <w:tc>
          <w:tcPr>
            <w:tcW w:w="992" w:type="dxa"/>
            <w:tcBorders>
              <w:bottom w:val="single" w:sz="4" w:space="0" w:color="auto"/>
            </w:tcBorders>
          </w:tcPr>
          <w:p>
            <w:pPr>
              <w:pStyle w:val="yTableNAm"/>
              <w:tabs>
                <w:tab w:val="clear" w:pos="567"/>
                <w:tab w:val="decimal" w:pos="409"/>
              </w:tabs>
              <w:ind w:right="116"/>
            </w:pPr>
            <w:r>
              <w:t>241.9</w:t>
            </w:r>
          </w:p>
        </w:tc>
        <w:tc>
          <w:tcPr>
            <w:tcW w:w="992" w:type="dxa"/>
            <w:tcBorders>
              <w:bottom w:val="single" w:sz="4" w:space="0" w:color="auto"/>
            </w:tcBorders>
          </w:tcPr>
          <w:p>
            <w:pPr>
              <w:pStyle w:val="yTableNAm"/>
              <w:tabs>
                <w:tab w:val="clear" w:pos="567"/>
                <w:tab w:val="decimal" w:pos="409"/>
              </w:tabs>
              <w:ind w:right="116"/>
            </w:pPr>
            <w:r>
              <w:t>376.1</w:t>
            </w:r>
          </w:p>
        </w:tc>
        <w:tc>
          <w:tcPr>
            <w:tcW w:w="992" w:type="dxa"/>
            <w:tcBorders>
              <w:bottom w:val="single" w:sz="4" w:space="0" w:color="auto"/>
            </w:tcBorders>
          </w:tcPr>
          <w:p>
            <w:pPr>
              <w:pStyle w:val="yTableNAm"/>
              <w:tabs>
                <w:tab w:val="clear" w:pos="567"/>
                <w:tab w:val="decimal" w:pos="409"/>
              </w:tabs>
              <w:ind w:right="116"/>
            </w:pPr>
            <w:r>
              <w:t>466.5</w:t>
            </w:r>
          </w:p>
        </w:tc>
        <w:tc>
          <w:tcPr>
            <w:tcW w:w="992" w:type="dxa"/>
            <w:tcBorders>
              <w:bottom w:val="single" w:sz="4" w:space="0" w:color="auto"/>
            </w:tcBorders>
          </w:tcPr>
          <w:p>
            <w:pPr>
              <w:pStyle w:val="yTableNAm"/>
              <w:tabs>
                <w:tab w:val="clear" w:pos="567"/>
                <w:tab w:val="decimal" w:pos="409"/>
              </w:tabs>
              <w:ind w:right="116"/>
            </w:pPr>
            <w:r>
              <w:t>588.8</w:t>
            </w:r>
          </w:p>
        </w:tc>
        <w:tc>
          <w:tcPr>
            <w:tcW w:w="993" w:type="dxa"/>
            <w:tcBorders>
              <w:bottom w:val="single" w:sz="4" w:space="0" w:color="auto"/>
            </w:tcBorders>
          </w:tcPr>
          <w:p>
            <w:pPr>
              <w:pStyle w:val="yTableNAm"/>
              <w:tabs>
                <w:tab w:val="clear" w:pos="567"/>
                <w:tab w:val="decimal" w:pos="409"/>
              </w:tabs>
              <w:ind w:right="116"/>
            </w:pPr>
            <w:r>
              <w:t>722.0</w:t>
            </w:r>
          </w:p>
        </w:tc>
      </w:tr>
    </w:tbl>
    <w:p>
      <w:pPr>
        <w:rPr>
          <w:sz w:val="18"/>
        </w:rPr>
      </w:pPr>
    </w:p>
    <w:tbl>
      <w:tblPr>
        <w:tblW w:w="0" w:type="auto"/>
        <w:tblInd w:w="534" w:type="dxa"/>
        <w:tblLook w:val="0000" w:firstRow="0" w:lastRow="0" w:firstColumn="0" w:lastColumn="0" w:noHBand="0" w:noVBand="0"/>
      </w:tblPr>
      <w:tblGrid>
        <w:gridCol w:w="850"/>
        <w:gridCol w:w="4237"/>
        <w:gridCol w:w="1291"/>
      </w:tblGrid>
      <w:tr>
        <w:trPr>
          <w:cantSplit/>
        </w:trPr>
        <w:tc>
          <w:tcPr>
            <w:tcW w:w="850" w:type="dxa"/>
          </w:tcPr>
          <w:p>
            <w:pPr>
              <w:pStyle w:val="zyTableNAm"/>
            </w:pPr>
          </w:p>
        </w:tc>
        <w:tc>
          <w:tcPr>
            <w:tcW w:w="4237" w:type="dxa"/>
          </w:tcPr>
          <w:p>
            <w:pPr>
              <w:pStyle w:val="zyTableNAm"/>
              <w:rPr>
                <w:spacing w:val="-1"/>
              </w:rPr>
            </w:pPr>
            <w:r>
              <w:t>except that if the property is —</w:t>
            </w:r>
          </w:p>
        </w:tc>
        <w:tc>
          <w:tcPr>
            <w:tcW w:w="1291" w:type="dxa"/>
          </w:tcPr>
          <w:p>
            <w:pPr>
              <w:pStyle w:val="zyTableNAm"/>
            </w:pPr>
          </w:p>
        </w:tc>
      </w:tr>
      <w:tr>
        <w:trPr>
          <w:cantSplit/>
        </w:trPr>
        <w:tc>
          <w:tcPr>
            <w:tcW w:w="850" w:type="dxa"/>
          </w:tcPr>
          <w:p>
            <w:pPr>
              <w:pStyle w:val="zyTableNAm"/>
            </w:pPr>
          </w:p>
        </w:tc>
        <w:tc>
          <w:tcPr>
            <w:tcW w:w="4237" w:type="dxa"/>
          </w:tcPr>
          <w:p>
            <w:pPr>
              <w:pStyle w:val="zyTableNAm"/>
              <w:tabs>
                <w:tab w:val="clear" w:pos="567"/>
                <w:tab w:val="left" w:pos="351"/>
                <w:tab w:val="left" w:pos="918"/>
              </w:tabs>
              <w:ind w:left="918" w:hanging="918"/>
              <w:rPr>
                <w:b/>
                <w:bCs/>
                <w:spacing w:val="-1"/>
              </w:rPr>
            </w:pPr>
            <w:r>
              <w:rPr>
                <w:snapToGrid w:val="0"/>
              </w:rPr>
              <w:tab/>
              <w:t>(a)</w:t>
            </w:r>
            <w:r>
              <w:rPr>
                <w:snapToGrid w:val="0"/>
              </w:rPr>
              <w:tab/>
              <w:t>in the town of Cue, Laverton, Leonora, Meekatharra, Menzies, Mt Magnet, Mullewa, Sandstone, Wiluna or Yalgoo; or</w:t>
            </w:r>
          </w:p>
        </w:tc>
        <w:tc>
          <w:tcPr>
            <w:tcW w:w="1291" w:type="dxa"/>
          </w:tcPr>
          <w:p>
            <w:pPr>
              <w:pStyle w:val="zyTableNAm"/>
              <w:rPr>
                <w:b/>
                <w:bCs/>
              </w:rPr>
            </w:pPr>
          </w:p>
        </w:tc>
      </w:tr>
      <w:tr>
        <w:trPr>
          <w:cantSplit/>
        </w:trPr>
        <w:tc>
          <w:tcPr>
            <w:tcW w:w="850" w:type="dxa"/>
          </w:tcPr>
          <w:p>
            <w:pPr>
              <w:pStyle w:val="zyTableNAm"/>
            </w:pPr>
          </w:p>
        </w:tc>
        <w:tc>
          <w:tcPr>
            <w:tcW w:w="4237" w:type="dxa"/>
          </w:tcPr>
          <w:p>
            <w:pPr>
              <w:pStyle w:val="zyTableNAm"/>
              <w:tabs>
                <w:tab w:val="clear" w:pos="567"/>
                <w:tab w:val="left" w:pos="351"/>
              </w:tabs>
              <w:ind w:left="918" w:hanging="918"/>
              <w:rPr>
                <w:spacing w:val="-1"/>
              </w:rPr>
            </w:pPr>
            <w:r>
              <w:rPr>
                <w:snapToGrid w:val="0"/>
              </w:rPr>
              <w:tab/>
              <w:t>(b)</w:t>
            </w:r>
            <w:r>
              <w:rPr>
                <w:snapToGrid w:val="0"/>
              </w:rPr>
              <w:tab/>
              <w:t>north of 26ºS Latitude,</w:t>
            </w:r>
          </w:p>
        </w:tc>
        <w:tc>
          <w:tcPr>
            <w:tcW w:w="1291" w:type="dxa"/>
          </w:tcPr>
          <w:p>
            <w:pPr>
              <w:pStyle w:val="zyTableNAm"/>
            </w:pPr>
          </w:p>
        </w:tc>
      </w:tr>
      <w:tr>
        <w:trPr>
          <w:cantSplit/>
        </w:trPr>
        <w:tc>
          <w:tcPr>
            <w:tcW w:w="850" w:type="dxa"/>
          </w:tcPr>
          <w:p>
            <w:pPr>
              <w:pStyle w:val="zyTableNAm"/>
            </w:pPr>
          </w:p>
        </w:tc>
        <w:tc>
          <w:tcPr>
            <w:tcW w:w="4237" w:type="dxa"/>
          </w:tcPr>
          <w:p>
            <w:pPr>
              <w:pStyle w:val="zyTableNAm"/>
              <w:rPr>
                <w:snapToGrid w:val="0"/>
              </w:rPr>
            </w:pPr>
            <w:r>
              <w:t>the charge for each kilolitre of water is —</w:t>
            </w:r>
          </w:p>
        </w:tc>
        <w:tc>
          <w:tcPr>
            <w:tcW w:w="1291" w:type="dxa"/>
          </w:tcPr>
          <w:p>
            <w:pPr>
              <w:pStyle w:val="zyTableNAm"/>
            </w:pPr>
          </w:p>
        </w:tc>
      </w:tr>
    </w:tbl>
    <w:p>
      <w:pPr>
        <w:rPr>
          <w:sz w:val="18"/>
        </w:rPr>
      </w:pPr>
    </w:p>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cantSplit/>
          <w:tblHeader/>
        </w:trPr>
        <w:tc>
          <w:tcPr>
            <w:tcW w:w="1417" w:type="dxa"/>
            <w:tcBorders>
              <w:top w:val="single" w:sz="4" w:space="0" w:color="auto"/>
              <w:bottom w:val="single" w:sz="4" w:space="0" w:color="auto"/>
            </w:tcBorders>
          </w:tcPr>
          <w:p>
            <w:pPr>
              <w:pStyle w:val="yTableNAm"/>
              <w:rPr>
                <w:b/>
                <w:bCs/>
              </w:rPr>
            </w:pPr>
            <w:r>
              <w:rPr>
                <w:b/>
                <w:bCs/>
              </w:rPr>
              <w:br w:type="page"/>
              <w:t>Consumption (kL)</w:t>
            </w:r>
          </w:p>
        </w:tc>
        <w:tc>
          <w:tcPr>
            <w:tcW w:w="992" w:type="dxa"/>
            <w:tcBorders>
              <w:top w:val="single" w:sz="4" w:space="0" w:color="auto"/>
              <w:bottom w:val="single" w:sz="4" w:space="0" w:color="auto"/>
            </w:tcBorders>
          </w:tcPr>
          <w:p>
            <w:pPr>
              <w:pStyle w:val="yTableNAm"/>
              <w:tabs>
                <w:tab w:val="clear" w:pos="567"/>
                <w:tab w:val="decimal" w:pos="409"/>
              </w:tabs>
              <w:ind w:right="116"/>
              <w:jc w:val="center"/>
              <w:rPr>
                <w:b/>
                <w:bCs/>
              </w:rPr>
            </w:pPr>
            <w:r>
              <w:rPr>
                <w:b/>
                <w:bCs/>
              </w:rPr>
              <w:t>Class 1 (c/kL)</w:t>
            </w:r>
          </w:p>
        </w:tc>
        <w:tc>
          <w:tcPr>
            <w:tcW w:w="992" w:type="dxa"/>
            <w:tcBorders>
              <w:top w:val="single" w:sz="4" w:space="0" w:color="auto"/>
              <w:bottom w:val="single" w:sz="4" w:space="0" w:color="auto"/>
            </w:tcBorders>
          </w:tcPr>
          <w:p>
            <w:pPr>
              <w:pStyle w:val="yTableNAm"/>
              <w:tabs>
                <w:tab w:val="clear" w:pos="567"/>
                <w:tab w:val="decimal" w:pos="497"/>
              </w:tabs>
              <w:ind w:right="79"/>
              <w:jc w:val="center"/>
              <w:rPr>
                <w:b/>
                <w:bCs/>
              </w:rPr>
            </w:pPr>
            <w:r>
              <w:rPr>
                <w:b/>
                <w:bCs/>
              </w:rPr>
              <w:t>Class 2 (c/kL)</w:t>
            </w:r>
          </w:p>
        </w:tc>
        <w:tc>
          <w:tcPr>
            <w:tcW w:w="992" w:type="dxa"/>
            <w:tcBorders>
              <w:top w:val="single" w:sz="4" w:space="0" w:color="auto"/>
              <w:bottom w:val="single" w:sz="4" w:space="0" w:color="auto"/>
            </w:tcBorders>
          </w:tcPr>
          <w:p>
            <w:pPr>
              <w:pStyle w:val="yTableNAm"/>
              <w:tabs>
                <w:tab w:val="clear" w:pos="567"/>
                <w:tab w:val="decimal" w:pos="465"/>
              </w:tabs>
              <w:ind w:right="111"/>
              <w:jc w:val="center"/>
              <w:rPr>
                <w:b/>
                <w:bCs/>
              </w:rPr>
            </w:pPr>
            <w:r>
              <w:rPr>
                <w:b/>
                <w:bCs/>
              </w:rPr>
              <w:t>Class 3 (c/kL)</w:t>
            </w:r>
          </w:p>
        </w:tc>
        <w:tc>
          <w:tcPr>
            <w:tcW w:w="992" w:type="dxa"/>
            <w:tcBorders>
              <w:top w:val="single" w:sz="4" w:space="0" w:color="auto"/>
              <w:bottom w:val="single" w:sz="4" w:space="0" w:color="auto"/>
            </w:tcBorders>
          </w:tcPr>
          <w:p>
            <w:pPr>
              <w:pStyle w:val="yTableNAm"/>
              <w:tabs>
                <w:tab w:val="clear" w:pos="567"/>
                <w:tab w:val="decimal" w:pos="433"/>
              </w:tabs>
              <w:ind w:right="116"/>
              <w:jc w:val="center"/>
              <w:rPr>
                <w:b/>
                <w:bCs/>
              </w:rPr>
            </w:pPr>
            <w:r>
              <w:rPr>
                <w:b/>
                <w:bCs/>
              </w:rPr>
              <w:t>Class 4 (c/kL)</w:t>
            </w:r>
          </w:p>
        </w:tc>
        <w:tc>
          <w:tcPr>
            <w:tcW w:w="993" w:type="dxa"/>
            <w:tcBorders>
              <w:top w:val="single" w:sz="4" w:space="0" w:color="auto"/>
              <w:bottom w:val="single" w:sz="4" w:space="0" w:color="auto"/>
            </w:tcBorders>
          </w:tcPr>
          <w:p>
            <w:pPr>
              <w:pStyle w:val="yTableNAm"/>
              <w:tabs>
                <w:tab w:val="clear" w:pos="567"/>
                <w:tab w:val="decimal" w:pos="521"/>
              </w:tabs>
              <w:ind w:right="117"/>
              <w:jc w:val="center"/>
              <w:rPr>
                <w:b/>
                <w:bCs/>
              </w:rPr>
            </w:pPr>
            <w:r>
              <w:rPr>
                <w:b/>
                <w:bCs/>
              </w:rPr>
              <w:t>Class 5 (c/kL)</w:t>
            </w:r>
          </w:p>
        </w:tc>
      </w:tr>
      <w:tr>
        <w:trPr>
          <w:cantSplit/>
        </w:trPr>
        <w:tc>
          <w:tcPr>
            <w:tcW w:w="1417" w:type="dxa"/>
          </w:tcPr>
          <w:p>
            <w:pPr>
              <w:pStyle w:val="yTableNAm"/>
            </w:pPr>
            <w:r>
              <w:t>Up to 150</w:t>
            </w:r>
          </w:p>
        </w:tc>
        <w:tc>
          <w:tcPr>
            <w:tcW w:w="992" w:type="dxa"/>
          </w:tcPr>
          <w:p>
            <w:pPr>
              <w:pStyle w:val="yTableNAm"/>
              <w:tabs>
                <w:tab w:val="clear" w:pos="567"/>
                <w:tab w:val="decimal" w:pos="409"/>
              </w:tabs>
              <w:ind w:right="116"/>
            </w:pPr>
            <w:r>
              <w:t>42.4</w:t>
            </w:r>
          </w:p>
        </w:tc>
        <w:tc>
          <w:tcPr>
            <w:tcW w:w="992" w:type="dxa"/>
          </w:tcPr>
          <w:p>
            <w:pPr>
              <w:pStyle w:val="yTableNAm"/>
              <w:tabs>
                <w:tab w:val="clear" w:pos="567"/>
                <w:tab w:val="decimal" w:pos="497"/>
              </w:tabs>
              <w:ind w:right="79"/>
            </w:pPr>
            <w:r>
              <w:t>49.1</w:t>
            </w:r>
          </w:p>
        </w:tc>
        <w:tc>
          <w:tcPr>
            <w:tcW w:w="992" w:type="dxa"/>
          </w:tcPr>
          <w:p>
            <w:pPr>
              <w:pStyle w:val="yTableNAm"/>
              <w:tabs>
                <w:tab w:val="clear" w:pos="567"/>
                <w:tab w:val="decimal" w:pos="465"/>
              </w:tabs>
              <w:ind w:right="111"/>
            </w:pPr>
            <w:r>
              <w:t>49.1</w:t>
            </w:r>
          </w:p>
        </w:tc>
        <w:tc>
          <w:tcPr>
            <w:tcW w:w="992" w:type="dxa"/>
          </w:tcPr>
          <w:p>
            <w:pPr>
              <w:pStyle w:val="yTableNAm"/>
              <w:tabs>
                <w:tab w:val="clear" w:pos="567"/>
                <w:tab w:val="decimal" w:pos="433"/>
              </w:tabs>
              <w:ind w:right="116"/>
            </w:pPr>
            <w:r>
              <w:t>49.1</w:t>
            </w:r>
          </w:p>
        </w:tc>
        <w:tc>
          <w:tcPr>
            <w:tcW w:w="993" w:type="dxa"/>
          </w:tcPr>
          <w:p>
            <w:pPr>
              <w:pStyle w:val="yTableNAm"/>
              <w:tabs>
                <w:tab w:val="clear" w:pos="567"/>
                <w:tab w:val="decimal" w:pos="521"/>
              </w:tabs>
              <w:ind w:right="117"/>
            </w:pPr>
            <w:r>
              <w:t>49.1</w:t>
            </w:r>
          </w:p>
        </w:tc>
      </w:tr>
      <w:tr>
        <w:trPr>
          <w:cantSplit/>
        </w:trPr>
        <w:tc>
          <w:tcPr>
            <w:tcW w:w="1417" w:type="dxa"/>
          </w:tcPr>
          <w:p>
            <w:pPr>
              <w:pStyle w:val="yTableNAm"/>
            </w:pPr>
            <w:r>
              <w:t>Over 150 but not over 350</w:t>
            </w:r>
          </w:p>
        </w:tc>
        <w:tc>
          <w:tcPr>
            <w:tcW w:w="992" w:type="dxa"/>
          </w:tcPr>
          <w:p>
            <w:pPr>
              <w:pStyle w:val="yTableNAm"/>
              <w:tabs>
                <w:tab w:val="clear" w:pos="567"/>
                <w:tab w:val="decimal" w:pos="409"/>
              </w:tabs>
              <w:ind w:right="116"/>
            </w:pPr>
            <w:r>
              <w:br/>
              <w:t>47.6</w:t>
            </w:r>
          </w:p>
        </w:tc>
        <w:tc>
          <w:tcPr>
            <w:tcW w:w="992" w:type="dxa"/>
          </w:tcPr>
          <w:p>
            <w:pPr>
              <w:pStyle w:val="yTableNAm"/>
              <w:tabs>
                <w:tab w:val="clear" w:pos="567"/>
                <w:tab w:val="decimal" w:pos="497"/>
              </w:tabs>
              <w:ind w:right="79"/>
            </w:pPr>
            <w:r>
              <w:br/>
              <w:t>54.4</w:t>
            </w:r>
          </w:p>
        </w:tc>
        <w:tc>
          <w:tcPr>
            <w:tcW w:w="992" w:type="dxa"/>
          </w:tcPr>
          <w:p>
            <w:pPr>
              <w:pStyle w:val="yTableNAm"/>
              <w:tabs>
                <w:tab w:val="clear" w:pos="567"/>
                <w:tab w:val="decimal" w:pos="465"/>
              </w:tabs>
              <w:ind w:right="111"/>
            </w:pPr>
            <w:r>
              <w:br/>
              <w:t>54.4</w:t>
            </w:r>
          </w:p>
        </w:tc>
        <w:tc>
          <w:tcPr>
            <w:tcW w:w="992" w:type="dxa"/>
          </w:tcPr>
          <w:p>
            <w:pPr>
              <w:pStyle w:val="yTableNAm"/>
              <w:tabs>
                <w:tab w:val="clear" w:pos="567"/>
                <w:tab w:val="decimal" w:pos="433"/>
              </w:tabs>
              <w:ind w:right="116"/>
            </w:pPr>
            <w:r>
              <w:br/>
              <w:t>54.4</w:t>
            </w:r>
          </w:p>
        </w:tc>
        <w:tc>
          <w:tcPr>
            <w:tcW w:w="993" w:type="dxa"/>
          </w:tcPr>
          <w:p>
            <w:pPr>
              <w:pStyle w:val="yTableNAm"/>
              <w:tabs>
                <w:tab w:val="clear" w:pos="567"/>
                <w:tab w:val="decimal" w:pos="521"/>
              </w:tabs>
              <w:ind w:right="117"/>
            </w:pPr>
            <w:r>
              <w:br/>
              <w:t>54.4</w:t>
            </w:r>
          </w:p>
        </w:tc>
      </w:tr>
      <w:tr>
        <w:trPr>
          <w:cantSplit/>
        </w:trPr>
        <w:tc>
          <w:tcPr>
            <w:tcW w:w="1417" w:type="dxa"/>
          </w:tcPr>
          <w:p>
            <w:pPr>
              <w:pStyle w:val="yTableNAm"/>
            </w:pPr>
            <w:r>
              <w:t>Over 350 but not over 500</w:t>
            </w:r>
          </w:p>
        </w:tc>
        <w:tc>
          <w:tcPr>
            <w:tcW w:w="992" w:type="dxa"/>
          </w:tcPr>
          <w:p>
            <w:pPr>
              <w:pStyle w:val="yTableNAm"/>
              <w:tabs>
                <w:tab w:val="clear" w:pos="567"/>
                <w:tab w:val="decimal" w:pos="409"/>
              </w:tabs>
              <w:ind w:right="116"/>
            </w:pPr>
            <w:r>
              <w:br/>
              <w:t>53.0</w:t>
            </w:r>
          </w:p>
        </w:tc>
        <w:tc>
          <w:tcPr>
            <w:tcW w:w="992" w:type="dxa"/>
          </w:tcPr>
          <w:p>
            <w:pPr>
              <w:pStyle w:val="yTableNAm"/>
              <w:tabs>
                <w:tab w:val="clear" w:pos="567"/>
                <w:tab w:val="decimal" w:pos="497"/>
              </w:tabs>
              <w:ind w:right="79"/>
            </w:pPr>
            <w:r>
              <w:br/>
              <w:t>61.9</w:t>
            </w:r>
          </w:p>
        </w:tc>
        <w:tc>
          <w:tcPr>
            <w:tcW w:w="992" w:type="dxa"/>
          </w:tcPr>
          <w:p>
            <w:pPr>
              <w:pStyle w:val="yTableNAm"/>
              <w:tabs>
                <w:tab w:val="clear" w:pos="567"/>
                <w:tab w:val="decimal" w:pos="465"/>
              </w:tabs>
              <w:ind w:right="111"/>
            </w:pPr>
            <w:r>
              <w:br/>
              <w:t>61.9</w:t>
            </w:r>
          </w:p>
        </w:tc>
        <w:tc>
          <w:tcPr>
            <w:tcW w:w="992" w:type="dxa"/>
          </w:tcPr>
          <w:p>
            <w:pPr>
              <w:pStyle w:val="yTableNAm"/>
              <w:tabs>
                <w:tab w:val="clear" w:pos="567"/>
                <w:tab w:val="decimal" w:pos="433"/>
              </w:tabs>
              <w:ind w:right="116"/>
            </w:pPr>
            <w:r>
              <w:br/>
              <w:t>61.9</w:t>
            </w:r>
          </w:p>
        </w:tc>
        <w:tc>
          <w:tcPr>
            <w:tcW w:w="993" w:type="dxa"/>
          </w:tcPr>
          <w:p>
            <w:pPr>
              <w:pStyle w:val="yTableNAm"/>
              <w:tabs>
                <w:tab w:val="clear" w:pos="567"/>
                <w:tab w:val="decimal" w:pos="521"/>
              </w:tabs>
              <w:ind w:right="117"/>
            </w:pPr>
            <w:r>
              <w:br/>
              <w:t>61.9</w:t>
            </w:r>
          </w:p>
        </w:tc>
      </w:tr>
      <w:tr>
        <w:trPr>
          <w:cantSplit/>
        </w:trPr>
        <w:tc>
          <w:tcPr>
            <w:tcW w:w="1417" w:type="dxa"/>
          </w:tcPr>
          <w:p>
            <w:pPr>
              <w:pStyle w:val="yTableNAm"/>
            </w:pPr>
            <w:r>
              <w:t>Over 500 but not over 550</w:t>
            </w:r>
          </w:p>
        </w:tc>
        <w:tc>
          <w:tcPr>
            <w:tcW w:w="992" w:type="dxa"/>
          </w:tcPr>
          <w:p>
            <w:pPr>
              <w:pStyle w:val="yTableNAm"/>
              <w:tabs>
                <w:tab w:val="clear" w:pos="567"/>
                <w:tab w:val="decimal" w:pos="409"/>
              </w:tabs>
              <w:ind w:right="116"/>
            </w:pPr>
            <w:r>
              <w:br/>
              <w:t>53.0</w:t>
            </w:r>
          </w:p>
        </w:tc>
        <w:tc>
          <w:tcPr>
            <w:tcW w:w="992" w:type="dxa"/>
          </w:tcPr>
          <w:p>
            <w:pPr>
              <w:pStyle w:val="yTableNAm"/>
              <w:tabs>
                <w:tab w:val="clear" w:pos="567"/>
                <w:tab w:val="decimal" w:pos="497"/>
              </w:tabs>
              <w:ind w:right="79"/>
            </w:pPr>
            <w:r>
              <w:br/>
              <w:t>67.4</w:t>
            </w:r>
          </w:p>
        </w:tc>
        <w:tc>
          <w:tcPr>
            <w:tcW w:w="992" w:type="dxa"/>
          </w:tcPr>
          <w:p>
            <w:pPr>
              <w:pStyle w:val="yTableNAm"/>
              <w:tabs>
                <w:tab w:val="clear" w:pos="567"/>
                <w:tab w:val="decimal" w:pos="465"/>
              </w:tabs>
              <w:ind w:right="111"/>
            </w:pPr>
            <w:r>
              <w:br/>
              <w:t>78.4</w:t>
            </w:r>
          </w:p>
        </w:tc>
        <w:tc>
          <w:tcPr>
            <w:tcW w:w="992" w:type="dxa"/>
          </w:tcPr>
          <w:p>
            <w:pPr>
              <w:pStyle w:val="yTableNAm"/>
              <w:tabs>
                <w:tab w:val="clear" w:pos="567"/>
                <w:tab w:val="decimal" w:pos="433"/>
              </w:tabs>
              <w:ind w:right="116"/>
            </w:pPr>
            <w:r>
              <w:br/>
              <w:t>90.3</w:t>
            </w:r>
          </w:p>
        </w:tc>
        <w:tc>
          <w:tcPr>
            <w:tcW w:w="993" w:type="dxa"/>
          </w:tcPr>
          <w:p>
            <w:pPr>
              <w:pStyle w:val="yTableNAm"/>
              <w:tabs>
                <w:tab w:val="clear" w:pos="567"/>
                <w:tab w:val="decimal" w:pos="521"/>
              </w:tabs>
              <w:ind w:right="117"/>
            </w:pPr>
            <w:r>
              <w:br/>
              <w:t>101.4</w:t>
            </w:r>
          </w:p>
        </w:tc>
      </w:tr>
      <w:tr>
        <w:trPr>
          <w:cantSplit/>
        </w:trPr>
        <w:tc>
          <w:tcPr>
            <w:tcW w:w="1417" w:type="dxa"/>
          </w:tcPr>
          <w:p>
            <w:pPr>
              <w:pStyle w:val="yTableNAm"/>
            </w:pPr>
            <w:r>
              <w:t>Over 550 but not over 600</w:t>
            </w:r>
          </w:p>
        </w:tc>
        <w:tc>
          <w:tcPr>
            <w:tcW w:w="992" w:type="dxa"/>
          </w:tcPr>
          <w:p>
            <w:pPr>
              <w:pStyle w:val="yTableNAm"/>
              <w:tabs>
                <w:tab w:val="clear" w:pos="567"/>
                <w:tab w:val="decimal" w:pos="409"/>
              </w:tabs>
              <w:ind w:right="116"/>
            </w:pPr>
            <w:r>
              <w:br/>
              <w:t>55.9</w:t>
            </w:r>
          </w:p>
        </w:tc>
        <w:tc>
          <w:tcPr>
            <w:tcW w:w="992" w:type="dxa"/>
          </w:tcPr>
          <w:p>
            <w:pPr>
              <w:pStyle w:val="yTableNAm"/>
              <w:tabs>
                <w:tab w:val="clear" w:pos="567"/>
                <w:tab w:val="decimal" w:pos="497"/>
              </w:tabs>
              <w:ind w:right="79"/>
            </w:pPr>
            <w:r>
              <w:br/>
              <w:t>70.2</w:t>
            </w:r>
          </w:p>
        </w:tc>
        <w:tc>
          <w:tcPr>
            <w:tcW w:w="992" w:type="dxa"/>
          </w:tcPr>
          <w:p>
            <w:pPr>
              <w:pStyle w:val="yTableNAm"/>
              <w:tabs>
                <w:tab w:val="clear" w:pos="567"/>
                <w:tab w:val="decimal" w:pos="465"/>
              </w:tabs>
              <w:ind w:right="111"/>
            </w:pPr>
            <w:r>
              <w:br/>
              <w:t>81.3</w:t>
            </w:r>
          </w:p>
        </w:tc>
        <w:tc>
          <w:tcPr>
            <w:tcW w:w="992" w:type="dxa"/>
          </w:tcPr>
          <w:p>
            <w:pPr>
              <w:pStyle w:val="yTableNAm"/>
              <w:tabs>
                <w:tab w:val="clear" w:pos="567"/>
                <w:tab w:val="decimal" w:pos="433"/>
              </w:tabs>
              <w:ind w:right="116"/>
            </w:pPr>
            <w:r>
              <w:br/>
              <w:t>93.1</w:t>
            </w:r>
          </w:p>
        </w:tc>
        <w:tc>
          <w:tcPr>
            <w:tcW w:w="993" w:type="dxa"/>
          </w:tcPr>
          <w:p>
            <w:pPr>
              <w:pStyle w:val="yTableNAm"/>
              <w:tabs>
                <w:tab w:val="clear" w:pos="567"/>
                <w:tab w:val="decimal" w:pos="521"/>
              </w:tabs>
              <w:ind w:right="117"/>
            </w:pPr>
            <w:r>
              <w:br/>
              <w:t>104.3</w:t>
            </w:r>
          </w:p>
        </w:tc>
      </w:tr>
      <w:tr>
        <w:trPr>
          <w:cantSplit/>
        </w:trPr>
        <w:tc>
          <w:tcPr>
            <w:tcW w:w="1417" w:type="dxa"/>
          </w:tcPr>
          <w:p>
            <w:pPr>
              <w:pStyle w:val="yTableNAm"/>
            </w:pPr>
            <w:r>
              <w:t>Over 600 but not over 650</w:t>
            </w:r>
          </w:p>
        </w:tc>
        <w:tc>
          <w:tcPr>
            <w:tcW w:w="992" w:type="dxa"/>
          </w:tcPr>
          <w:p>
            <w:pPr>
              <w:pStyle w:val="yTableNAm"/>
              <w:tabs>
                <w:tab w:val="clear" w:pos="567"/>
                <w:tab w:val="decimal" w:pos="409"/>
              </w:tabs>
              <w:ind w:right="116"/>
            </w:pPr>
            <w:r>
              <w:br/>
              <w:t>111.7</w:t>
            </w:r>
          </w:p>
        </w:tc>
        <w:tc>
          <w:tcPr>
            <w:tcW w:w="992" w:type="dxa"/>
          </w:tcPr>
          <w:p>
            <w:pPr>
              <w:pStyle w:val="yTableNAm"/>
              <w:tabs>
                <w:tab w:val="clear" w:pos="567"/>
                <w:tab w:val="decimal" w:pos="497"/>
              </w:tabs>
              <w:ind w:right="79"/>
            </w:pPr>
            <w:r>
              <w:br/>
              <w:t>140.4</w:t>
            </w:r>
          </w:p>
        </w:tc>
        <w:tc>
          <w:tcPr>
            <w:tcW w:w="992" w:type="dxa"/>
          </w:tcPr>
          <w:p>
            <w:pPr>
              <w:pStyle w:val="yTableNAm"/>
              <w:tabs>
                <w:tab w:val="clear" w:pos="567"/>
                <w:tab w:val="decimal" w:pos="465"/>
              </w:tabs>
              <w:ind w:right="111"/>
            </w:pPr>
            <w:r>
              <w:br/>
              <w:t>162.6</w:t>
            </w:r>
          </w:p>
        </w:tc>
        <w:tc>
          <w:tcPr>
            <w:tcW w:w="992" w:type="dxa"/>
          </w:tcPr>
          <w:p>
            <w:pPr>
              <w:pStyle w:val="yTableNAm"/>
              <w:tabs>
                <w:tab w:val="clear" w:pos="567"/>
                <w:tab w:val="decimal" w:pos="433"/>
              </w:tabs>
              <w:ind w:right="116"/>
            </w:pPr>
            <w:r>
              <w:br/>
              <w:t>186.2</w:t>
            </w:r>
          </w:p>
        </w:tc>
        <w:tc>
          <w:tcPr>
            <w:tcW w:w="993" w:type="dxa"/>
          </w:tcPr>
          <w:p>
            <w:pPr>
              <w:pStyle w:val="yTableNAm"/>
              <w:tabs>
                <w:tab w:val="clear" w:pos="567"/>
                <w:tab w:val="decimal" w:pos="521"/>
              </w:tabs>
              <w:ind w:right="117"/>
            </w:pPr>
            <w:r>
              <w:br/>
              <w:t>208.6</w:t>
            </w:r>
          </w:p>
        </w:tc>
      </w:tr>
      <w:tr>
        <w:trPr>
          <w:cantSplit/>
        </w:trPr>
        <w:tc>
          <w:tcPr>
            <w:tcW w:w="1417" w:type="dxa"/>
          </w:tcPr>
          <w:p>
            <w:pPr>
              <w:pStyle w:val="yTableNAm"/>
            </w:pPr>
            <w:r>
              <w:t>Over 650 but not over 750</w:t>
            </w:r>
          </w:p>
        </w:tc>
        <w:tc>
          <w:tcPr>
            <w:tcW w:w="992" w:type="dxa"/>
          </w:tcPr>
          <w:p>
            <w:pPr>
              <w:pStyle w:val="yTableNAm"/>
              <w:tabs>
                <w:tab w:val="clear" w:pos="567"/>
                <w:tab w:val="decimal" w:pos="409"/>
              </w:tabs>
              <w:ind w:right="116"/>
            </w:pPr>
            <w:r>
              <w:br/>
              <w:t>129.6</w:t>
            </w:r>
          </w:p>
        </w:tc>
        <w:tc>
          <w:tcPr>
            <w:tcW w:w="992" w:type="dxa"/>
          </w:tcPr>
          <w:p>
            <w:pPr>
              <w:pStyle w:val="yTableNAm"/>
              <w:tabs>
                <w:tab w:val="clear" w:pos="567"/>
                <w:tab w:val="decimal" w:pos="497"/>
              </w:tabs>
              <w:ind w:right="79"/>
            </w:pPr>
            <w:r>
              <w:br/>
              <w:t>160.7</w:t>
            </w:r>
          </w:p>
        </w:tc>
        <w:tc>
          <w:tcPr>
            <w:tcW w:w="992" w:type="dxa"/>
          </w:tcPr>
          <w:p>
            <w:pPr>
              <w:pStyle w:val="yTableNAm"/>
              <w:tabs>
                <w:tab w:val="clear" w:pos="567"/>
                <w:tab w:val="decimal" w:pos="465"/>
              </w:tabs>
              <w:ind w:right="111"/>
            </w:pPr>
            <w:r>
              <w:br/>
              <w:t>191.7</w:t>
            </w:r>
          </w:p>
        </w:tc>
        <w:tc>
          <w:tcPr>
            <w:tcW w:w="992" w:type="dxa"/>
          </w:tcPr>
          <w:p>
            <w:pPr>
              <w:pStyle w:val="yTableNAm"/>
              <w:tabs>
                <w:tab w:val="clear" w:pos="567"/>
                <w:tab w:val="decimal" w:pos="433"/>
              </w:tabs>
              <w:ind w:right="116"/>
            </w:pPr>
            <w:r>
              <w:br/>
              <w:t>222.5</w:t>
            </w:r>
          </w:p>
        </w:tc>
        <w:tc>
          <w:tcPr>
            <w:tcW w:w="993" w:type="dxa"/>
          </w:tcPr>
          <w:p>
            <w:pPr>
              <w:pStyle w:val="yTableNAm"/>
              <w:tabs>
                <w:tab w:val="clear" w:pos="567"/>
                <w:tab w:val="decimal" w:pos="521"/>
              </w:tabs>
              <w:ind w:right="117"/>
            </w:pPr>
            <w:r>
              <w:br/>
              <w:t>251.8</w:t>
            </w:r>
          </w:p>
        </w:tc>
      </w:tr>
      <w:tr>
        <w:trPr>
          <w:cantSplit/>
        </w:trPr>
        <w:tc>
          <w:tcPr>
            <w:tcW w:w="1417" w:type="dxa"/>
          </w:tcPr>
          <w:p>
            <w:pPr>
              <w:pStyle w:val="yTableNAm"/>
            </w:pPr>
            <w:r>
              <w:t>Over 750 but not over 950</w:t>
            </w:r>
          </w:p>
        </w:tc>
        <w:tc>
          <w:tcPr>
            <w:tcW w:w="992" w:type="dxa"/>
          </w:tcPr>
          <w:p>
            <w:pPr>
              <w:pStyle w:val="yTableNAm"/>
              <w:tabs>
                <w:tab w:val="clear" w:pos="567"/>
                <w:tab w:val="decimal" w:pos="409"/>
              </w:tabs>
              <w:ind w:right="116"/>
            </w:pPr>
            <w:r>
              <w:br/>
              <w:t>174.1</w:t>
            </w:r>
          </w:p>
        </w:tc>
        <w:tc>
          <w:tcPr>
            <w:tcW w:w="992" w:type="dxa"/>
          </w:tcPr>
          <w:p>
            <w:pPr>
              <w:pStyle w:val="yTableNAm"/>
              <w:tabs>
                <w:tab w:val="clear" w:pos="567"/>
                <w:tab w:val="decimal" w:pos="497"/>
              </w:tabs>
              <w:ind w:right="79"/>
            </w:pPr>
            <w:r>
              <w:br/>
              <w:t>238.7</w:t>
            </w:r>
          </w:p>
        </w:tc>
        <w:tc>
          <w:tcPr>
            <w:tcW w:w="992" w:type="dxa"/>
          </w:tcPr>
          <w:p>
            <w:pPr>
              <w:pStyle w:val="yTableNAm"/>
              <w:tabs>
                <w:tab w:val="clear" w:pos="567"/>
                <w:tab w:val="decimal" w:pos="465"/>
              </w:tabs>
              <w:ind w:right="111"/>
            </w:pPr>
            <w:r>
              <w:br/>
              <w:t>288.6</w:t>
            </w:r>
          </w:p>
        </w:tc>
        <w:tc>
          <w:tcPr>
            <w:tcW w:w="992" w:type="dxa"/>
          </w:tcPr>
          <w:p>
            <w:pPr>
              <w:pStyle w:val="yTableNAm"/>
              <w:tabs>
                <w:tab w:val="clear" w:pos="567"/>
                <w:tab w:val="decimal" w:pos="433"/>
              </w:tabs>
              <w:ind w:right="116"/>
            </w:pPr>
            <w:r>
              <w:br/>
              <w:t>365.1</w:t>
            </w:r>
          </w:p>
        </w:tc>
        <w:tc>
          <w:tcPr>
            <w:tcW w:w="993" w:type="dxa"/>
          </w:tcPr>
          <w:p>
            <w:pPr>
              <w:pStyle w:val="yTableNAm"/>
              <w:tabs>
                <w:tab w:val="clear" w:pos="567"/>
                <w:tab w:val="decimal" w:pos="521"/>
              </w:tabs>
              <w:ind w:right="117"/>
            </w:pPr>
            <w:r>
              <w:br/>
              <w:t>444.7</w:t>
            </w:r>
          </w:p>
        </w:tc>
      </w:tr>
      <w:tr>
        <w:trPr>
          <w:cantSplit/>
        </w:trPr>
        <w:tc>
          <w:tcPr>
            <w:tcW w:w="1417" w:type="dxa"/>
          </w:tcPr>
          <w:p>
            <w:pPr>
              <w:pStyle w:val="yTableNAm"/>
            </w:pPr>
            <w:r>
              <w:t>Over 950 but not over 1 150</w:t>
            </w:r>
          </w:p>
        </w:tc>
        <w:tc>
          <w:tcPr>
            <w:tcW w:w="992" w:type="dxa"/>
          </w:tcPr>
          <w:p>
            <w:pPr>
              <w:pStyle w:val="yTableNAm"/>
              <w:tabs>
                <w:tab w:val="clear" w:pos="567"/>
                <w:tab w:val="decimal" w:pos="409"/>
              </w:tabs>
              <w:ind w:right="116"/>
            </w:pPr>
            <w:r>
              <w:br/>
              <w:t>174.1</w:t>
            </w:r>
          </w:p>
        </w:tc>
        <w:tc>
          <w:tcPr>
            <w:tcW w:w="992" w:type="dxa"/>
          </w:tcPr>
          <w:p>
            <w:pPr>
              <w:pStyle w:val="yTableNAm"/>
              <w:tabs>
                <w:tab w:val="clear" w:pos="567"/>
                <w:tab w:val="decimal" w:pos="497"/>
              </w:tabs>
              <w:ind w:right="79"/>
            </w:pPr>
            <w:r>
              <w:br/>
              <w:t>238.7</w:t>
            </w:r>
          </w:p>
        </w:tc>
        <w:tc>
          <w:tcPr>
            <w:tcW w:w="992" w:type="dxa"/>
          </w:tcPr>
          <w:p>
            <w:pPr>
              <w:pStyle w:val="yTableNAm"/>
              <w:tabs>
                <w:tab w:val="clear" w:pos="567"/>
                <w:tab w:val="decimal" w:pos="465"/>
              </w:tabs>
              <w:ind w:right="111"/>
            </w:pPr>
            <w:r>
              <w:br/>
              <w:t>288.6</w:t>
            </w:r>
          </w:p>
        </w:tc>
        <w:tc>
          <w:tcPr>
            <w:tcW w:w="992" w:type="dxa"/>
          </w:tcPr>
          <w:p>
            <w:pPr>
              <w:pStyle w:val="yTableNAm"/>
              <w:tabs>
                <w:tab w:val="clear" w:pos="567"/>
                <w:tab w:val="decimal" w:pos="433"/>
              </w:tabs>
              <w:ind w:right="116"/>
            </w:pPr>
            <w:r>
              <w:br/>
              <w:t>365.1</w:t>
            </w:r>
          </w:p>
        </w:tc>
        <w:tc>
          <w:tcPr>
            <w:tcW w:w="993" w:type="dxa"/>
          </w:tcPr>
          <w:p>
            <w:pPr>
              <w:pStyle w:val="yTableNAm"/>
              <w:tabs>
                <w:tab w:val="clear" w:pos="567"/>
                <w:tab w:val="decimal" w:pos="521"/>
              </w:tabs>
              <w:ind w:right="117"/>
            </w:pPr>
            <w:r>
              <w:br/>
              <w:t>444.7</w:t>
            </w:r>
          </w:p>
        </w:tc>
      </w:tr>
      <w:tr>
        <w:trPr>
          <w:cantSplit/>
        </w:trPr>
        <w:tc>
          <w:tcPr>
            <w:tcW w:w="1417" w:type="dxa"/>
          </w:tcPr>
          <w:p>
            <w:pPr>
              <w:pStyle w:val="yTableNAm"/>
            </w:pPr>
            <w:r>
              <w:t>Over 1 150 but not over 1 550</w:t>
            </w:r>
          </w:p>
        </w:tc>
        <w:tc>
          <w:tcPr>
            <w:tcW w:w="992" w:type="dxa"/>
          </w:tcPr>
          <w:p>
            <w:pPr>
              <w:pStyle w:val="yTableNAm"/>
              <w:tabs>
                <w:tab w:val="clear" w:pos="567"/>
                <w:tab w:val="decimal" w:pos="409"/>
              </w:tabs>
              <w:ind w:right="116"/>
            </w:pPr>
            <w:r>
              <w:br/>
              <w:t>207.4</w:t>
            </w:r>
          </w:p>
        </w:tc>
        <w:tc>
          <w:tcPr>
            <w:tcW w:w="992" w:type="dxa"/>
          </w:tcPr>
          <w:p>
            <w:pPr>
              <w:pStyle w:val="yTableNAm"/>
              <w:tabs>
                <w:tab w:val="clear" w:pos="567"/>
                <w:tab w:val="decimal" w:pos="497"/>
              </w:tabs>
              <w:ind w:right="79"/>
            </w:pPr>
            <w:r>
              <w:br/>
              <w:t>294.9</w:t>
            </w:r>
          </w:p>
        </w:tc>
        <w:tc>
          <w:tcPr>
            <w:tcW w:w="992" w:type="dxa"/>
          </w:tcPr>
          <w:p>
            <w:pPr>
              <w:pStyle w:val="yTableNAm"/>
              <w:tabs>
                <w:tab w:val="clear" w:pos="567"/>
                <w:tab w:val="decimal" w:pos="465"/>
              </w:tabs>
              <w:ind w:right="111"/>
            </w:pPr>
            <w:r>
              <w:br/>
              <w:t>370.5</w:t>
            </w:r>
          </w:p>
        </w:tc>
        <w:tc>
          <w:tcPr>
            <w:tcW w:w="992" w:type="dxa"/>
          </w:tcPr>
          <w:p>
            <w:pPr>
              <w:pStyle w:val="yTableNAm"/>
              <w:tabs>
                <w:tab w:val="clear" w:pos="567"/>
                <w:tab w:val="decimal" w:pos="433"/>
              </w:tabs>
              <w:ind w:right="116"/>
            </w:pPr>
            <w:r>
              <w:br/>
              <w:t>500.3</w:t>
            </w:r>
          </w:p>
        </w:tc>
        <w:tc>
          <w:tcPr>
            <w:tcW w:w="993" w:type="dxa"/>
          </w:tcPr>
          <w:p>
            <w:pPr>
              <w:pStyle w:val="yTableNAm"/>
              <w:tabs>
                <w:tab w:val="clear" w:pos="567"/>
                <w:tab w:val="decimal" w:pos="521"/>
              </w:tabs>
              <w:ind w:right="117"/>
            </w:pPr>
            <w:r>
              <w:br/>
              <w:t>640.8</w:t>
            </w:r>
          </w:p>
        </w:tc>
      </w:tr>
      <w:tr>
        <w:trPr>
          <w:cantSplit/>
        </w:trPr>
        <w:tc>
          <w:tcPr>
            <w:tcW w:w="1417" w:type="dxa"/>
          </w:tcPr>
          <w:p>
            <w:pPr>
              <w:pStyle w:val="yTableNAm"/>
            </w:pPr>
            <w:r>
              <w:t>Over 1 550 but not over 1 950</w:t>
            </w:r>
          </w:p>
        </w:tc>
        <w:tc>
          <w:tcPr>
            <w:tcW w:w="992" w:type="dxa"/>
          </w:tcPr>
          <w:p>
            <w:pPr>
              <w:pStyle w:val="yTableNAm"/>
              <w:tabs>
                <w:tab w:val="clear" w:pos="567"/>
                <w:tab w:val="decimal" w:pos="409"/>
              </w:tabs>
              <w:ind w:right="116"/>
            </w:pPr>
            <w:r>
              <w:br/>
              <w:t>222.9</w:t>
            </w:r>
          </w:p>
        </w:tc>
        <w:tc>
          <w:tcPr>
            <w:tcW w:w="992" w:type="dxa"/>
          </w:tcPr>
          <w:p>
            <w:pPr>
              <w:pStyle w:val="yTableNAm"/>
              <w:tabs>
                <w:tab w:val="clear" w:pos="567"/>
                <w:tab w:val="decimal" w:pos="497"/>
              </w:tabs>
              <w:ind w:right="79"/>
            </w:pPr>
            <w:r>
              <w:br/>
              <w:t>328.0</w:t>
            </w:r>
          </w:p>
        </w:tc>
        <w:tc>
          <w:tcPr>
            <w:tcW w:w="992" w:type="dxa"/>
          </w:tcPr>
          <w:p>
            <w:pPr>
              <w:pStyle w:val="yTableNAm"/>
              <w:tabs>
                <w:tab w:val="clear" w:pos="567"/>
                <w:tab w:val="decimal" w:pos="465"/>
              </w:tabs>
              <w:ind w:right="111"/>
            </w:pPr>
            <w:r>
              <w:br/>
              <w:t>422.2</w:t>
            </w:r>
          </w:p>
        </w:tc>
        <w:tc>
          <w:tcPr>
            <w:tcW w:w="992" w:type="dxa"/>
          </w:tcPr>
          <w:p>
            <w:pPr>
              <w:pStyle w:val="yTableNAm"/>
              <w:tabs>
                <w:tab w:val="clear" w:pos="567"/>
                <w:tab w:val="decimal" w:pos="433"/>
              </w:tabs>
              <w:ind w:right="116"/>
            </w:pPr>
            <w:r>
              <w:br/>
              <w:t>544.6</w:t>
            </w:r>
          </w:p>
        </w:tc>
        <w:tc>
          <w:tcPr>
            <w:tcW w:w="993" w:type="dxa"/>
          </w:tcPr>
          <w:p>
            <w:pPr>
              <w:pStyle w:val="yTableNAm"/>
              <w:tabs>
                <w:tab w:val="clear" w:pos="567"/>
                <w:tab w:val="decimal" w:pos="521"/>
              </w:tabs>
              <w:ind w:right="117"/>
            </w:pPr>
            <w:r>
              <w:br/>
              <w:t>685.2</w:t>
            </w:r>
          </w:p>
        </w:tc>
      </w:tr>
      <w:tr>
        <w:trPr>
          <w:cantSplit/>
        </w:trPr>
        <w:tc>
          <w:tcPr>
            <w:tcW w:w="1417" w:type="dxa"/>
            <w:tcBorders>
              <w:bottom w:val="single" w:sz="4" w:space="0" w:color="auto"/>
            </w:tcBorders>
          </w:tcPr>
          <w:p>
            <w:pPr>
              <w:pStyle w:val="yTableNAm"/>
            </w:pPr>
            <w:r>
              <w:t>Over 1 950</w:t>
            </w:r>
          </w:p>
        </w:tc>
        <w:tc>
          <w:tcPr>
            <w:tcW w:w="992" w:type="dxa"/>
            <w:tcBorders>
              <w:bottom w:val="single" w:sz="4" w:space="0" w:color="auto"/>
            </w:tcBorders>
          </w:tcPr>
          <w:p>
            <w:pPr>
              <w:pStyle w:val="yTableNAm"/>
              <w:tabs>
                <w:tab w:val="clear" w:pos="567"/>
                <w:tab w:val="decimal" w:pos="409"/>
              </w:tabs>
              <w:ind w:right="116"/>
            </w:pPr>
            <w:r>
              <w:t>241.9</w:t>
            </w:r>
          </w:p>
        </w:tc>
        <w:tc>
          <w:tcPr>
            <w:tcW w:w="992" w:type="dxa"/>
            <w:tcBorders>
              <w:bottom w:val="single" w:sz="4" w:space="0" w:color="auto"/>
            </w:tcBorders>
          </w:tcPr>
          <w:p>
            <w:pPr>
              <w:pStyle w:val="yTableNAm"/>
              <w:tabs>
                <w:tab w:val="clear" w:pos="567"/>
                <w:tab w:val="decimal" w:pos="497"/>
              </w:tabs>
              <w:ind w:right="79"/>
            </w:pPr>
            <w:r>
              <w:t>376.1</w:t>
            </w:r>
          </w:p>
        </w:tc>
        <w:tc>
          <w:tcPr>
            <w:tcW w:w="992" w:type="dxa"/>
            <w:tcBorders>
              <w:bottom w:val="single" w:sz="4" w:space="0" w:color="auto"/>
            </w:tcBorders>
          </w:tcPr>
          <w:p>
            <w:pPr>
              <w:pStyle w:val="yTableNAm"/>
              <w:tabs>
                <w:tab w:val="clear" w:pos="567"/>
                <w:tab w:val="decimal" w:pos="465"/>
              </w:tabs>
              <w:ind w:right="111"/>
            </w:pPr>
            <w:r>
              <w:t>466.5</w:t>
            </w:r>
          </w:p>
        </w:tc>
        <w:tc>
          <w:tcPr>
            <w:tcW w:w="992" w:type="dxa"/>
            <w:tcBorders>
              <w:bottom w:val="single" w:sz="4" w:space="0" w:color="auto"/>
            </w:tcBorders>
          </w:tcPr>
          <w:p>
            <w:pPr>
              <w:pStyle w:val="yTableNAm"/>
              <w:tabs>
                <w:tab w:val="clear" w:pos="567"/>
                <w:tab w:val="decimal" w:pos="433"/>
              </w:tabs>
              <w:ind w:right="116"/>
            </w:pPr>
            <w:r>
              <w:t>588.8</w:t>
            </w:r>
          </w:p>
        </w:tc>
        <w:tc>
          <w:tcPr>
            <w:tcW w:w="993" w:type="dxa"/>
            <w:tcBorders>
              <w:bottom w:val="single" w:sz="4" w:space="0" w:color="auto"/>
            </w:tcBorders>
          </w:tcPr>
          <w:p>
            <w:pPr>
              <w:pStyle w:val="yTableNAm"/>
              <w:tabs>
                <w:tab w:val="clear" w:pos="567"/>
                <w:tab w:val="decimal" w:pos="521"/>
              </w:tabs>
              <w:ind w:right="117"/>
            </w:pPr>
            <w:r>
              <w:t>722.0</w:t>
            </w:r>
          </w:p>
        </w:tc>
      </w:tr>
    </w:tbl>
    <w:p>
      <w:pPr>
        <w:rPr>
          <w:sz w:val="18"/>
        </w:rPr>
      </w:pPr>
    </w:p>
    <w:tbl>
      <w:tblPr>
        <w:tblW w:w="0" w:type="auto"/>
        <w:tblInd w:w="534" w:type="dxa"/>
        <w:tblLook w:val="0000" w:firstRow="0" w:lastRow="0" w:firstColumn="0" w:lastColumn="0" w:noHBand="0" w:noVBand="0"/>
      </w:tblPr>
      <w:tblGrid>
        <w:gridCol w:w="850"/>
        <w:gridCol w:w="4236"/>
        <w:gridCol w:w="1292"/>
      </w:tblGrid>
      <w:tr>
        <w:trPr>
          <w:cantSplit/>
        </w:trPr>
        <w:tc>
          <w:tcPr>
            <w:tcW w:w="850" w:type="dxa"/>
          </w:tcPr>
          <w:p>
            <w:pPr>
              <w:pStyle w:val="yHeading5"/>
              <w:tabs>
                <w:tab w:val="clear" w:pos="879"/>
              </w:tabs>
              <w:ind w:left="0" w:firstLine="0"/>
            </w:pPr>
            <w:bookmarkStart w:id="609" w:name="_Toc265743555"/>
            <w:r>
              <w:t>24.</w:t>
            </w:r>
            <w:bookmarkEnd w:id="609"/>
          </w:p>
        </w:tc>
        <w:tc>
          <w:tcPr>
            <w:tcW w:w="4236" w:type="dxa"/>
          </w:tcPr>
          <w:p>
            <w:pPr>
              <w:pStyle w:val="yHeading5"/>
              <w:tabs>
                <w:tab w:val="clear" w:pos="879"/>
              </w:tabs>
              <w:ind w:left="0" w:firstLine="0"/>
            </w:pPr>
            <w:bookmarkStart w:id="610" w:name="_Toc265743556"/>
            <w:r>
              <w:t>Metropolitan non</w:t>
            </w:r>
            <w:r>
              <w:noBreakHyphen/>
              <w:t>residential</w:t>
            </w:r>
            <w:bookmarkEnd w:id="610"/>
          </w:p>
        </w:tc>
        <w:tc>
          <w:tcPr>
            <w:tcW w:w="1292" w:type="dxa"/>
          </w:tcPr>
          <w:p>
            <w:pPr>
              <w:pStyle w:val="yHeading5"/>
              <w:tabs>
                <w:tab w:val="clear" w:pos="879"/>
              </w:tabs>
              <w:ind w:left="0" w:firstLine="0"/>
            </w:pP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 xml:space="preserve">For each kilolitre of water supplied to land that is in the metropolitan area and that is neither comprised in a residential property, nor any other land classified as vacant land and held for residential purposes, not being water for which a charge is otherwise specifically provided in this Division —  </w:t>
            </w:r>
          </w:p>
        </w:tc>
        <w:tc>
          <w:tcPr>
            <w:tcW w:w="1292" w:type="dxa"/>
          </w:tcPr>
          <w:p>
            <w:pPr>
              <w:pStyle w:val="yTableNAm"/>
            </w:pP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ind w:left="1057" w:hanging="1057"/>
              <w:rPr>
                <w:spacing w:val="-1"/>
              </w:rPr>
            </w:pPr>
            <w:r>
              <w:rPr>
                <w:spacing w:val="-1"/>
              </w:rPr>
              <w:tab/>
              <w:t>(a)</w:t>
            </w:r>
            <w:r>
              <w:rPr>
                <w:spacing w:val="-1"/>
              </w:rPr>
              <w:tab/>
              <w:t>in the case of land not mentioned in paragraph (b) —</w:t>
            </w:r>
          </w:p>
        </w:tc>
        <w:tc>
          <w:tcPr>
            <w:tcW w:w="1292" w:type="dxa"/>
          </w:tcPr>
          <w:p>
            <w:pPr>
              <w:pStyle w:val="yTableNAm"/>
              <w:tabs>
                <w:tab w:val="left" w:pos="4020"/>
                <w:tab w:val="decimal" w:pos="5280"/>
              </w:tabs>
            </w:pPr>
          </w:p>
        </w:tc>
      </w:tr>
      <w:tr>
        <w:trPr>
          <w:cantSplit/>
        </w:trPr>
        <w:tc>
          <w:tcPr>
            <w:tcW w:w="850" w:type="dxa"/>
          </w:tcPr>
          <w:p>
            <w:pPr>
              <w:pStyle w:val="yTableNAm"/>
            </w:pPr>
          </w:p>
        </w:tc>
        <w:tc>
          <w:tcPr>
            <w:tcW w:w="4236" w:type="dxa"/>
          </w:tcPr>
          <w:p>
            <w:pPr>
              <w:pStyle w:val="yTableNAm"/>
              <w:tabs>
                <w:tab w:val="clear" w:pos="567"/>
                <w:tab w:val="left" w:pos="776"/>
                <w:tab w:val="left" w:pos="1256"/>
                <w:tab w:val="left" w:leader="dot" w:pos="4021"/>
              </w:tabs>
              <w:ind w:left="1256" w:hanging="1256"/>
              <w:rPr>
                <w:spacing w:val="-1"/>
              </w:rPr>
            </w:pPr>
            <w:r>
              <w:rPr>
                <w:spacing w:val="-1"/>
              </w:rPr>
              <w:tab/>
            </w:r>
            <w:r>
              <w:rPr>
                <w:spacing w:val="-1"/>
              </w:rPr>
              <w:tab/>
              <w:t xml:space="preserve">up to 600 kL </w:t>
            </w:r>
            <w:r>
              <w:rPr>
                <w:spacing w:val="-1"/>
              </w:rPr>
              <w:tab/>
            </w:r>
          </w:p>
        </w:tc>
        <w:tc>
          <w:tcPr>
            <w:tcW w:w="1292" w:type="dxa"/>
          </w:tcPr>
          <w:p>
            <w:pPr>
              <w:pStyle w:val="yTableNAm"/>
              <w:tabs>
                <w:tab w:val="left" w:pos="4020"/>
                <w:tab w:val="decimal" w:pos="5280"/>
              </w:tabs>
            </w:pPr>
            <w:r>
              <w:t>143.5 cents</w:t>
            </w:r>
          </w:p>
        </w:tc>
      </w:tr>
      <w:tr>
        <w:trPr>
          <w:cantSplit/>
        </w:trPr>
        <w:tc>
          <w:tcPr>
            <w:tcW w:w="850" w:type="dxa"/>
          </w:tcPr>
          <w:p>
            <w:pPr>
              <w:pStyle w:val="yTableNAm"/>
            </w:pPr>
          </w:p>
        </w:tc>
        <w:tc>
          <w:tcPr>
            <w:tcW w:w="4236" w:type="dxa"/>
          </w:tcPr>
          <w:p>
            <w:pPr>
              <w:pStyle w:val="yTableNAm"/>
              <w:tabs>
                <w:tab w:val="clear" w:pos="567"/>
                <w:tab w:val="left" w:pos="776"/>
                <w:tab w:val="left" w:pos="1256"/>
                <w:tab w:val="left" w:leader="dot" w:pos="4021"/>
              </w:tabs>
              <w:ind w:left="1256" w:hanging="1256"/>
              <w:rPr>
                <w:spacing w:val="-1"/>
              </w:rPr>
            </w:pPr>
            <w:r>
              <w:rPr>
                <w:spacing w:val="-1"/>
              </w:rPr>
              <w:tab/>
            </w:r>
            <w:r>
              <w:rPr>
                <w:spacing w:val="-1"/>
              </w:rPr>
              <w:tab/>
              <w:t xml:space="preserve">over 600 kL but not over 1 100 000 kL </w:t>
            </w:r>
            <w:r>
              <w:rPr>
                <w:spacing w:val="-1"/>
              </w:rPr>
              <w:tab/>
            </w:r>
          </w:p>
        </w:tc>
        <w:tc>
          <w:tcPr>
            <w:tcW w:w="1292" w:type="dxa"/>
          </w:tcPr>
          <w:p>
            <w:pPr>
              <w:pStyle w:val="yTableNAm"/>
              <w:tabs>
                <w:tab w:val="left" w:pos="4020"/>
                <w:tab w:val="decimal" w:pos="5280"/>
              </w:tabs>
            </w:pPr>
            <w:r>
              <w:br/>
              <w:t>143.5 cents</w:t>
            </w:r>
          </w:p>
        </w:tc>
      </w:tr>
      <w:tr>
        <w:trPr>
          <w:cantSplit/>
        </w:trPr>
        <w:tc>
          <w:tcPr>
            <w:tcW w:w="850" w:type="dxa"/>
          </w:tcPr>
          <w:p>
            <w:pPr>
              <w:pStyle w:val="yTableNAm"/>
            </w:pPr>
          </w:p>
        </w:tc>
        <w:tc>
          <w:tcPr>
            <w:tcW w:w="4236" w:type="dxa"/>
          </w:tcPr>
          <w:p>
            <w:pPr>
              <w:pStyle w:val="yTableNAm"/>
              <w:tabs>
                <w:tab w:val="clear" w:pos="567"/>
                <w:tab w:val="left" w:pos="776"/>
                <w:tab w:val="left" w:pos="1256"/>
                <w:tab w:val="left" w:leader="dot" w:pos="4021"/>
              </w:tabs>
              <w:ind w:left="1256" w:hanging="1256"/>
              <w:rPr>
                <w:spacing w:val="-1"/>
              </w:rPr>
            </w:pPr>
            <w:r>
              <w:rPr>
                <w:spacing w:val="-1"/>
              </w:rPr>
              <w:tab/>
            </w:r>
            <w:r>
              <w:rPr>
                <w:spacing w:val="-1"/>
              </w:rPr>
              <w:tab/>
              <w:t xml:space="preserve">over 1 100 000 kL </w:t>
            </w:r>
            <w:r>
              <w:rPr>
                <w:spacing w:val="-1"/>
              </w:rPr>
              <w:tab/>
            </w:r>
          </w:p>
        </w:tc>
        <w:tc>
          <w:tcPr>
            <w:tcW w:w="1292" w:type="dxa"/>
          </w:tcPr>
          <w:p>
            <w:pPr>
              <w:pStyle w:val="yTableNAm"/>
              <w:tabs>
                <w:tab w:val="left" w:pos="4020"/>
                <w:tab w:val="decimal" w:pos="5280"/>
              </w:tabs>
            </w:pPr>
            <w:r>
              <w:t>143.5 cents</w:t>
            </w: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ind w:left="1057" w:hanging="1057"/>
              <w:rPr>
                <w:spacing w:val="-1"/>
              </w:rPr>
            </w:pPr>
            <w:r>
              <w:rPr>
                <w:spacing w:val="-1"/>
              </w:rPr>
              <w:tab/>
              <w:t>(b)</w:t>
            </w:r>
            <w:r>
              <w:rPr>
                <w:spacing w:val="-1"/>
              </w:rPr>
              <w:tab/>
              <w:t>in the case of land classified as commercial residential —</w:t>
            </w:r>
          </w:p>
        </w:tc>
        <w:tc>
          <w:tcPr>
            <w:tcW w:w="1292" w:type="dxa"/>
          </w:tcPr>
          <w:p>
            <w:pPr>
              <w:pStyle w:val="yTableNAm"/>
              <w:tabs>
                <w:tab w:val="left" w:pos="4020"/>
                <w:tab w:val="decimal" w:pos="5280"/>
              </w:tabs>
            </w:pPr>
          </w:p>
        </w:tc>
      </w:tr>
      <w:tr>
        <w:trPr>
          <w:cantSplit/>
        </w:trPr>
        <w:tc>
          <w:tcPr>
            <w:tcW w:w="850" w:type="dxa"/>
          </w:tcPr>
          <w:p>
            <w:pPr>
              <w:pStyle w:val="yTableNAm"/>
            </w:pPr>
          </w:p>
        </w:tc>
        <w:tc>
          <w:tcPr>
            <w:tcW w:w="4236" w:type="dxa"/>
          </w:tcPr>
          <w:p>
            <w:pPr>
              <w:pStyle w:val="yTableNAm"/>
              <w:tabs>
                <w:tab w:val="clear" w:pos="567"/>
                <w:tab w:val="left" w:pos="776"/>
                <w:tab w:val="left" w:pos="1256"/>
                <w:tab w:val="left" w:leader="dot" w:pos="4021"/>
              </w:tabs>
              <w:ind w:left="1256" w:hanging="1256"/>
              <w:rPr>
                <w:spacing w:val="-1"/>
              </w:rPr>
            </w:pPr>
            <w:r>
              <w:rPr>
                <w:spacing w:val="-1"/>
              </w:rPr>
              <w:tab/>
            </w:r>
            <w:r>
              <w:rPr>
                <w:spacing w:val="-1"/>
              </w:rPr>
              <w:tab/>
              <w:t xml:space="preserve">up to 150 kL </w:t>
            </w:r>
            <w:r>
              <w:rPr>
                <w:spacing w:val="-1"/>
              </w:rPr>
              <w:tab/>
            </w:r>
          </w:p>
        </w:tc>
        <w:tc>
          <w:tcPr>
            <w:tcW w:w="1292" w:type="dxa"/>
          </w:tcPr>
          <w:p>
            <w:pPr>
              <w:pStyle w:val="yTableNAm"/>
              <w:tabs>
                <w:tab w:val="left" w:pos="4020"/>
                <w:tab w:val="decimal" w:pos="5280"/>
              </w:tabs>
            </w:pPr>
            <w:r>
              <w:t>98.2 cents</w:t>
            </w:r>
          </w:p>
        </w:tc>
      </w:tr>
      <w:tr>
        <w:trPr>
          <w:cantSplit/>
        </w:trPr>
        <w:tc>
          <w:tcPr>
            <w:tcW w:w="850" w:type="dxa"/>
          </w:tcPr>
          <w:p>
            <w:pPr>
              <w:pStyle w:val="yTableNAm"/>
            </w:pPr>
          </w:p>
        </w:tc>
        <w:tc>
          <w:tcPr>
            <w:tcW w:w="4236" w:type="dxa"/>
          </w:tcPr>
          <w:p>
            <w:pPr>
              <w:pStyle w:val="yTableNAm"/>
              <w:tabs>
                <w:tab w:val="clear" w:pos="567"/>
                <w:tab w:val="left" w:pos="776"/>
                <w:tab w:val="left" w:pos="1256"/>
                <w:tab w:val="left" w:leader="dot" w:pos="4021"/>
              </w:tabs>
              <w:ind w:left="1256" w:hanging="1256"/>
              <w:rPr>
                <w:spacing w:val="-1"/>
              </w:rPr>
            </w:pPr>
            <w:r>
              <w:rPr>
                <w:spacing w:val="-1"/>
              </w:rPr>
              <w:tab/>
            </w:r>
            <w:r>
              <w:rPr>
                <w:spacing w:val="-1"/>
              </w:rPr>
              <w:tab/>
              <w:t xml:space="preserve">over 150 kL but not over 750 kL </w:t>
            </w:r>
            <w:r>
              <w:rPr>
                <w:spacing w:val="-1"/>
              </w:rPr>
              <w:tab/>
            </w:r>
          </w:p>
        </w:tc>
        <w:tc>
          <w:tcPr>
            <w:tcW w:w="1292" w:type="dxa"/>
          </w:tcPr>
          <w:p>
            <w:pPr>
              <w:pStyle w:val="yTableNAm"/>
              <w:tabs>
                <w:tab w:val="left" w:pos="4020"/>
                <w:tab w:val="decimal" w:pos="5280"/>
              </w:tabs>
            </w:pPr>
            <w:r>
              <w:br/>
              <w:t>143.5 cents</w:t>
            </w:r>
          </w:p>
        </w:tc>
      </w:tr>
      <w:tr>
        <w:trPr>
          <w:cantSplit/>
        </w:trPr>
        <w:tc>
          <w:tcPr>
            <w:tcW w:w="850" w:type="dxa"/>
          </w:tcPr>
          <w:p>
            <w:pPr>
              <w:pStyle w:val="yTableNAm"/>
            </w:pPr>
          </w:p>
        </w:tc>
        <w:tc>
          <w:tcPr>
            <w:tcW w:w="4236" w:type="dxa"/>
          </w:tcPr>
          <w:p>
            <w:pPr>
              <w:pStyle w:val="yTableNAm"/>
              <w:tabs>
                <w:tab w:val="clear" w:pos="567"/>
                <w:tab w:val="left" w:pos="776"/>
                <w:tab w:val="left" w:pos="1256"/>
                <w:tab w:val="left" w:leader="dot" w:pos="4021"/>
              </w:tabs>
              <w:ind w:left="1256" w:hanging="1256"/>
              <w:rPr>
                <w:spacing w:val="-1"/>
              </w:rPr>
            </w:pPr>
            <w:r>
              <w:rPr>
                <w:spacing w:val="-1"/>
              </w:rPr>
              <w:tab/>
            </w:r>
            <w:r>
              <w:rPr>
                <w:spacing w:val="-1"/>
              </w:rPr>
              <w:tab/>
              <w:t xml:space="preserve">over 750 kL </w:t>
            </w:r>
            <w:r>
              <w:rPr>
                <w:spacing w:val="-1"/>
              </w:rPr>
              <w:tab/>
            </w:r>
          </w:p>
        </w:tc>
        <w:tc>
          <w:tcPr>
            <w:tcW w:w="1292" w:type="dxa"/>
          </w:tcPr>
          <w:p>
            <w:pPr>
              <w:pStyle w:val="yTableNAm"/>
              <w:tabs>
                <w:tab w:val="left" w:pos="4020"/>
                <w:tab w:val="decimal" w:pos="5280"/>
              </w:tabs>
            </w:pPr>
            <w:r>
              <w:t>143.5 cents</w:t>
            </w:r>
          </w:p>
        </w:tc>
      </w:tr>
      <w:tr>
        <w:trPr>
          <w:cantSplit/>
        </w:trPr>
        <w:tc>
          <w:tcPr>
            <w:tcW w:w="850" w:type="dxa"/>
          </w:tcPr>
          <w:p>
            <w:pPr>
              <w:pStyle w:val="yHeading5"/>
              <w:tabs>
                <w:tab w:val="clear" w:pos="879"/>
              </w:tabs>
              <w:ind w:left="0" w:firstLine="0"/>
            </w:pPr>
            <w:bookmarkStart w:id="611" w:name="_Toc265743557"/>
            <w:r>
              <w:t>25.</w:t>
            </w:r>
            <w:bookmarkEnd w:id="611"/>
          </w:p>
        </w:tc>
        <w:tc>
          <w:tcPr>
            <w:tcW w:w="4236" w:type="dxa"/>
          </w:tcPr>
          <w:p>
            <w:pPr>
              <w:pStyle w:val="yHeading5"/>
              <w:tabs>
                <w:tab w:val="clear" w:pos="879"/>
              </w:tabs>
              <w:ind w:left="0" w:firstLine="0"/>
            </w:pPr>
            <w:bookmarkStart w:id="612" w:name="_Toc265743558"/>
            <w:r>
              <w:t>Connected metropolitan exempt</w:t>
            </w:r>
            <w:bookmarkEnd w:id="612"/>
          </w:p>
        </w:tc>
        <w:tc>
          <w:tcPr>
            <w:tcW w:w="1292" w:type="dxa"/>
          </w:tcPr>
          <w:p>
            <w:pPr>
              <w:pStyle w:val="yHeading5"/>
              <w:tabs>
                <w:tab w:val="clear" w:pos="879"/>
              </w:tabs>
              <w:ind w:left="0" w:firstLine="0"/>
            </w:pP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For each kilolitre of water, not being water for which a charge is otherwise provided in item 29 or 31, supplied to land described in by</w:t>
            </w:r>
            <w:r>
              <w:rPr>
                <w:spacing w:val="-1"/>
              </w:rPr>
              <w:noBreakHyphen/>
              <w:t>law 4 that is in the metropolitan area and that is not classified as residential —</w:t>
            </w:r>
          </w:p>
        </w:tc>
        <w:tc>
          <w:tcPr>
            <w:tcW w:w="1292" w:type="dxa"/>
          </w:tcPr>
          <w:p>
            <w:pPr>
              <w:pStyle w:val="yTableNAm"/>
              <w:tabs>
                <w:tab w:val="left" w:pos="4020"/>
                <w:tab w:val="decimal" w:pos="5280"/>
              </w:tabs>
            </w:pP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 xml:space="preserve">up to 600 kL </w:t>
            </w:r>
            <w:r>
              <w:rPr>
                <w:spacing w:val="-1"/>
              </w:rPr>
              <w:tab/>
            </w:r>
          </w:p>
        </w:tc>
        <w:tc>
          <w:tcPr>
            <w:tcW w:w="1292" w:type="dxa"/>
          </w:tcPr>
          <w:p>
            <w:pPr>
              <w:pStyle w:val="yTableNAm"/>
              <w:tabs>
                <w:tab w:val="left" w:pos="4020"/>
                <w:tab w:val="decimal" w:pos="5280"/>
              </w:tabs>
            </w:pPr>
            <w:r>
              <w:t>143.5 cents</w:t>
            </w: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 xml:space="preserve">over 600 kL but not over 1 100 000 kL </w:t>
            </w:r>
            <w:r>
              <w:rPr>
                <w:spacing w:val="-1"/>
              </w:rPr>
              <w:tab/>
            </w:r>
          </w:p>
        </w:tc>
        <w:tc>
          <w:tcPr>
            <w:tcW w:w="1292" w:type="dxa"/>
          </w:tcPr>
          <w:p>
            <w:pPr>
              <w:pStyle w:val="yTableNAm"/>
              <w:tabs>
                <w:tab w:val="left" w:pos="4020"/>
                <w:tab w:val="decimal" w:pos="5280"/>
              </w:tabs>
            </w:pPr>
            <w:r>
              <w:t>143.5 cents</w:t>
            </w: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 xml:space="preserve">over 1 100 000 kL </w:t>
            </w:r>
            <w:r>
              <w:rPr>
                <w:spacing w:val="-1"/>
              </w:rPr>
              <w:tab/>
            </w:r>
          </w:p>
        </w:tc>
        <w:tc>
          <w:tcPr>
            <w:tcW w:w="1292" w:type="dxa"/>
          </w:tcPr>
          <w:p>
            <w:pPr>
              <w:pStyle w:val="yTableNAm"/>
              <w:tabs>
                <w:tab w:val="left" w:pos="4020"/>
                <w:tab w:val="decimal" w:pos="5280"/>
              </w:tabs>
            </w:pPr>
            <w:r>
              <w:t>143.5 cents</w:t>
            </w:r>
          </w:p>
        </w:tc>
      </w:tr>
      <w:tr>
        <w:trPr>
          <w:cantSplit/>
        </w:trPr>
        <w:tc>
          <w:tcPr>
            <w:tcW w:w="850" w:type="dxa"/>
          </w:tcPr>
          <w:p>
            <w:pPr>
              <w:pStyle w:val="yHeading5"/>
              <w:tabs>
                <w:tab w:val="clear" w:pos="879"/>
              </w:tabs>
              <w:ind w:left="0" w:firstLine="0"/>
            </w:pPr>
            <w:bookmarkStart w:id="613" w:name="_Toc265743559"/>
            <w:r>
              <w:t>26.</w:t>
            </w:r>
            <w:bookmarkEnd w:id="613"/>
          </w:p>
        </w:tc>
        <w:tc>
          <w:tcPr>
            <w:tcW w:w="4236" w:type="dxa"/>
          </w:tcPr>
          <w:p>
            <w:pPr>
              <w:pStyle w:val="yHeading5"/>
              <w:tabs>
                <w:tab w:val="clear" w:pos="879"/>
              </w:tabs>
              <w:ind w:left="0" w:firstLine="0"/>
            </w:pPr>
            <w:bookmarkStart w:id="614" w:name="_Toc265743560"/>
            <w:r>
              <w:t>Connected non</w:t>
            </w:r>
            <w:r>
              <w:noBreakHyphen/>
              <w:t>metropolitan residential exempt</w:t>
            </w:r>
            <w:bookmarkEnd w:id="614"/>
          </w:p>
        </w:tc>
        <w:tc>
          <w:tcPr>
            <w:tcW w:w="1292" w:type="dxa"/>
          </w:tcPr>
          <w:p>
            <w:pPr>
              <w:pStyle w:val="yHeading5"/>
              <w:tabs>
                <w:tab w:val="clear" w:pos="879"/>
              </w:tabs>
              <w:ind w:left="0" w:firstLine="0"/>
            </w:pP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For each kilolitre of water, not being water for which a charge is otherwise specifically provided in this Division, supplied to land described in by</w:t>
            </w:r>
            <w:r>
              <w:rPr>
                <w:spacing w:val="-1"/>
              </w:rPr>
              <w:noBreakHyphen/>
              <w:t>law 4 that is comprised in a residential property and is not in the metropolitan area —</w:t>
            </w:r>
          </w:p>
        </w:tc>
        <w:tc>
          <w:tcPr>
            <w:tcW w:w="1292" w:type="dxa"/>
          </w:tcPr>
          <w:p>
            <w:pPr>
              <w:pStyle w:val="yTableNAm"/>
              <w:tabs>
                <w:tab w:val="left" w:pos="4020"/>
                <w:tab w:val="decimal" w:pos="5280"/>
              </w:tabs>
            </w:pP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 xml:space="preserve">up to 300 kL </w:t>
            </w:r>
            <w:r>
              <w:rPr>
                <w:spacing w:val="-1"/>
              </w:rPr>
              <w:tab/>
            </w:r>
          </w:p>
        </w:tc>
        <w:tc>
          <w:tcPr>
            <w:tcW w:w="1292" w:type="dxa"/>
          </w:tcPr>
          <w:p>
            <w:pPr>
              <w:pStyle w:val="yTableNAm"/>
              <w:tabs>
                <w:tab w:val="left" w:pos="4020"/>
                <w:tab w:val="decimal" w:pos="5280"/>
              </w:tabs>
            </w:pPr>
            <w:r>
              <w:t>134.7 cents</w:t>
            </w: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 xml:space="preserve">over 300 kL </w:t>
            </w:r>
            <w:r>
              <w:rPr>
                <w:spacing w:val="-1"/>
              </w:rPr>
              <w:tab/>
            </w:r>
          </w:p>
        </w:tc>
        <w:tc>
          <w:tcPr>
            <w:tcW w:w="1292" w:type="dxa"/>
          </w:tcPr>
          <w:p>
            <w:pPr>
              <w:pStyle w:val="yTableNAm"/>
              <w:tabs>
                <w:tab w:val="left" w:pos="4020"/>
                <w:tab w:val="decimal" w:pos="5280"/>
              </w:tabs>
            </w:pPr>
            <w:r>
              <w:t>180.5 cents</w:t>
            </w:r>
          </w:p>
        </w:tc>
      </w:tr>
      <w:tr>
        <w:trPr>
          <w:cantSplit/>
        </w:trPr>
        <w:tc>
          <w:tcPr>
            <w:tcW w:w="850" w:type="dxa"/>
          </w:tcPr>
          <w:p>
            <w:pPr>
              <w:pStyle w:val="yHeading5"/>
              <w:tabs>
                <w:tab w:val="clear" w:pos="879"/>
              </w:tabs>
              <w:ind w:left="0" w:firstLine="0"/>
            </w:pPr>
            <w:bookmarkStart w:id="615" w:name="_Toc265743561"/>
            <w:r>
              <w:t>27.</w:t>
            </w:r>
            <w:bookmarkEnd w:id="615"/>
          </w:p>
        </w:tc>
        <w:tc>
          <w:tcPr>
            <w:tcW w:w="4236" w:type="dxa"/>
          </w:tcPr>
          <w:p>
            <w:pPr>
              <w:pStyle w:val="yHeading5"/>
              <w:tabs>
                <w:tab w:val="clear" w:pos="879"/>
              </w:tabs>
              <w:ind w:left="0" w:firstLine="0"/>
            </w:pPr>
            <w:bookmarkStart w:id="616" w:name="_Toc265743562"/>
            <w:r>
              <w:t>Non</w:t>
            </w:r>
            <w:r>
              <w:noBreakHyphen/>
              <w:t>metropolitan non</w:t>
            </w:r>
            <w:r>
              <w:noBreakHyphen/>
              <w:t>residential</w:t>
            </w:r>
            <w:bookmarkEnd w:id="616"/>
          </w:p>
        </w:tc>
        <w:tc>
          <w:tcPr>
            <w:tcW w:w="1292" w:type="dxa"/>
          </w:tcPr>
          <w:p>
            <w:pPr>
              <w:pStyle w:val="yHeading5"/>
              <w:tabs>
                <w:tab w:val="clear" w:pos="879"/>
              </w:tabs>
              <w:ind w:left="0" w:firstLine="0"/>
            </w:pP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For each kilolitre of water, not being water for which a charge is otherwise specifically provided in this Division, supplied to land that is not in the metropolitan area and that is neither comprised in a residential property, nor any other land classified as vacant land and held for residential purposes, where the land is classified as — </w:t>
            </w:r>
          </w:p>
        </w:tc>
        <w:tc>
          <w:tcPr>
            <w:tcW w:w="1292" w:type="dxa"/>
          </w:tcPr>
          <w:p>
            <w:pPr>
              <w:pStyle w:val="yTableNAm"/>
              <w:tabs>
                <w:tab w:val="left" w:pos="4020"/>
                <w:tab w:val="decimal" w:pos="5280"/>
              </w:tabs>
            </w:pP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ab/>
              <w:t>(a)</w:t>
            </w:r>
            <w:r>
              <w:rPr>
                <w:spacing w:val="-1"/>
              </w:rPr>
              <w:tab/>
              <w:t>government —</w:t>
            </w:r>
          </w:p>
        </w:tc>
        <w:tc>
          <w:tcPr>
            <w:tcW w:w="1292" w:type="dxa"/>
          </w:tcPr>
          <w:p>
            <w:pPr>
              <w:pStyle w:val="yTableNAm"/>
              <w:tabs>
                <w:tab w:val="left" w:pos="4020"/>
                <w:tab w:val="decimal" w:pos="5280"/>
              </w:tabs>
            </w:pPr>
          </w:p>
        </w:tc>
      </w:tr>
      <w:tr>
        <w:trPr>
          <w:cantSplit/>
        </w:trPr>
        <w:tc>
          <w:tcPr>
            <w:tcW w:w="850" w:type="dxa"/>
          </w:tcPr>
          <w:p>
            <w:pPr>
              <w:pStyle w:val="yTableNAm"/>
            </w:pPr>
          </w:p>
        </w:tc>
        <w:tc>
          <w:tcPr>
            <w:tcW w:w="4236" w:type="dxa"/>
          </w:tcPr>
          <w:p>
            <w:pPr>
              <w:pStyle w:val="yTableNAm"/>
              <w:tabs>
                <w:tab w:val="left" w:pos="1057"/>
                <w:tab w:val="left" w:leader="dot" w:pos="4021"/>
              </w:tabs>
              <w:rPr>
                <w:spacing w:val="-1"/>
              </w:rPr>
            </w:pPr>
            <w:r>
              <w:rPr>
                <w:spacing w:val="-1"/>
              </w:rPr>
              <w:tab/>
            </w:r>
            <w:r>
              <w:rPr>
                <w:spacing w:val="-1"/>
              </w:rPr>
              <w:tab/>
              <w:t xml:space="preserve">up to 300 kL </w:t>
            </w:r>
            <w:r>
              <w:rPr>
                <w:spacing w:val="-1"/>
              </w:rPr>
              <w:tab/>
            </w:r>
          </w:p>
        </w:tc>
        <w:tc>
          <w:tcPr>
            <w:tcW w:w="1292" w:type="dxa"/>
          </w:tcPr>
          <w:p>
            <w:pPr>
              <w:pStyle w:val="yTableNAm"/>
              <w:tabs>
                <w:tab w:val="left" w:pos="4020"/>
                <w:tab w:val="decimal" w:pos="5280"/>
              </w:tabs>
            </w:pPr>
            <w:r>
              <w:t>134.7 cents</w:t>
            </w:r>
          </w:p>
        </w:tc>
      </w:tr>
      <w:tr>
        <w:trPr>
          <w:cantSplit/>
        </w:trPr>
        <w:tc>
          <w:tcPr>
            <w:tcW w:w="850" w:type="dxa"/>
          </w:tcPr>
          <w:p>
            <w:pPr>
              <w:pStyle w:val="yTableNAm"/>
            </w:pPr>
          </w:p>
        </w:tc>
        <w:tc>
          <w:tcPr>
            <w:tcW w:w="4236" w:type="dxa"/>
          </w:tcPr>
          <w:p>
            <w:pPr>
              <w:pStyle w:val="yTableNAm"/>
              <w:tabs>
                <w:tab w:val="left" w:pos="1057"/>
                <w:tab w:val="left" w:leader="dot" w:pos="4021"/>
              </w:tabs>
              <w:ind w:left="1057" w:hanging="1057"/>
              <w:rPr>
                <w:spacing w:val="-1"/>
              </w:rPr>
            </w:pPr>
            <w:r>
              <w:rPr>
                <w:spacing w:val="-1"/>
              </w:rPr>
              <w:tab/>
            </w:r>
            <w:r>
              <w:rPr>
                <w:spacing w:val="-1"/>
              </w:rPr>
              <w:tab/>
              <w:t xml:space="preserve">over 300 kL </w:t>
            </w:r>
            <w:r>
              <w:rPr>
                <w:spacing w:val="-1"/>
              </w:rPr>
              <w:tab/>
            </w:r>
          </w:p>
        </w:tc>
        <w:tc>
          <w:tcPr>
            <w:tcW w:w="1292" w:type="dxa"/>
          </w:tcPr>
          <w:p>
            <w:pPr>
              <w:pStyle w:val="yTableNAm"/>
              <w:tabs>
                <w:tab w:val="left" w:pos="4020"/>
                <w:tab w:val="decimal" w:pos="5280"/>
              </w:tabs>
            </w:pPr>
            <w:r>
              <w:t>180.5 cents</w:t>
            </w:r>
          </w:p>
        </w:tc>
      </w:tr>
      <w:tr>
        <w:trPr>
          <w:cantSplit/>
        </w:trPr>
        <w:tc>
          <w:tcPr>
            <w:tcW w:w="850" w:type="dxa"/>
          </w:tcPr>
          <w:p>
            <w:pPr>
              <w:pStyle w:val="yTableNAm"/>
            </w:pPr>
          </w:p>
        </w:tc>
        <w:tc>
          <w:tcPr>
            <w:tcW w:w="4236" w:type="dxa"/>
          </w:tcPr>
          <w:p>
            <w:pPr>
              <w:pStyle w:val="yTableNAm"/>
              <w:tabs>
                <w:tab w:val="left" w:pos="1057"/>
                <w:tab w:val="left" w:leader="dot" w:pos="4021"/>
              </w:tabs>
              <w:ind w:left="1057" w:hanging="1057"/>
              <w:rPr>
                <w:spacing w:val="-1"/>
              </w:rPr>
            </w:pPr>
            <w:r>
              <w:rPr>
                <w:spacing w:val="-1"/>
              </w:rPr>
              <w:tab/>
              <w:t>(b)</w:t>
            </w:r>
            <w:r>
              <w:rPr>
                <w:spacing w:val="-1"/>
              </w:rPr>
              <w:tab/>
              <w:t>non</w:t>
            </w:r>
            <w:r>
              <w:rPr>
                <w:spacing w:val="-1"/>
              </w:rPr>
              <w:noBreakHyphen/>
              <w:t>residential or vacant land (according to the non</w:t>
            </w:r>
            <w:r>
              <w:rPr>
                <w:spacing w:val="-1"/>
              </w:rPr>
              <w:noBreakHyphen/>
              <w:t>residential classification of the town/area in which that property is situated, as set out in Schedule 10) —</w:t>
            </w:r>
          </w:p>
        </w:tc>
        <w:tc>
          <w:tcPr>
            <w:tcW w:w="1292" w:type="dxa"/>
          </w:tcPr>
          <w:p>
            <w:pPr>
              <w:pStyle w:val="yTableNAm"/>
              <w:tabs>
                <w:tab w:val="left" w:pos="4020"/>
                <w:tab w:val="decimal" w:pos="5280"/>
              </w:tabs>
            </w:pPr>
          </w:p>
        </w:tc>
      </w:tr>
    </w:tbl>
    <w:p>
      <w:pPr>
        <w:rPr>
          <w:sz w:val="18"/>
        </w:rPr>
      </w:pPr>
    </w:p>
    <w:tbl>
      <w:tblPr>
        <w:tblW w:w="6378" w:type="dxa"/>
        <w:tblInd w:w="454" w:type="dxa"/>
        <w:tblLayout w:type="fixed"/>
        <w:tblCellMar>
          <w:left w:w="28" w:type="dxa"/>
          <w:right w:w="28" w:type="dxa"/>
        </w:tblCellMar>
        <w:tblLook w:val="0000" w:firstRow="0" w:lastRow="0" w:firstColumn="0" w:lastColumn="0" w:noHBand="0" w:noVBand="0"/>
      </w:tblPr>
      <w:tblGrid>
        <w:gridCol w:w="1854"/>
        <w:gridCol w:w="2262"/>
        <w:gridCol w:w="2262"/>
      </w:tblGrid>
      <w:tr>
        <w:trPr>
          <w:cantSplit/>
          <w:trHeight w:val="217"/>
          <w:tblHeader/>
        </w:trPr>
        <w:tc>
          <w:tcPr>
            <w:tcW w:w="1854" w:type="dxa"/>
            <w:vMerge w:val="restart"/>
            <w:tcBorders>
              <w:top w:val="single" w:sz="4" w:space="0" w:color="auto"/>
            </w:tcBorders>
          </w:tcPr>
          <w:p>
            <w:pPr>
              <w:pStyle w:val="yTableNAm"/>
              <w:rPr>
                <w:b/>
                <w:bCs/>
              </w:rPr>
            </w:pPr>
            <w:r>
              <w:rPr>
                <w:b/>
                <w:bCs/>
              </w:rPr>
              <w:t>Class</w:t>
            </w:r>
          </w:p>
        </w:tc>
        <w:tc>
          <w:tcPr>
            <w:tcW w:w="4524" w:type="dxa"/>
            <w:gridSpan w:val="2"/>
            <w:tcBorders>
              <w:top w:val="single" w:sz="4" w:space="0" w:color="auto"/>
            </w:tcBorders>
          </w:tcPr>
          <w:p>
            <w:pPr>
              <w:pStyle w:val="yTableNAm"/>
              <w:tabs>
                <w:tab w:val="clear" w:pos="567"/>
                <w:tab w:val="decimal" w:pos="1172"/>
              </w:tabs>
              <w:jc w:val="center"/>
              <w:rPr>
                <w:b/>
                <w:bCs/>
              </w:rPr>
            </w:pPr>
            <w:r>
              <w:rPr>
                <w:b/>
                <w:bCs/>
              </w:rPr>
              <w:t>Consumption (kL)</w:t>
            </w:r>
          </w:p>
        </w:tc>
      </w:tr>
      <w:tr>
        <w:trPr>
          <w:cantSplit/>
          <w:trHeight w:val="217"/>
          <w:tblHeader/>
        </w:trPr>
        <w:tc>
          <w:tcPr>
            <w:tcW w:w="1854" w:type="dxa"/>
            <w:vMerge/>
            <w:tcBorders>
              <w:bottom w:val="single" w:sz="4" w:space="0" w:color="auto"/>
            </w:tcBorders>
          </w:tcPr>
          <w:p>
            <w:pPr>
              <w:pStyle w:val="yTableNAm"/>
            </w:pPr>
          </w:p>
        </w:tc>
        <w:tc>
          <w:tcPr>
            <w:tcW w:w="2262" w:type="dxa"/>
            <w:tcBorders>
              <w:bottom w:val="single" w:sz="4" w:space="0" w:color="auto"/>
            </w:tcBorders>
          </w:tcPr>
          <w:p>
            <w:pPr>
              <w:pStyle w:val="yTableNAm"/>
              <w:tabs>
                <w:tab w:val="clear" w:pos="567"/>
              </w:tabs>
              <w:jc w:val="center"/>
              <w:rPr>
                <w:b/>
                <w:bCs/>
              </w:rPr>
            </w:pPr>
            <w:r>
              <w:rPr>
                <w:b/>
                <w:bCs/>
              </w:rPr>
              <w:t>Up to 300</w:t>
            </w:r>
          </w:p>
        </w:tc>
        <w:tc>
          <w:tcPr>
            <w:tcW w:w="2262" w:type="dxa"/>
            <w:tcBorders>
              <w:bottom w:val="single" w:sz="4" w:space="0" w:color="auto"/>
            </w:tcBorders>
          </w:tcPr>
          <w:p>
            <w:pPr>
              <w:pStyle w:val="yTableNAm"/>
              <w:tabs>
                <w:tab w:val="clear" w:pos="567"/>
              </w:tabs>
              <w:jc w:val="center"/>
              <w:rPr>
                <w:b/>
                <w:bCs/>
              </w:rPr>
            </w:pPr>
            <w:r>
              <w:rPr>
                <w:b/>
                <w:bCs/>
              </w:rPr>
              <w:t>Over 300</w:t>
            </w:r>
          </w:p>
        </w:tc>
      </w:tr>
      <w:tr>
        <w:tc>
          <w:tcPr>
            <w:tcW w:w="1854" w:type="dxa"/>
            <w:tcBorders>
              <w:top w:val="single" w:sz="4" w:space="0" w:color="auto"/>
            </w:tcBorders>
          </w:tcPr>
          <w:p>
            <w:pPr>
              <w:pStyle w:val="yTableNAm"/>
            </w:pPr>
            <w:r>
              <w:t>Class 1 (c/kL)</w:t>
            </w:r>
          </w:p>
        </w:tc>
        <w:tc>
          <w:tcPr>
            <w:tcW w:w="2262" w:type="dxa"/>
            <w:tcBorders>
              <w:top w:val="single" w:sz="4" w:space="0" w:color="auto"/>
            </w:tcBorders>
          </w:tcPr>
          <w:p>
            <w:pPr>
              <w:pStyle w:val="yTableNAm"/>
              <w:tabs>
                <w:tab w:val="clear" w:pos="567"/>
                <w:tab w:val="decimal" w:pos="1172"/>
              </w:tabs>
            </w:pPr>
            <w:r>
              <w:t>134.7</w:t>
            </w:r>
          </w:p>
        </w:tc>
        <w:tc>
          <w:tcPr>
            <w:tcW w:w="2262" w:type="dxa"/>
            <w:tcBorders>
              <w:top w:val="single" w:sz="4" w:space="0" w:color="auto"/>
            </w:tcBorders>
          </w:tcPr>
          <w:p>
            <w:pPr>
              <w:pStyle w:val="yTableNAm"/>
              <w:tabs>
                <w:tab w:val="clear" w:pos="567"/>
                <w:tab w:val="decimal" w:pos="1172"/>
              </w:tabs>
            </w:pPr>
            <w:r>
              <w:t>180.5</w:t>
            </w:r>
          </w:p>
        </w:tc>
      </w:tr>
      <w:tr>
        <w:tc>
          <w:tcPr>
            <w:tcW w:w="1854" w:type="dxa"/>
          </w:tcPr>
          <w:p>
            <w:pPr>
              <w:pStyle w:val="yTableNAm"/>
            </w:pPr>
            <w:r>
              <w:t>Class 2 (c/kL)</w:t>
            </w:r>
          </w:p>
        </w:tc>
        <w:tc>
          <w:tcPr>
            <w:tcW w:w="2262" w:type="dxa"/>
          </w:tcPr>
          <w:p>
            <w:pPr>
              <w:pStyle w:val="yTableNAm"/>
              <w:tabs>
                <w:tab w:val="clear" w:pos="567"/>
                <w:tab w:val="decimal" w:pos="1172"/>
              </w:tabs>
            </w:pPr>
            <w:r>
              <w:t>149.7</w:t>
            </w:r>
          </w:p>
        </w:tc>
        <w:tc>
          <w:tcPr>
            <w:tcW w:w="2262" w:type="dxa"/>
          </w:tcPr>
          <w:p>
            <w:pPr>
              <w:pStyle w:val="yTableNAm"/>
              <w:tabs>
                <w:tab w:val="clear" w:pos="567"/>
                <w:tab w:val="decimal" w:pos="1172"/>
              </w:tabs>
            </w:pPr>
            <w:r>
              <w:t>196.6</w:t>
            </w:r>
          </w:p>
        </w:tc>
      </w:tr>
      <w:tr>
        <w:tc>
          <w:tcPr>
            <w:tcW w:w="1854" w:type="dxa"/>
          </w:tcPr>
          <w:p>
            <w:pPr>
              <w:pStyle w:val="yTableNAm"/>
            </w:pPr>
            <w:r>
              <w:t>Class 3 (c/kL)</w:t>
            </w:r>
          </w:p>
        </w:tc>
        <w:tc>
          <w:tcPr>
            <w:tcW w:w="2262" w:type="dxa"/>
          </w:tcPr>
          <w:p>
            <w:pPr>
              <w:pStyle w:val="yTableNAm"/>
              <w:tabs>
                <w:tab w:val="clear" w:pos="567"/>
                <w:tab w:val="decimal" w:pos="1172"/>
              </w:tabs>
            </w:pPr>
            <w:r>
              <w:t>166.2</w:t>
            </w:r>
          </w:p>
        </w:tc>
        <w:tc>
          <w:tcPr>
            <w:tcW w:w="2262" w:type="dxa"/>
          </w:tcPr>
          <w:p>
            <w:pPr>
              <w:pStyle w:val="yTableNAm"/>
              <w:tabs>
                <w:tab w:val="clear" w:pos="567"/>
                <w:tab w:val="decimal" w:pos="1172"/>
              </w:tabs>
            </w:pPr>
            <w:r>
              <w:t>213.9</w:t>
            </w:r>
          </w:p>
        </w:tc>
      </w:tr>
      <w:tr>
        <w:tc>
          <w:tcPr>
            <w:tcW w:w="1854" w:type="dxa"/>
          </w:tcPr>
          <w:p>
            <w:pPr>
              <w:pStyle w:val="yTableNAm"/>
            </w:pPr>
            <w:r>
              <w:t>Class 4 (c/kL)</w:t>
            </w:r>
          </w:p>
        </w:tc>
        <w:tc>
          <w:tcPr>
            <w:tcW w:w="2262" w:type="dxa"/>
          </w:tcPr>
          <w:p>
            <w:pPr>
              <w:pStyle w:val="yTableNAm"/>
              <w:tabs>
                <w:tab w:val="clear" w:pos="567"/>
                <w:tab w:val="decimal" w:pos="1172"/>
              </w:tabs>
            </w:pPr>
            <w:r>
              <w:t>184.5</w:t>
            </w:r>
          </w:p>
        </w:tc>
        <w:tc>
          <w:tcPr>
            <w:tcW w:w="2262" w:type="dxa"/>
          </w:tcPr>
          <w:p>
            <w:pPr>
              <w:pStyle w:val="yTableNAm"/>
              <w:tabs>
                <w:tab w:val="clear" w:pos="567"/>
                <w:tab w:val="decimal" w:pos="1172"/>
              </w:tabs>
            </w:pPr>
            <w:r>
              <w:t>233.0</w:t>
            </w:r>
          </w:p>
        </w:tc>
      </w:tr>
      <w:tr>
        <w:tc>
          <w:tcPr>
            <w:tcW w:w="1854" w:type="dxa"/>
          </w:tcPr>
          <w:p>
            <w:pPr>
              <w:pStyle w:val="yTableNAm"/>
            </w:pPr>
            <w:r>
              <w:t>Class 5 (c/kL)</w:t>
            </w:r>
          </w:p>
        </w:tc>
        <w:tc>
          <w:tcPr>
            <w:tcW w:w="2262" w:type="dxa"/>
          </w:tcPr>
          <w:p>
            <w:pPr>
              <w:pStyle w:val="yTableNAm"/>
              <w:tabs>
                <w:tab w:val="clear" w:pos="567"/>
                <w:tab w:val="decimal" w:pos="1172"/>
              </w:tabs>
            </w:pPr>
            <w:r>
              <w:t>205.0</w:t>
            </w:r>
          </w:p>
        </w:tc>
        <w:tc>
          <w:tcPr>
            <w:tcW w:w="2262" w:type="dxa"/>
          </w:tcPr>
          <w:p>
            <w:pPr>
              <w:pStyle w:val="yTableNAm"/>
              <w:tabs>
                <w:tab w:val="clear" w:pos="567"/>
                <w:tab w:val="decimal" w:pos="1172"/>
              </w:tabs>
            </w:pPr>
            <w:r>
              <w:t>253.7</w:t>
            </w:r>
          </w:p>
        </w:tc>
      </w:tr>
      <w:tr>
        <w:tc>
          <w:tcPr>
            <w:tcW w:w="1854" w:type="dxa"/>
          </w:tcPr>
          <w:p>
            <w:pPr>
              <w:pStyle w:val="yTableNAm"/>
            </w:pPr>
            <w:r>
              <w:t>Class 6 (c/kL)</w:t>
            </w:r>
          </w:p>
        </w:tc>
        <w:tc>
          <w:tcPr>
            <w:tcW w:w="2262" w:type="dxa"/>
          </w:tcPr>
          <w:p>
            <w:pPr>
              <w:pStyle w:val="yTableNAm"/>
              <w:tabs>
                <w:tab w:val="clear" w:pos="567"/>
                <w:tab w:val="decimal" w:pos="1172"/>
              </w:tabs>
            </w:pPr>
            <w:r>
              <w:t>222.8</w:t>
            </w:r>
          </w:p>
        </w:tc>
        <w:tc>
          <w:tcPr>
            <w:tcW w:w="2262" w:type="dxa"/>
          </w:tcPr>
          <w:p>
            <w:pPr>
              <w:pStyle w:val="yTableNAm"/>
              <w:tabs>
                <w:tab w:val="clear" w:pos="567"/>
                <w:tab w:val="decimal" w:pos="1172"/>
              </w:tabs>
            </w:pPr>
            <w:r>
              <w:t>276.3</w:t>
            </w:r>
          </w:p>
        </w:tc>
      </w:tr>
      <w:tr>
        <w:tc>
          <w:tcPr>
            <w:tcW w:w="1854" w:type="dxa"/>
          </w:tcPr>
          <w:p>
            <w:pPr>
              <w:pStyle w:val="yTableNAm"/>
            </w:pPr>
            <w:r>
              <w:t>Class 7 (c/kL)</w:t>
            </w:r>
          </w:p>
        </w:tc>
        <w:tc>
          <w:tcPr>
            <w:tcW w:w="2262" w:type="dxa"/>
          </w:tcPr>
          <w:p>
            <w:pPr>
              <w:pStyle w:val="yTableNAm"/>
              <w:tabs>
                <w:tab w:val="clear" w:pos="567"/>
                <w:tab w:val="decimal" w:pos="1172"/>
              </w:tabs>
            </w:pPr>
            <w:r>
              <w:t>242.1</w:t>
            </w:r>
          </w:p>
        </w:tc>
        <w:tc>
          <w:tcPr>
            <w:tcW w:w="2262" w:type="dxa"/>
          </w:tcPr>
          <w:p>
            <w:pPr>
              <w:pStyle w:val="yTableNAm"/>
              <w:tabs>
                <w:tab w:val="clear" w:pos="567"/>
                <w:tab w:val="decimal" w:pos="1172"/>
              </w:tabs>
            </w:pPr>
            <w:r>
              <w:t>300.9</w:t>
            </w:r>
          </w:p>
        </w:tc>
      </w:tr>
      <w:tr>
        <w:tc>
          <w:tcPr>
            <w:tcW w:w="1854" w:type="dxa"/>
          </w:tcPr>
          <w:p>
            <w:pPr>
              <w:pStyle w:val="yTableNAm"/>
            </w:pPr>
            <w:r>
              <w:t>Class 8 (c/kL)</w:t>
            </w:r>
          </w:p>
        </w:tc>
        <w:tc>
          <w:tcPr>
            <w:tcW w:w="2262" w:type="dxa"/>
          </w:tcPr>
          <w:p>
            <w:pPr>
              <w:pStyle w:val="yTableNAm"/>
              <w:tabs>
                <w:tab w:val="clear" w:pos="567"/>
                <w:tab w:val="decimal" w:pos="1172"/>
              </w:tabs>
            </w:pPr>
            <w:r>
              <w:t>261.4</w:t>
            </w:r>
          </w:p>
        </w:tc>
        <w:tc>
          <w:tcPr>
            <w:tcW w:w="2262" w:type="dxa"/>
          </w:tcPr>
          <w:p>
            <w:pPr>
              <w:pStyle w:val="yTableNAm"/>
              <w:tabs>
                <w:tab w:val="clear" w:pos="567"/>
                <w:tab w:val="decimal" w:pos="1172"/>
              </w:tabs>
            </w:pPr>
            <w:r>
              <w:t>327.6</w:t>
            </w:r>
          </w:p>
        </w:tc>
      </w:tr>
      <w:tr>
        <w:tc>
          <w:tcPr>
            <w:tcW w:w="1854" w:type="dxa"/>
          </w:tcPr>
          <w:p>
            <w:pPr>
              <w:pStyle w:val="yTableNAm"/>
            </w:pPr>
            <w:r>
              <w:t>Class 9 (c/kL)</w:t>
            </w:r>
          </w:p>
        </w:tc>
        <w:tc>
          <w:tcPr>
            <w:tcW w:w="2262" w:type="dxa"/>
          </w:tcPr>
          <w:p>
            <w:pPr>
              <w:pStyle w:val="yTableNAm"/>
              <w:tabs>
                <w:tab w:val="clear" w:pos="567"/>
                <w:tab w:val="decimal" w:pos="1172"/>
              </w:tabs>
            </w:pPr>
            <w:r>
              <w:t>282.1</w:t>
            </w:r>
          </w:p>
        </w:tc>
        <w:tc>
          <w:tcPr>
            <w:tcW w:w="2262" w:type="dxa"/>
          </w:tcPr>
          <w:p>
            <w:pPr>
              <w:pStyle w:val="yTableNAm"/>
              <w:tabs>
                <w:tab w:val="clear" w:pos="567"/>
                <w:tab w:val="decimal" w:pos="1172"/>
              </w:tabs>
            </w:pPr>
            <w:r>
              <w:t>356.7</w:t>
            </w:r>
          </w:p>
        </w:tc>
      </w:tr>
      <w:tr>
        <w:tc>
          <w:tcPr>
            <w:tcW w:w="1854" w:type="dxa"/>
          </w:tcPr>
          <w:p>
            <w:pPr>
              <w:pStyle w:val="yTableNAm"/>
            </w:pPr>
            <w:r>
              <w:t>Class 10 (c/kL)</w:t>
            </w:r>
          </w:p>
        </w:tc>
        <w:tc>
          <w:tcPr>
            <w:tcW w:w="2262" w:type="dxa"/>
          </w:tcPr>
          <w:p>
            <w:pPr>
              <w:pStyle w:val="yTableNAm"/>
              <w:tabs>
                <w:tab w:val="clear" w:pos="567"/>
                <w:tab w:val="decimal" w:pos="1172"/>
              </w:tabs>
            </w:pPr>
            <w:r>
              <w:t>296.9</w:t>
            </w:r>
          </w:p>
        </w:tc>
        <w:tc>
          <w:tcPr>
            <w:tcW w:w="2262" w:type="dxa"/>
          </w:tcPr>
          <w:p>
            <w:pPr>
              <w:pStyle w:val="yTableNAm"/>
              <w:tabs>
                <w:tab w:val="clear" w:pos="567"/>
                <w:tab w:val="decimal" w:pos="1172"/>
              </w:tabs>
            </w:pPr>
            <w:r>
              <w:t>388.5</w:t>
            </w:r>
          </w:p>
        </w:tc>
      </w:tr>
      <w:tr>
        <w:tc>
          <w:tcPr>
            <w:tcW w:w="1854" w:type="dxa"/>
          </w:tcPr>
          <w:p>
            <w:pPr>
              <w:pStyle w:val="yTableNAm"/>
            </w:pPr>
            <w:r>
              <w:t>Class 11 (c/kL)</w:t>
            </w:r>
          </w:p>
        </w:tc>
        <w:tc>
          <w:tcPr>
            <w:tcW w:w="2262" w:type="dxa"/>
          </w:tcPr>
          <w:p>
            <w:pPr>
              <w:pStyle w:val="yTableNAm"/>
              <w:tabs>
                <w:tab w:val="clear" w:pos="567"/>
                <w:tab w:val="decimal" w:pos="1172"/>
              </w:tabs>
            </w:pPr>
            <w:r>
              <w:t>325.3</w:t>
            </w:r>
          </w:p>
        </w:tc>
        <w:tc>
          <w:tcPr>
            <w:tcW w:w="2262" w:type="dxa"/>
          </w:tcPr>
          <w:p>
            <w:pPr>
              <w:pStyle w:val="yTableNAm"/>
              <w:tabs>
                <w:tab w:val="clear" w:pos="567"/>
                <w:tab w:val="decimal" w:pos="1172"/>
              </w:tabs>
            </w:pPr>
            <w:r>
              <w:t>423.0</w:t>
            </w:r>
          </w:p>
        </w:tc>
      </w:tr>
      <w:tr>
        <w:tc>
          <w:tcPr>
            <w:tcW w:w="1854" w:type="dxa"/>
          </w:tcPr>
          <w:p>
            <w:pPr>
              <w:pStyle w:val="yTableNAm"/>
            </w:pPr>
            <w:r>
              <w:t>Class 12 (c/kL)</w:t>
            </w:r>
          </w:p>
        </w:tc>
        <w:tc>
          <w:tcPr>
            <w:tcW w:w="2262" w:type="dxa"/>
          </w:tcPr>
          <w:p>
            <w:pPr>
              <w:pStyle w:val="yTableNAm"/>
              <w:tabs>
                <w:tab w:val="clear" w:pos="567"/>
                <w:tab w:val="decimal" w:pos="1172"/>
              </w:tabs>
            </w:pPr>
            <w:r>
              <w:t>356.4</w:t>
            </w:r>
          </w:p>
        </w:tc>
        <w:tc>
          <w:tcPr>
            <w:tcW w:w="2262" w:type="dxa"/>
          </w:tcPr>
          <w:p>
            <w:pPr>
              <w:pStyle w:val="yTableNAm"/>
              <w:tabs>
                <w:tab w:val="clear" w:pos="567"/>
                <w:tab w:val="decimal" w:pos="1172"/>
              </w:tabs>
            </w:pPr>
            <w:r>
              <w:t>460.7</w:t>
            </w:r>
          </w:p>
        </w:tc>
      </w:tr>
      <w:tr>
        <w:tc>
          <w:tcPr>
            <w:tcW w:w="1854" w:type="dxa"/>
          </w:tcPr>
          <w:p>
            <w:pPr>
              <w:pStyle w:val="yTableNAm"/>
            </w:pPr>
            <w:r>
              <w:t>Class 13 (c/kL)</w:t>
            </w:r>
          </w:p>
        </w:tc>
        <w:tc>
          <w:tcPr>
            <w:tcW w:w="2262" w:type="dxa"/>
          </w:tcPr>
          <w:p>
            <w:pPr>
              <w:pStyle w:val="yTableNAm"/>
              <w:tabs>
                <w:tab w:val="clear" w:pos="567"/>
                <w:tab w:val="decimal" w:pos="1172"/>
              </w:tabs>
            </w:pPr>
            <w:r>
              <w:t>390.4</w:t>
            </w:r>
          </w:p>
        </w:tc>
        <w:tc>
          <w:tcPr>
            <w:tcW w:w="2262" w:type="dxa"/>
          </w:tcPr>
          <w:p>
            <w:pPr>
              <w:pStyle w:val="yTableNAm"/>
              <w:tabs>
                <w:tab w:val="clear" w:pos="567"/>
                <w:tab w:val="decimal" w:pos="1172"/>
              </w:tabs>
            </w:pPr>
            <w:r>
              <w:t>501.6</w:t>
            </w:r>
          </w:p>
        </w:tc>
      </w:tr>
      <w:tr>
        <w:tc>
          <w:tcPr>
            <w:tcW w:w="1854" w:type="dxa"/>
          </w:tcPr>
          <w:p>
            <w:pPr>
              <w:pStyle w:val="yTableNAm"/>
            </w:pPr>
            <w:r>
              <w:t>Class 14 (c/kL)</w:t>
            </w:r>
          </w:p>
        </w:tc>
        <w:tc>
          <w:tcPr>
            <w:tcW w:w="2262" w:type="dxa"/>
          </w:tcPr>
          <w:p>
            <w:pPr>
              <w:pStyle w:val="yTableNAm"/>
              <w:tabs>
                <w:tab w:val="clear" w:pos="567"/>
                <w:tab w:val="decimal" w:pos="1172"/>
              </w:tabs>
            </w:pPr>
            <w:r>
              <w:t>427.8</w:t>
            </w:r>
          </w:p>
        </w:tc>
        <w:tc>
          <w:tcPr>
            <w:tcW w:w="2262" w:type="dxa"/>
          </w:tcPr>
          <w:p>
            <w:pPr>
              <w:pStyle w:val="yTableNAm"/>
              <w:tabs>
                <w:tab w:val="clear" w:pos="567"/>
                <w:tab w:val="decimal" w:pos="1172"/>
              </w:tabs>
            </w:pPr>
            <w:r>
              <w:t>546.2</w:t>
            </w:r>
          </w:p>
        </w:tc>
      </w:tr>
      <w:tr>
        <w:tc>
          <w:tcPr>
            <w:tcW w:w="1854" w:type="dxa"/>
            <w:tcBorders>
              <w:bottom w:val="single" w:sz="4" w:space="0" w:color="auto"/>
            </w:tcBorders>
          </w:tcPr>
          <w:p>
            <w:pPr>
              <w:pStyle w:val="yTableNAm"/>
            </w:pPr>
            <w:r>
              <w:t>Class 15 (c/kL)</w:t>
            </w:r>
          </w:p>
        </w:tc>
        <w:tc>
          <w:tcPr>
            <w:tcW w:w="2262" w:type="dxa"/>
            <w:tcBorders>
              <w:bottom w:val="single" w:sz="4" w:space="0" w:color="auto"/>
            </w:tcBorders>
          </w:tcPr>
          <w:p>
            <w:pPr>
              <w:pStyle w:val="yTableNAm"/>
              <w:tabs>
                <w:tab w:val="clear" w:pos="567"/>
                <w:tab w:val="decimal" w:pos="1172"/>
              </w:tabs>
            </w:pPr>
            <w:r>
              <w:t>468.6</w:t>
            </w:r>
          </w:p>
        </w:tc>
        <w:tc>
          <w:tcPr>
            <w:tcW w:w="2262" w:type="dxa"/>
            <w:tcBorders>
              <w:bottom w:val="single" w:sz="4" w:space="0" w:color="auto"/>
            </w:tcBorders>
          </w:tcPr>
          <w:p>
            <w:pPr>
              <w:pStyle w:val="yTableNAm"/>
              <w:tabs>
                <w:tab w:val="clear" w:pos="567"/>
                <w:tab w:val="decimal" w:pos="1172"/>
              </w:tabs>
            </w:pPr>
            <w:r>
              <w:t>594.8</w:t>
            </w:r>
          </w:p>
        </w:tc>
      </w:tr>
    </w:tbl>
    <w:p>
      <w:pPr>
        <w:rPr>
          <w:sz w:val="18"/>
        </w:rPr>
      </w:pPr>
    </w:p>
    <w:tbl>
      <w:tblPr>
        <w:tblW w:w="0" w:type="auto"/>
        <w:tblInd w:w="534" w:type="dxa"/>
        <w:tblLook w:val="0000" w:firstRow="0" w:lastRow="0" w:firstColumn="0" w:lastColumn="0" w:noHBand="0" w:noVBand="0"/>
      </w:tblPr>
      <w:tblGrid>
        <w:gridCol w:w="850"/>
        <w:gridCol w:w="4236"/>
        <w:gridCol w:w="1292"/>
      </w:tblGrid>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ab/>
              <w:t>(c)</w:t>
            </w:r>
            <w:r>
              <w:rPr>
                <w:spacing w:val="-1"/>
              </w:rPr>
              <w:tab/>
              <w:t>farmland —</w:t>
            </w:r>
          </w:p>
        </w:tc>
        <w:tc>
          <w:tcPr>
            <w:tcW w:w="1292" w:type="dxa"/>
          </w:tcPr>
          <w:p>
            <w:pPr>
              <w:pStyle w:val="yTableNAm"/>
            </w:pPr>
          </w:p>
        </w:tc>
      </w:tr>
      <w:tr>
        <w:trPr>
          <w:cantSplit/>
        </w:trPr>
        <w:tc>
          <w:tcPr>
            <w:tcW w:w="850" w:type="dxa"/>
          </w:tcPr>
          <w:p>
            <w:pPr>
              <w:pStyle w:val="yTableNAm"/>
            </w:pPr>
          </w:p>
        </w:tc>
        <w:tc>
          <w:tcPr>
            <w:tcW w:w="4236" w:type="dxa"/>
          </w:tcPr>
          <w:p>
            <w:pPr>
              <w:pStyle w:val="yTableNAm"/>
              <w:tabs>
                <w:tab w:val="left" w:pos="1057"/>
                <w:tab w:val="left" w:leader="dot" w:pos="4021"/>
              </w:tabs>
              <w:rPr>
                <w:spacing w:val="-1"/>
              </w:rPr>
            </w:pPr>
            <w:r>
              <w:rPr>
                <w:spacing w:val="-1"/>
              </w:rPr>
              <w:tab/>
            </w:r>
            <w:r>
              <w:rPr>
                <w:spacing w:val="-1"/>
              </w:rPr>
              <w:tab/>
              <w:t xml:space="preserve">all water supplied </w:t>
            </w:r>
            <w:r>
              <w:rPr>
                <w:spacing w:val="-1"/>
              </w:rPr>
              <w:tab/>
            </w:r>
          </w:p>
        </w:tc>
        <w:tc>
          <w:tcPr>
            <w:tcW w:w="1292" w:type="dxa"/>
          </w:tcPr>
          <w:p>
            <w:pPr>
              <w:pStyle w:val="yTableNAm"/>
            </w:pPr>
            <w:r>
              <w:t>141.4 cents</w:t>
            </w: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ab/>
              <w:t>(d)</w:t>
            </w:r>
            <w:r>
              <w:rPr>
                <w:spacing w:val="-1"/>
              </w:rPr>
              <w:tab/>
              <w:t>mining —</w:t>
            </w:r>
          </w:p>
        </w:tc>
        <w:tc>
          <w:tcPr>
            <w:tcW w:w="1292" w:type="dxa"/>
          </w:tcPr>
          <w:p>
            <w:pPr>
              <w:pStyle w:val="yTableNAm"/>
            </w:pPr>
          </w:p>
        </w:tc>
      </w:tr>
      <w:tr>
        <w:trPr>
          <w:cantSplit/>
        </w:trPr>
        <w:tc>
          <w:tcPr>
            <w:tcW w:w="850" w:type="dxa"/>
          </w:tcPr>
          <w:p>
            <w:pPr>
              <w:pStyle w:val="yTableNAm"/>
            </w:pPr>
          </w:p>
        </w:tc>
        <w:tc>
          <w:tcPr>
            <w:tcW w:w="4236" w:type="dxa"/>
          </w:tcPr>
          <w:p>
            <w:pPr>
              <w:pStyle w:val="yTableNAm"/>
              <w:tabs>
                <w:tab w:val="left" w:pos="1057"/>
                <w:tab w:val="left" w:leader="dot" w:pos="4021"/>
              </w:tabs>
              <w:rPr>
                <w:spacing w:val="-1"/>
              </w:rPr>
            </w:pPr>
            <w:r>
              <w:rPr>
                <w:spacing w:val="-1"/>
              </w:rPr>
              <w:tab/>
            </w:r>
            <w:r>
              <w:rPr>
                <w:spacing w:val="-1"/>
              </w:rPr>
              <w:tab/>
              <w:t xml:space="preserve">all water supplied </w:t>
            </w:r>
            <w:r>
              <w:rPr>
                <w:spacing w:val="-1"/>
              </w:rPr>
              <w:tab/>
            </w:r>
          </w:p>
        </w:tc>
        <w:tc>
          <w:tcPr>
            <w:tcW w:w="1292" w:type="dxa"/>
          </w:tcPr>
          <w:p>
            <w:pPr>
              <w:pStyle w:val="yTableNAm"/>
            </w:pPr>
            <w:r>
              <w:t>230.1 cents</w:t>
            </w: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ab/>
              <w:t>(e)</w:t>
            </w:r>
            <w:r>
              <w:rPr>
                <w:spacing w:val="-1"/>
              </w:rPr>
              <w:tab/>
              <w:t>institutional public —</w:t>
            </w:r>
          </w:p>
        </w:tc>
        <w:tc>
          <w:tcPr>
            <w:tcW w:w="1292" w:type="dxa"/>
          </w:tcPr>
          <w:p>
            <w:pPr>
              <w:pStyle w:val="yTableNAm"/>
            </w:pPr>
          </w:p>
        </w:tc>
      </w:tr>
      <w:tr>
        <w:trPr>
          <w:cantSplit/>
        </w:trPr>
        <w:tc>
          <w:tcPr>
            <w:tcW w:w="850" w:type="dxa"/>
          </w:tcPr>
          <w:p>
            <w:pPr>
              <w:pStyle w:val="yTableNAm"/>
            </w:pPr>
          </w:p>
        </w:tc>
        <w:tc>
          <w:tcPr>
            <w:tcW w:w="4236" w:type="dxa"/>
          </w:tcPr>
          <w:p>
            <w:pPr>
              <w:pStyle w:val="yTableNAm"/>
              <w:tabs>
                <w:tab w:val="left" w:pos="1057"/>
                <w:tab w:val="left" w:leader="dot" w:pos="4021"/>
              </w:tabs>
              <w:rPr>
                <w:spacing w:val="-1"/>
              </w:rPr>
            </w:pPr>
            <w:r>
              <w:rPr>
                <w:spacing w:val="-1"/>
              </w:rPr>
              <w:tab/>
            </w:r>
            <w:r>
              <w:rPr>
                <w:spacing w:val="-1"/>
              </w:rPr>
              <w:tab/>
              <w:t xml:space="preserve">up to 300 kL </w:t>
            </w:r>
            <w:r>
              <w:rPr>
                <w:spacing w:val="-1"/>
              </w:rPr>
              <w:tab/>
            </w:r>
          </w:p>
        </w:tc>
        <w:tc>
          <w:tcPr>
            <w:tcW w:w="1292" w:type="dxa"/>
          </w:tcPr>
          <w:p>
            <w:pPr>
              <w:pStyle w:val="yTableNAm"/>
            </w:pPr>
            <w:r>
              <w:t>134.7 cents</w:t>
            </w:r>
          </w:p>
        </w:tc>
      </w:tr>
      <w:tr>
        <w:trPr>
          <w:cantSplit/>
        </w:trPr>
        <w:tc>
          <w:tcPr>
            <w:tcW w:w="850" w:type="dxa"/>
          </w:tcPr>
          <w:p>
            <w:pPr>
              <w:pStyle w:val="yTableNAm"/>
            </w:pPr>
          </w:p>
        </w:tc>
        <w:tc>
          <w:tcPr>
            <w:tcW w:w="4236" w:type="dxa"/>
          </w:tcPr>
          <w:p>
            <w:pPr>
              <w:pStyle w:val="yTableNAm"/>
              <w:tabs>
                <w:tab w:val="left" w:pos="1057"/>
                <w:tab w:val="left" w:leader="dot" w:pos="4021"/>
              </w:tabs>
              <w:rPr>
                <w:spacing w:val="-1"/>
              </w:rPr>
            </w:pPr>
            <w:r>
              <w:rPr>
                <w:spacing w:val="-1"/>
              </w:rPr>
              <w:tab/>
            </w:r>
            <w:r>
              <w:rPr>
                <w:spacing w:val="-1"/>
              </w:rPr>
              <w:tab/>
              <w:t xml:space="preserve">over 300 kL </w:t>
            </w:r>
            <w:r>
              <w:rPr>
                <w:spacing w:val="-1"/>
              </w:rPr>
              <w:tab/>
            </w:r>
          </w:p>
        </w:tc>
        <w:tc>
          <w:tcPr>
            <w:tcW w:w="1292" w:type="dxa"/>
          </w:tcPr>
          <w:p>
            <w:pPr>
              <w:pStyle w:val="yTableNAm"/>
            </w:pPr>
            <w:r>
              <w:t>180.5 cents</w:t>
            </w: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ab/>
              <w:t>(f)</w:t>
            </w:r>
            <w:r>
              <w:rPr>
                <w:spacing w:val="-1"/>
              </w:rPr>
              <w:tab/>
              <w:t>charitable purposes —</w:t>
            </w:r>
          </w:p>
        </w:tc>
        <w:tc>
          <w:tcPr>
            <w:tcW w:w="1292" w:type="dxa"/>
          </w:tcPr>
          <w:p>
            <w:pPr>
              <w:pStyle w:val="yTableNAm"/>
            </w:pPr>
          </w:p>
        </w:tc>
      </w:tr>
      <w:tr>
        <w:trPr>
          <w:cantSplit/>
        </w:trPr>
        <w:tc>
          <w:tcPr>
            <w:tcW w:w="850" w:type="dxa"/>
          </w:tcPr>
          <w:p>
            <w:pPr>
              <w:pStyle w:val="yTableNAm"/>
            </w:pPr>
          </w:p>
        </w:tc>
        <w:tc>
          <w:tcPr>
            <w:tcW w:w="4236" w:type="dxa"/>
          </w:tcPr>
          <w:p>
            <w:pPr>
              <w:pStyle w:val="yTableNAm"/>
              <w:tabs>
                <w:tab w:val="left" w:pos="1057"/>
                <w:tab w:val="left" w:leader="dot" w:pos="4021"/>
              </w:tabs>
              <w:rPr>
                <w:spacing w:val="-1"/>
              </w:rPr>
            </w:pPr>
            <w:r>
              <w:rPr>
                <w:spacing w:val="-1"/>
              </w:rPr>
              <w:tab/>
            </w:r>
            <w:r>
              <w:rPr>
                <w:spacing w:val="-1"/>
              </w:rPr>
              <w:tab/>
              <w:t xml:space="preserve">up to 300 kL </w:t>
            </w:r>
            <w:r>
              <w:rPr>
                <w:spacing w:val="-1"/>
              </w:rPr>
              <w:tab/>
            </w:r>
          </w:p>
        </w:tc>
        <w:tc>
          <w:tcPr>
            <w:tcW w:w="1292" w:type="dxa"/>
          </w:tcPr>
          <w:p>
            <w:pPr>
              <w:pStyle w:val="yTableNAm"/>
            </w:pPr>
            <w:r>
              <w:t>134.7 cents</w:t>
            </w:r>
          </w:p>
        </w:tc>
      </w:tr>
      <w:tr>
        <w:trPr>
          <w:cantSplit/>
        </w:trPr>
        <w:tc>
          <w:tcPr>
            <w:tcW w:w="850" w:type="dxa"/>
          </w:tcPr>
          <w:p>
            <w:pPr>
              <w:pStyle w:val="yTableNAm"/>
            </w:pPr>
          </w:p>
        </w:tc>
        <w:tc>
          <w:tcPr>
            <w:tcW w:w="4236" w:type="dxa"/>
          </w:tcPr>
          <w:p>
            <w:pPr>
              <w:pStyle w:val="yTableNAm"/>
              <w:tabs>
                <w:tab w:val="left" w:pos="1057"/>
                <w:tab w:val="left" w:leader="dot" w:pos="4021"/>
              </w:tabs>
              <w:rPr>
                <w:spacing w:val="-1"/>
              </w:rPr>
            </w:pPr>
            <w:r>
              <w:rPr>
                <w:spacing w:val="-1"/>
              </w:rPr>
              <w:tab/>
            </w:r>
            <w:r>
              <w:rPr>
                <w:spacing w:val="-1"/>
              </w:rPr>
              <w:tab/>
              <w:t xml:space="preserve">over 300 kL </w:t>
            </w:r>
            <w:r>
              <w:rPr>
                <w:spacing w:val="-1"/>
              </w:rPr>
              <w:tab/>
            </w:r>
          </w:p>
        </w:tc>
        <w:tc>
          <w:tcPr>
            <w:tcW w:w="1292" w:type="dxa"/>
          </w:tcPr>
          <w:p>
            <w:pPr>
              <w:pStyle w:val="yTableNAm"/>
            </w:pPr>
            <w:r>
              <w:t>180.5 cents</w:t>
            </w:r>
          </w:p>
        </w:tc>
      </w:tr>
      <w:tr>
        <w:trPr>
          <w:cantSplit/>
        </w:trPr>
        <w:tc>
          <w:tcPr>
            <w:tcW w:w="850" w:type="dxa"/>
          </w:tcPr>
          <w:p>
            <w:pPr>
              <w:pStyle w:val="yTableNAm"/>
            </w:pPr>
          </w:p>
        </w:tc>
        <w:tc>
          <w:tcPr>
            <w:tcW w:w="4236" w:type="dxa"/>
          </w:tcPr>
          <w:p>
            <w:pPr>
              <w:pStyle w:val="yTableNAm"/>
              <w:tabs>
                <w:tab w:val="left" w:pos="1057"/>
                <w:tab w:val="left" w:leader="dot" w:pos="4021"/>
              </w:tabs>
              <w:ind w:left="1057" w:hanging="1057"/>
              <w:rPr>
                <w:spacing w:val="-1"/>
              </w:rPr>
            </w:pPr>
            <w:r>
              <w:rPr>
                <w:spacing w:val="-1"/>
              </w:rPr>
              <w:tab/>
              <w:t>(g)</w:t>
            </w:r>
            <w:r>
              <w:rPr>
                <w:spacing w:val="-1"/>
              </w:rPr>
              <w:tab/>
              <w:t>commercial residential (according to the non</w:t>
            </w:r>
            <w:r>
              <w:rPr>
                <w:spacing w:val="-1"/>
              </w:rPr>
              <w:noBreakHyphen/>
              <w:t>residential classification of the town/area in which that property is situated, as set out in Schedule 10) —</w:t>
            </w:r>
          </w:p>
        </w:tc>
        <w:tc>
          <w:tcPr>
            <w:tcW w:w="1292" w:type="dxa"/>
          </w:tcPr>
          <w:p>
            <w:pPr>
              <w:pStyle w:val="yTableNAm"/>
            </w:pPr>
          </w:p>
        </w:tc>
      </w:tr>
    </w:tbl>
    <w:p>
      <w:pPr>
        <w:rPr>
          <w:sz w:val="18"/>
        </w:rPr>
      </w:pPr>
    </w:p>
    <w:tbl>
      <w:tblPr>
        <w:tblW w:w="6378" w:type="dxa"/>
        <w:tblInd w:w="454" w:type="dxa"/>
        <w:tblLayout w:type="fixed"/>
        <w:tblCellMar>
          <w:left w:w="28" w:type="dxa"/>
          <w:right w:w="28" w:type="dxa"/>
        </w:tblCellMar>
        <w:tblLook w:val="0000" w:firstRow="0" w:lastRow="0" w:firstColumn="0" w:lastColumn="0" w:noHBand="0" w:noVBand="0"/>
      </w:tblPr>
      <w:tblGrid>
        <w:gridCol w:w="1856"/>
        <w:gridCol w:w="1507"/>
        <w:gridCol w:w="1507"/>
        <w:gridCol w:w="1508"/>
      </w:tblGrid>
      <w:tr>
        <w:trPr>
          <w:cantSplit/>
          <w:tblHeader/>
        </w:trPr>
        <w:tc>
          <w:tcPr>
            <w:tcW w:w="1856" w:type="dxa"/>
            <w:vMerge w:val="restart"/>
            <w:tcBorders>
              <w:top w:val="single" w:sz="4" w:space="0" w:color="auto"/>
            </w:tcBorders>
          </w:tcPr>
          <w:p>
            <w:pPr>
              <w:pStyle w:val="yTableNAm"/>
              <w:rPr>
                <w:b/>
                <w:bCs/>
              </w:rPr>
            </w:pPr>
            <w:r>
              <w:rPr>
                <w:b/>
                <w:bCs/>
              </w:rPr>
              <w:t>Class</w:t>
            </w:r>
          </w:p>
        </w:tc>
        <w:tc>
          <w:tcPr>
            <w:tcW w:w="4522" w:type="dxa"/>
            <w:gridSpan w:val="3"/>
            <w:tcBorders>
              <w:top w:val="single" w:sz="4" w:space="0" w:color="auto"/>
            </w:tcBorders>
          </w:tcPr>
          <w:p>
            <w:pPr>
              <w:pStyle w:val="yTableNAm"/>
              <w:jc w:val="center"/>
              <w:rPr>
                <w:b/>
                <w:bCs/>
              </w:rPr>
            </w:pPr>
            <w:r>
              <w:rPr>
                <w:b/>
                <w:bCs/>
              </w:rPr>
              <w:t>Consumption (kL)</w:t>
            </w:r>
          </w:p>
        </w:tc>
      </w:tr>
      <w:tr>
        <w:trPr>
          <w:cantSplit/>
          <w:tblHeader/>
        </w:trPr>
        <w:tc>
          <w:tcPr>
            <w:tcW w:w="1856" w:type="dxa"/>
            <w:vMerge/>
            <w:tcBorders>
              <w:bottom w:val="single" w:sz="4" w:space="0" w:color="auto"/>
            </w:tcBorders>
          </w:tcPr>
          <w:p>
            <w:pPr>
              <w:pStyle w:val="yTableNAm"/>
              <w:rPr>
                <w:b/>
                <w:bCs/>
              </w:rPr>
            </w:pPr>
          </w:p>
        </w:tc>
        <w:tc>
          <w:tcPr>
            <w:tcW w:w="1507" w:type="dxa"/>
            <w:tcBorders>
              <w:bottom w:val="single" w:sz="4" w:space="0" w:color="auto"/>
            </w:tcBorders>
          </w:tcPr>
          <w:p>
            <w:pPr>
              <w:pStyle w:val="yTableNAm"/>
              <w:jc w:val="center"/>
              <w:rPr>
                <w:b/>
                <w:bCs/>
              </w:rPr>
            </w:pPr>
            <w:r>
              <w:rPr>
                <w:b/>
                <w:bCs/>
              </w:rPr>
              <w:t>Up to 150</w:t>
            </w:r>
          </w:p>
        </w:tc>
        <w:tc>
          <w:tcPr>
            <w:tcW w:w="1507" w:type="dxa"/>
            <w:tcBorders>
              <w:bottom w:val="single" w:sz="4" w:space="0" w:color="auto"/>
            </w:tcBorders>
          </w:tcPr>
          <w:p>
            <w:pPr>
              <w:pStyle w:val="yTableNAm"/>
              <w:jc w:val="center"/>
              <w:rPr>
                <w:b/>
                <w:bCs/>
              </w:rPr>
            </w:pPr>
            <w:r>
              <w:rPr>
                <w:b/>
                <w:bCs/>
              </w:rPr>
              <w:t>Over 150 but not over 450</w:t>
            </w:r>
          </w:p>
        </w:tc>
        <w:tc>
          <w:tcPr>
            <w:tcW w:w="1508" w:type="dxa"/>
            <w:tcBorders>
              <w:bottom w:val="single" w:sz="4" w:space="0" w:color="auto"/>
            </w:tcBorders>
          </w:tcPr>
          <w:p>
            <w:pPr>
              <w:pStyle w:val="yTableNAm"/>
              <w:jc w:val="center"/>
              <w:rPr>
                <w:b/>
                <w:bCs/>
              </w:rPr>
            </w:pPr>
            <w:r>
              <w:rPr>
                <w:b/>
                <w:bCs/>
              </w:rPr>
              <w:t>Over 450</w:t>
            </w:r>
          </w:p>
        </w:tc>
      </w:tr>
      <w:tr>
        <w:tc>
          <w:tcPr>
            <w:tcW w:w="1856" w:type="dxa"/>
            <w:tcBorders>
              <w:top w:val="single" w:sz="4" w:space="0" w:color="auto"/>
            </w:tcBorders>
          </w:tcPr>
          <w:p>
            <w:pPr>
              <w:pStyle w:val="yTableNAm"/>
            </w:pPr>
            <w:r>
              <w:t>Class 1 (c/kL)</w:t>
            </w:r>
          </w:p>
        </w:tc>
        <w:tc>
          <w:tcPr>
            <w:tcW w:w="1507" w:type="dxa"/>
            <w:tcBorders>
              <w:top w:val="single" w:sz="4" w:space="0" w:color="auto"/>
            </w:tcBorders>
          </w:tcPr>
          <w:p>
            <w:pPr>
              <w:pStyle w:val="yTableNAm"/>
              <w:tabs>
                <w:tab w:val="clear" w:pos="567"/>
                <w:tab w:val="decimal" w:pos="810"/>
              </w:tabs>
              <w:jc w:val="both"/>
            </w:pPr>
            <w:r>
              <w:t>98.2</w:t>
            </w:r>
          </w:p>
        </w:tc>
        <w:tc>
          <w:tcPr>
            <w:tcW w:w="1507" w:type="dxa"/>
            <w:tcBorders>
              <w:top w:val="single" w:sz="4" w:space="0" w:color="auto"/>
            </w:tcBorders>
          </w:tcPr>
          <w:p>
            <w:pPr>
              <w:pStyle w:val="yTableNAm"/>
              <w:tabs>
                <w:tab w:val="clear" w:pos="567"/>
                <w:tab w:val="decimal" w:pos="810"/>
              </w:tabs>
              <w:jc w:val="both"/>
            </w:pPr>
            <w:r>
              <w:t>134.7</w:t>
            </w:r>
          </w:p>
        </w:tc>
        <w:tc>
          <w:tcPr>
            <w:tcW w:w="1508" w:type="dxa"/>
            <w:tcBorders>
              <w:top w:val="single" w:sz="4" w:space="0" w:color="auto"/>
            </w:tcBorders>
          </w:tcPr>
          <w:p>
            <w:pPr>
              <w:pStyle w:val="yTableNAm"/>
              <w:tabs>
                <w:tab w:val="clear" w:pos="567"/>
                <w:tab w:val="decimal" w:pos="810"/>
              </w:tabs>
              <w:jc w:val="both"/>
            </w:pPr>
            <w:r>
              <w:t>180.5</w:t>
            </w:r>
          </w:p>
        </w:tc>
      </w:tr>
      <w:tr>
        <w:tc>
          <w:tcPr>
            <w:tcW w:w="1856" w:type="dxa"/>
          </w:tcPr>
          <w:p>
            <w:pPr>
              <w:pStyle w:val="yTableNAm"/>
            </w:pPr>
            <w:r>
              <w:t>Class 2 (c/kL)</w:t>
            </w:r>
          </w:p>
        </w:tc>
        <w:tc>
          <w:tcPr>
            <w:tcW w:w="1507" w:type="dxa"/>
          </w:tcPr>
          <w:p>
            <w:pPr>
              <w:pStyle w:val="yTableNAm"/>
              <w:tabs>
                <w:tab w:val="clear" w:pos="567"/>
                <w:tab w:val="decimal" w:pos="810"/>
              </w:tabs>
              <w:jc w:val="both"/>
            </w:pPr>
            <w:r>
              <w:t>98.2</w:t>
            </w:r>
          </w:p>
        </w:tc>
        <w:tc>
          <w:tcPr>
            <w:tcW w:w="1507" w:type="dxa"/>
          </w:tcPr>
          <w:p>
            <w:pPr>
              <w:pStyle w:val="yTableNAm"/>
              <w:tabs>
                <w:tab w:val="clear" w:pos="567"/>
                <w:tab w:val="decimal" w:pos="810"/>
              </w:tabs>
              <w:jc w:val="both"/>
            </w:pPr>
            <w:r>
              <w:t>149.7</w:t>
            </w:r>
          </w:p>
        </w:tc>
        <w:tc>
          <w:tcPr>
            <w:tcW w:w="1508" w:type="dxa"/>
          </w:tcPr>
          <w:p>
            <w:pPr>
              <w:pStyle w:val="yTableNAm"/>
              <w:tabs>
                <w:tab w:val="clear" w:pos="567"/>
                <w:tab w:val="decimal" w:pos="810"/>
              </w:tabs>
              <w:jc w:val="both"/>
            </w:pPr>
            <w:r>
              <w:t>196.6</w:t>
            </w:r>
          </w:p>
        </w:tc>
      </w:tr>
      <w:tr>
        <w:tc>
          <w:tcPr>
            <w:tcW w:w="1856" w:type="dxa"/>
          </w:tcPr>
          <w:p>
            <w:pPr>
              <w:pStyle w:val="yTableNAm"/>
            </w:pPr>
            <w:r>
              <w:t>Class 3 (c/kL)</w:t>
            </w:r>
          </w:p>
        </w:tc>
        <w:tc>
          <w:tcPr>
            <w:tcW w:w="1507" w:type="dxa"/>
          </w:tcPr>
          <w:p>
            <w:pPr>
              <w:pStyle w:val="yTableNAm"/>
              <w:tabs>
                <w:tab w:val="clear" w:pos="567"/>
                <w:tab w:val="decimal" w:pos="810"/>
              </w:tabs>
              <w:jc w:val="both"/>
            </w:pPr>
            <w:r>
              <w:t>98.2</w:t>
            </w:r>
          </w:p>
        </w:tc>
        <w:tc>
          <w:tcPr>
            <w:tcW w:w="1507" w:type="dxa"/>
          </w:tcPr>
          <w:p>
            <w:pPr>
              <w:pStyle w:val="yTableNAm"/>
              <w:tabs>
                <w:tab w:val="clear" w:pos="567"/>
                <w:tab w:val="decimal" w:pos="810"/>
              </w:tabs>
              <w:jc w:val="both"/>
            </w:pPr>
            <w:r>
              <w:t>166.2</w:t>
            </w:r>
          </w:p>
        </w:tc>
        <w:tc>
          <w:tcPr>
            <w:tcW w:w="1508" w:type="dxa"/>
          </w:tcPr>
          <w:p>
            <w:pPr>
              <w:pStyle w:val="yTableNAm"/>
              <w:tabs>
                <w:tab w:val="clear" w:pos="567"/>
                <w:tab w:val="decimal" w:pos="810"/>
              </w:tabs>
              <w:jc w:val="both"/>
            </w:pPr>
            <w:r>
              <w:t>213.9</w:t>
            </w:r>
          </w:p>
        </w:tc>
      </w:tr>
      <w:tr>
        <w:tc>
          <w:tcPr>
            <w:tcW w:w="1856" w:type="dxa"/>
          </w:tcPr>
          <w:p>
            <w:pPr>
              <w:pStyle w:val="yTableNAm"/>
            </w:pPr>
            <w:r>
              <w:t>Class 4 (c/kL)</w:t>
            </w:r>
          </w:p>
        </w:tc>
        <w:tc>
          <w:tcPr>
            <w:tcW w:w="1507" w:type="dxa"/>
          </w:tcPr>
          <w:p>
            <w:pPr>
              <w:pStyle w:val="yTableNAm"/>
              <w:tabs>
                <w:tab w:val="clear" w:pos="567"/>
                <w:tab w:val="decimal" w:pos="810"/>
              </w:tabs>
              <w:jc w:val="both"/>
            </w:pPr>
            <w:r>
              <w:t>98.2</w:t>
            </w:r>
          </w:p>
        </w:tc>
        <w:tc>
          <w:tcPr>
            <w:tcW w:w="1507" w:type="dxa"/>
          </w:tcPr>
          <w:p>
            <w:pPr>
              <w:pStyle w:val="yTableNAm"/>
              <w:tabs>
                <w:tab w:val="clear" w:pos="567"/>
                <w:tab w:val="decimal" w:pos="810"/>
              </w:tabs>
              <w:jc w:val="both"/>
            </w:pPr>
            <w:r>
              <w:t>184.5</w:t>
            </w:r>
          </w:p>
        </w:tc>
        <w:tc>
          <w:tcPr>
            <w:tcW w:w="1508" w:type="dxa"/>
          </w:tcPr>
          <w:p>
            <w:pPr>
              <w:pStyle w:val="yTableNAm"/>
              <w:tabs>
                <w:tab w:val="clear" w:pos="567"/>
                <w:tab w:val="decimal" w:pos="810"/>
              </w:tabs>
              <w:jc w:val="both"/>
            </w:pPr>
            <w:r>
              <w:t>233.0</w:t>
            </w:r>
          </w:p>
        </w:tc>
      </w:tr>
      <w:tr>
        <w:tc>
          <w:tcPr>
            <w:tcW w:w="1856" w:type="dxa"/>
          </w:tcPr>
          <w:p>
            <w:pPr>
              <w:pStyle w:val="yTableNAm"/>
            </w:pPr>
            <w:r>
              <w:t>Class 5 (c/kL)</w:t>
            </w:r>
          </w:p>
        </w:tc>
        <w:tc>
          <w:tcPr>
            <w:tcW w:w="1507" w:type="dxa"/>
          </w:tcPr>
          <w:p>
            <w:pPr>
              <w:pStyle w:val="yTableNAm"/>
              <w:tabs>
                <w:tab w:val="clear" w:pos="567"/>
                <w:tab w:val="decimal" w:pos="810"/>
              </w:tabs>
              <w:jc w:val="both"/>
            </w:pPr>
            <w:r>
              <w:t>98.2</w:t>
            </w:r>
          </w:p>
        </w:tc>
        <w:tc>
          <w:tcPr>
            <w:tcW w:w="1507" w:type="dxa"/>
          </w:tcPr>
          <w:p>
            <w:pPr>
              <w:pStyle w:val="yTableNAm"/>
              <w:tabs>
                <w:tab w:val="clear" w:pos="567"/>
                <w:tab w:val="decimal" w:pos="810"/>
              </w:tabs>
              <w:jc w:val="both"/>
            </w:pPr>
            <w:r>
              <w:t>205.0</w:t>
            </w:r>
          </w:p>
        </w:tc>
        <w:tc>
          <w:tcPr>
            <w:tcW w:w="1508" w:type="dxa"/>
          </w:tcPr>
          <w:p>
            <w:pPr>
              <w:pStyle w:val="yTableNAm"/>
              <w:tabs>
                <w:tab w:val="clear" w:pos="567"/>
                <w:tab w:val="decimal" w:pos="810"/>
              </w:tabs>
              <w:jc w:val="both"/>
            </w:pPr>
            <w:r>
              <w:t>253.7</w:t>
            </w:r>
          </w:p>
        </w:tc>
      </w:tr>
      <w:tr>
        <w:tc>
          <w:tcPr>
            <w:tcW w:w="1856" w:type="dxa"/>
          </w:tcPr>
          <w:p>
            <w:pPr>
              <w:pStyle w:val="yTableNAm"/>
            </w:pPr>
            <w:r>
              <w:t>Class 6 (c/kL)</w:t>
            </w:r>
          </w:p>
        </w:tc>
        <w:tc>
          <w:tcPr>
            <w:tcW w:w="1507" w:type="dxa"/>
          </w:tcPr>
          <w:p>
            <w:pPr>
              <w:pStyle w:val="yTableNAm"/>
              <w:tabs>
                <w:tab w:val="clear" w:pos="567"/>
                <w:tab w:val="decimal" w:pos="810"/>
              </w:tabs>
              <w:jc w:val="both"/>
            </w:pPr>
            <w:r>
              <w:t>98.2</w:t>
            </w:r>
          </w:p>
        </w:tc>
        <w:tc>
          <w:tcPr>
            <w:tcW w:w="1507" w:type="dxa"/>
          </w:tcPr>
          <w:p>
            <w:pPr>
              <w:pStyle w:val="yTableNAm"/>
              <w:tabs>
                <w:tab w:val="clear" w:pos="567"/>
                <w:tab w:val="decimal" w:pos="810"/>
              </w:tabs>
              <w:jc w:val="both"/>
            </w:pPr>
            <w:r>
              <w:t>222.8</w:t>
            </w:r>
          </w:p>
        </w:tc>
        <w:tc>
          <w:tcPr>
            <w:tcW w:w="1508" w:type="dxa"/>
          </w:tcPr>
          <w:p>
            <w:pPr>
              <w:pStyle w:val="yTableNAm"/>
              <w:tabs>
                <w:tab w:val="clear" w:pos="567"/>
                <w:tab w:val="decimal" w:pos="810"/>
              </w:tabs>
              <w:jc w:val="both"/>
            </w:pPr>
            <w:r>
              <w:t>276.3</w:t>
            </w:r>
          </w:p>
        </w:tc>
      </w:tr>
      <w:tr>
        <w:tc>
          <w:tcPr>
            <w:tcW w:w="1856" w:type="dxa"/>
          </w:tcPr>
          <w:p>
            <w:pPr>
              <w:pStyle w:val="yTableNAm"/>
            </w:pPr>
            <w:r>
              <w:t>Class 7 (c/kL)</w:t>
            </w:r>
          </w:p>
        </w:tc>
        <w:tc>
          <w:tcPr>
            <w:tcW w:w="1507" w:type="dxa"/>
          </w:tcPr>
          <w:p>
            <w:pPr>
              <w:pStyle w:val="yTableNAm"/>
              <w:tabs>
                <w:tab w:val="clear" w:pos="567"/>
                <w:tab w:val="decimal" w:pos="810"/>
              </w:tabs>
              <w:jc w:val="both"/>
            </w:pPr>
            <w:r>
              <w:t>98.2</w:t>
            </w:r>
          </w:p>
        </w:tc>
        <w:tc>
          <w:tcPr>
            <w:tcW w:w="1507" w:type="dxa"/>
          </w:tcPr>
          <w:p>
            <w:pPr>
              <w:pStyle w:val="yTableNAm"/>
              <w:tabs>
                <w:tab w:val="clear" w:pos="567"/>
                <w:tab w:val="decimal" w:pos="810"/>
              </w:tabs>
              <w:jc w:val="both"/>
            </w:pPr>
            <w:r>
              <w:t>242.1</w:t>
            </w:r>
          </w:p>
        </w:tc>
        <w:tc>
          <w:tcPr>
            <w:tcW w:w="1508" w:type="dxa"/>
          </w:tcPr>
          <w:p>
            <w:pPr>
              <w:pStyle w:val="yTableNAm"/>
              <w:tabs>
                <w:tab w:val="clear" w:pos="567"/>
                <w:tab w:val="decimal" w:pos="810"/>
              </w:tabs>
              <w:jc w:val="both"/>
            </w:pPr>
            <w:r>
              <w:t>300.9</w:t>
            </w:r>
          </w:p>
        </w:tc>
      </w:tr>
      <w:tr>
        <w:tc>
          <w:tcPr>
            <w:tcW w:w="1856" w:type="dxa"/>
          </w:tcPr>
          <w:p>
            <w:pPr>
              <w:pStyle w:val="yTableNAm"/>
            </w:pPr>
            <w:r>
              <w:t>Class 8 (c/kL)</w:t>
            </w:r>
          </w:p>
        </w:tc>
        <w:tc>
          <w:tcPr>
            <w:tcW w:w="1507" w:type="dxa"/>
          </w:tcPr>
          <w:p>
            <w:pPr>
              <w:pStyle w:val="yTableNAm"/>
              <w:tabs>
                <w:tab w:val="clear" w:pos="567"/>
                <w:tab w:val="decimal" w:pos="810"/>
              </w:tabs>
              <w:jc w:val="both"/>
            </w:pPr>
            <w:r>
              <w:t>98.2</w:t>
            </w:r>
          </w:p>
        </w:tc>
        <w:tc>
          <w:tcPr>
            <w:tcW w:w="1507" w:type="dxa"/>
          </w:tcPr>
          <w:p>
            <w:pPr>
              <w:pStyle w:val="yTableNAm"/>
              <w:tabs>
                <w:tab w:val="clear" w:pos="567"/>
                <w:tab w:val="decimal" w:pos="810"/>
              </w:tabs>
              <w:jc w:val="both"/>
            </w:pPr>
            <w:r>
              <w:t>261.4</w:t>
            </w:r>
          </w:p>
        </w:tc>
        <w:tc>
          <w:tcPr>
            <w:tcW w:w="1508" w:type="dxa"/>
          </w:tcPr>
          <w:p>
            <w:pPr>
              <w:pStyle w:val="yTableNAm"/>
              <w:tabs>
                <w:tab w:val="clear" w:pos="567"/>
                <w:tab w:val="decimal" w:pos="810"/>
              </w:tabs>
              <w:jc w:val="both"/>
            </w:pPr>
            <w:r>
              <w:t>327.6</w:t>
            </w:r>
          </w:p>
        </w:tc>
      </w:tr>
      <w:tr>
        <w:tc>
          <w:tcPr>
            <w:tcW w:w="1856" w:type="dxa"/>
          </w:tcPr>
          <w:p>
            <w:pPr>
              <w:pStyle w:val="yTableNAm"/>
            </w:pPr>
            <w:r>
              <w:t>Class 9 (c/kL)</w:t>
            </w:r>
          </w:p>
        </w:tc>
        <w:tc>
          <w:tcPr>
            <w:tcW w:w="1507" w:type="dxa"/>
          </w:tcPr>
          <w:p>
            <w:pPr>
              <w:pStyle w:val="yTableNAm"/>
              <w:tabs>
                <w:tab w:val="clear" w:pos="567"/>
                <w:tab w:val="decimal" w:pos="810"/>
              </w:tabs>
              <w:jc w:val="both"/>
            </w:pPr>
            <w:r>
              <w:t>98.2</w:t>
            </w:r>
          </w:p>
        </w:tc>
        <w:tc>
          <w:tcPr>
            <w:tcW w:w="1507" w:type="dxa"/>
          </w:tcPr>
          <w:p>
            <w:pPr>
              <w:pStyle w:val="yTableNAm"/>
              <w:tabs>
                <w:tab w:val="clear" w:pos="567"/>
                <w:tab w:val="decimal" w:pos="810"/>
              </w:tabs>
              <w:jc w:val="both"/>
            </w:pPr>
            <w:r>
              <w:t>282.1</w:t>
            </w:r>
          </w:p>
        </w:tc>
        <w:tc>
          <w:tcPr>
            <w:tcW w:w="1508" w:type="dxa"/>
          </w:tcPr>
          <w:p>
            <w:pPr>
              <w:pStyle w:val="yTableNAm"/>
              <w:tabs>
                <w:tab w:val="clear" w:pos="567"/>
                <w:tab w:val="decimal" w:pos="810"/>
              </w:tabs>
              <w:jc w:val="both"/>
            </w:pPr>
            <w:r>
              <w:t>356.7</w:t>
            </w:r>
          </w:p>
        </w:tc>
      </w:tr>
      <w:tr>
        <w:tc>
          <w:tcPr>
            <w:tcW w:w="1856" w:type="dxa"/>
          </w:tcPr>
          <w:p>
            <w:pPr>
              <w:pStyle w:val="yTableNAm"/>
            </w:pPr>
            <w:r>
              <w:t>Class 10 (c/kL)</w:t>
            </w:r>
          </w:p>
        </w:tc>
        <w:tc>
          <w:tcPr>
            <w:tcW w:w="1507" w:type="dxa"/>
          </w:tcPr>
          <w:p>
            <w:pPr>
              <w:pStyle w:val="yTableNAm"/>
              <w:tabs>
                <w:tab w:val="clear" w:pos="567"/>
                <w:tab w:val="decimal" w:pos="810"/>
              </w:tabs>
              <w:jc w:val="both"/>
            </w:pPr>
            <w:r>
              <w:t>98.2</w:t>
            </w:r>
          </w:p>
        </w:tc>
        <w:tc>
          <w:tcPr>
            <w:tcW w:w="1507" w:type="dxa"/>
          </w:tcPr>
          <w:p>
            <w:pPr>
              <w:pStyle w:val="yTableNAm"/>
              <w:tabs>
                <w:tab w:val="clear" w:pos="567"/>
                <w:tab w:val="decimal" w:pos="810"/>
              </w:tabs>
              <w:jc w:val="both"/>
            </w:pPr>
            <w:r>
              <w:t>296.9</w:t>
            </w:r>
          </w:p>
        </w:tc>
        <w:tc>
          <w:tcPr>
            <w:tcW w:w="1508" w:type="dxa"/>
          </w:tcPr>
          <w:p>
            <w:pPr>
              <w:pStyle w:val="yTableNAm"/>
              <w:tabs>
                <w:tab w:val="clear" w:pos="567"/>
                <w:tab w:val="decimal" w:pos="810"/>
              </w:tabs>
              <w:jc w:val="both"/>
            </w:pPr>
            <w:r>
              <w:t>388.5</w:t>
            </w:r>
          </w:p>
        </w:tc>
      </w:tr>
      <w:tr>
        <w:tc>
          <w:tcPr>
            <w:tcW w:w="1856" w:type="dxa"/>
          </w:tcPr>
          <w:p>
            <w:pPr>
              <w:pStyle w:val="yTableNAm"/>
            </w:pPr>
            <w:r>
              <w:t>Class 11 (c/kL)</w:t>
            </w:r>
          </w:p>
        </w:tc>
        <w:tc>
          <w:tcPr>
            <w:tcW w:w="1507" w:type="dxa"/>
          </w:tcPr>
          <w:p>
            <w:pPr>
              <w:pStyle w:val="yTableNAm"/>
              <w:tabs>
                <w:tab w:val="clear" w:pos="567"/>
                <w:tab w:val="decimal" w:pos="810"/>
              </w:tabs>
              <w:jc w:val="both"/>
            </w:pPr>
            <w:r>
              <w:t>98.2</w:t>
            </w:r>
          </w:p>
        </w:tc>
        <w:tc>
          <w:tcPr>
            <w:tcW w:w="1507" w:type="dxa"/>
          </w:tcPr>
          <w:p>
            <w:pPr>
              <w:pStyle w:val="yTableNAm"/>
              <w:tabs>
                <w:tab w:val="clear" w:pos="567"/>
                <w:tab w:val="decimal" w:pos="810"/>
              </w:tabs>
              <w:jc w:val="both"/>
            </w:pPr>
            <w:r>
              <w:t>325.3</w:t>
            </w:r>
          </w:p>
        </w:tc>
        <w:tc>
          <w:tcPr>
            <w:tcW w:w="1508" w:type="dxa"/>
          </w:tcPr>
          <w:p>
            <w:pPr>
              <w:pStyle w:val="yTableNAm"/>
              <w:tabs>
                <w:tab w:val="clear" w:pos="567"/>
                <w:tab w:val="decimal" w:pos="810"/>
              </w:tabs>
              <w:jc w:val="both"/>
            </w:pPr>
            <w:r>
              <w:t>423.0</w:t>
            </w:r>
          </w:p>
        </w:tc>
      </w:tr>
      <w:tr>
        <w:tc>
          <w:tcPr>
            <w:tcW w:w="1856" w:type="dxa"/>
          </w:tcPr>
          <w:p>
            <w:pPr>
              <w:pStyle w:val="yTableNAm"/>
            </w:pPr>
            <w:r>
              <w:t>Class 12 (c/kL)</w:t>
            </w:r>
          </w:p>
        </w:tc>
        <w:tc>
          <w:tcPr>
            <w:tcW w:w="1507" w:type="dxa"/>
          </w:tcPr>
          <w:p>
            <w:pPr>
              <w:pStyle w:val="yTableNAm"/>
              <w:tabs>
                <w:tab w:val="clear" w:pos="567"/>
                <w:tab w:val="decimal" w:pos="810"/>
              </w:tabs>
              <w:jc w:val="both"/>
            </w:pPr>
            <w:r>
              <w:t>98.2</w:t>
            </w:r>
          </w:p>
        </w:tc>
        <w:tc>
          <w:tcPr>
            <w:tcW w:w="1507" w:type="dxa"/>
          </w:tcPr>
          <w:p>
            <w:pPr>
              <w:pStyle w:val="yTableNAm"/>
              <w:tabs>
                <w:tab w:val="clear" w:pos="567"/>
                <w:tab w:val="decimal" w:pos="810"/>
              </w:tabs>
              <w:jc w:val="both"/>
            </w:pPr>
            <w:r>
              <w:t>356.4</w:t>
            </w:r>
          </w:p>
        </w:tc>
        <w:tc>
          <w:tcPr>
            <w:tcW w:w="1508" w:type="dxa"/>
          </w:tcPr>
          <w:p>
            <w:pPr>
              <w:pStyle w:val="yTableNAm"/>
              <w:tabs>
                <w:tab w:val="clear" w:pos="567"/>
                <w:tab w:val="decimal" w:pos="810"/>
              </w:tabs>
              <w:jc w:val="both"/>
            </w:pPr>
            <w:r>
              <w:t>460.7</w:t>
            </w:r>
          </w:p>
        </w:tc>
      </w:tr>
      <w:tr>
        <w:tc>
          <w:tcPr>
            <w:tcW w:w="1856" w:type="dxa"/>
          </w:tcPr>
          <w:p>
            <w:pPr>
              <w:pStyle w:val="yTableNAm"/>
            </w:pPr>
            <w:r>
              <w:t>Class 13 (c/kL)</w:t>
            </w:r>
          </w:p>
        </w:tc>
        <w:tc>
          <w:tcPr>
            <w:tcW w:w="1507" w:type="dxa"/>
          </w:tcPr>
          <w:p>
            <w:pPr>
              <w:pStyle w:val="yTableNAm"/>
              <w:tabs>
                <w:tab w:val="clear" w:pos="567"/>
                <w:tab w:val="decimal" w:pos="810"/>
              </w:tabs>
              <w:jc w:val="both"/>
            </w:pPr>
            <w:r>
              <w:t>98.2</w:t>
            </w:r>
          </w:p>
        </w:tc>
        <w:tc>
          <w:tcPr>
            <w:tcW w:w="1507" w:type="dxa"/>
          </w:tcPr>
          <w:p>
            <w:pPr>
              <w:pStyle w:val="yTableNAm"/>
              <w:tabs>
                <w:tab w:val="clear" w:pos="567"/>
                <w:tab w:val="decimal" w:pos="810"/>
              </w:tabs>
              <w:jc w:val="both"/>
            </w:pPr>
            <w:r>
              <w:t>390.4</w:t>
            </w:r>
          </w:p>
        </w:tc>
        <w:tc>
          <w:tcPr>
            <w:tcW w:w="1508" w:type="dxa"/>
          </w:tcPr>
          <w:p>
            <w:pPr>
              <w:pStyle w:val="yTableNAm"/>
              <w:tabs>
                <w:tab w:val="clear" w:pos="567"/>
                <w:tab w:val="decimal" w:pos="810"/>
              </w:tabs>
              <w:jc w:val="both"/>
            </w:pPr>
            <w:r>
              <w:t>501.6</w:t>
            </w:r>
          </w:p>
        </w:tc>
      </w:tr>
      <w:tr>
        <w:tc>
          <w:tcPr>
            <w:tcW w:w="1856" w:type="dxa"/>
          </w:tcPr>
          <w:p>
            <w:pPr>
              <w:pStyle w:val="yTableNAm"/>
            </w:pPr>
            <w:r>
              <w:t>Class 14 (c/kL)</w:t>
            </w:r>
          </w:p>
        </w:tc>
        <w:tc>
          <w:tcPr>
            <w:tcW w:w="1507" w:type="dxa"/>
          </w:tcPr>
          <w:p>
            <w:pPr>
              <w:pStyle w:val="yTableNAm"/>
              <w:tabs>
                <w:tab w:val="clear" w:pos="567"/>
                <w:tab w:val="decimal" w:pos="810"/>
              </w:tabs>
              <w:jc w:val="both"/>
            </w:pPr>
            <w:r>
              <w:t>98.2</w:t>
            </w:r>
          </w:p>
        </w:tc>
        <w:tc>
          <w:tcPr>
            <w:tcW w:w="1507" w:type="dxa"/>
          </w:tcPr>
          <w:p>
            <w:pPr>
              <w:pStyle w:val="yTableNAm"/>
              <w:tabs>
                <w:tab w:val="clear" w:pos="567"/>
                <w:tab w:val="decimal" w:pos="810"/>
              </w:tabs>
              <w:jc w:val="both"/>
            </w:pPr>
            <w:r>
              <w:t>427.8</w:t>
            </w:r>
          </w:p>
        </w:tc>
        <w:tc>
          <w:tcPr>
            <w:tcW w:w="1508" w:type="dxa"/>
          </w:tcPr>
          <w:p>
            <w:pPr>
              <w:pStyle w:val="yTableNAm"/>
              <w:tabs>
                <w:tab w:val="clear" w:pos="567"/>
                <w:tab w:val="decimal" w:pos="810"/>
              </w:tabs>
              <w:jc w:val="both"/>
            </w:pPr>
            <w:r>
              <w:t>546.2</w:t>
            </w:r>
          </w:p>
        </w:tc>
      </w:tr>
      <w:tr>
        <w:tc>
          <w:tcPr>
            <w:tcW w:w="1856" w:type="dxa"/>
            <w:tcBorders>
              <w:bottom w:val="single" w:sz="4" w:space="0" w:color="auto"/>
            </w:tcBorders>
          </w:tcPr>
          <w:p>
            <w:pPr>
              <w:pStyle w:val="yTableNAm"/>
            </w:pPr>
            <w:r>
              <w:t>Class 15 (c/kL)</w:t>
            </w:r>
          </w:p>
        </w:tc>
        <w:tc>
          <w:tcPr>
            <w:tcW w:w="1507" w:type="dxa"/>
            <w:tcBorders>
              <w:bottom w:val="single" w:sz="4" w:space="0" w:color="auto"/>
            </w:tcBorders>
          </w:tcPr>
          <w:p>
            <w:pPr>
              <w:pStyle w:val="yTableNAm"/>
              <w:tabs>
                <w:tab w:val="clear" w:pos="567"/>
                <w:tab w:val="decimal" w:pos="810"/>
              </w:tabs>
              <w:jc w:val="both"/>
            </w:pPr>
            <w:r>
              <w:t>98.2</w:t>
            </w:r>
          </w:p>
        </w:tc>
        <w:tc>
          <w:tcPr>
            <w:tcW w:w="1507" w:type="dxa"/>
            <w:tcBorders>
              <w:bottom w:val="single" w:sz="4" w:space="0" w:color="auto"/>
            </w:tcBorders>
          </w:tcPr>
          <w:p>
            <w:pPr>
              <w:pStyle w:val="yTableNAm"/>
              <w:tabs>
                <w:tab w:val="clear" w:pos="567"/>
                <w:tab w:val="decimal" w:pos="810"/>
              </w:tabs>
              <w:jc w:val="both"/>
            </w:pPr>
            <w:r>
              <w:t>468.6</w:t>
            </w:r>
          </w:p>
        </w:tc>
        <w:tc>
          <w:tcPr>
            <w:tcW w:w="1508" w:type="dxa"/>
            <w:tcBorders>
              <w:bottom w:val="single" w:sz="4" w:space="0" w:color="auto"/>
            </w:tcBorders>
          </w:tcPr>
          <w:p>
            <w:pPr>
              <w:pStyle w:val="yTableNAm"/>
              <w:tabs>
                <w:tab w:val="clear" w:pos="567"/>
                <w:tab w:val="decimal" w:pos="810"/>
              </w:tabs>
              <w:jc w:val="both"/>
            </w:pPr>
            <w:r>
              <w:t>594.8</w:t>
            </w:r>
          </w:p>
        </w:tc>
      </w:tr>
    </w:tbl>
    <w:p>
      <w:pPr>
        <w:rPr>
          <w:sz w:val="18"/>
        </w:rPr>
      </w:pPr>
    </w:p>
    <w:tbl>
      <w:tblPr>
        <w:tblW w:w="0" w:type="auto"/>
        <w:tblInd w:w="534" w:type="dxa"/>
        <w:tblLook w:val="0000" w:firstRow="0" w:lastRow="0" w:firstColumn="0" w:lastColumn="0" w:noHBand="0" w:noVBand="0"/>
      </w:tblPr>
      <w:tblGrid>
        <w:gridCol w:w="850"/>
        <w:gridCol w:w="4237"/>
        <w:gridCol w:w="1384"/>
      </w:tblGrid>
      <w:tr>
        <w:trPr>
          <w:cantSplit/>
        </w:trPr>
        <w:tc>
          <w:tcPr>
            <w:tcW w:w="850" w:type="dxa"/>
          </w:tcPr>
          <w:p>
            <w:pPr>
              <w:pStyle w:val="yHeading5"/>
              <w:tabs>
                <w:tab w:val="clear" w:pos="879"/>
              </w:tabs>
              <w:ind w:left="0" w:firstLine="0"/>
            </w:pPr>
            <w:bookmarkStart w:id="617" w:name="_Toc265743563"/>
            <w:r>
              <w:t>28.</w:t>
            </w:r>
            <w:bookmarkEnd w:id="617"/>
          </w:p>
        </w:tc>
        <w:tc>
          <w:tcPr>
            <w:tcW w:w="4237" w:type="dxa"/>
          </w:tcPr>
          <w:p>
            <w:pPr>
              <w:pStyle w:val="yHeading5"/>
              <w:tabs>
                <w:tab w:val="clear" w:pos="879"/>
              </w:tabs>
              <w:ind w:left="0" w:firstLine="0"/>
            </w:pPr>
            <w:bookmarkStart w:id="618" w:name="_Toc265743564"/>
            <w:r>
              <w:t>Coral Bay desalinated</w:t>
            </w:r>
            <w:bookmarkEnd w:id="618"/>
          </w:p>
        </w:tc>
        <w:tc>
          <w:tcPr>
            <w:tcW w:w="1291" w:type="dxa"/>
          </w:tcPr>
          <w:p>
            <w:pPr>
              <w:pStyle w:val="yHeading5"/>
              <w:tabs>
                <w:tab w:val="clear" w:pos="879"/>
              </w:tabs>
              <w:ind w:left="0" w:firstLine="0"/>
            </w:pPr>
          </w:p>
        </w:tc>
      </w:tr>
      <w:tr>
        <w:trPr>
          <w:cantSplit/>
        </w:trPr>
        <w:tc>
          <w:tcPr>
            <w:tcW w:w="850" w:type="dxa"/>
          </w:tcPr>
          <w:p>
            <w:pPr>
              <w:pStyle w:val="yTableNAm"/>
            </w:pPr>
          </w:p>
        </w:tc>
        <w:tc>
          <w:tcPr>
            <w:tcW w:w="4237" w:type="dxa"/>
          </w:tcPr>
          <w:p>
            <w:pPr>
              <w:pStyle w:val="yTableNAm"/>
              <w:tabs>
                <w:tab w:val="left" w:pos="1016"/>
                <w:tab w:val="left" w:pos="1496"/>
                <w:tab w:val="left" w:leader="dot" w:pos="4021"/>
              </w:tabs>
              <w:rPr>
                <w:spacing w:val="-1"/>
              </w:rPr>
            </w:pPr>
            <w:r>
              <w:rPr>
                <w:spacing w:val="-1"/>
              </w:rPr>
              <w:t xml:space="preserve">For each kilolitre of water supplied to land in the Coral Bay Water Area not classified as residential land, being water that has been treated to reduce the level of, or remove, salts </w:t>
            </w:r>
          </w:p>
        </w:tc>
        <w:tc>
          <w:tcPr>
            <w:tcW w:w="1291" w:type="dxa"/>
          </w:tcPr>
          <w:p>
            <w:pPr>
              <w:pStyle w:val="yTableNAm"/>
            </w:pPr>
            <w:r>
              <w:br/>
            </w:r>
            <w:r>
              <w:br/>
            </w:r>
            <w:r>
              <w:br/>
              <w:t>596.9 cents</w:t>
            </w:r>
          </w:p>
        </w:tc>
      </w:tr>
      <w:tr>
        <w:trPr>
          <w:cantSplit/>
        </w:trPr>
        <w:tc>
          <w:tcPr>
            <w:tcW w:w="850" w:type="dxa"/>
          </w:tcPr>
          <w:p>
            <w:pPr>
              <w:pStyle w:val="yHeading5"/>
              <w:tabs>
                <w:tab w:val="clear" w:pos="879"/>
              </w:tabs>
              <w:ind w:left="0" w:firstLine="0"/>
            </w:pPr>
            <w:bookmarkStart w:id="619" w:name="_Toc265743565"/>
            <w:r>
              <w:t>29.</w:t>
            </w:r>
            <w:bookmarkEnd w:id="619"/>
          </w:p>
        </w:tc>
        <w:tc>
          <w:tcPr>
            <w:tcW w:w="4237" w:type="dxa"/>
          </w:tcPr>
          <w:p>
            <w:pPr>
              <w:pStyle w:val="yHeading5"/>
              <w:tabs>
                <w:tab w:val="clear" w:pos="879"/>
              </w:tabs>
              <w:ind w:left="0" w:firstLine="0"/>
            </w:pPr>
            <w:bookmarkStart w:id="620" w:name="_Toc265743566"/>
            <w:r>
              <w:t>Denham desalinated</w:t>
            </w:r>
            <w:bookmarkEnd w:id="620"/>
          </w:p>
        </w:tc>
        <w:tc>
          <w:tcPr>
            <w:tcW w:w="1291" w:type="dxa"/>
          </w:tcPr>
          <w:p>
            <w:pPr>
              <w:pStyle w:val="yHeading5"/>
              <w:tabs>
                <w:tab w:val="clear" w:pos="879"/>
              </w:tabs>
              <w:ind w:left="0" w:firstLine="0"/>
            </w:pPr>
          </w:p>
        </w:tc>
      </w:tr>
      <w:tr>
        <w:trPr>
          <w:cantSplit/>
        </w:trPr>
        <w:tc>
          <w:tcPr>
            <w:tcW w:w="850" w:type="dxa"/>
          </w:tcPr>
          <w:p>
            <w:pPr>
              <w:pStyle w:val="yTableNAm"/>
            </w:pPr>
          </w:p>
        </w:tc>
        <w:tc>
          <w:tcPr>
            <w:tcW w:w="4237" w:type="dxa"/>
          </w:tcPr>
          <w:p>
            <w:pPr>
              <w:pStyle w:val="yTableNAm"/>
              <w:tabs>
                <w:tab w:val="left" w:pos="1016"/>
                <w:tab w:val="left" w:pos="1496"/>
                <w:tab w:val="left" w:leader="dot" w:pos="4021"/>
              </w:tabs>
            </w:pPr>
            <w:r>
              <w:t>For each kilolitre of water supplied to land in the Denham Country Water Area, being water that has been treated to reduce the level of, or remove, salts —</w:t>
            </w:r>
          </w:p>
        </w:tc>
        <w:tc>
          <w:tcPr>
            <w:tcW w:w="1291" w:type="dxa"/>
          </w:tcPr>
          <w:p>
            <w:pPr>
              <w:pStyle w:val="yTableNAm"/>
            </w:pPr>
          </w:p>
        </w:tc>
      </w:tr>
      <w:tr>
        <w:trPr>
          <w:cantSplit/>
        </w:trPr>
        <w:tc>
          <w:tcPr>
            <w:tcW w:w="850" w:type="dxa"/>
          </w:tcPr>
          <w:p>
            <w:pPr>
              <w:pStyle w:val="yTableNAm"/>
            </w:pPr>
          </w:p>
        </w:tc>
        <w:tc>
          <w:tcPr>
            <w:tcW w:w="4237" w:type="dxa"/>
          </w:tcPr>
          <w:p>
            <w:pPr>
              <w:pStyle w:val="yTableNAm"/>
              <w:tabs>
                <w:tab w:val="left" w:pos="1016"/>
                <w:tab w:val="left" w:pos="1496"/>
                <w:tab w:val="left" w:leader="dot" w:pos="4021"/>
              </w:tabs>
              <w:ind w:left="1016" w:hanging="1016"/>
            </w:pPr>
            <w:r>
              <w:rPr>
                <w:snapToGrid w:val="0"/>
              </w:rPr>
              <w:tab/>
              <w:t>(a)</w:t>
            </w:r>
            <w:r>
              <w:rPr>
                <w:snapToGrid w:val="0"/>
              </w:rPr>
              <w:tab/>
              <w:t>in the case of land classified as residential —</w:t>
            </w:r>
          </w:p>
        </w:tc>
        <w:tc>
          <w:tcPr>
            <w:tcW w:w="1291" w:type="dxa"/>
          </w:tcPr>
          <w:p>
            <w:pPr>
              <w:pStyle w:val="yTableNAm"/>
            </w:pPr>
          </w:p>
        </w:tc>
      </w:tr>
      <w:tr>
        <w:trPr>
          <w:cantSplit/>
        </w:trPr>
        <w:tc>
          <w:tcPr>
            <w:tcW w:w="850" w:type="dxa"/>
          </w:tcPr>
          <w:p>
            <w:pPr>
              <w:pStyle w:val="yTableNAm"/>
            </w:pPr>
          </w:p>
        </w:tc>
        <w:tc>
          <w:tcPr>
            <w:tcW w:w="4237" w:type="dxa"/>
          </w:tcPr>
          <w:p>
            <w:pPr>
              <w:pStyle w:val="yTableNAm"/>
              <w:tabs>
                <w:tab w:val="left" w:pos="1136"/>
                <w:tab w:val="left" w:pos="1496"/>
                <w:tab w:val="left" w:leader="dot" w:pos="4021"/>
              </w:tabs>
            </w:pPr>
            <w:r>
              <w:tab/>
            </w:r>
            <w:r>
              <w:tab/>
              <w:t xml:space="preserve">up to quota </w:t>
            </w:r>
            <w:r>
              <w:tab/>
            </w:r>
          </w:p>
        </w:tc>
        <w:tc>
          <w:tcPr>
            <w:tcW w:w="1291" w:type="dxa"/>
          </w:tcPr>
          <w:p>
            <w:pPr>
              <w:pStyle w:val="yTableNAm"/>
            </w:pPr>
            <w:r>
              <w:t>55.0 cents</w:t>
            </w:r>
          </w:p>
        </w:tc>
      </w:tr>
      <w:tr>
        <w:trPr>
          <w:cantSplit/>
        </w:trPr>
        <w:tc>
          <w:tcPr>
            <w:tcW w:w="850" w:type="dxa"/>
          </w:tcPr>
          <w:p>
            <w:pPr>
              <w:pStyle w:val="yTableNAm"/>
            </w:pPr>
          </w:p>
        </w:tc>
        <w:tc>
          <w:tcPr>
            <w:tcW w:w="4237" w:type="dxa"/>
          </w:tcPr>
          <w:p>
            <w:pPr>
              <w:pStyle w:val="yTableNAm"/>
              <w:tabs>
                <w:tab w:val="left" w:pos="1136"/>
                <w:tab w:val="left" w:pos="1496"/>
                <w:tab w:val="left" w:leader="dot" w:pos="4021"/>
              </w:tabs>
              <w:ind w:left="1136" w:hanging="1136"/>
            </w:pPr>
            <w:r>
              <w:tab/>
            </w:r>
            <w:r>
              <w:tab/>
              <w:t xml:space="preserve">over quota by up to 1 kL per 7 kL of quota </w:t>
            </w:r>
            <w:r>
              <w:tab/>
            </w:r>
          </w:p>
        </w:tc>
        <w:tc>
          <w:tcPr>
            <w:tcW w:w="1291" w:type="dxa"/>
          </w:tcPr>
          <w:p>
            <w:pPr>
              <w:pStyle w:val="yTableNAm"/>
            </w:pPr>
            <w:r>
              <w:br/>
              <w:t>403.7 cents</w:t>
            </w:r>
          </w:p>
        </w:tc>
      </w:tr>
      <w:tr>
        <w:trPr>
          <w:cantSplit/>
        </w:trPr>
        <w:tc>
          <w:tcPr>
            <w:tcW w:w="850" w:type="dxa"/>
          </w:tcPr>
          <w:p>
            <w:pPr>
              <w:pStyle w:val="yTableNAm"/>
            </w:pPr>
          </w:p>
        </w:tc>
        <w:tc>
          <w:tcPr>
            <w:tcW w:w="4237" w:type="dxa"/>
          </w:tcPr>
          <w:p>
            <w:pPr>
              <w:pStyle w:val="yTableNAm"/>
              <w:tabs>
                <w:tab w:val="left" w:pos="1136"/>
                <w:tab w:val="left" w:pos="1496"/>
                <w:tab w:val="left" w:leader="dot" w:pos="4021"/>
              </w:tabs>
              <w:ind w:left="1136" w:hanging="1136"/>
            </w:pPr>
            <w:r>
              <w:tab/>
            </w:r>
            <w:r>
              <w:tab/>
              <w:t xml:space="preserve">over quota by more than 1 kL per 7 kL of quota </w:t>
            </w:r>
            <w:r>
              <w:tab/>
            </w:r>
          </w:p>
        </w:tc>
        <w:tc>
          <w:tcPr>
            <w:tcW w:w="1291" w:type="dxa"/>
          </w:tcPr>
          <w:p>
            <w:pPr>
              <w:pStyle w:val="yTableNAm"/>
            </w:pPr>
            <w:r>
              <w:br/>
              <w:t>1 257.9 cents</w:t>
            </w:r>
          </w:p>
        </w:tc>
      </w:tr>
      <w:tr>
        <w:trPr>
          <w:cantSplit/>
        </w:trPr>
        <w:tc>
          <w:tcPr>
            <w:tcW w:w="850" w:type="dxa"/>
          </w:tcPr>
          <w:p>
            <w:pPr>
              <w:pStyle w:val="yTableNAm"/>
            </w:pPr>
          </w:p>
        </w:tc>
        <w:tc>
          <w:tcPr>
            <w:tcW w:w="4237" w:type="dxa"/>
          </w:tcPr>
          <w:p>
            <w:pPr>
              <w:pStyle w:val="yTableNAm"/>
              <w:tabs>
                <w:tab w:val="left" w:pos="1016"/>
                <w:tab w:val="left" w:pos="1496"/>
                <w:tab w:val="left" w:leader="dot" w:pos="4021"/>
              </w:tabs>
              <w:ind w:left="1016" w:hanging="1016"/>
            </w:pPr>
            <w:r>
              <w:rPr>
                <w:snapToGrid w:val="0"/>
              </w:rPr>
              <w:tab/>
            </w:r>
            <w:r>
              <w:rPr>
                <w:snapToGrid w:val="0"/>
              </w:rPr>
              <w:tab/>
              <w:t>where the quota, for each of the periods of 4 consecutive months during the year, is 35 kL or such greater amount as the Corporation may from time to time determine for the land concerned;</w:t>
            </w:r>
          </w:p>
        </w:tc>
        <w:tc>
          <w:tcPr>
            <w:tcW w:w="1291" w:type="dxa"/>
          </w:tcPr>
          <w:p>
            <w:pPr>
              <w:pStyle w:val="yTableNAm"/>
            </w:pPr>
          </w:p>
        </w:tc>
      </w:tr>
      <w:tr>
        <w:trPr>
          <w:cantSplit/>
        </w:trPr>
        <w:tc>
          <w:tcPr>
            <w:tcW w:w="850" w:type="dxa"/>
          </w:tcPr>
          <w:p>
            <w:pPr>
              <w:pStyle w:val="yTableNAm"/>
            </w:pPr>
          </w:p>
        </w:tc>
        <w:tc>
          <w:tcPr>
            <w:tcW w:w="4237" w:type="dxa"/>
          </w:tcPr>
          <w:p>
            <w:pPr>
              <w:pStyle w:val="yTableNAm"/>
              <w:tabs>
                <w:tab w:val="left" w:pos="1016"/>
                <w:tab w:val="left" w:pos="1496"/>
                <w:tab w:val="left" w:leader="dot" w:pos="4021"/>
              </w:tabs>
              <w:ind w:left="1016" w:hanging="1016"/>
            </w:pPr>
            <w:r>
              <w:rPr>
                <w:snapToGrid w:val="0"/>
              </w:rPr>
              <w:tab/>
              <w:t>(b)</w:t>
            </w:r>
            <w:r>
              <w:rPr>
                <w:snapToGrid w:val="0"/>
              </w:rPr>
              <w:tab/>
              <w:t>in the case of land not classified as residential —</w:t>
            </w:r>
          </w:p>
        </w:tc>
        <w:tc>
          <w:tcPr>
            <w:tcW w:w="1291" w:type="dxa"/>
          </w:tcPr>
          <w:p>
            <w:pPr>
              <w:pStyle w:val="yTableNAm"/>
            </w:pPr>
          </w:p>
        </w:tc>
      </w:tr>
      <w:tr>
        <w:trPr>
          <w:cantSplit/>
        </w:trPr>
        <w:tc>
          <w:tcPr>
            <w:tcW w:w="850" w:type="dxa"/>
          </w:tcPr>
          <w:p>
            <w:pPr>
              <w:pStyle w:val="yTableNAm"/>
            </w:pPr>
          </w:p>
        </w:tc>
        <w:tc>
          <w:tcPr>
            <w:tcW w:w="4237" w:type="dxa"/>
          </w:tcPr>
          <w:p>
            <w:pPr>
              <w:pStyle w:val="yTableNAm"/>
              <w:tabs>
                <w:tab w:val="left" w:pos="1136"/>
                <w:tab w:val="left" w:pos="1496"/>
                <w:tab w:val="left" w:leader="dot" w:pos="4021"/>
              </w:tabs>
              <w:ind w:left="1136" w:hanging="1136"/>
            </w:pPr>
            <w:r>
              <w:tab/>
            </w:r>
            <w:r>
              <w:tab/>
              <w:t xml:space="preserve">up to quota </w:t>
            </w:r>
            <w:r>
              <w:tab/>
            </w:r>
          </w:p>
        </w:tc>
        <w:tc>
          <w:tcPr>
            <w:tcW w:w="1291" w:type="dxa"/>
          </w:tcPr>
          <w:p>
            <w:pPr>
              <w:pStyle w:val="yTableNAm"/>
            </w:pPr>
            <w:r>
              <w:t>55.0 cents</w:t>
            </w:r>
          </w:p>
        </w:tc>
      </w:tr>
      <w:tr>
        <w:trPr>
          <w:cantSplit/>
        </w:trPr>
        <w:tc>
          <w:tcPr>
            <w:tcW w:w="850" w:type="dxa"/>
          </w:tcPr>
          <w:p>
            <w:pPr>
              <w:pStyle w:val="yTableNAm"/>
            </w:pPr>
          </w:p>
        </w:tc>
        <w:tc>
          <w:tcPr>
            <w:tcW w:w="4237" w:type="dxa"/>
          </w:tcPr>
          <w:p>
            <w:pPr>
              <w:pStyle w:val="yTableNAm"/>
              <w:tabs>
                <w:tab w:val="left" w:pos="1136"/>
                <w:tab w:val="left" w:pos="1496"/>
                <w:tab w:val="left" w:leader="dot" w:pos="4021"/>
              </w:tabs>
              <w:ind w:left="1136" w:hanging="1136"/>
            </w:pPr>
            <w:r>
              <w:tab/>
            </w:r>
            <w:r>
              <w:tab/>
              <w:t xml:space="preserve">over quota </w:t>
            </w:r>
            <w:r>
              <w:tab/>
            </w:r>
          </w:p>
        </w:tc>
        <w:tc>
          <w:tcPr>
            <w:tcW w:w="1291" w:type="dxa"/>
          </w:tcPr>
          <w:p>
            <w:pPr>
              <w:pStyle w:val="yTableNAm"/>
            </w:pPr>
            <w:r>
              <w:t>1 257.9 cents</w:t>
            </w:r>
          </w:p>
        </w:tc>
      </w:tr>
      <w:tr>
        <w:trPr>
          <w:cantSplit/>
        </w:trPr>
        <w:tc>
          <w:tcPr>
            <w:tcW w:w="850" w:type="dxa"/>
          </w:tcPr>
          <w:p>
            <w:pPr>
              <w:pStyle w:val="yTableNAm"/>
            </w:pPr>
          </w:p>
        </w:tc>
        <w:tc>
          <w:tcPr>
            <w:tcW w:w="4237" w:type="dxa"/>
          </w:tcPr>
          <w:p>
            <w:pPr>
              <w:pStyle w:val="yTableNAm"/>
              <w:tabs>
                <w:tab w:val="left" w:pos="1016"/>
                <w:tab w:val="left" w:pos="1496"/>
                <w:tab w:val="left" w:leader="dot" w:pos="4021"/>
              </w:tabs>
              <w:ind w:left="1016" w:hanging="1016"/>
            </w:pPr>
            <w:r>
              <w:rPr>
                <w:snapToGrid w:val="0"/>
              </w:rPr>
              <w:tab/>
            </w:r>
            <w:r>
              <w:rPr>
                <w:snapToGrid w:val="0"/>
              </w:rPr>
              <w:tab/>
              <w:t>where the quota for the year is 105 kL or such greater amount as the Corporation may from time to time determine for the land concerned.</w:t>
            </w:r>
          </w:p>
        </w:tc>
        <w:tc>
          <w:tcPr>
            <w:tcW w:w="1291" w:type="dxa"/>
          </w:tcPr>
          <w:p>
            <w:pPr>
              <w:pStyle w:val="yTableNAm"/>
            </w:pPr>
          </w:p>
        </w:tc>
      </w:tr>
      <w:tr>
        <w:trPr>
          <w:cantSplit/>
        </w:trPr>
        <w:tc>
          <w:tcPr>
            <w:tcW w:w="850" w:type="dxa"/>
          </w:tcPr>
          <w:p>
            <w:pPr>
              <w:pStyle w:val="yHeading5"/>
              <w:tabs>
                <w:tab w:val="clear" w:pos="879"/>
              </w:tabs>
              <w:ind w:left="0" w:firstLine="0"/>
            </w:pPr>
            <w:bookmarkStart w:id="621" w:name="_Toc265743567"/>
            <w:r>
              <w:t>30.</w:t>
            </w:r>
            <w:bookmarkEnd w:id="621"/>
          </w:p>
        </w:tc>
        <w:tc>
          <w:tcPr>
            <w:tcW w:w="4237" w:type="dxa"/>
          </w:tcPr>
          <w:p>
            <w:pPr>
              <w:pStyle w:val="yHeading5"/>
              <w:tabs>
                <w:tab w:val="clear" w:pos="879"/>
              </w:tabs>
              <w:ind w:left="0" w:firstLine="0"/>
            </w:pPr>
            <w:bookmarkStart w:id="622" w:name="_Toc265743568"/>
            <w:r>
              <w:t>Local government standpipes</w:t>
            </w:r>
            <w:bookmarkEnd w:id="622"/>
          </w:p>
        </w:tc>
        <w:tc>
          <w:tcPr>
            <w:tcW w:w="1291" w:type="dxa"/>
          </w:tcPr>
          <w:p>
            <w:pPr>
              <w:pStyle w:val="yHeading5"/>
              <w:tabs>
                <w:tab w:val="clear" w:pos="879"/>
              </w:tabs>
              <w:ind w:left="0" w:firstLine="0"/>
            </w:pPr>
          </w:p>
        </w:tc>
      </w:tr>
      <w:tr>
        <w:trPr>
          <w:cantSplit/>
        </w:trPr>
        <w:tc>
          <w:tcPr>
            <w:tcW w:w="850" w:type="dxa"/>
          </w:tcPr>
          <w:p>
            <w:pPr>
              <w:pStyle w:val="yTableNAm"/>
            </w:pPr>
          </w:p>
        </w:tc>
        <w:tc>
          <w:tcPr>
            <w:tcW w:w="4237" w:type="dxa"/>
          </w:tcPr>
          <w:p>
            <w:pPr>
              <w:pStyle w:val="yTableNAm"/>
              <w:tabs>
                <w:tab w:val="left" w:pos="1016"/>
                <w:tab w:val="left" w:pos="1496"/>
                <w:tab w:val="left" w:leader="dot" w:pos="4021"/>
              </w:tabs>
              <w:rPr>
                <w:spacing w:val="-1"/>
              </w:rPr>
            </w:pPr>
            <w:r>
              <w:rPr>
                <w:spacing w:val="-1"/>
              </w:rPr>
              <w:t xml:space="preserve">For </w:t>
            </w:r>
            <w:r>
              <w:rPr>
                <w:snapToGrid w:val="0"/>
              </w:rPr>
              <w:t>each</w:t>
            </w:r>
            <w:r>
              <w:rPr>
                <w:spacing w:val="-1"/>
              </w:rPr>
              <w:t xml:space="preserve"> kilolitre of </w:t>
            </w:r>
            <w:r>
              <w:t>water</w:t>
            </w:r>
            <w:r>
              <w:rPr>
                <w:spacing w:val="-1"/>
              </w:rPr>
              <w:t xml:space="preserve"> supplied through a local government standpipe ............................</w:t>
            </w:r>
          </w:p>
        </w:tc>
        <w:tc>
          <w:tcPr>
            <w:tcW w:w="1291" w:type="dxa"/>
          </w:tcPr>
          <w:p>
            <w:pPr>
              <w:pStyle w:val="yTableNAm"/>
            </w:pPr>
            <w:r>
              <w:br/>
              <w:t>141.4 cents</w:t>
            </w:r>
          </w:p>
        </w:tc>
      </w:tr>
      <w:tr>
        <w:trPr>
          <w:cantSplit/>
        </w:trPr>
        <w:tc>
          <w:tcPr>
            <w:tcW w:w="850" w:type="dxa"/>
          </w:tcPr>
          <w:p>
            <w:pPr>
              <w:pStyle w:val="yHeading5"/>
              <w:tabs>
                <w:tab w:val="clear" w:pos="879"/>
              </w:tabs>
              <w:ind w:left="0" w:firstLine="0"/>
            </w:pPr>
            <w:bookmarkStart w:id="623" w:name="_Toc265743569"/>
            <w:r>
              <w:t>31.</w:t>
            </w:r>
            <w:bookmarkEnd w:id="623"/>
          </w:p>
        </w:tc>
        <w:tc>
          <w:tcPr>
            <w:tcW w:w="4237" w:type="dxa"/>
          </w:tcPr>
          <w:p>
            <w:pPr>
              <w:pStyle w:val="yHeading5"/>
              <w:tabs>
                <w:tab w:val="clear" w:pos="879"/>
              </w:tabs>
              <w:ind w:left="0" w:firstLine="0"/>
            </w:pPr>
            <w:bookmarkStart w:id="624" w:name="_Toc265743570"/>
            <w:r>
              <w:t>Shipping</w:t>
            </w:r>
            <w:bookmarkEnd w:id="624"/>
          </w:p>
        </w:tc>
        <w:tc>
          <w:tcPr>
            <w:tcW w:w="1291" w:type="dxa"/>
          </w:tcPr>
          <w:p>
            <w:pPr>
              <w:pStyle w:val="yHeading5"/>
              <w:tabs>
                <w:tab w:val="clear" w:pos="879"/>
              </w:tabs>
              <w:ind w:left="0" w:firstLine="0"/>
            </w:pPr>
          </w:p>
        </w:tc>
      </w:tr>
      <w:tr>
        <w:trPr>
          <w:cantSplit/>
        </w:trPr>
        <w:tc>
          <w:tcPr>
            <w:tcW w:w="850" w:type="dxa"/>
          </w:tcPr>
          <w:p>
            <w:pPr>
              <w:pStyle w:val="yTableNAm"/>
            </w:pPr>
          </w:p>
        </w:tc>
        <w:tc>
          <w:tcPr>
            <w:tcW w:w="4237" w:type="dxa"/>
          </w:tcPr>
          <w:p>
            <w:pPr>
              <w:pStyle w:val="yTableNAm"/>
              <w:tabs>
                <w:tab w:val="left" w:pos="1016"/>
                <w:tab w:val="left" w:pos="1496"/>
                <w:tab w:val="left" w:leader="dot" w:pos="4021"/>
              </w:tabs>
            </w:pPr>
            <w:r>
              <w:t xml:space="preserve">For </w:t>
            </w:r>
            <w:r>
              <w:rPr>
                <w:snapToGrid w:val="0"/>
              </w:rPr>
              <w:t>each</w:t>
            </w:r>
            <w:r>
              <w:t xml:space="preserve"> kilolitre of water supplied for the purpose of being taken on board any ship in port —</w:t>
            </w:r>
          </w:p>
        </w:tc>
        <w:tc>
          <w:tcPr>
            <w:tcW w:w="1291" w:type="dxa"/>
          </w:tcPr>
          <w:p>
            <w:pPr>
              <w:pStyle w:val="yTableNAm"/>
            </w:pPr>
          </w:p>
        </w:tc>
      </w:tr>
      <w:tr>
        <w:trPr>
          <w:cantSplit/>
        </w:trPr>
        <w:tc>
          <w:tcPr>
            <w:tcW w:w="850" w:type="dxa"/>
          </w:tcPr>
          <w:p>
            <w:pPr>
              <w:pStyle w:val="yTableNAm"/>
            </w:pPr>
          </w:p>
        </w:tc>
        <w:tc>
          <w:tcPr>
            <w:tcW w:w="4237" w:type="dxa"/>
          </w:tcPr>
          <w:p>
            <w:pPr>
              <w:pStyle w:val="yTableNAm"/>
              <w:tabs>
                <w:tab w:val="left" w:pos="1016"/>
                <w:tab w:val="left" w:pos="1496"/>
                <w:tab w:val="left" w:leader="dot" w:pos="4021"/>
              </w:tabs>
            </w:pPr>
            <w:r>
              <w:rPr>
                <w:snapToGrid w:val="0"/>
              </w:rPr>
              <w:tab/>
              <w:t>(a)</w:t>
            </w:r>
            <w:r>
              <w:rPr>
                <w:snapToGrid w:val="0"/>
              </w:rPr>
              <w:tab/>
              <w:t>in the metropolitan area —</w:t>
            </w:r>
          </w:p>
        </w:tc>
        <w:tc>
          <w:tcPr>
            <w:tcW w:w="1291" w:type="dxa"/>
          </w:tcPr>
          <w:p>
            <w:pPr>
              <w:pStyle w:val="yTableNAm"/>
            </w:pPr>
          </w:p>
        </w:tc>
      </w:tr>
      <w:tr>
        <w:trPr>
          <w:cantSplit/>
        </w:trPr>
        <w:tc>
          <w:tcPr>
            <w:tcW w:w="850" w:type="dxa"/>
          </w:tcPr>
          <w:p>
            <w:pPr>
              <w:pStyle w:val="yTableNAm"/>
            </w:pPr>
          </w:p>
        </w:tc>
        <w:tc>
          <w:tcPr>
            <w:tcW w:w="4237" w:type="dxa"/>
          </w:tcPr>
          <w:p>
            <w:pPr>
              <w:pStyle w:val="yTableNAm"/>
              <w:tabs>
                <w:tab w:val="left" w:pos="1016"/>
                <w:tab w:val="left" w:pos="1496"/>
                <w:tab w:val="left" w:leader="dot" w:pos="4021"/>
              </w:tabs>
            </w:pPr>
            <w:r>
              <w:tab/>
            </w:r>
            <w:r>
              <w:tab/>
              <w:t xml:space="preserve">up to 600 kL </w:t>
            </w:r>
            <w:r>
              <w:tab/>
            </w:r>
          </w:p>
        </w:tc>
        <w:tc>
          <w:tcPr>
            <w:tcW w:w="1291" w:type="dxa"/>
          </w:tcPr>
          <w:p>
            <w:pPr>
              <w:pStyle w:val="yTableNAm"/>
            </w:pPr>
            <w:r>
              <w:t>143.5 cents</w:t>
            </w:r>
          </w:p>
        </w:tc>
      </w:tr>
      <w:tr>
        <w:trPr>
          <w:cantSplit/>
        </w:trPr>
        <w:tc>
          <w:tcPr>
            <w:tcW w:w="850" w:type="dxa"/>
          </w:tcPr>
          <w:p>
            <w:pPr>
              <w:pStyle w:val="yTableNAm"/>
            </w:pPr>
          </w:p>
        </w:tc>
        <w:tc>
          <w:tcPr>
            <w:tcW w:w="4237" w:type="dxa"/>
          </w:tcPr>
          <w:p>
            <w:pPr>
              <w:pStyle w:val="yTableNAm"/>
              <w:tabs>
                <w:tab w:val="left" w:pos="1016"/>
                <w:tab w:val="left" w:pos="1496"/>
                <w:tab w:val="left" w:leader="dot" w:pos="4021"/>
              </w:tabs>
              <w:ind w:left="1016" w:hanging="1016"/>
            </w:pPr>
            <w:r>
              <w:tab/>
            </w:r>
            <w:r>
              <w:tab/>
              <w:t xml:space="preserve">over 600 kL but not over 1 100 000 kL </w:t>
            </w:r>
            <w:r>
              <w:tab/>
            </w:r>
          </w:p>
        </w:tc>
        <w:tc>
          <w:tcPr>
            <w:tcW w:w="1291" w:type="dxa"/>
          </w:tcPr>
          <w:p>
            <w:pPr>
              <w:pStyle w:val="yTableNAm"/>
            </w:pPr>
            <w:r>
              <w:br/>
              <w:t>143.5 cents</w:t>
            </w:r>
          </w:p>
        </w:tc>
      </w:tr>
      <w:tr>
        <w:trPr>
          <w:cantSplit/>
        </w:trPr>
        <w:tc>
          <w:tcPr>
            <w:tcW w:w="850" w:type="dxa"/>
          </w:tcPr>
          <w:p>
            <w:pPr>
              <w:pStyle w:val="yTableNAm"/>
            </w:pPr>
          </w:p>
        </w:tc>
        <w:tc>
          <w:tcPr>
            <w:tcW w:w="4237" w:type="dxa"/>
          </w:tcPr>
          <w:p>
            <w:pPr>
              <w:pStyle w:val="yTableNAm"/>
              <w:tabs>
                <w:tab w:val="left" w:pos="1016"/>
                <w:tab w:val="left" w:pos="1496"/>
                <w:tab w:val="left" w:leader="dot" w:pos="4021"/>
              </w:tabs>
              <w:rPr>
                <w:spacing w:val="-1"/>
              </w:rPr>
            </w:pPr>
            <w:r>
              <w:rPr>
                <w:spacing w:val="-1"/>
              </w:rPr>
              <w:tab/>
            </w:r>
            <w:r>
              <w:rPr>
                <w:spacing w:val="-1"/>
              </w:rPr>
              <w:tab/>
            </w:r>
            <w:r>
              <w:t>over</w:t>
            </w:r>
            <w:r>
              <w:rPr>
                <w:spacing w:val="-1"/>
              </w:rPr>
              <w:t xml:space="preserve"> 1 100 000 kL </w:t>
            </w:r>
            <w:r>
              <w:rPr>
                <w:spacing w:val="-1"/>
              </w:rPr>
              <w:tab/>
            </w:r>
          </w:p>
        </w:tc>
        <w:tc>
          <w:tcPr>
            <w:tcW w:w="1291" w:type="dxa"/>
          </w:tcPr>
          <w:p>
            <w:pPr>
              <w:pStyle w:val="yTableNAm"/>
            </w:pPr>
            <w:r>
              <w:t>143.5 cents</w:t>
            </w:r>
          </w:p>
        </w:tc>
      </w:tr>
      <w:tr>
        <w:trPr>
          <w:cantSplit/>
        </w:trPr>
        <w:tc>
          <w:tcPr>
            <w:tcW w:w="850" w:type="dxa"/>
          </w:tcPr>
          <w:p>
            <w:pPr>
              <w:pStyle w:val="yTableNAm"/>
            </w:pPr>
          </w:p>
        </w:tc>
        <w:tc>
          <w:tcPr>
            <w:tcW w:w="4237" w:type="dxa"/>
          </w:tcPr>
          <w:p>
            <w:pPr>
              <w:pStyle w:val="yTableNAm"/>
              <w:tabs>
                <w:tab w:val="left" w:pos="1016"/>
                <w:tab w:val="left" w:pos="1496"/>
                <w:tab w:val="left" w:leader="dot" w:pos="4021"/>
              </w:tabs>
              <w:ind w:left="1016" w:hanging="1016"/>
              <w:rPr>
                <w:spacing w:val="-1"/>
              </w:rPr>
            </w:pPr>
            <w:r>
              <w:rPr>
                <w:snapToGrid w:val="0"/>
              </w:rPr>
              <w:tab/>
              <w:t>(b)</w:t>
            </w:r>
            <w:r>
              <w:rPr>
                <w:snapToGrid w:val="0"/>
              </w:rPr>
              <w:tab/>
              <w:t>not in the metropolitan area (according to the non</w:t>
            </w:r>
            <w:r>
              <w:rPr>
                <w:snapToGrid w:val="0"/>
              </w:rPr>
              <w:noBreakHyphen/>
              <w:t>residential classification of the town/area in which that property is situated, as set out in Schedule 10) —</w:t>
            </w:r>
          </w:p>
        </w:tc>
        <w:tc>
          <w:tcPr>
            <w:tcW w:w="1291" w:type="dxa"/>
          </w:tcPr>
          <w:p>
            <w:pPr>
              <w:pStyle w:val="yTableNAm"/>
            </w:pPr>
          </w:p>
        </w:tc>
      </w:tr>
    </w:tbl>
    <w:p>
      <w:pPr>
        <w:rPr>
          <w:sz w:val="18"/>
        </w:rPr>
      </w:pPr>
    </w:p>
    <w:tbl>
      <w:tblPr>
        <w:tblW w:w="6520" w:type="dxa"/>
        <w:tblInd w:w="454" w:type="dxa"/>
        <w:tblLayout w:type="fixed"/>
        <w:tblCellMar>
          <w:left w:w="28" w:type="dxa"/>
          <w:right w:w="28" w:type="dxa"/>
        </w:tblCellMar>
        <w:tblLook w:val="0000" w:firstRow="0" w:lastRow="0" w:firstColumn="0" w:lastColumn="0" w:noHBand="0" w:noVBand="0"/>
      </w:tblPr>
      <w:tblGrid>
        <w:gridCol w:w="1842"/>
        <w:gridCol w:w="2339"/>
        <w:gridCol w:w="2339"/>
      </w:tblGrid>
      <w:tr>
        <w:trPr>
          <w:cantSplit/>
          <w:trHeight w:val="217"/>
          <w:tblHeader/>
        </w:trPr>
        <w:tc>
          <w:tcPr>
            <w:tcW w:w="1842" w:type="dxa"/>
            <w:vMerge w:val="restart"/>
            <w:tcBorders>
              <w:top w:val="single" w:sz="4" w:space="0" w:color="auto"/>
            </w:tcBorders>
          </w:tcPr>
          <w:p>
            <w:pPr>
              <w:pStyle w:val="yTableNAm"/>
              <w:rPr>
                <w:b/>
                <w:bCs/>
              </w:rPr>
            </w:pPr>
            <w:r>
              <w:rPr>
                <w:b/>
                <w:bCs/>
              </w:rPr>
              <w:t>Class</w:t>
            </w:r>
          </w:p>
        </w:tc>
        <w:tc>
          <w:tcPr>
            <w:tcW w:w="4678" w:type="dxa"/>
            <w:gridSpan w:val="2"/>
            <w:tcBorders>
              <w:top w:val="single" w:sz="4" w:space="0" w:color="auto"/>
            </w:tcBorders>
          </w:tcPr>
          <w:p>
            <w:pPr>
              <w:pStyle w:val="yTableNAm"/>
              <w:tabs>
                <w:tab w:val="clear" w:pos="567"/>
                <w:tab w:val="decimal" w:pos="1304"/>
              </w:tabs>
              <w:jc w:val="center"/>
              <w:rPr>
                <w:b/>
                <w:bCs/>
              </w:rPr>
            </w:pPr>
            <w:r>
              <w:rPr>
                <w:b/>
                <w:bCs/>
              </w:rPr>
              <w:t>Consumption (kL)</w:t>
            </w:r>
          </w:p>
        </w:tc>
      </w:tr>
      <w:tr>
        <w:trPr>
          <w:cantSplit/>
          <w:trHeight w:val="217"/>
          <w:tblHeader/>
        </w:trPr>
        <w:tc>
          <w:tcPr>
            <w:tcW w:w="1842" w:type="dxa"/>
            <w:vMerge/>
            <w:tcBorders>
              <w:bottom w:val="single" w:sz="4" w:space="0" w:color="auto"/>
            </w:tcBorders>
          </w:tcPr>
          <w:p>
            <w:pPr>
              <w:pStyle w:val="yTableNAm"/>
              <w:rPr>
                <w:b/>
                <w:bCs/>
              </w:rPr>
            </w:pPr>
          </w:p>
        </w:tc>
        <w:tc>
          <w:tcPr>
            <w:tcW w:w="2339" w:type="dxa"/>
            <w:tcBorders>
              <w:bottom w:val="single" w:sz="4" w:space="0" w:color="auto"/>
            </w:tcBorders>
          </w:tcPr>
          <w:p>
            <w:pPr>
              <w:pStyle w:val="yTableNAm"/>
              <w:tabs>
                <w:tab w:val="clear" w:pos="567"/>
              </w:tabs>
              <w:jc w:val="center"/>
              <w:rPr>
                <w:b/>
                <w:bCs/>
              </w:rPr>
            </w:pPr>
            <w:r>
              <w:rPr>
                <w:b/>
                <w:bCs/>
              </w:rPr>
              <w:t>Up to 300</w:t>
            </w:r>
          </w:p>
        </w:tc>
        <w:tc>
          <w:tcPr>
            <w:tcW w:w="2339" w:type="dxa"/>
            <w:tcBorders>
              <w:bottom w:val="single" w:sz="4" w:space="0" w:color="auto"/>
            </w:tcBorders>
          </w:tcPr>
          <w:p>
            <w:pPr>
              <w:pStyle w:val="yTableNAm"/>
              <w:tabs>
                <w:tab w:val="clear" w:pos="567"/>
              </w:tabs>
              <w:jc w:val="center"/>
              <w:rPr>
                <w:b/>
                <w:bCs/>
              </w:rPr>
            </w:pPr>
            <w:r>
              <w:rPr>
                <w:b/>
                <w:bCs/>
              </w:rPr>
              <w:t>Over 300</w:t>
            </w:r>
          </w:p>
        </w:tc>
      </w:tr>
      <w:tr>
        <w:tc>
          <w:tcPr>
            <w:tcW w:w="1842" w:type="dxa"/>
            <w:tcBorders>
              <w:top w:val="single" w:sz="4" w:space="0" w:color="auto"/>
            </w:tcBorders>
          </w:tcPr>
          <w:p>
            <w:pPr>
              <w:pStyle w:val="yTableNAm"/>
            </w:pPr>
            <w:r>
              <w:t>Class 1 (c/kL)</w:t>
            </w:r>
          </w:p>
        </w:tc>
        <w:tc>
          <w:tcPr>
            <w:tcW w:w="2339" w:type="dxa"/>
            <w:tcBorders>
              <w:top w:val="single" w:sz="4" w:space="0" w:color="auto"/>
            </w:tcBorders>
          </w:tcPr>
          <w:p>
            <w:pPr>
              <w:pStyle w:val="yTableNAm"/>
              <w:tabs>
                <w:tab w:val="clear" w:pos="567"/>
                <w:tab w:val="decimal" w:pos="1304"/>
              </w:tabs>
            </w:pPr>
            <w:r>
              <w:t>134.7</w:t>
            </w:r>
          </w:p>
        </w:tc>
        <w:tc>
          <w:tcPr>
            <w:tcW w:w="2339" w:type="dxa"/>
            <w:tcBorders>
              <w:top w:val="single" w:sz="4" w:space="0" w:color="auto"/>
            </w:tcBorders>
          </w:tcPr>
          <w:p>
            <w:pPr>
              <w:pStyle w:val="yTableNAm"/>
              <w:tabs>
                <w:tab w:val="clear" w:pos="567"/>
                <w:tab w:val="decimal" w:pos="1304"/>
              </w:tabs>
            </w:pPr>
            <w:r>
              <w:t>180.5</w:t>
            </w:r>
          </w:p>
        </w:tc>
      </w:tr>
      <w:tr>
        <w:tc>
          <w:tcPr>
            <w:tcW w:w="1842" w:type="dxa"/>
          </w:tcPr>
          <w:p>
            <w:pPr>
              <w:pStyle w:val="yTableNAm"/>
            </w:pPr>
            <w:r>
              <w:t>Class 2 (c/kL)</w:t>
            </w:r>
          </w:p>
        </w:tc>
        <w:tc>
          <w:tcPr>
            <w:tcW w:w="2339" w:type="dxa"/>
          </w:tcPr>
          <w:p>
            <w:pPr>
              <w:pStyle w:val="yTableNAm"/>
              <w:tabs>
                <w:tab w:val="clear" w:pos="567"/>
                <w:tab w:val="decimal" w:pos="1304"/>
              </w:tabs>
            </w:pPr>
            <w:r>
              <w:t>149.7</w:t>
            </w:r>
          </w:p>
        </w:tc>
        <w:tc>
          <w:tcPr>
            <w:tcW w:w="2339" w:type="dxa"/>
          </w:tcPr>
          <w:p>
            <w:pPr>
              <w:pStyle w:val="yTableNAm"/>
              <w:tabs>
                <w:tab w:val="clear" w:pos="567"/>
                <w:tab w:val="decimal" w:pos="1304"/>
              </w:tabs>
            </w:pPr>
            <w:r>
              <w:t>196.6</w:t>
            </w:r>
          </w:p>
        </w:tc>
      </w:tr>
      <w:tr>
        <w:tc>
          <w:tcPr>
            <w:tcW w:w="1842" w:type="dxa"/>
          </w:tcPr>
          <w:p>
            <w:pPr>
              <w:pStyle w:val="yTableNAm"/>
            </w:pPr>
            <w:r>
              <w:t>Class 3 (c/kL)</w:t>
            </w:r>
          </w:p>
        </w:tc>
        <w:tc>
          <w:tcPr>
            <w:tcW w:w="2339" w:type="dxa"/>
          </w:tcPr>
          <w:p>
            <w:pPr>
              <w:pStyle w:val="yTableNAm"/>
              <w:tabs>
                <w:tab w:val="clear" w:pos="567"/>
                <w:tab w:val="decimal" w:pos="1304"/>
              </w:tabs>
            </w:pPr>
            <w:r>
              <w:t>166.2</w:t>
            </w:r>
          </w:p>
        </w:tc>
        <w:tc>
          <w:tcPr>
            <w:tcW w:w="2339" w:type="dxa"/>
          </w:tcPr>
          <w:p>
            <w:pPr>
              <w:pStyle w:val="yTableNAm"/>
              <w:tabs>
                <w:tab w:val="clear" w:pos="567"/>
                <w:tab w:val="decimal" w:pos="1304"/>
              </w:tabs>
            </w:pPr>
            <w:r>
              <w:t>213.9</w:t>
            </w:r>
          </w:p>
        </w:tc>
      </w:tr>
      <w:tr>
        <w:tc>
          <w:tcPr>
            <w:tcW w:w="1842" w:type="dxa"/>
          </w:tcPr>
          <w:p>
            <w:pPr>
              <w:pStyle w:val="yTableNAm"/>
            </w:pPr>
            <w:r>
              <w:t>Class 4 (c/kL)</w:t>
            </w:r>
          </w:p>
        </w:tc>
        <w:tc>
          <w:tcPr>
            <w:tcW w:w="2339" w:type="dxa"/>
          </w:tcPr>
          <w:p>
            <w:pPr>
              <w:pStyle w:val="yTableNAm"/>
              <w:tabs>
                <w:tab w:val="clear" w:pos="567"/>
                <w:tab w:val="decimal" w:pos="1304"/>
              </w:tabs>
            </w:pPr>
            <w:r>
              <w:t>184.5</w:t>
            </w:r>
          </w:p>
        </w:tc>
        <w:tc>
          <w:tcPr>
            <w:tcW w:w="2339" w:type="dxa"/>
          </w:tcPr>
          <w:p>
            <w:pPr>
              <w:pStyle w:val="yTableNAm"/>
              <w:tabs>
                <w:tab w:val="clear" w:pos="567"/>
                <w:tab w:val="decimal" w:pos="1304"/>
              </w:tabs>
            </w:pPr>
            <w:r>
              <w:t>233.0</w:t>
            </w:r>
          </w:p>
        </w:tc>
      </w:tr>
      <w:tr>
        <w:tc>
          <w:tcPr>
            <w:tcW w:w="1842" w:type="dxa"/>
          </w:tcPr>
          <w:p>
            <w:pPr>
              <w:pStyle w:val="yTableNAm"/>
            </w:pPr>
            <w:r>
              <w:t>Class 5 (c/kL)</w:t>
            </w:r>
          </w:p>
        </w:tc>
        <w:tc>
          <w:tcPr>
            <w:tcW w:w="2339" w:type="dxa"/>
          </w:tcPr>
          <w:p>
            <w:pPr>
              <w:pStyle w:val="yTableNAm"/>
              <w:tabs>
                <w:tab w:val="clear" w:pos="567"/>
                <w:tab w:val="decimal" w:pos="1304"/>
              </w:tabs>
            </w:pPr>
            <w:r>
              <w:t>205.0</w:t>
            </w:r>
          </w:p>
        </w:tc>
        <w:tc>
          <w:tcPr>
            <w:tcW w:w="2339" w:type="dxa"/>
          </w:tcPr>
          <w:p>
            <w:pPr>
              <w:pStyle w:val="yTableNAm"/>
              <w:tabs>
                <w:tab w:val="clear" w:pos="567"/>
                <w:tab w:val="decimal" w:pos="1304"/>
              </w:tabs>
            </w:pPr>
            <w:r>
              <w:t>253.7</w:t>
            </w:r>
          </w:p>
        </w:tc>
      </w:tr>
      <w:tr>
        <w:tc>
          <w:tcPr>
            <w:tcW w:w="1842" w:type="dxa"/>
          </w:tcPr>
          <w:p>
            <w:pPr>
              <w:pStyle w:val="yTableNAm"/>
            </w:pPr>
            <w:r>
              <w:t>Class 6 (c/kL)</w:t>
            </w:r>
          </w:p>
        </w:tc>
        <w:tc>
          <w:tcPr>
            <w:tcW w:w="2339" w:type="dxa"/>
          </w:tcPr>
          <w:p>
            <w:pPr>
              <w:pStyle w:val="yTableNAm"/>
              <w:tabs>
                <w:tab w:val="clear" w:pos="567"/>
                <w:tab w:val="decimal" w:pos="1304"/>
              </w:tabs>
            </w:pPr>
            <w:r>
              <w:t>222.8</w:t>
            </w:r>
          </w:p>
        </w:tc>
        <w:tc>
          <w:tcPr>
            <w:tcW w:w="2339" w:type="dxa"/>
          </w:tcPr>
          <w:p>
            <w:pPr>
              <w:pStyle w:val="yTableNAm"/>
              <w:tabs>
                <w:tab w:val="clear" w:pos="567"/>
                <w:tab w:val="decimal" w:pos="1304"/>
              </w:tabs>
            </w:pPr>
            <w:r>
              <w:t>276.3</w:t>
            </w:r>
          </w:p>
        </w:tc>
      </w:tr>
      <w:tr>
        <w:tc>
          <w:tcPr>
            <w:tcW w:w="1842" w:type="dxa"/>
          </w:tcPr>
          <w:p>
            <w:pPr>
              <w:pStyle w:val="yTableNAm"/>
            </w:pPr>
            <w:r>
              <w:t>Class 7 (c/kL)</w:t>
            </w:r>
          </w:p>
        </w:tc>
        <w:tc>
          <w:tcPr>
            <w:tcW w:w="2339" w:type="dxa"/>
          </w:tcPr>
          <w:p>
            <w:pPr>
              <w:pStyle w:val="yTableNAm"/>
              <w:tabs>
                <w:tab w:val="clear" w:pos="567"/>
                <w:tab w:val="decimal" w:pos="1304"/>
              </w:tabs>
            </w:pPr>
            <w:r>
              <w:t>242.1</w:t>
            </w:r>
          </w:p>
        </w:tc>
        <w:tc>
          <w:tcPr>
            <w:tcW w:w="2339" w:type="dxa"/>
          </w:tcPr>
          <w:p>
            <w:pPr>
              <w:pStyle w:val="yTableNAm"/>
              <w:tabs>
                <w:tab w:val="clear" w:pos="567"/>
                <w:tab w:val="decimal" w:pos="1304"/>
              </w:tabs>
            </w:pPr>
            <w:r>
              <w:t>300.9</w:t>
            </w:r>
          </w:p>
        </w:tc>
      </w:tr>
      <w:tr>
        <w:tc>
          <w:tcPr>
            <w:tcW w:w="1842" w:type="dxa"/>
          </w:tcPr>
          <w:p>
            <w:pPr>
              <w:pStyle w:val="yTableNAm"/>
            </w:pPr>
            <w:r>
              <w:t>Class 8 (c/kL)</w:t>
            </w:r>
          </w:p>
        </w:tc>
        <w:tc>
          <w:tcPr>
            <w:tcW w:w="2339" w:type="dxa"/>
          </w:tcPr>
          <w:p>
            <w:pPr>
              <w:pStyle w:val="yTableNAm"/>
              <w:tabs>
                <w:tab w:val="clear" w:pos="567"/>
                <w:tab w:val="decimal" w:pos="1304"/>
              </w:tabs>
            </w:pPr>
            <w:r>
              <w:t>261.4</w:t>
            </w:r>
          </w:p>
        </w:tc>
        <w:tc>
          <w:tcPr>
            <w:tcW w:w="2339" w:type="dxa"/>
          </w:tcPr>
          <w:p>
            <w:pPr>
              <w:pStyle w:val="yTableNAm"/>
              <w:tabs>
                <w:tab w:val="clear" w:pos="567"/>
                <w:tab w:val="decimal" w:pos="1304"/>
              </w:tabs>
            </w:pPr>
            <w:r>
              <w:t>327.6</w:t>
            </w:r>
          </w:p>
        </w:tc>
      </w:tr>
      <w:tr>
        <w:tc>
          <w:tcPr>
            <w:tcW w:w="1842" w:type="dxa"/>
          </w:tcPr>
          <w:p>
            <w:pPr>
              <w:pStyle w:val="yTableNAm"/>
            </w:pPr>
            <w:r>
              <w:t>Class 9 (c/kL)</w:t>
            </w:r>
          </w:p>
        </w:tc>
        <w:tc>
          <w:tcPr>
            <w:tcW w:w="2339" w:type="dxa"/>
          </w:tcPr>
          <w:p>
            <w:pPr>
              <w:pStyle w:val="yTableNAm"/>
              <w:tabs>
                <w:tab w:val="clear" w:pos="567"/>
                <w:tab w:val="decimal" w:pos="1304"/>
              </w:tabs>
            </w:pPr>
            <w:r>
              <w:t>282.1</w:t>
            </w:r>
          </w:p>
        </w:tc>
        <w:tc>
          <w:tcPr>
            <w:tcW w:w="2339" w:type="dxa"/>
          </w:tcPr>
          <w:p>
            <w:pPr>
              <w:pStyle w:val="yTableNAm"/>
              <w:tabs>
                <w:tab w:val="clear" w:pos="567"/>
                <w:tab w:val="decimal" w:pos="1304"/>
              </w:tabs>
            </w:pPr>
            <w:r>
              <w:t>356.7</w:t>
            </w:r>
          </w:p>
        </w:tc>
      </w:tr>
      <w:tr>
        <w:tc>
          <w:tcPr>
            <w:tcW w:w="1842" w:type="dxa"/>
          </w:tcPr>
          <w:p>
            <w:pPr>
              <w:pStyle w:val="yTableNAm"/>
            </w:pPr>
            <w:r>
              <w:t>Class 10 (c/kL)</w:t>
            </w:r>
          </w:p>
        </w:tc>
        <w:tc>
          <w:tcPr>
            <w:tcW w:w="2339" w:type="dxa"/>
          </w:tcPr>
          <w:p>
            <w:pPr>
              <w:pStyle w:val="yTableNAm"/>
              <w:tabs>
                <w:tab w:val="clear" w:pos="567"/>
                <w:tab w:val="decimal" w:pos="1304"/>
              </w:tabs>
            </w:pPr>
            <w:r>
              <w:t>296.9</w:t>
            </w:r>
          </w:p>
        </w:tc>
        <w:tc>
          <w:tcPr>
            <w:tcW w:w="2339" w:type="dxa"/>
          </w:tcPr>
          <w:p>
            <w:pPr>
              <w:pStyle w:val="yTableNAm"/>
              <w:tabs>
                <w:tab w:val="clear" w:pos="567"/>
                <w:tab w:val="decimal" w:pos="1304"/>
              </w:tabs>
            </w:pPr>
            <w:r>
              <w:t>388.5</w:t>
            </w:r>
          </w:p>
        </w:tc>
      </w:tr>
      <w:tr>
        <w:tc>
          <w:tcPr>
            <w:tcW w:w="1842" w:type="dxa"/>
          </w:tcPr>
          <w:p>
            <w:pPr>
              <w:pStyle w:val="yTableNAm"/>
            </w:pPr>
            <w:r>
              <w:t>Class 11 (c/kL)</w:t>
            </w:r>
          </w:p>
        </w:tc>
        <w:tc>
          <w:tcPr>
            <w:tcW w:w="2339" w:type="dxa"/>
          </w:tcPr>
          <w:p>
            <w:pPr>
              <w:pStyle w:val="yTableNAm"/>
              <w:tabs>
                <w:tab w:val="clear" w:pos="567"/>
                <w:tab w:val="decimal" w:pos="1304"/>
              </w:tabs>
            </w:pPr>
            <w:r>
              <w:t>325.3</w:t>
            </w:r>
          </w:p>
        </w:tc>
        <w:tc>
          <w:tcPr>
            <w:tcW w:w="2339" w:type="dxa"/>
          </w:tcPr>
          <w:p>
            <w:pPr>
              <w:pStyle w:val="yTableNAm"/>
              <w:tabs>
                <w:tab w:val="clear" w:pos="567"/>
                <w:tab w:val="decimal" w:pos="1304"/>
              </w:tabs>
            </w:pPr>
            <w:r>
              <w:t>423.0</w:t>
            </w:r>
          </w:p>
        </w:tc>
      </w:tr>
      <w:tr>
        <w:tc>
          <w:tcPr>
            <w:tcW w:w="1842" w:type="dxa"/>
          </w:tcPr>
          <w:p>
            <w:pPr>
              <w:pStyle w:val="yTableNAm"/>
            </w:pPr>
            <w:r>
              <w:t>Class 12 (c/kL)</w:t>
            </w:r>
          </w:p>
        </w:tc>
        <w:tc>
          <w:tcPr>
            <w:tcW w:w="2339" w:type="dxa"/>
          </w:tcPr>
          <w:p>
            <w:pPr>
              <w:pStyle w:val="yTableNAm"/>
              <w:tabs>
                <w:tab w:val="clear" w:pos="567"/>
                <w:tab w:val="decimal" w:pos="1304"/>
              </w:tabs>
            </w:pPr>
            <w:r>
              <w:t>356.4</w:t>
            </w:r>
          </w:p>
        </w:tc>
        <w:tc>
          <w:tcPr>
            <w:tcW w:w="2339" w:type="dxa"/>
          </w:tcPr>
          <w:p>
            <w:pPr>
              <w:pStyle w:val="yTableNAm"/>
              <w:tabs>
                <w:tab w:val="clear" w:pos="567"/>
                <w:tab w:val="decimal" w:pos="1304"/>
              </w:tabs>
            </w:pPr>
            <w:r>
              <w:t>460.7</w:t>
            </w:r>
          </w:p>
        </w:tc>
      </w:tr>
      <w:tr>
        <w:tc>
          <w:tcPr>
            <w:tcW w:w="1842" w:type="dxa"/>
          </w:tcPr>
          <w:p>
            <w:pPr>
              <w:pStyle w:val="yTableNAm"/>
            </w:pPr>
            <w:r>
              <w:t>Class 13 (c/kL)</w:t>
            </w:r>
          </w:p>
        </w:tc>
        <w:tc>
          <w:tcPr>
            <w:tcW w:w="2339" w:type="dxa"/>
          </w:tcPr>
          <w:p>
            <w:pPr>
              <w:pStyle w:val="yTableNAm"/>
              <w:tabs>
                <w:tab w:val="clear" w:pos="567"/>
                <w:tab w:val="decimal" w:pos="1304"/>
              </w:tabs>
            </w:pPr>
            <w:r>
              <w:t>390.4</w:t>
            </w:r>
          </w:p>
        </w:tc>
        <w:tc>
          <w:tcPr>
            <w:tcW w:w="2339" w:type="dxa"/>
          </w:tcPr>
          <w:p>
            <w:pPr>
              <w:pStyle w:val="yTableNAm"/>
              <w:tabs>
                <w:tab w:val="clear" w:pos="567"/>
                <w:tab w:val="decimal" w:pos="1304"/>
              </w:tabs>
            </w:pPr>
            <w:r>
              <w:t>501.6</w:t>
            </w:r>
          </w:p>
        </w:tc>
      </w:tr>
      <w:tr>
        <w:tc>
          <w:tcPr>
            <w:tcW w:w="1842" w:type="dxa"/>
          </w:tcPr>
          <w:p>
            <w:pPr>
              <w:pStyle w:val="yTableNAm"/>
            </w:pPr>
            <w:r>
              <w:t>Class 14 (c/kL)</w:t>
            </w:r>
          </w:p>
        </w:tc>
        <w:tc>
          <w:tcPr>
            <w:tcW w:w="2339" w:type="dxa"/>
          </w:tcPr>
          <w:p>
            <w:pPr>
              <w:pStyle w:val="yTableNAm"/>
              <w:tabs>
                <w:tab w:val="clear" w:pos="567"/>
                <w:tab w:val="decimal" w:pos="1304"/>
              </w:tabs>
            </w:pPr>
            <w:r>
              <w:t>427.8</w:t>
            </w:r>
          </w:p>
        </w:tc>
        <w:tc>
          <w:tcPr>
            <w:tcW w:w="2339" w:type="dxa"/>
          </w:tcPr>
          <w:p>
            <w:pPr>
              <w:pStyle w:val="yTableNAm"/>
              <w:tabs>
                <w:tab w:val="clear" w:pos="567"/>
                <w:tab w:val="decimal" w:pos="1304"/>
              </w:tabs>
            </w:pPr>
            <w:r>
              <w:t>546.2</w:t>
            </w:r>
          </w:p>
        </w:tc>
      </w:tr>
      <w:tr>
        <w:tc>
          <w:tcPr>
            <w:tcW w:w="1842" w:type="dxa"/>
            <w:tcBorders>
              <w:bottom w:val="single" w:sz="4" w:space="0" w:color="auto"/>
            </w:tcBorders>
          </w:tcPr>
          <w:p>
            <w:pPr>
              <w:pStyle w:val="yTableNAm"/>
            </w:pPr>
            <w:r>
              <w:t>Class 15 (c/kL)</w:t>
            </w:r>
          </w:p>
        </w:tc>
        <w:tc>
          <w:tcPr>
            <w:tcW w:w="2339" w:type="dxa"/>
            <w:tcBorders>
              <w:bottom w:val="single" w:sz="4" w:space="0" w:color="auto"/>
            </w:tcBorders>
          </w:tcPr>
          <w:p>
            <w:pPr>
              <w:pStyle w:val="yTableNAm"/>
              <w:tabs>
                <w:tab w:val="clear" w:pos="567"/>
                <w:tab w:val="decimal" w:pos="1304"/>
              </w:tabs>
            </w:pPr>
            <w:r>
              <w:t>468.6</w:t>
            </w:r>
          </w:p>
        </w:tc>
        <w:tc>
          <w:tcPr>
            <w:tcW w:w="2339" w:type="dxa"/>
            <w:tcBorders>
              <w:bottom w:val="single" w:sz="4" w:space="0" w:color="auto"/>
            </w:tcBorders>
          </w:tcPr>
          <w:p>
            <w:pPr>
              <w:pStyle w:val="yTableNAm"/>
              <w:tabs>
                <w:tab w:val="clear" w:pos="567"/>
                <w:tab w:val="decimal" w:pos="1304"/>
              </w:tabs>
            </w:pPr>
            <w:r>
              <w:t>594.8</w:t>
            </w:r>
          </w:p>
        </w:tc>
      </w:tr>
    </w:tbl>
    <w:p>
      <w:pPr>
        <w:rPr>
          <w:sz w:val="18"/>
        </w:rPr>
      </w:pPr>
    </w:p>
    <w:tbl>
      <w:tblPr>
        <w:tblW w:w="0" w:type="auto"/>
        <w:tblInd w:w="534" w:type="dxa"/>
        <w:tblLook w:val="0000" w:firstRow="0" w:lastRow="0" w:firstColumn="0" w:lastColumn="0" w:noHBand="0" w:noVBand="0"/>
      </w:tblPr>
      <w:tblGrid>
        <w:gridCol w:w="850"/>
        <w:gridCol w:w="4306"/>
        <w:gridCol w:w="1364"/>
      </w:tblGrid>
      <w:tr>
        <w:trPr>
          <w:cantSplit/>
        </w:trPr>
        <w:tc>
          <w:tcPr>
            <w:tcW w:w="850" w:type="dxa"/>
          </w:tcPr>
          <w:p>
            <w:pPr>
              <w:pStyle w:val="yHeading5"/>
              <w:tabs>
                <w:tab w:val="clear" w:pos="879"/>
              </w:tabs>
              <w:ind w:left="0" w:firstLine="0"/>
            </w:pPr>
            <w:bookmarkStart w:id="625" w:name="_Toc265743571"/>
            <w:r>
              <w:t>32.</w:t>
            </w:r>
            <w:bookmarkEnd w:id="625"/>
          </w:p>
        </w:tc>
        <w:tc>
          <w:tcPr>
            <w:tcW w:w="4306" w:type="dxa"/>
          </w:tcPr>
          <w:p>
            <w:pPr>
              <w:pStyle w:val="yHeading5"/>
              <w:tabs>
                <w:tab w:val="clear" w:pos="879"/>
              </w:tabs>
              <w:ind w:left="0" w:firstLine="0"/>
            </w:pPr>
            <w:bookmarkStart w:id="626" w:name="_Toc265743572"/>
            <w:r>
              <w:t>Stock</w:t>
            </w:r>
            <w:bookmarkEnd w:id="626"/>
          </w:p>
        </w:tc>
        <w:tc>
          <w:tcPr>
            <w:tcW w:w="1364" w:type="dxa"/>
          </w:tcPr>
          <w:p>
            <w:pPr>
              <w:pStyle w:val="yHeading5"/>
              <w:tabs>
                <w:tab w:val="clear" w:pos="879"/>
              </w:tabs>
              <w:ind w:left="0" w:firstLine="0"/>
            </w:pPr>
          </w:p>
        </w:tc>
      </w:tr>
      <w:tr>
        <w:trPr>
          <w:cantSplit/>
        </w:trPr>
        <w:tc>
          <w:tcPr>
            <w:tcW w:w="850" w:type="dxa"/>
          </w:tcPr>
          <w:p>
            <w:pPr>
              <w:pStyle w:val="yTableNAm"/>
            </w:pPr>
          </w:p>
        </w:tc>
        <w:tc>
          <w:tcPr>
            <w:tcW w:w="4306" w:type="dxa"/>
          </w:tcPr>
          <w:p>
            <w:pPr>
              <w:pStyle w:val="yTableNAm"/>
              <w:tabs>
                <w:tab w:val="clear" w:pos="567"/>
                <w:tab w:val="left" w:pos="1496"/>
                <w:tab w:val="left" w:leader="dot" w:pos="4021"/>
              </w:tabs>
            </w:pPr>
            <w:r>
              <w:t xml:space="preserve">For each kilolitre of water supplied for the purpose of watering stock on land that is not the subject of a charge under item 10 </w:t>
            </w:r>
            <w:r>
              <w:tab/>
            </w:r>
          </w:p>
        </w:tc>
        <w:tc>
          <w:tcPr>
            <w:tcW w:w="1364" w:type="dxa"/>
          </w:tcPr>
          <w:p>
            <w:pPr>
              <w:pStyle w:val="yTableNAm"/>
              <w:rPr>
                <w:spacing w:val="-1"/>
              </w:rPr>
            </w:pPr>
            <w:r>
              <w:br/>
            </w:r>
            <w:r>
              <w:br/>
              <w:t>141.4</w:t>
            </w:r>
            <w:r>
              <w:rPr>
                <w:spacing w:val="-1"/>
              </w:rPr>
              <w:t xml:space="preserve"> </w:t>
            </w:r>
            <w:r>
              <w:t>cents</w:t>
            </w:r>
          </w:p>
        </w:tc>
      </w:tr>
      <w:tr>
        <w:trPr>
          <w:cantSplit/>
        </w:trPr>
        <w:tc>
          <w:tcPr>
            <w:tcW w:w="850" w:type="dxa"/>
          </w:tcPr>
          <w:p>
            <w:pPr>
              <w:pStyle w:val="yHeading5"/>
              <w:tabs>
                <w:tab w:val="clear" w:pos="879"/>
              </w:tabs>
              <w:ind w:left="0" w:firstLine="0"/>
            </w:pPr>
            <w:bookmarkStart w:id="627" w:name="_Toc265743573"/>
            <w:r>
              <w:t>33.</w:t>
            </w:r>
            <w:bookmarkEnd w:id="627"/>
          </w:p>
        </w:tc>
        <w:tc>
          <w:tcPr>
            <w:tcW w:w="4306" w:type="dxa"/>
          </w:tcPr>
          <w:p>
            <w:pPr>
              <w:pStyle w:val="yHeading5"/>
              <w:tabs>
                <w:tab w:val="clear" w:pos="879"/>
              </w:tabs>
              <w:ind w:left="0" w:firstLine="0"/>
            </w:pPr>
            <w:bookmarkStart w:id="628" w:name="_Toc265743574"/>
            <w:r>
              <w:t>Building</w:t>
            </w:r>
            <w:bookmarkEnd w:id="628"/>
          </w:p>
        </w:tc>
        <w:tc>
          <w:tcPr>
            <w:tcW w:w="1364" w:type="dxa"/>
          </w:tcPr>
          <w:p>
            <w:pPr>
              <w:pStyle w:val="yHeading5"/>
              <w:tabs>
                <w:tab w:val="clear" w:pos="879"/>
              </w:tabs>
              <w:ind w:left="0" w:firstLine="0"/>
            </w:pPr>
          </w:p>
        </w:tc>
      </w:tr>
      <w:tr>
        <w:trPr>
          <w:cantSplit/>
        </w:trPr>
        <w:tc>
          <w:tcPr>
            <w:tcW w:w="850" w:type="dxa"/>
          </w:tcPr>
          <w:p>
            <w:pPr>
              <w:pStyle w:val="yTableNAm"/>
            </w:pPr>
          </w:p>
        </w:tc>
        <w:tc>
          <w:tcPr>
            <w:tcW w:w="4306" w:type="dxa"/>
          </w:tcPr>
          <w:p>
            <w:pPr>
              <w:pStyle w:val="yTableNAm"/>
              <w:tabs>
                <w:tab w:val="clear" w:pos="567"/>
              </w:tabs>
            </w:pPr>
            <w:r>
              <w:t>For each kilolitre of water supplied to land that is neither a residential property, nor any other property held for residential purposes, through a water supply connection that is provided for building purposes —</w:t>
            </w:r>
          </w:p>
        </w:tc>
        <w:tc>
          <w:tcPr>
            <w:tcW w:w="1364" w:type="dxa"/>
          </w:tcPr>
          <w:p>
            <w:pPr>
              <w:pStyle w:val="yTableNAm"/>
              <w:rPr>
                <w:spacing w:val="-1"/>
              </w:rPr>
            </w:pPr>
          </w:p>
        </w:tc>
      </w:tr>
      <w:tr>
        <w:trPr>
          <w:cantSplit/>
        </w:trPr>
        <w:tc>
          <w:tcPr>
            <w:tcW w:w="850" w:type="dxa"/>
          </w:tcPr>
          <w:p>
            <w:pPr>
              <w:pStyle w:val="yTableNAm"/>
            </w:pPr>
          </w:p>
        </w:tc>
        <w:tc>
          <w:tcPr>
            <w:tcW w:w="4306" w:type="dxa"/>
          </w:tcPr>
          <w:p>
            <w:pPr>
              <w:pStyle w:val="yTableNAm"/>
              <w:tabs>
                <w:tab w:val="left" w:pos="1016"/>
              </w:tabs>
              <w:ind w:left="1016" w:hanging="1016"/>
            </w:pPr>
            <w:r>
              <w:tab/>
              <w:t>(a)</w:t>
            </w:r>
            <w:r>
              <w:tab/>
              <w:t>in the metropolitan area, the charge that would apply under item 24 if the water supplied through that connection were the only water supplied to the land;</w:t>
            </w:r>
          </w:p>
        </w:tc>
        <w:tc>
          <w:tcPr>
            <w:tcW w:w="1364" w:type="dxa"/>
          </w:tcPr>
          <w:p>
            <w:pPr>
              <w:pStyle w:val="yTableNAm"/>
              <w:rPr>
                <w:spacing w:val="-1"/>
              </w:rPr>
            </w:pPr>
          </w:p>
        </w:tc>
      </w:tr>
      <w:tr>
        <w:trPr>
          <w:cantSplit/>
        </w:trPr>
        <w:tc>
          <w:tcPr>
            <w:tcW w:w="850" w:type="dxa"/>
          </w:tcPr>
          <w:p>
            <w:pPr>
              <w:pStyle w:val="yTableNAm"/>
            </w:pPr>
          </w:p>
        </w:tc>
        <w:tc>
          <w:tcPr>
            <w:tcW w:w="4306" w:type="dxa"/>
          </w:tcPr>
          <w:p>
            <w:pPr>
              <w:pStyle w:val="yTableNAm"/>
              <w:tabs>
                <w:tab w:val="left" w:pos="1016"/>
                <w:tab w:val="left" w:pos="1496"/>
                <w:tab w:val="left" w:leader="dot" w:pos="4021"/>
              </w:tabs>
              <w:ind w:left="1016" w:hanging="1016"/>
            </w:pPr>
            <w:r>
              <w:tab/>
              <w:t>(b)</w:t>
            </w:r>
            <w:r>
              <w:tab/>
              <w:t>not in the metropolitan area, the charge that would apply under item 27(b) if the water supplied through that connection were the only water supplied to the land.</w:t>
            </w:r>
          </w:p>
        </w:tc>
        <w:tc>
          <w:tcPr>
            <w:tcW w:w="1364" w:type="dxa"/>
          </w:tcPr>
          <w:p>
            <w:pPr>
              <w:pStyle w:val="yTableNAm"/>
              <w:rPr>
                <w:spacing w:val="-1"/>
              </w:rPr>
            </w:pPr>
          </w:p>
        </w:tc>
      </w:tr>
      <w:tr>
        <w:trPr>
          <w:cantSplit/>
        </w:trPr>
        <w:tc>
          <w:tcPr>
            <w:tcW w:w="850" w:type="dxa"/>
          </w:tcPr>
          <w:p>
            <w:pPr>
              <w:pStyle w:val="yHeading5"/>
              <w:tabs>
                <w:tab w:val="clear" w:pos="879"/>
              </w:tabs>
              <w:ind w:left="0" w:firstLine="0"/>
            </w:pPr>
            <w:bookmarkStart w:id="629" w:name="_Toc265743575"/>
            <w:r>
              <w:t>34.</w:t>
            </w:r>
            <w:bookmarkEnd w:id="629"/>
          </w:p>
        </w:tc>
        <w:tc>
          <w:tcPr>
            <w:tcW w:w="4306" w:type="dxa"/>
          </w:tcPr>
          <w:p>
            <w:pPr>
              <w:pStyle w:val="yHeading5"/>
              <w:tabs>
                <w:tab w:val="clear" w:pos="879"/>
              </w:tabs>
              <w:ind w:left="0" w:firstLine="0"/>
            </w:pPr>
            <w:bookmarkStart w:id="630" w:name="_Toc265743576"/>
            <w:r>
              <w:t>Metropolitan hydrant standpipes</w:t>
            </w:r>
            <w:bookmarkEnd w:id="630"/>
          </w:p>
        </w:tc>
        <w:tc>
          <w:tcPr>
            <w:tcW w:w="1364" w:type="dxa"/>
          </w:tcPr>
          <w:p>
            <w:pPr>
              <w:pStyle w:val="yHeading5"/>
              <w:tabs>
                <w:tab w:val="clear" w:pos="879"/>
              </w:tabs>
              <w:ind w:left="0" w:firstLine="0"/>
            </w:pPr>
          </w:p>
        </w:tc>
      </w:tr>
      <w:tr>
        <w:trPr>
          <w:cantSplit/>
        </w:trPr>
        <w:tc>
          <w:tcPr>
            <w:tcW w:w="850" w:type="dxa"/>
          </w:tcPr>
          <w:p>
            <w:pPr>
              <w:pStyle w:val="yTableNAm"/>
            </w:pPr>
          </w:p>
        </w:tc>
        <w:tc>
          <w:tcPr>
            <w:tcW w:w="4306" w:type="dxa"/>
          </w:tcPr>
          <w:p>
            <w:pPr>
              <w:pStyle w:val="yTableNAm"/>
              <w:tabs>
                <w:tab w:val="clear" w:pos="567"/>
                <w:tab w:val="left" w:pos="1496"/>
                <w:tab w:val="left" w:leader="dot" w:pos="4021"/>
              </w:tabs>
              <w:rPr>
                <w:spacing w:val="-1"/>
              </w:rPr>
            </w:pPr>
            <w:r>
              <w:rPr>
                <w:spacing w:val="-1"/>
              </w:rPr>
              <w:t xml:space="preserve">For each kilolitre of water supplied through a hydrant standpipe in the metropolitan area </w:t>
            </w:r>
            <w:r>
              <w:rPr>
                <w:spacing w:val="-1"/>
              </w:rPr>
              <w:tab/>
            </w:r>
          </w:p>
        </w:tc>
        <w:tc>
          <w:tcPr>
            <w:tcW w:w="1364" w:type="dxa"/>
          </w:tcPr>
          <w:p>
            <w:pPr>
              <w:pStyle w:val="yTableNAm"/>
              <w:rPr>
                <w:spacing w:val="-1"/>
              </w:rPr>
            </w:pPr>
            <w:r>
              <w:rPr>
                <w:spacing w:val="-1"/>
              </w:rPr>
              <w:br/>
              <w:t>143.5 cents</w:t>
            </w:r>
          </w:p>
        </w:tc>
      </w:tr>
    </w:tbl>
    <w:p>
      <w:pPr>
        <w:pStyle w:val="yFootnotesection"/>
      </w:pPr>
      <w:r>
        <w:tab/>
        <w:t>[Division 2 inserted in Gazette 25 Jun 2010 p. 2913</w:t>
      </w:r>
      <w:r>
        <w:noBreakHyphen/>
        <w:t>25.]</w:t>
      </w:r>
    </w:p>
    <w:p>
      <w:pPr>
        <w:pStyle w:val="yHeading3"/>
      </w:pPr>
      <w:bookmarkStart w:id="631" w:name="_Toc265743577"/>
      <w:r>
        <w:rPr>
          <w:rStyle w:val="CharSDivNo"/>
        </w:rPr>
        <w:t>Division 3</w:t>
      </w:r>
      <w:r>
        <w:rPr>
          <w:b w:val="0"/>
        </w:rPr>
        <w:t> — </w:t>
      </w:r>
      <w:r>
        <w:rPr>
          <w:rStyle w:val="CharSDivText"/>
        </w:rPr>
        <w:t>Formula for the purposes of by</w:t>
      </w:r>
      <w:r>
        <w:rPr>
          <w:rStyle w:val="CharSDivText"/>
        </w:rPr>
        <w:noBreakHyphen/>
        <w:t>law 17(3)</w:t>
      </w:r>
      <w:bookmarkEnd w:id="631"/>
    </w:p>
    <w:p>
      <w:pPr>
        <w:pStyle w:val="yFootnoteheading"/>
      </w:pPr>
      <w:r>
        <w:tab/>
        <w:t>[Heading inserted in Gazette 25 Jun 2010 p. 2926.]</w:t>
      </w:r>
    </w:p>
    <w:p>
      <w:pPr>
        <w:pStyle w:val="yHeading5"/>
      </w:pPr>
      <w:bookmarkStart w:id="632" w:name="_Toc265743578"/>
      <w:r>
        <w:t>35.</w:t>
      </w:r>
      <w:r>
        <w:rPr>
          <w:b w:val="0"/>
        </w:rPr>
        <w:tab/>
      </w:r>
      <w:r>
        <w:t>Formula for the purposes of by</w:t>
      </w:r>
      <w:r>
        <w:noBreakHyphen/>
        <w:t>law 17(3)</w:t>
      </w:r>
      <w:bookmarkEnd w:id="632"/>
    </w:p>
    <w:p>
      <w:pPr>
        <w:pStyle w:val="ySubsection"/>
      </w:pPr>
      <w:r>
        <w:tab/>
      </w:r>
      <w:r>
        <w:tab/>
        <w:t>The formula for the purposes of by</w:t>
      </w:r>
      <w:r>
        <w:noBreakHyphen/>
        <w:t xml:space="preserve">law 17(3) is as follows — </w:t>
      </w:r>
    </w:p>
    <w:p>
      <w:pPr>
        <w:pStyle w:val="Equation"/>
        <w:spacing w:before="120"/>
        <w:jc w:val="center"/>
      </w:pPr>
      <w:r>
        <w:rPr>
          <w:position w:val="-10"/>
          <w:lang w:eastAsia="en-AU"/>
        </w:rPr>
        <w:drawing>
          <wp:inline distT="0" distB="0" distL="0" distR="0">
            <wp:extent cx="409575" cy="200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p>
    <w:p>
      <w:pPr>
        <w:pStyle w:val="ySubsection"/>
      </w:pPr>
      <w:r>
        <w:tab/>
      </w:r>
      <w:r>
        <w:tab/>
        <w:t xml:space="preserve">where — </w:t>
      </w:r>
    </w:p>
    <w:p>
      <w:pPr>
        <w:pStyle w:val="yIndenta"/>
      </w:pPr>
      <w:r>
        <w:rPr>
          <w:b/>
        </w:rPr>
        <w:tab/>
        <w:t>A</w:t>
      </w:r>
      <w:r>
        <w:t xml:space="preserve"> =</w:t>
      </w:r>
      <w:r>
        <w:tab/>
        <w:t>an applicable charge rate set out in Division 2;</w:t>
      </w:r>
    </w:p>
    <w:p>
      <w:pPr>
        <w:pStyle w:val="yIndenta"/>
      </w:pPr>
      <w:r>
        <w:rPr>
          <w:b/>
        </w:rPr>
        <w:tab/>
        <w:t>B</w:t>
      </w:r>
      <w:r>
        <w:t xml:space="preserve"> =</w:t>
      </w:r>
      <w:r>
        <w:tab/>
        <w:t xml:space="preserve">the quantity of water in kilolitres determined in accordance with the following formula — </w:t>
      </w:r>
    </w:p>
    <w:p>
      <w:pPr>
        <w:pStyle w:val="yIndenta"/>
      </w:pPr>
      <w:r>
        <w:tab/>
      </w:r>
      <w:r>
        <w:tab/>
        <w:t xml:space="preserve">If </w:t>
      </w:r>
      <w:r>
        <w:rPr>
          <w:b/>
        </w:rPr>
        <w:t>C</w:t>
      </w:r>
      <w:r>
        <w:t xml:space="preserve"> </w:t>
      </w:r>
      <w:r>
        <w:sym w:font="Symbol" w:char="F0A3"/>
      </w:r>
      <w:r>
        <w:t xml:space="preserve"> 350, then — </w:t>
      </w:r>
    </w:p>
    <w:p>
      <w:pPr>
        <w:pStyle w:val="Equation"/>
        <w:spacing w:before="120"/>
        <w:ind w:right="1336"/>
        <w:jc w:val="center"/>
      </w:pPr>
      <w:r>
        <w:rPr>
          <w:position w:val="-10"/>
          <w:lang w:eastAsia="en-AU"/>
        </w:rPr>
        <w:drawing>
          <wp:inline distT="0" distB="0" distL="0" distR="0">
            <wp:extent cx="409575" cy="20002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p>
    <w:p>
      <w:pPr>
        <w:pStyle w:val="yIndenta"/>
      </w:pPr>
      <w:r>
        <w:tab/>
      </w:r>
      <w:r>
        <w:tab/>
        <w:t xml:space="preserve">or if </w:t>
      </w:r>
      <w:r>
        <w:rPr>
          <w:b/>
        </w:rPr>
        <w:t>C</w:t>
      </w:r>
      <w:r>
        <w:t xml:space="preserve"> &gt; 350, then — </w:t>
      </w:r>
    </w:p>
    <w:p>
      <w:pPr>
        <w:pStyle w:val="yIndenta"/>
      </w:pPr>
      <w:r>
        <w:tab/>
      </w:r>
      <w:r>
        <w:tab/>
        <w:t xml:space="preserve">C </w:t>
      </w:r>
      <w:r>
        <w:sym w:font="Symbol" w:char="F02D"/>
      </w:r>
      <w:r>
        <w:t xml:space="preserve"> 350 + (350 </w:t>
      </w:r>
      <w:r>
        <w:sym w:font="Symbol" w:char="F0B4"/>
      </w:r>
      <w:r>
        <w:t xml:space="preserve"> D)</w:t>
      </w:r>
    </w:p>
    <w:p>
      <w:pPr>
        <w:pStyle w:val="yIndenta"/>
      </w:pPr>
      <w:r>
        <w:tab/>
      </w:r>
      <w:r>
        <w:tab/>
        <w:t xml:space="preserve">where — </w:t>
      </w:r>
    </w:p>
    <w:p>
      <w:pPr>
        <w:pStyle w:val="yIndenti0"/>
      </w:pPr>
      <w:r>
        <w:rPr>
          <w:b/>
        </w:rPr>
        <w:tab/>
        <w:t>C</w:t>
      </w:r>
      <w:r>
        <w:t xml:space="preserve"> =</w:t>
      </w:r>
      <w:r>
        <w:tab/>
        <w:t>the maximum consumption level in the range set out in Division 2 corresponding to “</w:t>
      </w:r>
      <w:r>
        <w:rPr>
          <w:b/>
        </w:rPr>
        <w:t>A</w:t>
      </w:r>
      <w:r>
        <w:t>” or, if the range is open ended, a level of 100 000 000 kL;</w:t>
      </w:r>
    </w:p>
    <w:p>
      <w:pPr>
        <w:pStyle w:val="yIndenti0"/>
      </w:pPr>
      <w:r>
        <w:rPr>
          <w:b/>
        </w:rPr>
        <w:tab/>
        <w:t>D</w:t>
      </w:r>
      <w:r>
        <w:t xml:space="preserve"> =</w:t>
      </w:r>
      <w:r>
        <w:tab/>
        <w:t>the number of whole or part months before the end of the consumption year, divided by 12.</w:t>
      </w:r>
    </w:p>
    <w:p>
      <w:pPr>
        <w:pStyle w:val="yFootnotesection"/>
      </w:pPr>
      <w:r>
        <w:tab/>
        <w:t>[Division 3 inserted in Gazette 25 Jun 2010 p. 2926.]</w:t>
      </w:r>
    </w:p>
    <w:p>
      <w:pPr>
        <w:pStyle w:val="yHeading3"/>
      </w:pPr>
      <w:bookmarkStart w:id="633" w:name="_Toc265743579"/>
      <w:r>
        <w:rPr>
          <w:rStyle w:val="CharSDivNo"/>
        </w:rPr>
        <w:t>Division 4</w:t>
      </w:r>
      <w:r>
        <w:rPr>
          <w:b w:val="0"/>
        </w:rPr>
        <w:t> — </w:t>
      </w:r>
      <w:r>
        <w:rPr>
          <w:rStyle w:val="CharSDivText"/>
        </w:rPr>
        <w:t>Capital infrastructure charges determined under by</w:t>
      </w:r>
      <w:r>
        <w:rPr>
          <w:rStyle w:val="CharSDivText"/>
        </w:rPr>
        <w:noBreakHyphen/>
        <w:t>law 19A</w:t>
      </w:r>
      <w:bookmarkEnd w:id="633"/>
    </w:p>
    <w:p>
      <w:pPr>
        <w:pStyle w:val="yFootnoteheading"/>
        <w:rPr>
          <w:rStyle w:val="CharSDivText"/>
        </w:rPr>
      </w:pPr>
      <w:r>
        <w:tab/>
        <w:t>[Heading inserted in Gazette 25 Jun 2010 p. 2926.]</w:t>
      </w:r>
    </w:p>
    <w:p>
      <w:pPr>
        <w:pStyle w:val="yHeading5"/>
      </w:pPr>
      <w:bookmarkStart w:id="634" w:name="_Toc265743580"/>
      <w:r>
        <w:t>36.</w:t>
      </w:r>
      <w:r>
        <w:rPr>
          <w:b w:val="0"/>
        </w:rPr>
        <w:tab/>
      </w:r>
      <w:r>
        <w:t>Capital infrastructure charges determined under by</w:t>
      </w:r>
      <w:r>
        <w:noBreakHyphen/>
        <w:t>law 19A</w:t>
      </w:r>
      <w:bookmarkEnd w:id="634"/>
    </w:p>
    <w:p>
      <w:pPr>
        <w:pStyle w:val="ySubsection"/>
      </w:pPr>
      <w:r>
        <w:tab/>
      </w:r>
      <w:r>
        <w:tab/>
        <w:t>The capital infrastructure charges determined under by</w:t>
      </w:r>
      <w:r>
        <w:noBreakHyphen/>
        <w:t xml:space="preserve">law 19A are as follows — </w:t>
      </w:r>
    </w:p>
    <w:p>
      <w:pPr>
        <w:rPr>
          <w:sz w:val="18"/>
        </w:rPr>
      </w:pPr>
    </w:p>
    <w:tbl>
      <w:tblPr>
        <w:tblW w:w="7088" w:type="dxa"/>
        <w:tblInd w:w="56" w:type="dxa"/>
        <w:tblLayout w:type="fixed"/>
        <w:tblCellMar>
          <w:left w:w="56" w:type="dxa"/>
          <w:right w:w="56" w:type="dxa"/>
        </w:tblCellMar>
        <w:tblLook w:val="0000" w:firstRow="0" w:lastRow="0" w:firstColumn="0" w:lastColumn="0" w:noHBand="0" w:noVBand="0"/>
      </w:tblPr>
      <w:tblGrid>
        <w:gridCol w:w="2694"/>
        <w:gridCol w:w="1559"/>
        <w:gridCol w:w="1559"/>
        <w:gridCol w:w="1276"/>
      </w:tblGrid>
      <w:tr>
        <w:trPr>
          <w:tblHeader/>
        </w:trPr>
        <w:tc>
          <w:tcPr>
            <w:tcW w:w="2694" w:type="dxa"/>
            <w:tcBorders>
              <w:top w:val="single" w:sz="4" w:space="0" w:color="auto"/>
            </w:tcBorders>
          </w:tcPr>
          <w:p>
            <w:pPr>
              <w:pStyle w:val="yTableNAm"/>
              <w:rPr>
                <w:b/>
                <w:bCs/>
              </w:rPr>
            </w:pPr>
            <w:r>
              <w:rPr>
                <w:b/>
                <w:bCs/>
              </w:rPr>
              <w:br w:type="page"/>
              <w:t>Column 1</w:t>
            </w:r>
          </w:p>
        </w:tc>
        <w:tc>
          <w:tcPr>
            <w:tcW w:w="1559" w:type="dxa"/>
            <w:tcBorders>
              <w:top w:val="single" w:sz="4" w:space="0" w:color="auto"/>
            </w:tcBorders>
          </w:tcPr>
          <w:p>
            <w:pPr>
              <w:pStyle w:val="yTableNAm"/>
              <w:tabs>
                <w:tab w:val="clear" w:pos="567"/>
                <w:tab w:val="decimal" w:pos="490"/>
              </w:tabs>
              <w:jc w:val="center"/>
              <w:rPr>
                <w:b/>
                <w:bCs/>
              </w:rPr>
            </w:pPr>
            <w:r>
              <w:rPr>
                <w:b/>
                <w:bCs/>
              </w:rPr>
              <w:t>Column 2</w:t>
            </w:r>
          </w:p>
        </w:tc>
        <w:tc>
          <w:tcPr>
            <w:tcW w:w="1559" w:type="dxa"/>
            <w:tcBorders>
              <w:top w:val="single" w:sz="4" w:space="0" w:color="auto"/>
            </w:tcBorders>
          </w:tcPr>
          <w:p>
            <w:pPr>
              <w:pStyle w:val="yTableNAm"/>
              <w:tabs>
                <w:tab w:val="clear" w:pos="567"/>
                <w:tab w:val="decimal" w:pos="731"/>
              </w:tabs>
              <w:jc w:val="center"/>
              <w:rPr>
                <w:b/>
                <w:bCs/>
              </w:rPr>
            </w:pPr>
            <w:r>
              <w:rPr>
                <w:b/>
                <w:bCs/>
              </w:rPr>
              <w:t>Column 3</w:t>
            </w:r>
          </w:p>
        </w:tc>
        <w:tc>
          <w:tcPr>
            <w:tcW w:w="1276" w:type="dxa"/>
            <w:tcBorders>
              <w:top w:val="single" w:sz="4" w:space="0" w:color="auto"/>
            </w:tcBorders>
          </w:tcPr>
          <w:p>
            <w:pPr>
              <w:pStyle w:val="yTableNAm"/>
              <w:tabs>
                <w:tab w:val="clear" w:pos="567"/>
                <w:tab w:val="decimal" w:pos="490"/>
              </w:tabs>
              <w:jc w:val="center"/>
              <w:rPr>
                <w:b/>
                <w:bCs/>
              </w:rPr>
            </w:pPr>
            <w:r>
              <w:rPr>
                <w:b/>
                <w:bCs/>
              </w:rPr>
              <w:t>Column 4</w:t>
            </w:r>
          </w:p>
        </w:tc>
      </w:tr>
      <w:tr>
        <w:trPr>
          <w:tblHeader/>
        </w:trPr>
        <w:tc>
          <w:tcPr>
            <w:tcW w:w="2694" w:type="dxa"/>
            <w:tcBorders>
              <w:bottom w:val="single" w:sz="4" w:space="0" w:color="auto"/>
            </w:tcBorders>
          </w:tcPr>
          <w:p>
            <w:pPr>
              <w:pStyle w:val="yTableNAm"/>
              <w:rPr>
                <w:b/>
                <w:bCs/>
                <w:i/>
              </w:rPr>
            </w:pPr>
            <w:r>
              <w:rPr>
                <w:b/>
                <w:bCs/>
                <w:i/>
              </w:rPr>
              <w:t>Area</w:t>
            </w:r>
          </w:p>
        </w:tc>
        <w:tc>
          <w:tcPr>
            <w:tcW w:w="1559" w:type="dxa"/>
            <w:tcBorders>
              <w:bottom w:val="single" w:sz="4" w:space="0" w:color="auto"/>
            </w:tcBorders>
          </w:tcPr>
          <w:p>
            <w:pPr>
              <w:pStyle w:val="yTableNAm"/>
              <w:tabs>
                <w:tab w:val="clear" w:pos="567"/>
                <w:tab w:val="decimal" w:pos="490"/>
              </w:tabs>
              <w:jc w:val="center"/>
              <w:rPr>
                <w:b/>
                <w:bCs/>
                <w:i/>
              </w:rPr>
            </w:pPr>
            <w:r>
              <w:rPr>
                <w:b/>
                <w:bCs/>
                <w:i/>
              </w:rPr>
              <w:t>Single Charge</w:t>
            </w:r>
          </w:p>
        </w:tc>
        <w:tc>
          <w:tcPr>
            <w:tcW w:w="1559" w:type="dxa"/>
            <w:tcBorders>
              <w:bottom w:val="single" w:sz="4" w:space="0" w:color="auto"/>
            </w:tcBorders>
          </w:tcPr>
          <w:p>
            <w:pPr>
              <w:pStyle w:val="yTableNAm"/>
              <w:tabs>
                <w:tab w:val="clear" w:pos="567"/>
                <w:tab w:val="decimal" w:pos="731"/>
              </w:tabs>
              <w:jc w:val="center"/>
              <w:rPr>
                <w:b/>
                <w:bCs/>
                <w:i/>
              </w:rPr>
            </w:pPr>
            <w:r>
              <w:rPr>
                <w:b/>
                <w:bCs/>
                <w:i/>
              </w:rPr>
              <w:t>Annual Charge</w:t>
            </w:r>
          </w:p>
        </w:tc>
        <w:tc>
          <w:tcPr>
            <w:tcW w:w="1276" w:type="dxa"/>
            <w:tcBorders>
              <w:bottom w:val="single" w:sz="4" w:space="0" w:color="auto"/>
            </w:tcBorders>
          </w:tcPr>
          <w:p>
            <w:pPr>
              <w:pStyle w:val="yTableNAm"/>
              <w:tabs>
                <w:tab w:val="clear" w:pos="567"/>
                <w:tab w:val="decimal" w:pos="490"/>
              </w:tabs>
              <w:jc w:val="center"/>
              <w:rPr>
                <w:b/>
                <w:bCs/>
                <w:i/>
              </w:rPr>
            </w:pPr>
            <w:r>
              <w:rPr>
                <w:b/>
                <w:bCs/>
                <w:i/>
              </w:rPr>
              <w:t>No. of years</w:t>
            </w:r>
          </w:p>
        </w:tc>
      </w:tr>
      <w:tr>
        <w:tc>
          <w:tcPr>
            <w:tcW w:w="2694" w:type="dxa"/>
          </w:tcPr>
          <w:p>
            <w:pPr>
              <w:pStyle w:val="yTableNAm"/>
            </w:pPr>
            <w:r>
              <w:t>Greenough Flats</w:t>
            </w:r>
          </w:p>
        </w:tc>
        <w:tc>
          <w:tcPr>
            <w:tcW w:w="1559" w:type="dxa"/>
          </w:tcPr>
          <w:p>
            <w:pPr>
              <w:pStyle w:val="yTableNAm"/>
              <w:tabs>
                <w:tab w:val="clear" w:pos="567"/>
                <w:tab w:val="decimal" w:pos="490"/>
              </w:tabs>
            </w:pPr>
            <w:r>
              <w:t>$4 800.00</w:t>
            </w:r>
          </w:p>
        </w:tc>
        <w:tc>
          <w:tcPr>
            <w:tcW w:w="1559" w:type="dxa"/>
          </w:tcPr>
          <w:p>
            <w:pPr>
              <w:pStyle w:val="yTableNAm"/>
              <w:tabs>
                <w:tab w:val="clear" w:pos="567"/>
                <w:tab w:val="decimal" w:pos="731"/>
              </w:tabs>
            </w:pPr>
            <w:r>
              <w:t>$667.70</w:t>
            </w:r>
          </w:p>
        </w:tc>
        <w:tc>
          <w:tcPr>
            <w:tcW w:w="1276" w:type="dxa"/>
          </w:tcPr>
          <w:p>
            <w:pPr>
              <w:pStyle w:val="yTableNAm"/>
              <w:tabs>
                <w:tab w:val="clear" w:pos="567"/>
              </w:tabs>
              <w:jc w:val="center"/>
            </w:pPr>
            <w:r>
              <w:t>10</w:t>
            </w:r>
          </w:p>
        </w:tc>
      </w:tr>
      <w:tr>
        <w:tc>
          <w:tcPr>
            <w:tcW w:w="2694" w:type="dxa"/>
          </w:tcPr>
          <w:p>
            <w:pPr>
              <w:pStyle w:val="yTableNAm"/>
            </w:pPr>
            <w:r>
              <w:t>Nilgen</w:t>
            </w:r>
          </w:p>
        </w:tc>
        <w:tc>
          <w:tcPr>
            <w:tcW w:w="1559" w:type="dxa"/>
          </w:tcPr>
          <w:p>
            <w:pPr>
              <w:pStyle w:val="yTableNAm"/>
              <w:tabs>
                <w:tab w:val="clear" w:pos="567"/>
                <w:tab w:val="decimal" w:pos="490"/>
              </w:tabs>
            </w:pPr>
            <w:r>
              <w:t>$3 120.00</w:t>
            </w:r>
          </w:p>
        </w:tc>
        <w:tc>
          <w:tcPr>
            <w:tcW w:w="1559" w:type="dxa"/>
          </w:tcPr>
          <w:p>
            <w:pPr>
              <w:pStyle w:val="yTableNAm"/>
              <w:tabs>
                <w:tab w:val="clear" w:pos="567"/>
                <w:tab w:val="decimal" w:pos="731"/>
              </w:tabs>
            </w:pPr>
            <w:r>
              <w:t>$463.80</w:t>
            </w:r>
          </w:p>
        </w:tc>
        <w:tc>
          <w:tcPr>
            <w:tcW w:w="1276" w:type="dxa"/>
          </w:tcPr>
          <w:p>
            <w:pPr>
              <w:pStyle w:val="yTableNAm"/>
              <w:tabs>
                <w:tab w:val="clear" w:pos="567"/>
              </w:tabs>
              <w:jc w:val="center"/>
            </w:pPr>
            <w:r>
              <w:t>10</w:t>
            </w:r>
          </w:p>
        </w:tc>
      </w:tr>
      <w:tr>
        <w:tc>
          <w:tcPr>
            <w:tcW w:w="2694" w:type="dxa"/>
          </w:tcPr>
          <w:p>
            <w:pPr>
              <w:pStyle w:val="yTableNAm"/>
            </w:pPr>
            <w:r>
              <w:t>South</w:t>
            </w:r>
            <w:r>
              <w:noBreakHyphen/>
              <w:t>west Moora</w:t>
            </w:r>
          </w:p>
        </w:tc>
        <w:tc>
          <w:tcPr>
            <w:tcW w:w="1559" w:type="dxa"/>
          </w:tcPr>
          <w:p>
            <w:pPr>
              <w:pStyle w:val="yTableNAm"/>
              <w:tabs>
                <w:tab w:val="clear" w:pos="567"/>
                <w:tab w:val="decimal" w:pos="490"/>
              </w:tabs>
            </w:pPr>
            <w:r>
              <w:t>$3 074.00</w:t>
            </w:r>
          </w:p>
        </w:tc>
        <w:tc>
          <w:tcPr>
            <w:tcW w:w="1559" w:type="dxa"/>
          </w:tcPr>
          <w:p>
            <w:pPr>
              <w:pStyle w:val="yTableNAm"/>
              <w:tabs>
                <w:tab w:val="clear" w:pos="567"/>
                <w:tab w:val="decimal" w:pos="731"/>
              </w:tabs>
            </w:pPr>
            <w:r>
              <w:t>$427.60</w:t>
            </w:r>
          </w:p>
        </w:tc>
        <w:tc>
          <w:tcPr>
            <w:tcW w:w="1276" w:type="dxa"/>
          </w:tcPr>
          <w:p>
            <w:pPr>
              <w:pStyle w:val="yTableNAm"/>
              <w:tabs>
                <w:tab w:val="clear" w:pos="567"/>
              </w:tabs>
              <w:jc w:val="center"/>
            </w:pPr>
            <w:r>
              <w:t>10</w:t>
            </w:r>
          </w:p>
        </w:tc>
      </w:tr>
      <w:tr>
        <w:tc>
          <w:tcPr>
            <w:tcW w:w="2694" w:type="dxa"/>
            <w:tcBorders>
              <w:bottom w:val="single" w:sz="4" w:space="0" w:color="auto"/>
            </w:tcBorders>
          </w:tcPr>
          <w:p>
            <w:pPr>
              <w:pStyle w:val="yTableNAm"/>
            </w:pPr>
            <w:r>
              <w:t>Stirling Trunk Main Services</w:t>
            </w:r>
          </w:p>
        </w:tc>
        <w:tc>
          <w:tcPr>
            <w:tcW w:w="1559" w:type="dxa"/>
            <w:tcBorders>
              <w:bottom w:val="single" w:sz="4" w:space="0" w:color="auto"/>
            </w:tcBorders>
          </w:tcPr>
          <w:p>
            <w:pPr>
              <w:pStyle w:val="yTableNAm"/>
              <w:tabs>
                <w:tab w:val="clear" w:pos="567"/>
                <w:tab w:val="decimal" w:pos="490"/>
              </w:tabs>
            </w:pPr>
            <w:r>
              <w:t>$2 448.00</w:t>
            </w:r>
          </w:p>
        </w:tc>
        <w:tc>
          <w:tcPr>
            <w:tcW w:w="1559" w:type="dxa"/>
            <w:tcBorders>
              <w:bottom w:val="single" w:sz="4" w:space="0" w:color="auto"/>
            </w:tcBorders>
          </w:tcPr>
          <w:p>
            <w:pPr>
              <w:pStyle w:val="yTableNAm"/>
              <w:tabs>
                <w:tab w:val="clear" w:pos="567"/>
                <w:tab w:val="decimal" w:pos="731"/>
              </w:tabs>
            </w:pPr>
            <w:r>
              <w:t>$401.00</w:t>
            </w:r>
          </w:p>
        </w:tc>
        <w:tc>
          <w:tcPr>
            <w:tcW w:w="1276" w:type="dxa"/>
            <w:tcBorders>
              <w:bottom w:val="single" w:sz="4" w:space="0" w:color="auto"/>
            </w:tcBorders>
          </w:tcPr>
          <w:p>
            <w:pPr>
              <w:pStyle w:val="yTableNAm"/>
              <w:tabs>
                <w:tab w:val="clear" w:pos="567"/>
              </w:tabs>
              <w:jc w:val="center"/>
            </w:pPr>
            <w:r>
              <w:t>10</w:t>
            </w:r>
          </w:p>
        </w:tc>
      </w:tr>
    </w:tbl>
    <w:p>
      <w:pPr>
        <w:pStyle w:val="yFootnotesection"/>
      </w:pPr>
      <w:r>
        <w:tab/>
        <w:t>[Division 4 inserted in Gazette 25 Jun 2010 p. 2926</w:t>
      </w:r>
      <w:r>
        <w:noBreakHyphen/>
        <w:t>7.]</w:t>
      </w:r>
    </w:p>
    <w:p>
      <w:pPr>
        <w:pStyle w:val="yScheduleHeading"/>
      </w:pPr>
      <w:bookmarkStart w:id="635" w:name="_Toc103741755"/>
      <w:bookmarkStart w:id="636" w:name="_Toc139771095"/>
      <w:bookmarkStart w:id="637" w:name="_Toc139771473"/>
      <w:bookmarkStart w:id="638" w:name="_Toc151191688"/>
      <w:bookmarkStart w:id="639" w:name="_Toc151260581"/>
      <w:bookmarkStart w:id="640" w:name="_Toc164158688"/>
      <w:bookmarkStart w:id="641" w:name="_Toc164221060"/>
      <w:bookmarkStart w:id="642" w:name="_Toc170879115"/>
      <w:bookmarkStart w:id="643" w:name="_Toc170894765"/>
      <w:bookmarkStart w:id="644" w:name="_Toc175712731"/>
      <w:bookmarkStart w:id="645" w:name="_Toc175970672"/>
      <w:bookmarkStart w:id="646" w:name="_Toc176335391"/>
      <w:bookmarkStart w:id="647" w:name="_Toc176338966"/>
      <w:bookmarkStart w:id="648" w:name="_Toc178742991"/>
      <w:bookmarkStart w:id="649" w:name="_Toc179363414"/>
      <w:bookmarkStart w:id="650" w:name="_Toc179604483"/>
      <w:bookmarkStart w:id="651" w:name="_Toc180204676"/>
      <w:bookmarkStart w:id="652" w:name="_Toc180204892"/>
      <w:bookmarkStart w:id="653" w:name="_Toc185844637"/>
      <w:bookmarkStart w:id="654" w:name="_Toc185845257"/>
      <w:bookmarkStart w:id="655" w:name="_Toc185927222"/>
      <w:bookmarkStart w:id="656" w:name="_Toc202506016"/>
      <w:bookmarkStart w:id="657" w:name="_Toc202672748"/>
      <w:bookmarkStart w:id="658" w:name="_Toc202691763"/>
      <w:bookmarkStart w:id="659" w:name="_Toc26574358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r>
        <w:tab/>
      </w:r>
      <w:bookmarkStart w:id="660" w:name="_Toc233448420"/>
      <w:bookmarkStart w:id="661" w:name="_Toc233611699"/>
      <w:bookmarkStart w:id="662" w:name="_Toc234730706"/>
      <w:bookmarkStart w:id="663" w:name="_Toc234733232"/>
      <w:bookmarkStart w:id="664" w:name="_Toc235863969"/>
      <w:bookmarkStart w:id="665" w:name="_Toc235933444"/>
      <w:bookmarkStart w:id="666" w:name="_Toc237164432"/>
      <w:bookmarkStart w:id="667" w:name="_Toc237244316"/>
      <w:bookmarkStart w:id="668" w:name="_Toc237245618"/>
      <w:bookmarkStart w:id="669" w:name="_Toc237245749"/>
      <w:bookmarkStart w:id="670" w:name="_Toc237247891"/>
      <w:bookmarkStart w:id="671" w:name="_Toc237254194"/>
      <w:bookmarkStart w:id="672" w:name="_Toc237309613"/>
      <w:bookmarkStart w:id="673" w:name="_Toc170879125"/>
      <w:bookmarkStart w:id="674" w:name="_Toc170894773"/>
      <w:bookmarkStart w:id="675" w:name="_Toc175712739"/>
      <w:bookmarkStart w:id="676" w:name="_Toc175970680"/>
      <w:bookmarkStart w:id="677" w:name="_Toc176335399"/>
      <w:bookmarkStart w:id="678" w:name="_Toc176338974"/>
      <w:bookmarkStart w:id="679" w:name="_Toc178742999"/>
      <w:bookmarkStart w:id="680" w:name="_Toc179363422"/>
      <w:bookmarkStart w:id="681" w:name="_Toc179604491"/>
      <w:bookmarkStart w:id="682" w:name="_Toc180204684"/>
      <w:bookmarkStart w:id="683" w:name="_Toc180204900"/>
      <w:bookmarkStart w:id="684" w:name="_Toc185844645"/>
      <w:bookmarkStart w:id="685" w:name="_Toc185845265"/>
      <w:bookmarkStart w:id="686" w:name="_Toc185927230"/>
      <w:bookmarkStart w:id="687" w:name="_Toc202506071"/>
      <w:bookmarkStart w:id="688" w:name="_Toc202672803"/>
      <w:bookmarkStart w:id="689" w:name="_Toc202691788"/>
      <w:bookmarkStart w:id="690" w:name="_Toc139771097"/>
      <w:bookmarkStart w:id="691" w:name="_Toc139771475"/>
      <w:bookmarkStart w:id="692" w:name="_Toc151191690"/>
      <w:bookmarkStart w:id="693" w:name="_Toc151260583"/>
      <w:bookmarkStart w:id="694" w:name="_Toc164158690"/>
      <w:bookmarkStart w:id="695" w:name="_Toc164221062"/>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rPr>
          <w:rStyle w:val="CharSchNo"/>
        </w:rPr>
        <w:t>Schedule 2</w:t>
      </w:r>
      <w:r>
        <w:t> — </w:t>
      </w:r>
      <w:r>
        <w:rPr>
          <w:rStyle w:val="CharSchText"/>
        </w:rPr>
        <w:t xml:space="preserve">Charges for water supply under the </w:t>
      </w:r>
      <w:r>
        <w:rPr>
          <w:rStyle w:val="CharSchText"/>
          <w:i/>
          <w:iCs/>
        </w:rPr>
        <w:t>Rights in Water and Irrigation Act 1914</w:t>
      </w:r>
      <w:r>
        <w:rPr>
          <w:rStyle w:val="CharSchText"/>
        </w:rPr>
        <w:t xml:space="preserve"> for 2010/2011</w:t>
      </w:r>
      <w:bookmarkEnd w:id="659"/>
    </w:p>
    <w:p>
      <w:pPr>
        <w:pStyle w:val="yShoulderClause"/>
      </w:pPr>
      <w:r>
        <w:t xml:space="preserve">[bl. </w:t>
      </w:r>
      <w:r>
        <w:rPr>
          <w:snapToGrid w:val="0"/>
        </w:rPr>
        <w:t>20</w:t>
      </w:r>
      <w:r>
        <w:t>]</w:t>
      </w:r>
    </w:p>
    <w:p>
      <w:pPr>
        <w:pStyle w:val="yFootnoteheading"/>
      </w:pPr>
      <w:r>
        <w:tab/>
        <w:t>[Heading inserted in Gazette 25 Jun 2010 p. 2927.]</w:t>
      </w:r>
    </w:p>
    <w:p>
      <w:pPr>
        <w:pStyle w:val="yHeading3"/>
      </w:pPr>
      <w:bookmarkStart w:id="696" w:name="_Toc265743582"/>
      <w:r>
        <w:rPr>
          <w:rStyle w:val="CharSDivNo"/>
        </w:rPr>
        <w:t>Division 1</w:t>
      </w:r>
      <w:r>
        <w:rPr>
          <w:b w:val="0"/>
        </w:rPr>
        <w:t> — </w:t>
      </w:r>
      <w:r>
        <w:rPr>
          <w:rStyle w:val="CharSDivText"/>
        </w:rPr>
        <w:t>Fixed charges</w:t>
      </w:r>
      <w:bookmarkEnd w:id="696"/>
    </w:p>
    <w:p>
      <w:pPr>
        <w:pStyle w:val="yFootnoteheading"/>
      </w:pPr>
      <w:r>
        <w:tab/>
        <w:t>[Heading inserted in Gazette 25 Jun 2010 p. 2927.]</w:t>
      </w:r>
    </w:p>
    <w:tbl>
      <w:tblPr>
        <w:tblW w:w="0" w:type="auto"/>
        <w:tblInd w:w="534" w:type="dxa"/>
        <w:tblLook w:val="0000" w:firstRow="0" w:lastRow="0" w:firstColumn="0" w:lastColumn="0" w:noHBand="0" w:noVBand="0"/>
      </w:tblPr>
      <w:tblGrid>
        <w:gridCol w:w="850"/>
        <w:gridCol w:w="4235"/>
        <w:gridCol w:w="1457"/>
      </w:tblGrid>
      <w:tr>
        <w:trPr>
          <w:cantSplit/>
        </w:trPr>
        <w:tc>
          <w:tcPr>
            <w:tcW w:w="850" w:type="dxa"/>
          </w:tcPr>
          <w:p>
            <w:pPr>
              <w:pStyle w:val="yHeading5"/>
              <w:tabs>
                <w:tab w:val="clear" w:pos="879"/>
              </w:tabs>
              <w:ind w:left="0" w:firstLine="0"/>
            </w:pPr>
            <w:bookmarkStart w:id="697" w:name="_Toc265743583"/>
            <w:bookmarkStart w:id="698" w:name="_Toc164221002"/>
            <w:r>
              <w:t>1.</w:t>
            </w:r>
            <w:bookmarkEnd w:id="697"/>
          </w:p>
        </w:tc>
        <w:tc>
          <w:tcPr>
            <w:tcW w:w="5692" w:type="dxa"/>
            <w:gridSpan w:val="2"/>
          </w:tcPr>
          <w:p>
            <w:pPr>
              <w:pStyle w:val="yHeading5"/>
              <w:tabs>
                <w:tab w:val="clear" w:pos="879"/>
              </w:tabs>
              <w:ind w:left="0" w:firstLine="0"/>
            </w:pPr>
            <w:bookmarkStart w:id="699" w:name="_Toc265743584"/>
            <w:r>
              <w:t xml:space="preserve">Supply under the </w:t>
            </w:r>
            <w:r>
              <w:rPr>
                <w:i/>
                <w:iCs/>
              </w:rPr>
              <w:t>Ord Irrigation District By</w:t>
            </w:r>
            <w:r>
              <w:rPr>
                <w:i/>
                <w:iCs/>
              </w:rPr>
              <w:noBreakHyphen/>
              <w:t>laws 1963</w:t>
            </w:r>
            <w:r>
              <w:t xml:space="preserve"> by</w:t>
            </w:r>
            <w:r>
              <w:noBreakHyphen/>
              <w:t>law 31A other than under Division 2</w:t>
            </w:r>
            <w:bookmarkEnd w:id="699"/>
          </w:p>
        </w:tc>
      </w:tr>
      <w:tr>
        <w:trPr>
          <w:cantSplit/>
        </w:trPr>
        <w:tc>
          <w:tcPr>
            <w:tcW w:w="850" w:type="dxa"/>
          </w:tcPr>
          <w:p>
            <w:pPr>
              <w:pStyle w:val="yTableNAm"/>
            </w:pPr>
          </w:p>
        </w:tc>
        <w:tc>
          <w:tcPr>
            <w:tcW w:w="4235" w:type="dxa"/>
          </w:tcPr>
          <w:p>
            <w:pPr>
              <w:pStyle w:val="yTableNAm"/>
            </w:pPr>
            <w:r>
              <w:t xml:space="preserve">In respect of land to which water is supplied under the </w:t>
            </w:r>
            <w:r>
              <w:rPr>
                <w:i/>
              </w:rPr>
              <w:t>Ord Irrigation District By</w:t>
            </w:r>
            <w:r>
              <w:rPr>
                <w:i/>
              </w:rPr>
              <w:noBreakHyphen/>
              <w:t>laws 1963</w:t>
            </w:r>
            <w:r>
              <w:t xml:space="preserve"> by</w:t>
            </w:r>
            <w:r>
              <w:noBreakHyphen/>
              <w:t>law 31A, for purposes other than those mentioned in Division 2, an amount per supply point of —</w:t>
            </w:r>
          </w:p>
        </w:tc>
        <w:tc>
          <w:tcPr>
            <w:tcW w:w="1457" w:type="dxa"/>
          </w:tcPr>
          <w:p>
            <w:pPr>
              <w:pStyle w:val="yTableNAm"/>
            </w:pPr>
          </w:p>
        </w:tc>
      </w:tr>
      <w:tr>
        <w:trPr>
          <w:cantSplit/>
        </w:trPr>
        <w:tc>
          <w:tcPr>
            <w:tcW w:w="850" w:type="dxa"/>
          </w:tcPr>
          <w:p>
            <w:pPr>
              <w:pStyle w:val="yTableNAm"/>
            </w:pPr>
          </w:p>
        </w:tc>
        <w:tc>
          <w:tcPr>
            <w:tcW w:w="4235" w:type="dxa"/>
          </w:tcPr>
          <w:p>
            <w:pPr>
              <w:pStyle w:val="yTableNAm"/>
              <w:tabs>
                <w:tab w:val="left" w:pos="1136"/>
                <w:tab w:val="left" w:leader="dot" w:pos="4019"/>
              </w:tabs>
            </w:pPr>
            <w:r>
              <w:tab/>
              <w:t>(a)</w:t>
            </w:r>
            <w:r>
              <w:tab/>
              <w:t xml:space="preserve">where the supply is assured </w:t>
            </w:r>
            <w:r>
              <w:tab/>
            </w:r>
          </w:p>
        </w:tc>
        <w:tc>
          <w:tcPr>
            <w:tcW w:w="1457" w:type="dxa"/>
          </w:tcPr>
          <w:p>
            <w:pPr>
              <w:pStyle w:val="yTableNAm"/>
            </w:pPr>
            <w:r>
              <w:t>$227.00</w:t>
            </w:r>
          </w:p>
        </w:tc>
      </w:tr>
      <w:tr>
        <w:trPr>
          <w:cantSplit/>
        </w:trPr>
        <w:tc>
          <w:tcPr>
            <w:tcW w:w="850" w:type="dxa"/>
          </w:tcPr>
          <w:p>
            <w:pPr>
              <w:pStyle w:val="yTableNAm"/>
            </w:pPr>
          </w:p>
        </w:tc>
        <w:tc>
          <w:tcPr>
            <w:tcW w:w="4235" w:type="dxa"/>
          </w:tcPr>
          <w:p>
            <w:pPr>
              <w:pStyle w:val="yTableNAm"/>
              <w:tabs>
                <w:tab w:val="left" w:pos="1136"/>
                <w:tab w:val="left" w:leader="dot" w:pos="4019"/>
              </w:tabs>
            </w:pPr>
            <w:r>
              <w:tab/>
              <w:t>(b)</w:t>
            </w:r>
            <w:r>
              <w:tab/>
              <w:t xml:space="preserve">where the supply is not assured </w:t>
            </w:r>
            <w:r>
              <w:tab/>
            </w:r>
          </w:p>
        </w:tc>
        <w:tc>
          <w:tcPr>
            <w:tcW w:w="1457" w:type="dxa"/>
          </w:tcPr>
          <w:p>
            <w:pPr>
              <w:pStyle w:val="yTableNAm"/>
            </w:pPr>
            <w:r>
              <w:t>$166.50</w:t>
            </w:r>
          </w:p>
        </w:tc>
      </w:tr>
    </w:tbl>
    <w:bookmarkEnd w:id="698"/>
    <w:p>
      <w:pPr>
        <w:pStyle w:val="yFootnotesection"/>
      </w:pPr>
      <w:r>
        <w:tab/>
        <w:t>[Division 1 inserted in Gazette 25 Jun 2010 p. 2927.]</w:t>
      </w:r>
    </w:p>
    <w:p>
      <w:pPr>
        <w:pStyle w:val="yHeading3"/>
        <w:rPr>
          <w:rStyle w:val="CharSDivText"/>
        </w:rPr>
      </w:pPr>
      <w:bookmarkStart w:id="700" w:name="_Toc265743585"/>
      <w:r>
        <w:rPr>
          <w:rStyle w:val="CharSDivNo"/>
        </w:rPr>
        <w:t>Division 2</w:t>
      </w:r>
      <w:r>
        <w:rPr>
          <w:b w:val="0"/>
        </w:rPr>
        <w:t> — </w:t>
      </w:r>
      <w:r>
        <w:rPr>
          <w:rStyle w:val="CharSDivText"/>
        </w:rPr>
        <w:t>Variable charges and charges by way of a rate</w:t>
      </w:r>
      <w:bookmarkEnd w:id="700"/>
    </w:p>
    <w:p>
      <w:pPr>
        <w:pStyle w:val="yFootnoteheading"/>
      </w:pPr>
      <w:r>
        <w:tab/>
        <w:t>[Heading inserted in Gazette 25 Jun 2010 p. 2928.]</w:t>
      </w:r>
    </w:p>
    <w:tbl>
      <w:tblPr>
        <w:tblW w:w="6520" w:type="dxa"/>
        <w:tblInd w:w="534" w:type="dxa"/>
        <w:tblLook w:val="0000" w:firstRow="0" w:lastRow="0" w:firstColumn="0" w:lastColumn="0" w:noHBand="0" w:noVBand="0"/>
      </w:tblPr>
      <w:tblGrid>
        <w:gridCol w:w="850"/>
        <w:gridCol w:w="4243"/>
        <w:gridCol w:w="1427"/>
      </w:tblGrid>
      <w:tr>
        <w:trPr>
          <w:cantSplit/>
        </w:trPr>
        <w:tc>
          <w:tcPr>
            <w:tcW w:w="850" w:type="dxa"/>
          </w:tcPr>
          <w:p>
            <w:pPr>
              <w:pStyle w:val="yHeading5"/>
              <w:tabs>
                <w:tab w:val="clear" w:pos="879"/>
              </w:tabs>
              <w:ind w:left="0" w:firstLine="0"/>
            </w:pPr>
            <w:bookmarkStart w:id="701" w:name="_Toc265743586"/>
            <w:r>
              <w:t>2.</w:t>
            </w:r>
            <w:bookmarkEnd w:id="701"/>
          </w:p>
        </w:tc>
        <w:tc>
          <w:tcPr>
            <w:tcW w:w="5670" w:type="dxa"/>
            <w:gridSpan w:val="2"/>
          </w:tcPr>
          <w:p>
            <w:pPr>
              <w:pStyle w:val="yHeading5"/>
              <w:tabs>
                <w:tab w:val="clear" w:pos="879"/>
              </w:tabs>
              <w:ind w:left="0" w:firstLine="0"/>
            </w:pPr>
            <w:bookmarkStart w:id="702" w:name="_Toc265743587"/>
            <w:r>
              <w:t xml:space="preserve">Supply under the </w:t>
            </w:r>
            <w:r>
              <w:rPr>
                <w:i/>
                <w:iCs/>
              </w:rPr>
              <w:t>Ord Irrigation District By</w:t>
            </w:r>
            <w:r>
              <w:rPr>
                <w:i/>
                <w:iCs/>
              </w:rPr>
              <w:noBreakHyphen/>
              <w:t>laws 1963</w:t>
            </w:r>
            <w:r>
              <w:t xml:space="preserve"> by</w:t>
            </w:r>
            <w:r>
              <w:noBreakHyphen/>
              <w:t>law 31A</w:t>
            </w:r>
            <w:bookmarkEnd w:id="702"/>
          </w:p>
        </w:tc>
      </w:tr>
      <w:tr>
        <w:trPr>
          <w:cantSplit/>
        </w:trPr>
        <w:tc>
          <w:tcPr>
            <w:tcW w:w="850" w:type="dxa"/>
          </w:tcPr>
          <w:p>
            <w:pPr>
              <w:pStyle w:val="yTableNAm"/>
            </w:pPr>
          </w:p>
        </w:tc>
        <w:tc>
          <w:tcPr>
            <w:tcW w:w="4243" w:type="dxa"/>
          </w:tcPr>
          <w:p>
            <w:pPr>
              <w:pStyle w:val="yTableNAm"/>
            </w:pPr>
            <w:r>
              <w:t xml:space="preserve">In respect of land to which water is supplied under the </w:t>
            </w:r>
            <w:r>
              <w:rPr>
                <w:i/>
              </w:rPr>
              <w:t>Ord Irrigation District By</w:t>
            </w:r>
            <w:r>
              <w:rPr>
                <w:i/>
              </w:rPr>
              <w:noBreakHyphen/>
              <w:t>laws 1963</w:t>
            </w:r>
            <w:r>
              <w:t xml:space="preserve"> by</w:t>
            </w:r>
            <w:r>
              <w:noBreakHyphen/>
              <w:t>law 31A for the purposes of stock</w:t>
            </w:r>
            <w:r>
              <w:noBreakHyphen/>
              <w:t>water or dust prevention in feed lots —</w:t>
            </w:r>
          </w:p>
        </w:tc>
        <w:tc>
          <w:tcPr>
            <w:tcW w:w="1427" w:type="dxa"/>
          </w:tcPr>
          <w:p>
            <w:pPr>
              <w:pStyle w:val="yTableNAm"/>
            </w:pPr>
          </w:p>
        </w:tc>
      </w:tr>
      <w:tr>
        <w:trPr>
          <w:cantSplit/>
        </w:trPr>
        <w:tc>
          <w:tcPr>
            <w:tcW w:w="850" w:type="dxa"/>
          </w:tcPr>
          <w:p>
            <w:pPr>
              <w:pStyle w:val="yTableNAm"/>
            </w:pPr>
          </w:p>
        </w:tc>
        <w:tc>
          <w:tcPr>
            <w:tcW w:w="4243" w:type="dxa"/>
          </w:tcPr>
          <w:p>
            <w:pPr>
              <w:pStyle w:val="yTableNAm"/>
              <w:tabs>
                <w:tab w:val="left" w:pos="1136"/>
                <w:tab w:val="left" w:leader="dot" w:pos="4016"/>
              </w:tabs>
              <w:ind w:left="1136" w:hanging="1136"/>
            </w:pPr>
            <w:r>
              <w:tab/>
              <w:t>(a)</w:t>
            </w:r>
            <w:r>
              <w:tab/>
              <w:t xml:space="preserve">where the maximum area used as a feed lot during the year is not more than 4 hectares </w:t>
            </w:r>
            <w:r>
              <w:tab/>
            </w:r>
          </w:p>
        </w:tc>
        <w:tc>
          <w:tcPr>
            <w:tcW w:w="1427" w:type="dxa"/>
          </w:tcPr>
          <w:p>
            <w:pPr>
              <w:pStyle w:val="yTableNAm"/>
            </w:pPr>
            <w:r>
              <w:br/>
            </w:r>
            <w:r>
              <w:br/>
              <w:t>$610.00</w:t>
            </w:r>
          </w:p>
        </w:tc>
      </w:tr>
      <w:tr>
        <w:trPr>
          <w:cantSplit/>
        </w:trPr>
        <w:tc>
          <w:tcPr>
            <w:tcW w:w="850" w:type="dxa"/>
          </w:tcPr>
          <w:p>
            <w:pPr>
              <w:pStyle w:val="yTableNAm"/>
            </w:pPr>
          </w:p>
        </w:tc>
        <w:tc>
          <w:tcPr>
            <w:tcW w:w="4243" w:type="dxa"/>
          </w:tcPr>
          <w:p>
            <w:pPr>
              <w:pStyle w:val="yTableNAm"/>
              <w:tabs>
                <w:tab w:val="left" w:pos="1136"/>
                <w:tab w:val="left" w:leader="dot" w:pos="4019"/>
              </w:tabs>
              <w:ind w:left="1136" w:hanging="1136"/>
            </w:pPr>
            <w:r>
              <w:tab/>
              <w:t>(b)</w:t>
            </w:r>
            <w:r>
              <w:tab/>
              <w:t xml:space="preserve">where the maximum area used as a feed lot during the year is more than 4 hectares, the amount specified in paragraph (a) and, for each hectare (or part thereof) in excess of 4 hectares that is so used, a further amount of </w:t>
            </w:r>
            <w:r>
              <w:tab/>
            </w:r>
          </w:p>
        </w:tc>
        <w:tc>
          <w:tcPr>
            <w:tcW w:w="1427" w:type="dxa"/>
          </w:tcPr>
          <w:p>
            <w:pPr>
              <w:pStyle w:val="yTableNAm"/>
            </w:pPr>
            <w:r>
              <w:br/>
            </w:r>
            <w:r>
              <w:br/>
            </w:r>
            <w:r>
              <w:br/>
            </w:r>
            <w:r>
              <w:br/>
            </w:r>
            <w:r>
              <w:br/>
            </w:r>
            <w:r>
              <w:br/>
            </w:r>
            <w:r>
              <w:br/>
              <w:t>$121.00</w:t>
            </w:r>
          </w:p>
        </w:tc>
      </w:tr>
    </w:tbl>
    <w:p>
      <w:pPr>
        <w:pStyle w:val="yFootnotesection"/>
      </w:pPr>
      <w:r>
        <w:tab/>
        <w:t>[Division 2 inserted in Gazette 25 Jun 2010 p. 2928.]</w:t>
      </w:r>
    </w:p>
    <w:p>
      <w:pPr>
        <w:pStyle w:val="yScheduleHeading"/>
      </w:pPr>
      <w:bookmarkStart w:id="703" w:name="_Toc265743588"/>
      <w:bookmarkEnd w:id="660"/>
      <w:bookmarkEnd w:id="661"/>
      <w:bookmarkEnd w:id="662"/>
      <w:bookmarkEnd w:id="663"/>
      <w:bookmarkEnd w:id="664"/>
      <w:bookmarkEnd w:id="665"/>
      <w:bookmarkEnd w:id="666"/>
      <w:bookmarkEnd w:id="667"/>
      <w:bookmarkEnd w:id="668"/>
      <w:bookmarkEnd w:id="669"/>
      <w:bookmarkEnd w:id="670"/>
      <w:bookmarkEnd w:id="671"/>
      <w:bookmarkEnd w:id="672"/>
      <w:r>
        <w:tab/>
      </w:r>
      <w:bookmarkStart w:id="704" w:name="_Toc202506081"/>
      <w:bookmarkStart w:id="705" w:name="_Toc202672813"/>
      <w:bookmarkStart w:id="706" w:name="_Toc202691791"/>
      <w:bookmarkStart w:id="707" w:name="_Toc233448448"/>
      <w:bookmarkStart w:id="708" w:name="_Toc233611724"/>
      <w:bookmarkStart w:id="709" w:name="_Toc234730731"/>
      <w:bookmarkStart w:id="710" w:name="_Toc234733257"/>
      <w:bookmarkStart w:id="711" w:name="_Toc235863994"/>
      <w:bookmarkStart w:id="712" w:name="_Toc235933469"/>
      <w:bookmarkStart w:id="713" w:name="_Toc237164457"/>
      <w:bookmarkStart w:id="714" w:name="_Toc237244341"/>
      <w:bookmarkStart w:id="715" w:name="_Toc237245665"/>
      <w:bookmarkStart w:id="716" w:name="_Toc237245796"/>
      <w:bookmarkStart w:id="717" w:name="_Toc237247938"/>
      <w:bookmarkStart w:id="718" w:name="_Toc237254241"/>
      <w:bookmarkStart w:id="719" w:name="_Toc237309660"/>
      <w:bookmarkStart w:id="720" w:name="_Toc170879127"/>
      <w:bookmarkStart w:id="721" w:name="_Toc170894775"/>
      <w:bookmarkStart w:id="722" w:name="_Toc175712741"/>
      <w:bookmarkStart w:id="723" w:name="_Toc175970682"/>
      <w:bookmarkStart w:id="724" w:name="_Toc176335401"/>
      <w:bookmarkStart w:id="725" w:name="_Toc176338976"/>
      <w:bookmarkStart w:id="726" w:name="_Toc178743001"/>
      <w:bookmarkStart w:id="727" w:name="_Toc179363424"/>
      <w:bookmarkStart w:id="728" w:name="_Toc179604493"/>
      <w:bookmarkStart w:id="729" w:name="_Toc180204686"/>
      <w:bookmarkStart w:id="730" w:name="_Toc180204902"/>
      <w:bookmarkStart w:id="731" w:name="_Toc185844647"/>
      <w:bookmarkStart w:id="732" w:name="_Toc185845267"/>
      <w:bookmarkStart w:id="733" w:name="_Toc18592723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r>
        <w:rPr>
          <w:rStyle w:val="CharSchNo"/>
        </w:rPr>
        <w:t>Schedule 3</w:t>
      </w:r>
      <w:r>
        <w:t> — </w:t>
      </w:r>
      <w:r>
        <w:rPr>
          <w:rStyle w:val="CharSchText"/>
        </w:rPr>
        <w:t>Charges for sewerage for 2010/2011</w:t>
      </w:r>
      <w:bookmarkEnd w:id="703"/>
    </w:p>
    <w:p>
      <w:pPr>
        <w:pStyle w:val="yShoulderClause"/>
      </w:pPr>
      <w:r>
        <w:t>[bl. 21, 25A, 25B, 25C, 26, 26A, 26B]</w:t>
      </w:r>
    </w:p>
    <w:p>
      <w:pPr>
        <w:pStyle w:val="yFootnoteheading"/>
      </w:pPr>
      <w:r>
        <w:tab/>
        <w:t>[Heading inserted in Gazette 25 Jun 2010 p. 2928.]</w:t>
      </w:r>
    </w:p>
    <w:p>
      <w:pPr>
        <w:pStyle w:val="yHeading3"/>
      </w:pPr>
      <w:bookmarkStart w:id="734" w:name="_Toc265743589"/>
      <w:r>
        <w:rPr>
          <w:rStyle w:val="CharSDivNo"/>
        </w:rPr>
        <w:t>Division 1</w:t>
      </w:r>
      <w:r>
        <w:rPr>
          <w:b w:val="0"/>
        </w:rPr>
        <w:t> — </w:t>
      </w:r>
      <w:r>
        <w:rPr>
          <w:rStyle w:val="CharSDivText"/>
        </w:rPr>
        <w:t>Fixed charges</w:t>
      </w:r>
      <w:bookmarkEnd w:id="734"/>
    </w:p>
    <w:p>
      <w:pPr>
        <w:pStyle w:val="yFootnoteheading"/>
      </w:pPr>
      <w:r>
        <w:tab/>
        <w:t>[Heading inserted in Gazette 25 Jun 2010 p. 2929.]</w:t>
      </w:r>
    </w:p>
    <w:tbl>
      <w:tblPr>
        <w:tblW w:w="0" w:type="auto"/>
        <w:tblInd w:w="534" w:type="dxa"/>
        <w:tblLayout w:type="fixed"/>
        <w:tblLook w:val="0000" w:firstRow="0" w:lastRow="0" w:firstColumn="0" w:lastColumn="0" w:noHBand="0" w:noVBand="0"/>
      </w:tblPr>
      <w:tblGrid>
        <w:gridCol w:w="850"/>
        <w:gridCol w:w="4244"/>
        <w:gridCol w:w="1434"/>
      </w:tblGrid>
      <w:tr>
        <w:trPr>
          <w:cantSplit/>
        </w:trPr>
        <w:tc>
          <w:tcPr>
            <w:tcW w:w="850" w:type="dxa"/>
          </w:tcPr>
          <w:p>
            <w:pPr>
              <w:pStyle w:val="yHeading5"/>
              <w:tabs>
                <w:tab w:val="clear" w:pos="879"/>
              </w:tabs>
              <w:ind w:left="0" w:firstLine="0"/>
            </w:pPr>
            <w:bookmarkStart w:id="735" w:name="_Toc265743590"/>
            <w:r>
              <w:t>1.</w:t>
            </w:r>
            <w:bookmarkEnd w:id="735"/>
          </w:p>
        </w:tc>
        <w:tc>
          <w:tcPr>
            <w:tcW w:w="5678" w:type="dxa"/>
            <w:gridSpan w:val="2"/>
          </w:tcPr>
          <w:p>
            <w:pPr>
              <w:pStyle w:val="yHeading5"/>
              <w:tabs>
                <w:tab w:val="clear" w:pos="879"/>
              </w:tabs>
              <w:ind w:left="0" w:firstLine="0"/>
            </w:pPr>
            <w:bookmarkStart w:id="736" w:name="_Toc265743591"/>
            <w:r>
              <w:t>Connected metropolitan exempt</w:t>
            </w:r>
            <w:bookmarkEnd w:id="736"/>
          </w:p>
        </w:tc>
      </w:tr>
      <w:tr>
        <w:trPr>
          <w:cantSplit/>
        </w:trPr>
        <w:tc>
          <w:tcPr>
            <w:tcW w:w="850" w:type="dxa"/>
          </w:tcPr>
          <w:p>
            <w:pPr>
              <w:pStyle w:val="yTableNAm"/>
            </w:pPr>
          </w:p>
        </w:tc>
        <w:tc>
          <w:tcPr>
            <w:tcW w:w="4244" w:type="dxa"/>
          </w:tcPr>
          <w:p>
            <w:pPr>
              <w:pStyle w:val="yTableNAm"/>
              <w:tabs>
                <w:tab w:val="left" w:pos="3776"/>
                <w:tab w:val="left" w:pos="4016"/>
              </w:tabs>
            </w:pPr>
            <w:r>
              <w:t>In respect of land described in by</w:t>
            </w:r>
            <w:r>
              <w:noBreakHyphen/>
              <w:t>law 4 that is in the metropolitan area, not being a non</w:t>
            </w:r>
            <w:r>
              <w:noBreakHyphen/>
              <w:t>commercial Government property, or a property held by a Government trading organisation —</w:t>
            </w:r>
          </w:p>
        </w:tc>
        <w:tc>
          <w:tcPr>
            <w:tcW w:w="1434" w:type="dxa"/>
          </w:tcPr>
          <w:p>
            <w:pPr>
              <w:pStyle w:val="yTableNAm"/>
              <w:tabs>
                <w:tab w:val="left" w:pos="3776"/>
                <w:tab w:val="left" w:pos="4016"/>
              </w:tabs>
            </w:pPr>
          </w:p>
        </w:tc>
      </w:tr>
      <w:tr>
        <w:trPr>
          <w:cantSplit/>
        </w:trPr>
        <w:tc>
          <w:tcPr>
            <w:tcW w:w="850" w:type="dxa"/>
          </w:tcPr>
          <w:p>
            <w:pPr>
              <w:pStyle w:val="yTableNAm"/>
            </w:pPr>
          </w:p>
        </w:tc>
        <w:tc>
          <w:tcPr>
            <w:tcW w:w="4244" w:type="dxa"/>
          </w:tcPr>
          <w:p>
            <w:pPr>
              <w:pStyle w:val="yTableNAm"/>
              <w:tabs>
                <w:tab w:val="left" w:pos="1016"/>
                <w:tab w:val="left" w:pos="3776"/>
                <w:tab w:val="left" w:pos="4016"/>
              </w:tabs>
              <w:ind w:left="1016" w:hanging="1016"/>
            </w:pPr>
            <w:r>
              <w:tab/>
              <w:t>(a)</w:t>
            </w:r>
            <w:r>
              <w:tab/>
              <w:t>in the case of land used as a home for the aged —</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pos="1136"/>
                <w:tab w:val="left" w:leader="dot" w:pos="4016"/>
              </w:tabs>
              <w:ind w:left="1136" w:hanging="1136"/>
            </w:pPr>
            <w:r>
              <w:tab/>
            </w:r>
            <w:r>
              <w:tab/>
              <w:t xml:space="preserve">for the first major fixture that discharges into the sewer </w:t>
            </w:r>
            <w:r>
              <w:tab/>
            </w:r>
          </w:p>
        </w:tc>
        <w:tc>
          <w:tcPr>
            <w:tcW w:w="1434" w:type="dxa"/>
          </w:tcPr>
          <w:p>
            <w:pPr>
              <w:pStyle w:val="yTableNAm"/>
              <w:tabs>
                <w:tab w:val="left" w:pos="3776"/>
                <w:tab w:val="left" w:pos="4016"/>
              </w:tabs>
              <w:rPr>
                <w:spacing w:val="-1"/>
              </w:rPr>
            </w:pPr>
            <w:r>
              <w:rPr>
                <w:spacing w:val="-1"/>
              </w:rPr>
              <w:br/>
              <w:t>$176.90</w:t>
            </w:r>
          </w:p>
        </w:tc>
      </w:tr>
      <w:tr>
        <w:trPr>
          <w:cantSplit/>
        </w:trPr>
        <w:tc>
          <w:tcPr>
            <w:tcW w:w="850" w:type="dxa"/>
          </w:tcPr>
          <w:p>
            <w:pPr>
              <w:pStyle w:val="yTableNAm"/>
            </w:pPr>
          </w:p>
        </w:tc>
        <w:tc>
          <w:tcPr>
            <w:tcW w:w="4244" w:type="dxa"/>
          </w:tcPr>
          <w:p>
            <w:pPr>
              <w:pStyle w:val="yTableNAm"/>
              <w:tabs>
                <w:tab w:val="left" w:pos="1136"/>
                <w:tab w:val="left" w:leader="dot" w:pos="4016"/>
              </w:tabs>
              <w:ind w:left="1136" w:hanging="1136"/>
            </w:pPr>
            <w:r>
              <w:tab/>
            </w:r>
            <w:r>
              <w:tab/>
              <w:t xml:space="preserve">for each additional major fixture that discharges into the sewer </w:t>
            </w:r>
            <w:r>
              <w:tab/>
            </w:r>
          </w:p>
        </w:tc>
        <w:tc>
          <w:tcPr>
            <w:tcW w:w="1434" w:type="dxa"/>
          </w:tcPr>
          <w:p>
            <w:pPr>
              <w:pStyle w:val="yTableNAm"/>
              <w:tabs>
                <w:tab w:val="left" w:pos="3776"/>
                <w:tab w:val="left" w:pos="4016"/>
              </w:tabs>
              <w:rPr>
                <w:spacing w:val="-1"/>
              </w:rPr>
            </w:pPr>
            <w:r>
              <w:rPr>
                <w:spacing w:val="-1"/>
              </w:rPr>
              <w:br/>
              <w:t>$77.80</w:t>
            </w:r>
          </w:p>
        </w:tc>
      </w:tr>
      <w:tr>
        <w:trPr>
          <w:cantSplit/>
        </w:trPr>
        <w:tc>
          <w:tcPr>
            <w:tcW w:w="850" w:type="dxa"/>
          </w:tcPr>
          <w:p>
            <w:pPr>
              <w:pStyle w:val="yTableNAm"/>
            </w:pPr>
          </w:p>
        </w:tc>
        <w:tc>
          <w:tcPr>
            <w:tcW w:w="4244" w:type="dxa"/>
          </w:tcPr>
          <w:p>
            <w:pPr>
              <w:pStyle w:val="yTableNAm"/>
              <w:tabs>
                <w:tab w:val="left" w:pos="1016"/>
                <w:tab w:val="left" w:leader="dot" w:pos="5103"/>
              </w:tabs>
              <w:ind w:left="1016" w:hanging="1016"/>
            </w:pPr>
            <w:r>
              <w:tab/>
              <w:t>(b)</w:t>
            </w:r>
            <w:r>
              <w:tab/>
              <w:t xml:space="preserve">in any other case, a charge equal to the number of major fixtures multiplied by </w:t>
            </w:r>
            <w:r>
              <w:tab/>
            </w:r>
          </w:p>
        </w:tc>
        <w:tc>
          <w:tcPr>
            <w:tcW w:w="1434" w:type="dxa"/>
          </w:tcPr>
          <w:p>
            <w:pPr>
              <w:pStyle w:val="yTableNAm"/>
              <w:tabs>
                <w:tab w:val="left" w:pos="3776"/>
                <w:tab w:val="left" w:pos="4016"/>
              </w:tabs>
              <w:rPr>
                <w:spacing w:val="-1"/>
              </w:rPr>
            </w:pPr>
            <w:r>
              <w:rPr>
                <w:spacing w:val="-1"/>
              </w:rPr>
              <w:br/>
            </w:r>
            <w:r>
              <w:rPr>
                <w:spacing w:val="-1"/>
              </w:rPr>
              <w:br/>
              <w:t>$176.90</w:t>
            </w:r>
          </w:p>
        </w:tc>
      </w:tr>
      <w:tr>
        <w:trPr>
          <w:cantSplit/>
        </w:trPr>
        <w:tc>
          <w:tcPr>
            <w:tcW w:w="850" w:type="dxa"/>
          </w:tcPr>
          <w:p>
            <w:pPr>
              <w:pStyle w:val="yHeading5"/>
              <w:tabs>
                <w:tab w:val="clear" w:pos="879"/>
              </w:tabs>
              <w:ind w:left="0" w:firstLine="0"/>
            </w:pPr>
            <w:bookmarkStart w:id="737" w:name="_Toc265743592"/>
            <w:r>
              <w:t>2.</w:t>
            </w:r>
            <w:bookmarkEnd w:id="737"/>
          </w:p>
        </w:tc>
        <w:tc>
          <w:tcPr>
            <w:tcW w:w="4244" w:type="dxa"/>
          </w:tcPr>
          <w:p>
            <w:pPr>
              <w:pStyle w:val="yHeading5"/>
              <w:tabs>
                <w:tab w:val="clear" w:pos="879"/>
              </w:tabs>
              <w:ind w:left="0" w:firstLine="0"/>
            </w:pPr>
            <w:bookmarkStart w:id="738" w:name="_Toc265743593"/>
            <w:r>
              <w:t>Connected country exempt</w:t>
            </w:r>
            <w:bookmarkEnd w:id="738"/>
          </w:p>
        </w:tc>
        <w:tc>
          <w:tcPr>
            <w:tcW w:w="1434" w:type="dxa"/>
          </w:tcPr>
          <w:p>
            <w:pPr>
              <w:pStyle w:val="yHeading5"/>
              <w:tabs>
                <w:tab w:val="clear" w:pos="879"/>
              </w:tabs>
              <w:ind w:left="0" w:firstLine="0"/>
            </w:pPr>
          </w:p>
        </w:tc>
      </w:tr>
      <w:tr>
        <w:trPr>
          <w:cantSplit/>
        </w:trPr>
        <w:tc>
          <w:tcPr>
            <w:tcW w:w="850" w:type="dxa"/>
          </w:tcPr>
          <w:p>
            <w:pPr>
              <w:pStyle w:val="yTableNAm"/>
            </w:pPr>
          </w:p>
        </w:tc>
        <w:tc>
          <w:tcPr>
            <w:tcW w:w="4244" w:type="dxa"/>
          </w:tcPr>
          <w:p>
            <w:pPr>
              <w:pStyle w:val="yTableNAm"/>
              <w:tabs>
                <w:tab w:val="left" w:pos="3776"/>
                <w:tab w:val="left" w:pos="4016"/>
              </w:tabs>
              <w:rPr>
                <w:spacing w:val="-4"/>
              </w:rPr>
            </w:pPr>
            <w:r>
              <w:t>In respect of land in a country sewerage area that is classified as —</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pos="1016"/>
                <w:tab w:val="left" w:leader="dot" w:pos="5103"/>
              </w:tabs>
              <w:ind w:left="1016" w:hanging="1016"/>
            </w:pPr>
            <w:r>
              <w:tab/>
              <w:t>(a)</w:t>
            </w:r>
            <w:r>
              <w:tab/>
              <w:t xml:space="preserve">institutional public, an amount of — </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pos="1136"/>
                <w:tab w:val="left" w:leader="dot" w:pos="4016"/>
              </w:tabs>
              <w:ind w:left="1136" w:hanging="1136"/>
            </w:pPr>
            <w:r>
              <w:tab/>
            </w:r>
            <w:r>
              <w:tab/>
              <w:t xml:space="preserve">for the first major fixture that discharges into the sewer </w:t>
            </w:r>
            <w:r>
              <w:tab/>
            </w:r>
          </w:p>
        </w:tc>
        <w:tc>
          <w:tcPr>
            <w:tcW w:w="1434" w:type="dxa"/>
          </w:tcPr>
          <w:p>
            <w:pPr>
              <w:pStyle w:val="yTableNAm"/>
              <w:tabs>
                <w:tab w:val="left" w:pos="3776"/>
                <w:tab w:val="left" w:pos="4016"/>
              </w:tabs>
              <w:rPr>
                <w:spacing w:val="-1"/>
              </w:rPr>
            </w:pPr>
            <w:r>
              <w:rPr>
                <w:spacing w:val="-1"/>
              </w:rPr>
              <w:br/>
              <w:t>$176.90</w:t>
            </w:r>
          </w:p>
        </w:tc>
      </w:tr>
      <w:tr>
        <w:trPr>
          <w:cantSplit/>
        </w:trPr>
        <w:tc>
          <w:tcPr>
            <w:tcW w:w="850" w:type="dxa"/>
          </w:tcPr>
          <w:p>
            <w:pPr>
              <w:pStyle w:val="yTableNAm"/>
            </w:pPr>
          </w:p>
        </w:tc>
        <w:tc>
          <w:tcPr>
            <w:tcW w:w="4244" w:type="dxa"/>
          </w:tcPr>
          <w:p>
            <w:pPr>
              <w:pStyle w:val="yTableNAm"/>
              <w:tabs>
                <w:tab w:val="left" w:pos="1136"/>
                <w:tab w:val="left" w:leader="dot" w:pos="4016"/>
              </w:tabs>
              <w:ind w:left="1136" w:hanging="1136"/>
            </w:pPr>
            <w:r>
              <w:tab/>
            </w:r>
            <w:r>
              <w:tab/>
              <w:t xml:space="preserve">for each additional major fixture that discharges into the sewer </w:t>
            </w:r>
            <w:r>
              <w:tab/>
            </w:r>
          </w:p>
        </w:tc>
        <w:tc>
          <w:tcPr>
            <w:tcW w:w="1434" w:type="dxa"/>
          </w:tcPr>
          <w:p>
            <w:pPr>
              <w:pStyle w:val="yTableNAm"/>
              <w:tabs>
                <w:tab w:val="left" w:pos="3776"/>
                <w:tab w:val="left" w:pos="4016"/>
              </w:tabs>
              <w:rPr>
                <w:spacing w:val="-1"/>
              </w:rPr>
            </w:pPr>
            <w:r>
              <w:rPr>
                <w:spacing w:val="-1"/>
              </w:rPr>
              <w:br/>
              <w:t>$77.80</w:t>
            </w:r>
          </w:p>
        </w:tc>
      </w:tr>
      <w:tr>
        <w:trPr>
          <w:cantSplit/>
        </w:trPr>
        <w:tc>
          <w:tcPr>
            <w:tcW w:w="850" w:type="dxa"/>
          </w:tcPr>
          <w:p>
            <w:pPr>
              <w:pStyle w:val="yTableNAm"/>
            </w:pPr>
          </w:p>
        </w:tc>
        <w:tc>
          <w:tcPr>
            <w:tcW w:w="4244" w:type="dxa"/>
          </w:tcPr>
          <w:p>
            <w:pPr>
              <w:pStyle w:val="yTableNAm"/>
              <w:tabs>
                <w:tab w:val="left" w:pos="1016"/>
                <w:tab w:val="left" w:leader="dot" w:pos="5103"/>
              </w:tabs>
              <w:ind w:left="1016" w:hanging="1016"/>
            </w:pPr>
            <w:r>
              <w:tab/>
              <w:t>(b)</w:t>
            </w:r>
            <w:r>
              <w:tab/>
              <w:t xml:space="preserve">charitable purposes, an amount of — </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pos="1136"/>
                <w:tab w:val="left" w:leader="dot" w:pos="4016"/>
              </w:tabs>
              <w:ind w:left="1136" w:hanging="1136"/>
            </w:pPr>
            <w:r>
              <w:tab/>
            </w:r>
            <w:r>
              <w:tab/>
              <w:t xml:space="preserve">for the first major fixture that discharges into the sewer </w:t>
            </w:r>
            <w:r>
              <w:tab/>
            </w:r>
          </w:p>
        </w:tc>
        <w:tc>
          <w:tcPr>
            <w:tcW w:w="1434" w:type="dxa"/>
          </w:tcPr>
          <w:p>
            <w:pPr>
              <w:pStyle w:val="yTableNAm"/>
              <w:tabs>
                <w:tab w:val="left" w:pos="3776"/>
                <w:tab w:val="left" w:pos="4016"/>
              </w:tabs>
              <w:rPr>
                <w:spacing w:val="-1"/>
              </w:rPr>
            </w:pPr>
            <w:r>
              <w:rPr>
                <w:spacing w:val="-1"/>
              </w:rPr>
              <w:br/>
              <w:t>$176.90</w:t>
            </w:r>
          </w:p>
        </w:tc>
      </w:tr>
      <w:tr>
        <w:trPr>
          <w:cantSplit/>
        </w:trPr>
        <w:tc>
          <w:tcPr>
            <w:tcW w:w="850" w:type="dxa"/>
          </w:tcPr>
          <w:p>
            <w:pPr>
              <w:pStyle w:val="yTableNAm"/>
            </w:pPr>
          </w:p>
        </w:tc>
        <w:tc>
          <w:tcPr>
            <w:tcW w:w="4244" w:type="dxa"/>
          </w:tcPr>
          <w:p>
            <w:pPr>
              <w:pStyle w:val="yTableNAm"/>
              <w:tabs>
                <w:tab w:val="left" w:pos="1136"/>
                <w:tab w:val="left" w:leader="dot" w:pos="4016"/>
              </w:tabs>
              <w:ind w:left="1136" w:hanging="1136"/>
            </w:pPr>
            <w:r>
              <w:tab/>
            </w:r>
            <w:r>
              <w:tab/>
              <w:t xml:space="preserve">for each additional major fixture that discharges into the sewer </w:t>
            </w:r>
            <w:r>
              <w:tab/>
            </w:r>
          </w:p>
        </w:tc>
        <w:tc>
          <w:tcPr>
            <w:tcW w:w="1434" w:type="dxa"/>
          </w:tcPr>
          <w:p>
            <w:pPr>
              <w:pStyle w:val="yTableNAm"/>
              <w:tabs>
                <w:tab w:val="left" w:pos="3776"/>
                <w:tab w:val="left" w:pos="4016"/>
              </w:tabs>
              <w:rPr>
                <w:spacing w:val="-1"/>
              </w:rPr>
            </w:pPr>
            <w:r>
              <w:rPr>
                <w:spacing w:val="-1"/>
              </w:rPr>
              <w:br/>
              <w:t>$77.80</w:t>
            </w:r>
          </w:p>
        </w:tc>
      </w:tr>
      <w:tr>
        <w:trPr>
          <w:cantSplit/>
        </w:trPr>
        <w:tc>
          <w:tcPr>
            <w:tcW w:w="850" w:type="dxa"/>
          </w:tcPr>
          <w:p>
            <w:pPr>
              <w:pStyle w:val="yTableNAm"/>
            </w:pPr>
          </w:p>
        </w:tc>
        <w:tc>
          <w:tcPr>
            <w:tcW w:w="4244" w:type="dxa"/>
          </w:tcPr>
          <w:p>
            <w:pPr>
              <w:pStyle w:val="yTableNAm"/>
              <w:tabs>
                <w:tab w:val="left" w:pos="1016"/>
                <w:tab w:val="left" w:leader="dot" w:pos="5103"/>
              </w:tabs>
              <w:ind w:left="1016" w:hanging="1016"/>
            </w:pPr>
            <w:r>
              <w:tab/>
              <w:t>(c)</w:t>
            </w:r>
            <w:r>
              <w:tab/>
              <w:t xml:space="preserve">community residential, an amount for each major fixture that discharges into the sewer </w:t>
            </w:r>
            <w:r>
              <w:tab/>
            </w:r>
          </w:p>
        </w:tc>
        <w:tc>
          <w:tcPr>
            <w:tcW w:w="1434" w:type="dxa"/>
          </w:tcPr>
          <w:p>
            <w:pPr>
              <w:pStyle w:val="yTableNAm"/>
              <w:tabs>
                <w:tab w:val="left" w:pos="3776"/>
                <w:tab w:val="left" w:pos="4016"/>
              </w:tabs>
              <w:rPr>
                <w:spacing w:val="-1"/>
              </w:rPr>
            </w:pPr>
            <w:r>
              <w:rPr>
                <w:spacing w:val="-1"/>
              </w:rPr>
              <w:br/>
            </w:r>
            <w:r>
              <w:rPr>
                <w:spacing w:val="-1"/>
              </w:rPr>
              <w:br/>
              <w:t>$77.80</w:t>
            </w:r>
          </w:p>
        </w:tc>
      </w:tr>
      <w:tr>
        <w:trPr>
          <w:cantSplit/>
        </w:trPr>
        <w:tc>
          <w:tcPr>
            <w:tcW w:w="850" w:type="dxa"/>
          </w:tcPr>
          <w:p>
            <w:pPr>
              <w:pStyle w:val="yTableNAm"/>
            </w:pPr>
          </w:p>
        </w:tc>
        <w:tc>
          <w:tcPr>
            <w:tcW w:w="4244" w:type="dxa"/>
          </w:tcPr>
          <w:p>
            <w:pPr>
              <w:pStyle w:val="yTableNAm"/>
              <w:tabs>
                <w:tab w:val="left" w:pos="1016"/>
                <w:tab w:val="left" w:leader="dot" w:pos="5103"/>
              </w:tabs>
              <w:ind w:left="1016" w:hanging="1016"/>
            </w:pPr>
            <w:r>
              <w:tab/>
              <w:t>(d)</w:t>
            </w:r>
            <w:r>
              <w:tab/>
              <w:t xml:space="preserve">general exempt, an amount of — </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pos="1136"/>
                <w:tab w:val="left" w:leader="dot" w:pos="4016"/>
              </w:tabs>
              <w:ind w:left="1136" w:hanging="1136"/>
            </w:pPr>
            <w:r>
              <w:tab/>
            </w:r>
            <w:r>
              <w:tab/>
              <w:t xml:space="preserve">for the first major fixture that discharges into the sewer </w:t>
            </w:r>
            <w:r>
              <w:tab/>
            </w:r>
          </w:p>
        </w:tc>
        <w:tc>
          <w:tcPr>
            <w:tcW w:w="1434" w:type="dxa"/>
          </w:tcPr>
          <w:p>
            <w:pPr>
              <w:pStyle w:val="yTableNAm"/>
              <w:tabs>
                <w:tab w:val="left" w:pos="3776"/>
                <w:tab w:val="left" w:pos="4016"/>
              </w:tabs>
              <w:rPr>
                <w:spacing w:val="-1"/>
              </w:rPr>
            </w:pPr>
            <w:r>
              <w:rPr>
                <w:spacing w:val="-1"/>
              </w:rPr>
              <w:br/>
              <w:t>$176.90</w:t>
            </w:r>
          </w:p>
        </w:tc>
      </w:tr>
      <w:tr>
        <w:trPr>
          <w:cantSplit/>
        </w:trPr>
        <w:tc>
          <w:tcPr>
            <w:tcW w:w="850" w:type="dxa"/>
          </w:tcPr>
          <w:p>
            <w:pPr>
              <w:pStyle w:val="yTableNAm"/>
            </w:pPr>
          </w:p>
        </w:tc>
        <w:tc>
          <w:tcPr>
            <w:tcW w:w="4244" w:type="dxa"/>
          </w:tcPr>
          <w:p>
            <w:pPr>
              <w:pStyle w:val="yTableNAm"/>
              <w:tabs>
                <w:tab w:val="left" w:pos="1136"/>
                <w:tab w:val="left" w:leader="dot" w:pos="4016"/>
              </w:tabs>
              <w:ind w:left="1136" w:hanging="1136"/>
            </w:pPr>
            <w:r>
              <w:tab/>
            </w:r>
            <w:r>
              <w:tab/>
              <w:t xml:space="preserve">for each additional major fixture that discharges into the sewer </w:t>
            </w:r>
            <w:r>
              <w:tab/>
            </w:r>
          </w:p>
        </w:tc>
        <w:tc>
          <w:tcPr>
            <w:tcW w:w="1434" w:type="dxa"/>
          </w:tcPr>
          <w:p>
            <w:pPr>
              <w:pStyle w:val="yTableNAm"/>
              <w:tabs>
                <w:tab w:val="left" w:pos="3776"/>
                <w:tab w:val="left" w:pos="4016"/>
              </w:tabs>
              <w:rPr>
                <w:spacing w:val="-1"/>
              </w:rPr>
            </w:pPr>
            <w:r>
              <w:rPr>
                <w:spacing w:val="-1"/>
              </w:rPr>
              <w:br/>
              <w:t>$77.80</w:t>
            </w:r>
          </w:p>
        </w:tc>
      </w:tr>
      <w:tr>
        <w:trPr>
          <w:cantSplit/>
        </w:trPr>
        <w:tc>
          <w:tcPr>
            <w:tcW w:w="850" w:type="dxa"/>
          </w:tcPr>
          <w:p>
            <w:pPr>
              <w:pStyle w:val="yHeading5"/>
              <w:tabs>
                <w:tab w:val="clear" w:pos="879"/>
              </w:tabs>
              <w:ind w:left="0" w:firstLine="0"/>
            </w:pPr>
            <w:bookmarkStart w:id="739" w:name="_Toc265743594"/>
            <w:r>
              <w:t>3.</w:t>
            </w:r>
            <w:bookmarkEnd w:id="739"/>
          </w:p>
        </w:tc>
        <w:tc>
          <w:tcPr>
            <w:tcW w:w="4244" w:type="dxa"/>
          </w:tcPr>
          <w:p>
            <w:pPr>
              <w:pStyle w:val="yHeading5"/>
              <w:tabs>
                <w:tab w:val="clear" w:pos="879"/>
              </w:tabs>
              <w:ind w:left="0" w:firstLine="0"/>
            </w:pPr>
            <w:bookmarkStart w:id="740" w:name="_Toc265743595"/>
            <w:r>
              <w:t>Strata</w:t>
            </w:r>
            <w:r>
              <w:noBreakHyphen/>
              <w:t>titled caravan bay</w:t>
            </w:r>
            <w:bookmarkEnd w:id="740"/>
          </w:p>
        </w:tc>
        <w:tc>
          <w:tcPr>
            <w:tcW w:w="1434" w:type="dxa"/>
          </w:tcPr>
          <w:p>
            <w:pPr>
              <w:pStyle w:val="yHeading5"/>
              <w:tabs>
                <w:tab w:val="clear" w:pos="879"/>
              </w:tabs>
              <w:ind w:left="0" w:firstLine="0"/>
            </w:pPr>
          </w:p>
        </w:tc>
      </w:tr>
      <w:tr>
        <w:trPr>
          <w:cantSplit/>
        </w:trPr>
        <w:tc>
          <w:tcPr>
            <w:tcW w:w="850" w:type="dxa"/>
          </w:tcPr>
          <w:p>
            <w:pPr>
              <w:pStyle w:val="yTableNAm"/>
            </w:pPr>
          </w:p>
        </w:tc>
        <w:tc>
          <w:tcPr>
            <w:tcW w:w="4244" w:type="dxa"/>
          </w:tcPr>
          <w:p>
            <w:pPr>
              <w:pStyle w:val="yTableNAm"/>
              <w:tabs>
                <w:tab w:val="left" w:leader="dot" w:pos="4016"/>
              </w:tabs>
              <w:rPr>
                <w:spacing w:val="-1"/>
              </w:rPr>
            </w:pPr>
            <w:r>
              <w:rPr>
                <w:spacing w:val="-1"/>
              </w:rPr>
              <w:t xml:space="preserve">In </w:t>
            </w:r>
            <w:r>
              <w:t>respect</w:t>
            </w:r>
            <w:r>
              <w:rPr>
                <w:spacing w:val="-1"/>
              </w:rPr>
              <w:t xml:space="preserve"> of each residential property being a single caravan bay that is a lot within the meaning of the </w:t>
            </w:r>
            <w:r>
              <w:rPr>
                <w:i/>
                <w:spacing w:val="-1"/>
              </w:rPr>
              <w:t>Strata Titles Act 1985</w:t>
            </w:r>
            <w:r>
              <w:rPr>
                <w:spacing w:val="-1"/>
              </w:rPr>
              <w:t xml:space="preserve"> </w:t>
            </w:r>
            <w:r>
              <w:tab/>
            </w:r>
          </w:p>
        </w:tc>
        <w:tc>
          <w:tcPr>
            <w:tcW w:w="1434" w:type="dxa"/>
          </w:tcPr>
          <w:p>
            <w:pPr>
              <w:pStyle w:val="yTableNAm"/>
              <w:tabs>
                <w:tab w:val="left" w:pos="3776"/>
                <w:tab w:val="left" w:pos="4016"/>
              </w:tabs>
              <w:rPr>
                <w:spacing w:val="-1"/>
              </w:rPr>
            </w:pPr>
            <w:r>
              <w:rPr>
                <w:spacing w:val="-1"/>
              </w:rPr>
              <w:br/>
            </w:r>
            <w:r>
              <w:rPr>
                <w:spacing w:val="-1"/>
              </w:rPr>
              <w:br/>
              <w:t>$217.40</w:t>
            </w:r>
          </w:p>
        </w:tc>
      </w:tr>
      <w:tr>
        <w:trPr>
          <w:cantSplit/>
        </w:trPr>
        <w:tc>
          <w:tcPr>
            <w:tcW w:w="850" w:type="dxa"/>
          </w:tcPr>
          <w:p>
            <w:pPr>
              <w:pStyle w:val="yHeading5"/>
              <w:tabs>
                <w:tab w:val="clear" w:pos="879"/>
              </w:tabs>
              <w:ind w:left="0" w:firstLine="0"/>
            </w:pPr>
            <w:bookmarkStart w:id="741" w:name="_Toc265743596"/>
            <w:r>
              <w:t>4.</w:t>
            </w:r>
            <w:bookmarkEnd w:id="741"/>
          </w:p>
        </w:tc>
        <w:tc>
          <w:tcPr>
            <w:tcW w:w="4244" w:type="dxa"/>
          </w:tcPr>
          <w:p>
            <w:pPr>
              <w:pStyle w:val="yHeading5"/>
              <w:tabs>
                <w:tab w:val="clear" w:pos="879"/>
              </w:tabs>
              <w:ind w:left="0" w:firstLine="0"/>
            </w:pPr>
            <w:bookmarkStart w:id="742" w:name="_Toc265743597"/>
            <w:r>
              <w:t>Strata</w:t>
            </w:r>
            <w:r>
              <w:noBreakHyphen/>
              <w:t>titled storage unit and strata</w:t>
            </w:r>
            <w:r>
              <w:noBreakHyphen/>
              <w:t>titled parking bay</w:t>
            </w:r>
            <w:bookmarkEnd w:id="742"/>
          </w:p>
        </w:tc>
        <w:tc>
          <w:tcPr>
            <w:tcW w:w="1434" w:type="dxa"/>
          </w:tcPr>
          <w:p>
            <w:pPr>
              <w:pStyle w:val="yHeading5"/>
              <w:tabs>
                <w:tab w:val="clear" w:pos="879"/>
              </w:tabs>
              <w:ind w:left="0" w:firstLine="0"/>
            </w:pPr>
          </w:p>
        </w:tc>
      </w:tr>
      <w:tr>
        <w:trPr>
          <w:cantSplit/>
        </w:trPr>
        <w:tc>
          <w:tcPr>
            <w:tcW w:w="850" w:type="dxa"/>
          </w:tcPr>
          <w:p>
            <w:pPr>
              <w:pStyle w:val="yTableNAm"/>
            </w:pPr>
          </w:p>
        </w:tc>
        <w:tc>
          <w:tcPr>
            <w:tcW w:w="4244" w:type="dxa"/>
          </w:tcPr>
          <w:p>
            <w:pPr>
              <w:pStyle w:val="yTableNAm"/>
              <w:tabs>
                <w:tab w:val="left" w:leader="dot" w:pos="4016"/>
              </w:tabs>
              <w:rPr>
                <w:spacing w:val="-1"/>
              </w:rPr>
            </w:pPr>
            <w:r>
              <w:rPr>
                <w:spacing w:val="-1"/>
              </w:rPr>
              <w:t xml:space="preserve">In respect of land comprised in a unit used for storage purposes or as a parking bay that is a lot within the meaning of the </w:t>
            </w:r>
            <w:r>
              <w:rPr>
                <w:i/>
                <w:spacing w:val="-1"/>
              </w:rPr>
              <w:t>Strata Titles Act 1985</w:t>
            </w:r>
            <w:r>
              <w:rPr>
                <w:spacing w:val="-1"/>
              </w:rPr>
              <w:t xml:space="preserve"> </w:t>
            </w:r>
            <w:r>
              <w:tab/>
            </w:r>
          </w:p>
        </w:tc>
        <w:tc>
          <w:tcPr>
            <w:tcW w:w="1434" w:type="dxa"/>
          </w:tcPr>
          <w:p>
            <w:pPr>
              <w:pStyle w:val="yTableNAm"/>
              <w:tabs>
                <w:tab w:val="left" w:pos="3776"/>
                <w:tab w:val="left" w:pos="4016"/>
              </w:tabs>
              <w:rPr>
                <w:spacing w:val="-1"/>
              </w:rPr>
            </w:pPr>
            <w:r>
              <w:rPr>
                <w:spacing w:val="-1"/>
              </w:rPr>
              <w:br/>
            </w:r>
            <w:r>
              <w:rPr>
                <w:spacing w:val="-1"/>
              </w:rPr>
              <w:br/>
            </w:r>
            <w:r>
              <w:rPr>
                <w:spacing w:val="-1"/>
              </w:rPr>
              <w:br/>
              <w:t>$65.20</w:t>
            </w:r>
          </w:p>
        </w:tc>
      </w:tr>
      <w:tr>
        <w:trPr>
          <w:cantSplit/>
        </w:trPr>
        <w:tc>
          <w:tcPr>
            <w:tcW w:w="850" w:type="dxa"/>
          </w:tcPr>
          <w:p>
            <w:pPr>
              <w:pStyle w:val="yHeading5"/>
              <w:tabs>
                <w:tab w:val="clear" w:pos="879"/>
              </w:tabs>
              <w:ind w:left="0" w:firstLine="0"/>
            </w:pPr>
            <w:bookmarkStart w:id="743" w:name="_Toc265743598"/>
            <w:r>
              <w:t>5.</w:t>
            </w:r>
            <w:bookmarkEnd w:id="743"/>
          </w:p>
        </w:tc>
        <w:tc>
          <w:tcPr>
            <w:tcW w:w="5678" w:type="dxa"/>
            <w:gridSpan w:val="2"/>
          </w:tcPr>
          <w:p>
            <w:pPr>
              <w:pStyle w:val="yHeading5"/>
              <w:tabs>
                <w:tab w:val="clear" w:pos="879"/>
              </w:tabs>
              <w:ind w:left="0" w:firstLine="0"/>
            </w:pPr>
            <w:bookmarkStart w:id="744" w:name="_Toc265743599"/>
            <w:r>
              <w:t>Non</w:t>
            </w:r>
            <w:r>
              <w:noBreakHyphen/>
              <w:t>residential strata</w:t>
            </w:r>
            <w:r>
              <w:noBreakHyphen/>
              <w:t>titled unit (except a storage unit or parking bay)</w:t>
            </w:r>
            <w:bookmarkEnd w:id="744"/>
          </w:p>
        </w:tc>
      </w:tr>
      <w:tr>
        <w:trPr>
          <w:cantSplit/>
        </w:trPr>
        <w:tc>
          <w:tcPr>
            <w:tcW w:w="850" w:type="dxa"/>
          </w:tcPr>
          <w:p>
            <w:pPr>
              <w:pStyle w:val="yTableNAm"/>
            </w:pPr>
          </w:p>
        </w:tc>
        <w:tc>
          <w:tcPr>
            <w:tcW w:w="4244" w:type="dxa"/>
          </w:tcPr>
          <w:p>
            <w:pPr>
              <w:pStyle w:val="yTableNAm"/>
              <w:tabs>
                <w:tab w:val="left" w:pos="3776"/>
                <w:tab w:val="left" w:pos="4016"/>
              </w:tabs>
              <w:rPr>
                <w:spacing w:val="-1"/>
              </w:rPr>
            </w:pPr>
            <w:r>
              <w:t>In respect of land that —</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pos="1016"/>
                <w:tab w:val="left" w:pos="3776"/>
                <w:tab w:val="left" w:pos="4016"/>
              </w:tabs>
            </w:pPr>
            <w:r>
              <w:tab/>
              <w:t>(a)</w:t>
            </w:r>
            <w:r>
              <w:tab/>
              <w:t>is classified non</w:t>
            </w:r>
            <w:r>
              <w:noBreakHyphen/>
              <w:t>residential; and</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pos="1016"/>
                <w:tab w:val="left" w:leader="dot" w:pos="4016"/>
              </w:tabs>
              <w:ind w:left="1016" w:hanging="1016"/>
            </w:pPr>
            <w:r>
              <w:tab/>
              <w:t>(b)</w:t>
            </w:r>
            <w:r>
              <w:tab/>
              <w:t>comprises a unit that is a lot within the meaning of the Strata Titles Act 1985; and</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pos="1016"/>
                <w:tab w:val="left" w:leader="dot" w:pos="4016"/>
              </w:tabs>
              <w:ind w:left="1016" w:hanging="1016"/>
            </w:pPr>
            <w:r>
              <w:tab/>
              <w:t>(c)</w:t>
            </w:r>
            <w:r>
              <w:tab/>
              <w:t>shares a major fixture with another unit described in paragraph (b) and has no other major fixtures that discharge into the sewer; and</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pos="1016"/>
                <w:tab w:val="left" w:leader="dot" w:pos="4016"/>
              </w:tabs>
              <w:ind w:left="1016" w:hanging="1016"/>
            </w:pPr>
            <w:r>
              <w:tab/>
              <w:t>(d)</w:t>
            </w:r>
            <w:r>
              <w:tab/>
              <w:t>is not land mentioned in item 4,</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leader="dot" w:pos="4016"/>
              </w:tabs>
              <w:rPr>
                <w:spacing w:val="-1"/>
              </w:rPr>
            </w:pPr>
            <w:r>
              <w:rPr>
                <w:spacing w:val="-1"/>
              </w:rPr>
              <w:t xml:space="preserve">and </w:t>
            </w:r>
            <w:r>
              <w:t xml:space="preserve">where </w:t>
            </w:r>
            <w:r>
              <w:rPr>
                <w:spacing w:val="-1"/>
              </w:rPr>
              <w:t xml:space="preserve">the total number of major fixtures shared by all the units on the relevant strata plan is less than the number of those units </w:t>
            </w:r>
            <w:r>
              <w:tab/>
            </w:r>
          </w:p>
        </w:tc>
        <w:tc>
          <w:tcPr>
            <w:tcW w:w="1434" w:type="dxa"/>
          </w:tcPr>
          <w:p>
            <w:pPr>
              <w:pStyle w:val="yTableNAm"/>
              <w:tabs>
                <w:tab w:val="left" w:pos="3776"/>
                <w:tab w:val="left" w:pos="4016"/>
              </w:tabs>
              <w:rPr>
                <w:spacing w:val="-1"/>
              </w:rPr>
            </w:pPr>
            <w:r>
              <w:rPr>
                <w:spacing w:val="-1"/>
              </w:rPr>
              <w:br/>
            </w:r>
            <w:r>
              <w:rPr>
                <w:spacing w:val="-1"/>
              </w:rPr>
              <w:br/>
              <w:t>$409.30</w:t>
            </w:r>
          </w:p>
        </w:tc>
      </w:tr>
      <w:tr>
        <w:trPr>
          <w:cantSplit/>
        </w:trPr>
        <w:tc>
          <w:tcPr>
            <w:tcW w:w="850" w:type="dxa"/>
          </w:tcPr>
          <w:p>
            <w:pPr>
              <w:pStyle w:val="yHeading5"/>
              <w:tabs>
                <w:tab w:val="clear" w:pos="879"/>
              </w:tabs>
              <w:ind w:left="0" w:firstLine="0"/>
            </w:pPr>
            <w:bookmarkStart w:id="745" w:name="_Toc265743600"/>
            <w:r>
              <w:t>6.</w:t>
            </w:r>
            <w:bookmarkEnd w:id="745"/>
          </w:p>
        </w:tc>
        <w:tc>
          <w:tcPr>
            <w:tcW w:w="5678" w:type="dxa"/>
            <w:gridSpan w:val="2"/>
          </w:tcPr>
          <w:p>
            <w:pPr>
              <w:pStyle w:val="yHeading5"/>
              <w:tabs>
                <w:tab w:val="clear" w:pos="879"/>
              </w:tabs>
              <w:ind w:left="0" w:firstLine="0"/>
            </w:pPr>
            <w:bookmarkStart w:id="746" w:name="_Toc265743601"/>
            <w:r>
              <w:t>Land from which industrial waste is discharged into a sewer of the Corporation</w:t>
            </w:r>
            <w:bookmarkEnd w:id="746"/>
          </w:p>
        </w:tc>
      </w:tr>
      <w:tr>
        <w:trPr>
          <w:cantSplit/>
        </w:trPr>
        <w:tc>
          <w:tcPr>
            <w:tcW w:w="850" w:type="dxa"/>
          </w:tcPr>
          <w:p>
            <w:pPr>
              <w:pStyle w:val="yTableNAm"/>
            </w:pPr>
          </w:p>
        </w:tc>
        <w:tc>
          <w:tcPr>
            <w:tcW w:w="4244" w:type="dxa"/>
          </w:tcPr>
          <w:p>
            <w:pPr>
              <w:pStyle w:val="yTableNAm"/>
              <w:tabs>
                <w:tab w:val="left" w:leader="dot" w:pos="4016"/>
              </w:tabs>
            </w:pPr>
            <w:r>
              <w:t xml:space="preserve">Discharge pursuant to permit </w:t>
            </w:r>
            <w:r>
              <w:tab/>
            </w:r>
          </w:p>
        </w:tc>
        <w:tc>
          <w:tcPr>
            <w:tcW w:w="1434" w:type="dxa"/>
          </w:tcPr>
          <w:p>
            <w:pPr>
              <w:pStyle w:val="yTableNAm"/>
              <w:tabs>
                <w:tab w:val="left" w:pos="3776"/>
                <w:tab w:val="left" w:pos="4016"/>
              </w:tabs>
            </w:pPr>
            <w:r>
              <w:t>$199.70</w:t>
            </w:r>
          </w:p>
        </w:tc>
      </w:tr>
      <w:tr>
        <w:trPr>
          <w:cantSplit/>
        </w:trPr>
        <w:tc>
          <w:tcPr>
            <w:tcW w:w="850" w:type="dxa"/>
          </w:tcPr>
          <w:p>
            <w:pPr>
              <w:pStyle w:val="yHeading5"/>
              <w:tabs>
                <w:tab w:val="clear" w:pos="879"/>
              </w:tabs>
              <w:ind w:left="0" w:firstLine="0"/>
            </w:pPr>
            <w:bookmarkStart w:id="747" w:name="_Toc265743602"/>
            <w:r>
              <w:t>7.</w:t>
            </w:r>
            <w:bookmarkEnd w:id="747"/>
          </w:p>
        </w:tc>
        <w:tc>
          <w:tcPr>
            <w:tcW w:w="5678" w:type="dxa"/>
            <w:gridSpan w:val="2"/>
          </w:tcPr>
          <w:p>
            <w:pPr>
              <w:pStyle w:val="yHeading5"/>
              <w:tabs>
                <w:tab w:val="clear" w:pos="879"/>
              </w:tabs>
              <w:ind w:left="0" w:firstLine="0"/>
            </w:pPr>
            <w:bookmarkStart w:id="748" w:name="_Toc265743603"/>
            <w:r>
              <w:t>Land from which industrial waste is discharged into a sewer of the Corporation through grease arrestor</w:t>
            </w:r>
            <w:bookmarkEnd w:id="748"/>
          </w:p>
        </w:tc>
      </w:tr>
      <w:tr>
        <w:trPr>
          <w:cantSplit/>
        </w:trPr>
        <w:tc>
          <w:tcPr>
            <w:tcW w:w="850" w:type="dxa"/>
          </w:tcPr>
          <w:p>
            <w:pPr>
              <w:pStyle w:val="yTableNAm"/>
            </w:pPr>
          </w:p>
        </w:tc>
        <w:tc>
          <w:tcPr>
            <w:tcW w:w="4244" w:type="dxa"/>
          </w:tcPr>
          <w:p>
            <w:pPr>
              <w:pStyle w:val="yTableNAm"/>
              <w:tabs>
                <w:tab w:val="left" w:pos="3776"/>
                <w:tab w:val="left" w:pos="4016"/>
              </w:tabs>
              <w:rPr>
                <w:spacing w:val="-1"/>
              </w:rPr>
            </w:pPr>
            <w:r>
              <w:t>In respect of land the subject of a permit under which industrial waste is discharged into a sewer of the Corporation through one or more grease arrestors, in addition to any other charge applicable to the land under this Schedule —</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pos="1016"/>
                <w:tab w:val="left" w:leader="dot" w:pos="4016"/>
              </w:tabs>
              <w:ind w:left="1016" w:hanging="1016"/>
            </w:pPr>
            <w:r>
              <w:tab/>
              <w:t>(a)</w:t>
            </w:r>
            <w:r>
              <w:tab/>
              <w:t xml:space="preserve">in respect of each grease arrestor, not being a grease arrestor that is shared with other land the subject of a permit, a charge of </w:t>
            </w:r>
            <w:r>
              <w:tab/>
            </w:r>
          </w:p>
        </w:tc>
        <w:tc>
          <w:tcPr>
            <w:tcW w:w="1434" w:type="dxa"/>
          </w:tcPr>
          <w:p>
            <w:pPr>
              <w:pStyle w:val="yTableNAm"/>
              <w:tabs>
                <w:tab w:val="left" w:pos="3776"/>
                <w:tab w:val="left" w:pos="4016"/>
              </w:tabs>
            </w:pPr>
            <w:r>
              <w:br/>
            </w:r>
            <w:r>
              <w:br/>
            </w:r>
            <w:r>
              <w:br/>
              <w:t>$87.75</w:t>
            </w:r>
          </w:p>
        </w:tc>
      </w:tr>
      <w:tr>
        <w:trPr>
          <w:cantSplit/>
        </w:trPr>
        <w:tc>
          <w:tcPr>
            <w:tcW w:w="850" w:type="dxa"/>
          </w:tcPr>
          <w:p>
            <w:pPr>
              <w:pStyle w:val="yTableNAm"/>
            </w:pPr>
          </w:p>
        </w:tc>
        <w:tc>
          <w:tcPr>
            <w:tcW w:w="4244" w:type="dxa"/>
          </w:tcPr>
          <w:p>
            <w:pPr>
              <w:pStyle w:val="yTableNAm"/>
              <w:tabs>
                <w:tab w:val="left" w:pos="1016"/>
                <w:tab w:val="left" w:leader="dot" w:pos="4016"/>
              </w:tabs>
              <w:ind w:left="1016" w:hanging="1016"/>
            </w:pPr>
            <w:r>
              <w:tab/>
              <w:t>(b)</w:t>
            </w:r>
            <w:r>
              <w:tab/>
              <w:t xml:space="preserve">in respect of each grease arrestor that is shared with other land the subject of a permit, a charge of </w:t>
            </w:r>
            <w:r>
              <w:tab/>
            </w:r>
          </w:p>
        </w:tc>
        <w:tc>
          <w:tcPr>
            <w:tcW w:w="1434" w:type="dxa"/>
          </w:tcPr>
          <w:p>
            <w:pPr>
              <w:pStyle w:val="yTableNAm"/>
              <w:tabs>
                <w:tab w:val="left" w:pos="3776"/>
                <w:tab w:val="left" w:pos="4016"/>
              </w:tabs>
            </w:pPr>
            <w:r>
              <w:br/>
            </w:r>
            <w:r>
              <w:br/>
              <w:t>$47.90</w:t>
            </w:r>
          </w:p>
        </w:tc>
      </w:tr>
    </w:tbl>
    <w:p>
      <w:pPr>
        <w:pStyle w:val="yFootnotesection"/>
      </w:pPr>
      <w:r>
        <w:tab/>
        <w:t>[Division 1 inserted in Gazette 25 Jun 2010 p. 2929</w:t>
      </w:r>
      <w:r>
        <w:noBreakHyphen/>
        <w:t>31.]</w:t>
      </w:r>
    </w:p>
    <w:p>
      <w:pPr>
        <w:pStyle w:val="yHeading3"/>
      </w:pPr>
      <w:bookmarkStart w:id="749" w:name="_Toc265743604"/>
      <w:r>
        <w:rPr>
          <w:rStyle w:val="CharSDivNo"/>
        </w:rPr>
        <w:t>Division 2</w:t>
      </w:r>
      <w:r>
        <w:t> — </w:t>
      </w:r>
      <w:r>
        <w:rPr>
          <w:rStyle w:val="CharSDivText"/>
        </w:rPr>
        <w:t>Variable charges and charges by way of a rate</w:t>
      </w:r>
      <w:bookmarkEnd w:id="749"/>
    </w:p>
    <w:p>
      <w:pPr>
        <w:pStyle w:val="yFootnoteheading"/>
      </w:pPr>
      <w:r>
        <w:tab/>
        <w:t>[Heading inserted in Gazette 25 Jun 2010 p. 2931.]</w:t>
      </w:r>
    </w:p>
    <w:tbl>
      <w:tblPr>
        <w:tblW w:w="0" w:type="auto"/>
        <w:tblInd w:w="534" w:type="dxa"/>
        <w:tblLook w:val="0000" w:firstRow="0" w:lastRow="0" w:firstColumn="0" w:lastColumn="0" w:noHBand="0" w:noVBand="0"/>
      </w:tblPr>
      <w:tblGrid>
        <w:gridCol w:w="850"/>
        <w:gridCol w:w="4236"/>
        <w:gridCol w:w="1434"/>
      </w:tblGrid>
      <w:tr>
        <w:trPr>
          <w:cantSplit/>
        </w:trPr>
        <w:tc>
          <w:tcPr>
            <w:tcW w:w="850" w:type="dxa"/>
          </w:tcPr>
          <w:p>
            <w:pPr>
              <w:pStyle w:val="yHeading5"/>
              <w:tabs>
                <w:tab w:val="clear" w:pos="879"/>
              </w:tabs>
              <w:ind w:left="0" w:firstLine="0"/>
            </w:pPr>
            <w:bookmarkStart w:id="750" w:name="_Toc265743605"/>
            <w:bookmarkStart w:id="751" w:name="_Toc43099310"/>
            <w:bookmarkStart w:id="752" w:name="_Toc103741709"/>
            <w:bookmarkStart w:id="753" w:name="_Toc164221015"/>
            <w:r>
              <w:t>8.</w:t>
            </w:r>
            <w:bookmarkEnd w:id="750"/>
          </w:p>
        </w:tc>
        <w:tc>
          <w:tcPr>
            <w:tcW w:w="5670" w:type="dxa"/>
            <w:gridSpan w:val="2"/>
          </w:tcPr>
          <w:p>
            <w:pPr>
              <w:pStyle w:val="yHeading5"/>
              <w:tabs>
                <w:tab w:val="clear" w:pos="879"/>
              </w:tabs>
              <w:ind w:left="0" w:firstLine="0"/>
            </w:pPr>
            <w:bookmarkStart w:id="754" w:name="_Toc265743606"/>
            <w:r>
              <w:t>Metropolitan residential</w:t>
            </w:r>
            <w:bookmarkEnd w:id="754"/>
          </w:p>
        </w:tc>
      </w:tr>
      <w:tr>
        <w:trPr>
          <w:cantSplit/>
        </w:trPr>
        <w:tc>
          <w:tcPr>
            <w:tcW w:w="850" w:type="dxa"/>
          </w:tcPr>
          <w:p>
            <w:pPr>
              <w:pStyle w:val="yTableNAm"/>
            </w:pPr>
          </w:p>
        </w:tc>
        <w:tc>
          <w:tcPr>
            <w:tcW w:w="4236" w:type="dxa"/>
          </w:tcPr>
          <w:p>
            <w:pPr>
              <w:pStyle w:val="yTableNAm"/>
              <w:rPr>
                <w:spacing w:val="-1"/>
              </w:rPr>
            </w:pPr>
            <w:r>
              <w:t>In respect of each residential property in the metropolitan area not being —</w:t>
            </w:r>
          </w:p>
        </w:tc>
        <w:tc>
          <w:tcPr>
            <w:tcW w:w="1434" w:type="dxa"/>
          </w:tcPr>
          <w:p>
            <w:pPr>
              <w:pStyle w:val="yTableNAm"/>
              <w:rPr>
                <w:spacing w:val="-1"/>
              </w:rPr>
            </w:pP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pPr>
            <w:r>
              <w:tab/>
              <w:t>(a)</w:t>
            </w:r>
            <w:r>
              <w:tab/>
              <w:t>subject to a charge under item 1 or 3; or</w:t>
            </w:r>
          </w:p>
        </w:tc>
        <w:tc>
          <w:tcPr>
            <w:tcW w:w="1434" w:type="dxa"/>
          </w:tcPr>
          <w:p>
            <w:pPr>
              <w:pStyle w:val="yTableNAm"/>
            </w:pP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pPr>
            <w:r>
              <w:tab/>
              <w:t>(b)</w:t>
            </w:r>
            <w:r>
              <w:tab/>
              <w:t>a caravan park or a nursing home,</w:t>
            </w:r>
          </w:p>
        </w:tc>
        <w:tc>
          <w:tcPr>
            <w:tcW w:w="1434" w:type="dxa"/>
          </w:tcPr>
          <w:p>
            <w:pPr>
              <w:pStyle w:val="yTableNAm"/>
            </w:pPr>
          </w:p>
        </w:tc>
      </w:tr>
      <w:tr>
        <w:trPr>
          <w:cantSplit/>
        </w:trPr>
        <w:tc>
          <w:tcPr>
            <w:tcW w:w="850" w:type="dxa"/>
          </w:tcPr>
          <w:p>
            <w:pPr>
              <w:pStyle w:val="yTableNAm"/>
            </w:pPr>
          </w:p>
        </w:tc>
        <w:tc>
          <w:tcPr>
            <w:tcW w:w="4236" w:type="dxa"/>
          </w:tcPr>
          <w:p>
            <w:pPr>
              <w:pStyle w:val="yTableNAm"/>
              <w:tabs>
                <w:tab w:val="left" w:pos="1016"/>
                <w:tab w:val="left" w:leader="dot" w:pos="4016"/>
              </w:tabs>
              <w:ind w:left="5760" w:hanging="5760"/>
            </w:pPr>
            <w:r>
              <w:t>an amount for each dollar of the GRV —</w:t>
            </w:r>
          </w:p>
        </w:tc>
        <w:tc>
          <w:tcPr>
            <w:tcW w:w="1434" w:type="dxa"/>
          </w:tcPr>
          <w:p>
            <w:pPr>
              <w:pStyle w:val="yTableNAm"/>
            </w:pP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rPr>
                <w:spacing w:val="-1"/>
              </w:rPr>
            </w:pPr>
            <w:r>
              <w:tab/>
            </w:r>
            <w:r>
              <w:tab/>
              <w:t>up</w:t>
            </w:r>
            <w:r>
              <w:rPr>
                <w:spacing w:val="-1"/>
              </w:rPr>
              <w:t xml:space="preserve"> to $12 400 </w:t>
            </w:r>
            <w:r>
              <w:rPr>
                <w:spacing w:val="-1"/>
              </w:rPr>
              <w:tab/>
            </w:r>
          </w:p>
        </w:tc>
        <w:tc>
          <w:tcPr>
            <w:tcW w:w="1434" w:type="dxa"/>
          </w:tcPr>
          <w:p>
            <w:pPr>
              <w:pStyle w:val="yTableNAm"/>
              <w:rPr>
                <w:spacing w:val="-1"/>
              </w:rPr>
            </w:pPr>
            <w:r>
              <w:t>5.20 cents</w:t>
            </w:r>
            <w:r>
              <w:rPr>
                <w:spacing w:val="-1"/>
              </w:rPr>
              <w:t>/$ of GRV</w:t>
            </w: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rPr>
                <w:spacing w:val="-1"/>
              </w:rPr>
            </w:pPr>
            <w:r>
              <w:tab/>
            </w:r>
            <w:r>
              <w:tab/>
              <w:t>over</w:t>
            </w:r>
            <w:r>
              <w:rPr>
                <w:spacing w:val="-1"/>
              </w:rPr>
              <w:t xml:space="preserve"> $</w:t>
            </w:r>
            <w:r>
              <w:t>12</w:t>
            </w:r>
            <w:r>
              <w:rPr>
                <w:spacing w:val="-1"/>
              </w:rPr>
              <w:t xml:space="preserve"> 400 </w:t>
            </w:r>
            <w:r>
              <w:rPr>
                <w:spacing w:val="-1"/>
              </w:rPr>
              <w:tab/>
            </w:r>
          </w:p>
        </w:tc>
        <w:tc>
          <w:tcPr>
            <w:tcW w:w="1434" w:type="dxa"/>
          </w:tcPr>
          <w:p>
            <w:pPr>
              <w:pStyle w:val="yTableNAm"/>
              <w:rPr>
                <w:spacing w:val="-1"/>
              </w:rPr>
            </w:pPr>
            <w:r>
              <w:rPr>
                <w:spacing w:val="-1"/>
              </w:rPr>
              <w:t>1.24 cents/$ of GRV</w:t>
            </w:r>
          </w:p>
        </w:tc>
      </w:tr>
      <w:tr>
        <w:trPr>
          <w:cantSplit/>
        </w:trPr>
        <w:tc>
          <w:tcPr>
            <w:tcW w:w="850" w:type="dxa"/>
          </w:tcPr>
          <w:p>
            <w:pPr>
              <w:pStyle w:val="yTableNAm"/>
            </w:pPr>
          </w:p>
        </w:tc>
        <w:tc>
          <w:tcPr>
            <w:tcW w:w="4236" w:type="dxa"/>
          </w:tcPr>
          <w:p>
            <w:pPr>
              <w:pStyle w:val="yTableNAm"/>
              <w:tabs>
                <w:tab w:val="left" w:leader="dot" w:pos="4020"/>
              </w:tabs>
              <w:rPr>
                <w:spacing w:val="-1"/>
              </w:rPr>
            </w:pPr>
            <w:r>
              <w:rPr>
                <w:spacing w:val="-1"/>
              </w:rPr>
              <w:t xml:space="preserve">Subject to a minimum of </w:t>
            </w:r>
            <w:r>
              <w:rPr>
                <w:spacing w:val="-1"/>
              </w:rPr>
              <w:tab/>
            </w:r>
          </w:p>
        </w:tc>
        <w:tc>
          <w:tcPr>
            <w:tcW w:w="1434" w:type="dxa"/>
          </w:tcPr>
          <w:p>
            <w:pPr>
              <w:pStyle w:val="yTableNAm"/>
              <w:rPr>
                <w:spacing w:val="-1"/>
              </w:rPr>
            </w:pPr>
            <w:r>
              <w:rPr>
                <w:spacing w:val="-1"/>
              </w:rPr>
              <w:t>$293.50</w:t>
            </w:r>
          </w:p>
        </w:tc>
      </w:tr>
      <w:tr>
        <w:trPr>
          <w:cantSplit/>
        </w:trPr>
        <w:tc>
          <w:tcPr>
            <w:tcW w:w="850" w:type="dxa"/>
          </w:tcPr>
          <w:p>
            <w:pPr>
              <w:pStyle w:val="yHeading5"/>
              <w:tabs>
                <w:tab w:val="clear" w:pos="879"/>
              </w:tabs>
              <w:ind w:left="0" w:firstLine="0"/>
            </w:pPr>
            <w:bookmarkStart w:id="755" w:name="_Toc265743607"/>
            <w:r>
              <w:t>9.</w:t>
            </w:r>
            <w:bookmarkEnd w:id="755"/>
          </w:p>
        </w:tc>
        <w:tc>
          <w:tcPr>
            <w:tcW w:w="4236" w:type="dxa"/>
          </w:tcPr>
          <w:p>
            <w:pPr>
              <w:pStyle w:val="yHeading5"/>
              <w:tabs>
                <w:tab w:val="clear" w:pos="879"/>
              </w:tabs>
              <w:ind w:left="0" w:firstLine="0"/>
            </w:pPr>
            <w:bookmarkStart w:id="756" w:name="_Toc265743608"/>
            <w:r>
              <w:t>Vacant metropolitan non</w:t>
            </w:r>
            <w:r>
              <w:noBreakHyphen/>
              <w:t>residential</w:t>
            </w:r>
            <w:bookmarkEnd w:id="756"/>
          </w:p>
        </w:tc>
        <w:tc>
          <w:tcPr>
            <w:tcW w:w="1434" w:type="dxa"/>
          </w:tcPr>
          <w:p>
            <w:pPr>
              <w:pStyle w:val="yHeading5"/>
              <w:tabs>
                <w:tab w:val="clear" w:pos="879"/>
              </w:tabs>
              <w:ind w:left="0" w:firstLine="0"/>
            </w:pPr>
          </w:p>
        </w:tc>
      </w:tr>
      <w:tr>
        <w:trPr>
          <w:cantSplit/>
        </w:trPr>
        <w:tc>
          <w:tcPr>
            <w:tcW w:w="850" w:type="dxa"/>
          </w:tcPr>
          <w:p>
            <w:pPr>
              <w:pStyle w:val="yTableNAm"/>
            </w:pPr>
          </w:p>
        </w:tc>
        <w:tc>
          <w:tcPr>
            <w:tcW w:w="4236" w:type="dxa"/>
          </w:tcPr>
          <w:p>
            <w:pPr>
              <w:pStyle w:val="yTableNAm"/>
              <w:rPr>
                <w:spacing w:val="-1"/>
              </w:rPr>
            </w:pPr>
            <w:r>
              <w:t>In respect of vacant land in the metropolitan area not being —</w:t>
            </w:r>
          </w:p>
        </w:tc>
        <w:tc>
          <w:tcPr>
            <w:tcW w:w="1434" w:type="dxa"/>
          </w:tcPr>
          <w:p>
            <w:pPr>
              <w:pStyle w:val="yTableNAm"/>
              <w:rPr>
                <w:spacing w:val="-1"/>
              </w:rPr>
            </w:pP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rPr>
                <w:spacing w:val="-1"/>
              </w:rPr>
            </w:pPr>
            <w:r>
              <w:tab/>
              <w:t>(a)</w:t>
            </w:r>
            <w:r>
              <w:tab/>
              <w:t>land comprised in a residential property; or</w:t>
            </w:r>
          </w:p>
        </w:tc>
        <w:tc>
          <w:tcPr>
            <w:tcW w:w="1434" w:type="dxa"/>
          </w:tcPr>
          <w:p>
            <w:pPr>
              <w:pStyle w:val="yTableNAm"/>
              <w:rPr>
                <w:spacing w:val="-1"/>
              </w:rPr>
            </w:pP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rPr>
                <w:spacing w:val="-1"/>
              </w:rPr>
            </w:pPr>
            <w:r>
              <w:tab/>
              <w:t>(b)</w:t>
            </w:r>
            <w:r>
              <w:tab/>
              <w:t>a nursing home; or</w:t>
            </w:r>
          </w:p>
        </w:tc>
        <w:tc>
          <w:tcPr>
            <w:tcW w:w="1434" w:type="dxa"/>
          </w:tcPr>
          <w:p>
            <w:pPr>
              <w:pStyle w:val="yTableNAm"/>
              <w:rPr>
                <w:spacing w:val="-1"/>
              </w:rPr>
            </w:pP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rPr>
                <w:spacing w:val="-1"/>
              </w:rPr>
            </w:pPr>
            <w:r>
              <w:tab/>
              <w:t>(c)</w:t>
            </w:r>
            <w:r>
              <w:tab/>
              <w:t>a caravan park; or</w:t>
            </w:r>
          </w:p>
        </w:tc>
        <w:tc>
          <w:tcPr>
            <w:tcW w:w="1434" w:type="dxa"/>
          </w:tcPr>
          <w:p>
            <w:pPr>
              <w:pStyle w:val="yTableNAm"/>
              <w:rPr>
                <w:spacing w:val="-1"/>
              </w:rPr>
            </w:pP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pPr>
            <w:r>
              <w:tab/>
              <w:t>(d)</w:t>
            </w:r>
            <w:r>
              <w:tab/>
              <w:t>land referred to in item 1 or 3,</w:t>
            </w:r>
          </w:p>
        </w:tc>
        <w:tc>
          <w:tcPr>
            <w:tcW w:w="1434" w:type="dxa"/>
          </w:tcPr>
          <w:p>
            <w:pPr>
              <w:pStyle w:val="yTableNAm"/>
              <w:rPr>
                <w:spacing w:val="-1"/>
              </w:rPr>
            </w:pPr>
          </w:p>
        </w:tc>
      </w:tr>
      <w:tr>
        <w:trPr>
          <w:cantSplit/>
        </w:trPr>
        <w:tc>
          <w:tcPr>
            <w:tcW w:w="850" w:type="dxa"/>
          </w:tcPr>
          <w:p>
            <w:pPr>
              <w:pStyle w:val="yTableNAm"/>
            </w:pPr>
          </w:p>
        </w:tc>
        <w:tc>
          <w:tcPr>
            <w:tcW w:w="4236" w:type="dxa"/>
          </w:tcPr>
          <w:p>
            <w:pPr>
              <w:pStyle w:val="yTableNAm"/>
              <w:tabs>
                <w:tab w:val="left" w:leader="dot" w:pos="4020"/>
              </w:tabs>
              <w:rPr>
                <w:spacing w:val="-1"/>
              </w:rPr>
            </w:pPr>
            <w:r>
              <w:t xml:space="preserve">an amount of </w:t>
            </w:r>
            <w:r>
              <w:rPr>
                <w:spacing w:val="-1"/>
              </w:rPr>
              <w:tab/>
            </w:r>
          </w:p>
        </w:tc>
        <w:tc>
          <w:tcPr>
            <w:tcW w:w="1434" w:type="dxa"/>
          </w:tcPr>
          <w:p>
            <w:pPr>
              <w:pStyle w:val="yTableNAm"/>
              <w:rPr>
                <w:spacing w:val="-1"/>
              </w:rPr>
            </w:pPr>
            <w:r>
              <w:t>1.600 cents/$ of GRV</w:t>
            </w:r>
          </w:p>
        </w:tc>
      </w:tr>
      <w:tr>
        <w:trPr>
          <w:cantSplit/>
        </w:trPr>
        <w:tc>
          <w:tcPr>
            <w:tcW w:w="850" w:type="dxa"/>
          </w:tcPr>
          <w:p>
            <w:pPr>
              <w:pStyle w:val="yTableNAm"/>
            </w:pPr>
          </w:p>
        </w:tc>
        <w:tc>
          <w:tcPr>
            <w:tcW w:w="4236" w:type="dxa"/>
          </w:tcPr>
          <w:p>
            <w:pPr>
              <w:pStyle w:val="yTableNAm"/>
              <w:tabs>
                <w:tab w:val="left" w:leader="dot" w:pos="4020"/>
              </w:tabs>
              <w:rPr>
                <w:spacing w:val="-1"/>
              </w:rPr>
            </w:pPr>
            <w:r>
              <w:rPr>
                <w:spacing w:val="-1"/>
              </w:rPr>
              <w:t xml:space="preserve">subject to a </w:t>
            </w:r>
            <w:r>
              <w:t>minimum</w:t>
            </w:r>
            <w:r>
              <w:rPr>
                <w:spacing w:val="-1"/>
              </w:rPr>
              <w:t xml:space="preserve"> in respect of any vacant land the subject of a separate assessment of </w:t>
            </w:r>
            <w:r>
              <w:rPr>
                <w:spacing w:val="-1"/>
              </w:rPr>
              <w:tab/>
            </w:r>
          </w:p>
        </w:tc>
        <w:tc>
          <w:tcPr>
            <w:tcW w:w="1434" w:type="dxa"/>
          </w:tcPr>
          <w:p>
            <w:pPr>
              <w:pStyle w:val="yTableNAm"/>
              <w:rPr>
                <w:spacing w:val="-1"/>
              </w:rPr>
            </w:pPr>
            <w:r>
              <w:rPr>
                <w:spacing w:val="-1"/>
              </w:rPr>
              <w:br/>
              <w:t>$220.70</w:t>
            </w:r>
          </w:p>
        </w:tc>
      </w:tr>
      <w:tr>
        <w:trPr>
          <w:cantSplit/>
        </w:trPr>
        <w:tc>
          <w:tcPr>
            <w:tcW w:w="850" w:type="dxa"/>
          </w:tcPr>
          <w:p>
            <w:pPr>
              <w:pStyle w:val="yHeading5"/>
              <w:tabs>
                <w:tab w:val="clear" w:pos="879"/>
              </w:tabs>
              <w:ind w:left="0" w:firstLine="0"/>
            </w:pPr>
            <w:bookmarkStart w:id="757" w:name="_Toc265743609"/>
            <w:r>
              <w:t>10.</w:t>
            </w:r>
            <w:bookmarkEnd w:id="757"/>
          </w:p>
        </w:tc>
        <w:tc>
          <w:tcPr>
            <w:tcW w:w="4236" w:type="dxa"/>
          </w:tcPr>
          <w:p>
            <w:pPr>
              <w:pStyle w:val="yHeading5"/>
              <w:tabs>
                <w:tab w:val="clear" w:pos="879"/>
              </w:tabs>
              <w:ind w:left="0" w:firstLine="0"/>
            </w:pPr>
            <w:bookmarkStart w:id="758" w:name="_Toc265743610"/>
            <w:r>
              <w:t>Country</w:t>
            </w:r>
            <w:bookmarkEnd w:id="758"/>
          </w:p>
        </w:tc>
        <w:tc>
          <w:tcPr>
            <w:tcW w:w="1434" w:type="dxa"/>
          </w:tcPr>
          <w:p>
            <w:pPr>
              <w:pStyle w:val="yHeading5"/>
              <w:tabs>
                <w:tab w:val="clear" w:pos="879"/>
              </w:tabs>
              <w:ind w:left="0" w:firstLine="0"/>
            </w:pPr>
          </w:p>
        </w:tc>
      </w:tr>
      <w:tr>
        <w:trPr>
          <w:cantSplit/>
        </w:trPr>
        <w:tc>
          <w:tcPr>
            <w:tcW w:w="850" w:type="dxa"/>
          </w:tcPr>
          <w:p>
            <w:pPr>
              <w:pStyle w:val="yTableNAm"/>
            </w:pPr>
          </w:p>
        </w:tc>
        <w:tc>
          <w:tcPr>
            <w:tcW w:w="4236" w:type="dxa"/>
          </w:tcPr>
          <w:p>
            <w:pPr>
              <w:pStyle w:val="yTableNAm"/>
            </w:pPr>
            <w:r>
              <w:t>In respect of land in a country sewerage area referred to in column 1 of the following Table, not being land referred to in Division 1 or 7 —</w:t>
            </w:r>
          </w:p>
        </w:tc>
        <w:tc>
          <w:tcPr>
            <w:tcW w:w="1434" w:type="dxa"/>
          </w:tcPr>
          <w:p>
            <w:pPr>
              <w:pStyle w:val="yTableNAm"/>
              <w:rPr>
                <w:spacing w:val="-1"/>
              </w:rPr>
            </w:pPr>
          </w:p>
        </w:tc>
      </w:tr>
      <w:tr>
        <w:trPr>
          <w:cantSplit/>
        </w:trPr>
        <w:tc>
          <w:tcPr>
            <w:tcW w:w="850" w:type="dxa"/>
          </w:tcPr>
          <w:p>
            <w:pPr>
              <w:pStyle w:val="yTableNAm"/>
            </w:pPr>
          </w:p>
        </w:tc>
        <w:tc>
          <w:tcPr>
            <w:tcW w:w="4236" w:type="dxa"/>
          </w:tcPr>
          <w:p>
            <w:pPr>
              <w:pStyle w:val="yTableNAm"/>
              <w:tabs>
                <w:tab w:val="left" w:pos="1016"/>
                <w:tab w:val="left" w:leader="dot" w:pos="4020"/>
              </w:tabs>
              <w:ind w:left="1016" w:hanging="1016"/>
              <w:rPr>
                <w:spacing w:val="-1"/>
              </w:rPr>
            </w:pPr>
            <w:r>
              <w:rPr>
                <w:spacing w:val="-1"/>
              </w:rPr>
              <w:tab/>
              <w:t>(a)</w:t>
            </w:r>
            <w:r>
              <w:rPr>
                <w:spacing w:val="-1"/>
              </w:rPr>
              <w:tab/>
              <w:t>where the land is classified as residential, an amount for each dollar of the GRV as set out in column 2 of the Table;</w:t>
            </w:r>
          </w:p>
        </w:tc>
        <w:tc>
          <w:tcPr>
            <w:tcW w:w="1434" w:type="dxa"/>
          </w:tcPr>
          <w:p>
            <w:pPr>
              <w:pStyle w:val="yTableNAm"/>
              <w:rPr>
                <w:spacing w:val="-1"/>
              </w:rPr>
            </w:pPr>
          </w:p>
        </w:tc>
      </w:tr>
      <w:tr>
        <w:trPr>
          <w:cantSplit/>
        </w:trPr>
        <w:tc>
          <w:tcPr>
            <w:tcW w:w="850" w:type="dxa"/>
          </w:tcPr>
          <w:p>
            <w:pPr>
              <w:pStyle w:val="yTableNAm"/>
            </w:pPr>
          </w:p>
        </w:tc>
        <w:tc>
          <w:tcPr>
            <w:tcW w:w="4236" w:type="dxa"/>
          </w:tcPr>
          <w:p>
            <w:pPr>
              <w:pStyle w:val="yTableNAm"/>
              <w:tabs>
                <w:tab w:val="left" w:pos="1016"/>
                <w:tab w:val="left" w:leader="dot" w:pos="4020"/>
              </w:tabs>
              <w:ind w:left="1016" w:hanging="1016"/>
              <w:rPr>
                <w:spacing w:val="-1"/>
              </w:rPr>
            </w:pPr>
            <w:r>
              <w:rPr>
                <w:spacing w:val="-1"/>
              </w:rPr>
              <w:tab/>
              <w:t>(b)</w:t>
            </w:r>
            <w:r>
              <w:rPr>
                <w:spacing w:val="-1"/>
              </w:rPr>
              <w:tab/>
              <w:t>where the land is not classified as residential, an amount for each dollar of the GRV as set out in column 3 of the Table,</w:t>
            </w:r>
          </w:p>
        </w:tc>
        <w:tc>
          <w:tcPr>
            <w:tcW w:w="1434" w:type="dxa"/>
          </w:tcPr>
          <w:p>
            <w:pPr>
              <w:pStyle w:val="yTableNAm"/>
              <w:rPr>
                <w:spacing w:val="-1"/>
              </w:rPr>
            </w:pPr>
          </w:p>
        </w:tc>
      </w:tr>
      <w:tr>
        <w:trPr>
          <w:cantSplit/>
        </w:trPr>
        <w:tc>
          <w:tcPr>
            <w:tcW w:w="850" w:type="dxa"/>
          </w:tcPr>
          <w:p>
            <w:pPr>
              <w:pStyle w:val="yTableNAm"/>
            </w:pPr>
          </w:p>
        </w:tc>
        <w:tc>
          <w:tcPr>
            <w:tcW w:w="4236" w:type="dxa"/>
          </w:tcPr>
          <w:p>
            <w:pPr>
              <w:pStyle w:val="yTableNAm"/>
            </w:pPr>
            <w:r>
              <w:t>subject to a minimum in respect of any land the subject of a separate assessment of —</w:t>
            </w:r>
          </w:p>
        </w:tc>
        <w:tc>
          <w:tcPr>
            <w:tcW w:w="1434" w:type="dxa"/>
          </w:tcPr>
          <w:p>
            <w:pPr>
              <w:pStyle w:val="yTableNAm"/>
              <w:rPr>
                <w:spacing w:val="-1"/>
              </w:rPr>
            </w:pP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pPr>
            <w:r>
              <w:tab/>
              <w:t>(c)</w:t>
            </w:r>
            <w:r>
              <w:tab/>
              <w:t xml:space="preserve">in the case of land classified as residential </w:t>
            </w:r>
            <w:r>
              <w:tab/>
            </w:r>
          </w:p>
        </w:tc>
        <w:tc>
          <w:tcPr>
            <w:tcW w:w="1434" w:type="dxa"/>
          </w:tcPr>
          <w:p>
            <w:pPr>
              <w:pStyle w:val="yTableNAm"/>
            </w:pPr>
            <w:r>
              <w:br/>
              <w:t>$293.50</w:t>
            </w: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pPr>
            <w:r>
              <w:tab/>
              <w:t>(d)</w:t>
            </w:r>
            <w:r>
              <w:tab/>
              <w:t xml:space="preserve">in the case of land classified as vacant land </w:t>
            </w:r>
            <w:r>
              <w:tab/>
            </w:r>
          </w:p>
        </w:tc>
        <w:tc>
          <w:tcPr>
            <w:tcW w:w="1434" w:type="dxa"/>
          </w:tcPr>
          <w:p>
            <w:pPr>
              <w:pStyle w:val="yTableNAm"/>
            </w:pPr>
            <w:r>
              <w:br/>
              <w:t>$193.20</w:t>
            </w: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pPr>
            <w:r>
              <w:tab/>
              <w:t>(e)</w:t>
            </w:r>
            <w:r>
              <w:tab/>
              <w:t xml:space="preserve">in the case of land not classified as residential or vacant land </w:t>
            </w:r>
            <w:r>
              <w:tab/>
            </w:r>
          </w:p>
        </w:tc>
        <w:tc>
          <w:tcPr>
            <w:tcW w:w="1434" w:type="dxa"/>
          </w:tcPr>
          <w:p>
            <w:pPr>
              <w:pStyle w:val="yTableNAm"/>
            </w:pPr>
            <w:r>
              <w:br/>
              <w:t>$658.50</w:t>
            </w:r>
          </w:p>
        </w:tc>
      </w:tr>
      <w:tr>
        <w:trPr>
          <w:cantSplit/>
        </w:trPr>
        <w:tc>
          <w:tcPr>
            <w:tcW w:w="850" w:type="dxa"/>
          </w:tcPr>
          <w:p>
            <w:pPr>
              <w:pStyle w:val="yTableNAm"/>
            </w:pPr>
          </w:p>
        </w:tc>
        <w:tc>
          <w:tcPr>
            <w:tcW w:w="4236" w:type="dxa"/>
          </w:tcPr>
          <w:p>
            <w:pPr>
              <w:pStyle w:val="yTableNAm"/>
            </w:pPr>
            <w:r>
              <w:t xml:space="preserve">and subject to a maximum in respect of any land classified as residential or classified as vacant land and held for residential purposes </w:t>
            </w:r>
          </w:p>
        </w:tc>
        <w:tc>
          <w:tcPr>
            <w:tcW w:w="1434" w:type="dxa"/>
          </w:tcPr>
          <w:p>
            <w:pPr>
              <w:pStyle w:val="yTableNAm"/>
            </w:pPr>
            <w:r>
              <w:br/>
            </w:r>
            <w:r>
              <w:br/>
              <w:t>$731.40</w:t>
            </w:r>
          </w:p>
        </w:tc>
      </w:tr>
    </w:tbl>
    <w:p/>
    <w:tbl>
      <w:tblPr>
        <w:tblW w:w="0" w:type="auto"/>
        <w:tblInd w:w="567" w:type="dxa"/>
        <w:tblCellMar>
          <w:left w:w="141" w:type="dxa"/>
          <w:right w:w="141" w:type="dxa"/>
        </w:tblCellMar>
        <w:tblLook w:val="0000" w:firstRow="0" w:lastRow="0" w:firstColumn="0" w:lastColumn="0" w:noHBand="0" w:noVBand="0"/>
      </w:tblPr>
      <w:tblGrid>
        <w:gridCol w:w="2173"/>
        <w:gridCol w:w="2081"/>
        <w:gridCol w:w="2174"/>
      </w:tblGrid>
      <w:tr>
        <w:trPr>
          <w:cantSplit/>
          <w:trHeight w:hRule="exact" w:val="851"/>
          <w:tblHeader/>
        </w:trPr>
        <w:tc>
          <w:tcPr>
            <w:tcW w:w="2173" w:type="dxa"/>
            <w:tcBorders>
              <w:top w:val="single" w:sz="4" w:space="0" w:color="auto"/>
              <w:bottom w:val="single" w:sz="4" w:space="0" w:color="auto"/>
            </w:tcBorders>
          </w:tcPr>
          <w:bookmarkEnd w:id="751"/>
          <w:bookmarkEnd w:id="752"/>
          <w:bookmarkEnd w:id="753"/>
          <w:p>
            <w:pPr>
              <w:pStyle w:val="yTableNAm"/>
              <w:jc w:val="center"/>
              <w:rPr>
                <w:b/>
                <w:bCs/>
                <w:sz w:val="20"/>
              </w:rPr>
            </w:pPr>
            <w:r>
              <w:rPr>
                <w:b/>
                <w:bCs/>
                <w:sz w:val="20"/>
              </w:rPr>
              <w:t>Column 1</w:t>
            </w:r>
            <w:r>
              <w:rPr>
                <w:b/>
                <w:bCs/>
                <w:sz w:val="20"/>
              </w:rPr>
              <w:br/>
              <w:t>Country sewerage area</w:t>
            </w:r>
          </w:p>
        </w:tc>
        <w:tc>
          <w:tcPr>
            <w:tcW w:w="2081" w:type="dxa"/>
            <w:tcBorders>
              <w:top w:val="single" w:sz="4" w:space="0" w:color="auto"/>
              <w:bottom w:val="single" w:sz="4" w:space="0" w:color="auto"/>
            </w:tcBorders>
          </w:tcPr>
          <w:p>
            <w:pPr>
              <w:pStyle w:val="yTableNAm"/>
              <w:tabs>
                <w:tab w:val="clear" w:pos="567"/>
              </w:tabs>
              <w:jc w:val="center"/>
              <w:rPr>
                <w:b/>
                <w:bCs/>
                <w:sz w:val="20"/>
              </w:rPr>
            </w:pPr>
            <w:r>
              <w:rPr>
                <w:b/>
                <w:bCs/>
                <w:sz w:val="20"/>
              </w:rPr>
              <w:t>Column 2</w:t>
            </w:r>
            <w:r>
              <w:rPr>
                <w:b/>
                <w:bCs/>
                <w:sz w:val="20"/>
              </w:rPr>
              <w:br/>
              <w:t>(Residential)</w:t>
            </w:r>
            <w:r>
              <w:rPr>
                <w:b/>
                <w:bCs/>
                <w:sz w:val="20"/>
              </w:rPr>
              <w:br/>
              <w:t>cents/$ of GRV</w:t>
            </w:r>
          </w:p>
        </w:tc>
        <w:tc>
          <w:tcPr>
            <w:tcW w:w="2174" w:type="dxa"/>
            <w:tcBorders>
              <w:top w:val="single" w:sz="4" w:space="0" w:color="auto"/>
              <w:bottom w:val="single" w:sz="4" w:space="0" w:color="auto"/>
            </w:tcBorders>
          </w:tcPr>
          <w:p>
            <w:pPr>
              <w:pStyle w:val="yTableNAm"/>
              <w:tabs>
                <w:tab w:val="clear" w:pos="567"/>
              </w:tabs>
              <w:ind w:right="80"/>
              <w:jc w:val="center"/>
              <w:rPr>
                <w:b/>
                <w:bCs/>
                <w:sz w:val="20"/>
              </w:rPr>
            </w:pPr>
            <w:r>
              <w:rPr>
                <w:b/>
                <w:bCs/>
                <w:sz w:val="20"/>
              </w:rPr>
              <w:t>Column 3</w:t>
            </w:r>
            <w:r>
              <w:rPr>
                <w:b/>
                <w:bCs/>
                <w:sz w:val="20"/>
              </w:rPr>
              <w:br/>
              <w:t>(Non</w:t>
            </w:r>
            <w:r>
              <w:rPr>
                <w:b/>
                <w:bCs/>
                <w:sz w:val="20"/>
              </w:rPr>
              <w:noBreakHyphen/>
              <w:t>residential)</w:t>
            </w:r>
            <w:r>
              <w:rPr>
                <w:b/>
                <w:bCs/>
                <w:sz w:val="20"/>
              </w:rPr>
              <w:br/>
              <w:t>cents/$ of GRV</w:t>
            </w:r>
          </w:p>
        </w:tc>
      </w:tr>
      <w:tr>
        <w:trPr>
          <w:cantSplit/>
        </w:trPr>
        <w:tc>
          <w:tcPr>
            <w:tcW w:w="2173" w:type="dxa"/>
          </w:tcPr>
          <w:p>
            <w:pPr>
              <w:pStyle w:val="yTableNAm"/>
              <w:rPr>
                <w:sz w:val="20"/>
              </w:rPr>
            </w:pPr>
            <w:r>
              <w:rPr>
                <w:sz w:val="20"/>
              </w:rPr>
              <w:t>Albany</w:t>
            </w:r>
          </w:p>
        </w:tc>
        <w:tc>
          <w:tcPr>
            <w:tcW w:w="2081" w:type="dxa"/>
          </w:tcPr>
          <w:p>
            <w:pPr>
              <w:pStyle w:val="yTableNAm"/>
              <w:tabs>
                <w:tab w:val="clear" w:pos="567"/>
                <w:tab w:val="decimal" w:pos="1100"/>
                <w:tab w:val="decimal" w:pos="3480"/>
              </w:tabs>
              <w:ind w:right="579"/>
              <w:jc w:val="right"/>
              <w:rPr>
                <w:sz w:val="20"/>
              </w:rPr>
            </w:pPr>
            <w:r>
              <w:rPr>
                <w:sz w:val="20"/>
              </w:rPr>
              <w:t>9.817</w:t>
            </w:r>
          </w:p>
        </w:tc>
        <w:tc>
          <w:tcPr>
            <w:tcW w:w="2174" w:type="dxa"/>
          </w:tcPr>
          <w:p>
            <w:pPr>
              <w:pStyle w:val="yTableNAm"/>
              <w:tabs>
                <w:tab w:val="clear" w:pos="567"/>
                <w:tab w:val="decimal" w:pos="1100"/>
                <w:tab w:val="decimal" w:pos="3480"/>
              </w:tabs>
              <w:ind w:right="551"/>
              <w:jc w:val="right"/>
              <w:rPr>
                <w:sz w:val="20"/>
              </w:rPr>
            </w:pPr>
            <w:r>
              <w:rPr>
                <w:sz w:val="20"/>
              </w:rPr>
              <w:t>4.818</w:t>
            </w:r>
          </w:p>
        </w:tc>
      </w:tr>
      <w:tr>
        <w:trPr>
          <w:cantSplit/>
        </w:trPr>
        <w:tc>
          <w:tcPr>
            <w:tcW w:w="2173" w:type="dxa"/>
          </w:tcPr>
          <w:p>
            <w:pPr>
              <w:pStyle w:val="yTableNAm"/>
              <w:rPr>
                <w:sz w:val="20"/>
              </w:rPr>
            </w:pPr>
            <w:r>
              <w:rPr>
                <w:sz w:val="20"/>
              </w:rPr>
              <w:t>Augusta</w:t>
            </w:r>
          </w:p>
        </w:tc>
        <w:tc>
          <w:tcPr>
            <w:tcW w:w="2081" w:type="dxa"/>
          </w:tcPr>
          <w:p>
            <w:pPr>
              <w:pStyle w:val="yTableNAm"/>
              <w:tabs>
                <w:tab w:val="clear" w:pos="567"/>
                <w:tab w:val="decimal" w:pos="1100"/>
                <w:tab w:val="decimal" w:pos="3480"/>
              </w:tabs>
              <w:ind w:right="579"/>
              <w:jc w:val="right"/>
              <w:rPr>
                <w:sz w:val="20"/>
              </w:rPr>
            </w:pPr>
            <w:r>
              <w:rPr>
                <w:sz w:val="20"/>
              </w:rPr>
              <w:t>8.553</w:t>
            </w:r>
          </w:p>
        </w:tc>
        <w:tc>
          <w:tcPr>
            <w:tcW w:w="2174" w:type="dxa"/>
          </w:tcPr>
          <w:p>
            <w:pPr>
              <w:pStyle w:val="yTableNAm"/>
              <w:tabs>
                <w:tab w:val="clear" w:pos="567"/>
                <w:tab w:val="decimal" w:pos="1100"/>
                <w:tab w:val="decimal" w:pos="3480"/>
              </w:tabs>
              <w:ind w:right="551"/>
              <w:jc w:val="right"/>
              <w:rPr>
                <w:sz w:val="20"/>
              </w:rPr>
            </w:pPr>
            <w:r>
              <w:rPr>
                <w:sz w:val="20"/>
              </w:rPr>
              <w:t>3.354</w:t>
            </w:r>
          </w:p>
        </w:tc>
      </w:tr>
      <w:tr>
        <w:trPr>
          <w:cantSplit/>
        </w:trPr>
        <w:tc>
          <w:tcPr>
            <w:tcW w:w="2173" w:type="dxa"/>
          </w:tcPr>
          <w:p>
            <w:pPr>
              <w:pStyle w:val="yTableNAm"/>
              <w:rPr>
                <w:sz w:val="20"/>
              </w:rPr>
            </w:pPr>
            <w:r>
              <w:rPr>
                <w:sz w:val="20"/>
              </w:rPr>
              <w:t>Australind</w:t>
            </w:r>
          </w:p>
        </w:tc>
        <w:tc>
          <w:tcPr>
            <w:tcW w:w="2081" w:type="dxa"/>
          </w:tcPr>
          <w:p>
            <w:pPr>
              <w:pStyle w:val="yTableNAm"/>
              <w:tabs>
                <w:tab w:val="clear" w:pos="567"/>
                <w:tab w:val="decimal" w:pos="1100"/>
                <w:tab w:val="decimal" w:pos="3480"/>
              </w:tabs>
              <w:ind w:right="579"/>
              <w:jc w:val="right"/>
              <w:rPr>
                <w:sz w:val="20"/>
              </w:rPr>
            </w:pPr>
            <w:r>
              <w:rPr>
                <w:sz w:val="20"/>
              </w:rPr>
              <w:t>7.251</w:t>
            </w:r>
          </w:p>
        </w:tc>
        <w:tc>
          <w:tcPr>
            <w:tcW w:w="2174" w:type="dxa"/>
          </w:tcPr>
          <w:p>
            <w:pPr>
              <w:pStyle w:val="yTableNAm"/>
              <w:tabs>
                <w:tab w:val="clear" w:pos="567"/>
                <w:tab w:val="decimal" w:pos="1100"/>
                <w:tab w:val="decimal" w:pos="3480"/>
              </w:tabs>
              <w:ind w:right="551"/>
              <w:jc w:val="right"/>
              <w:rPr>
                <w:sz w:val="20"/>
              </w:rPr>
            </w:pPr>
            <w:r>
              <w:rPr>
                <w:sz w:val="20"/>
              </w:rPr>
              <w:t>0.364</w:t>
            </w:r>
          </w:p>
        </w:tc>
      </w:tr>
      <w:tr>
        <w:trPr>
          <w:cantSplit/>
        </w:trPr>
        <w:tc>
          <w:tcPr>
            <w:tcW w:w="2173" w:type="dxa"/>
          </w:tcPr>
          <w:p>
            <w:pPr>
              <w:pStyle w:val="yTableNAm"/>
              <w:rPr>
                <w:sz w:val="20"/>
              </w:rPr>
            </w:pPr>
            <w:r>
              <w:rPr>
                <w:sz w:val="20"/>
              </w:rPr>
              <w:t>Beverley</w:t>
            </w:r>
          </w:p>
        </w:tc>
        <w:tc>
          <w:tcPr>
            <w:tcW w:w="2081" w:type="dxa"/>
          </w:tcPr>
          <w:p>
            <w:pPr>
              <w:pStyle w:val="yTableNAm"/>
              <w:tabs>
                <w:tab w:val="clear" w:pos="567"/>
                <w:tab w:val="decimal" w:pos="1100"/>
                <w:tab w:val="decimal" w:pos="3480"/>
              </w:tabs>
              <w:ind w:right="579"/>
              <w:jc w:val="right"/>
              <w:rPr>
                <w:sz w:val="20"/>
              </w:rPr>
            </w:pPr>
            <w:r>
              <w:rPr>
                <w:sz w:val="20"/>
              </w:rPr>
              <w:t>11.737</w:t>
            </w:r>
          </w:p>
        </w:tc>
        <w:tc>
          <w:tcPr>
            <w:tcW w:w="2174" w:type="dxa"/>
          </w:tcPr>
          <w:p>
            <w:pPr>
              <w:pStyle w:val="yTableNAm"/>
              <w:tabs>
                <w:tab w:val="clear" w:pos="567"/>
                <w:tab w:val="decimal" w:pos="1100"/>
                <w:tab w:val="decimal" w:pos="3480"/>
              </w:tabs>
              <w:ind w:right="551"/>
              <w:jc w:val="right"/>
              <w:rPr>
                <w:sz w:val="20"/>
              </w:rPr>
            </w:pPr>
            <w:r>
              <w:rPr>
                <w:sz w:val="20"/>
              </w:rPr>
              <w:t>10.352</w:t>
            </w:r>
          </w:p>
        </w:tc>
      </w:tr>
      <w:tr>
        <w:trPr>
          <w:cantSplit/>
        </w:trPr>
        <w:tc>
          <w:tcPr>
            <w:tcW w:w="2173" w:type="dxa"/>
          </w:tcPr>
          <w:p>
            <w:pPr>
              <w:pStyle w:val="yTableNAm"/>
              <w:rPr>
                <w:sz w:val="20"/>
              </w:rPr>
            </w:pPr>
            <w:r>
              <w:rPr>
                <w:sz w:val="20"/>
              </w:rPr>
              <w:t>Binningup</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7.522</w:t>
            </w:r>
          </w:p>
        </w:tc>
      </w:tr>
      <w:tr>
        <w:trPr>
          <w:cantSplit/>
        </w:trPr>
        <w:tc>
          <w:tcPr>
            <w:tcW w:w="2173" w:type="dxa"/>
          </w:tcPr>
          <w:p>
            <w:pPr>
              <w:pStyle w:val="yTableNAm"/>
              <w:rPr>
                <w:sz w:val="20"/>
              </w:rPr>
            </w:pPr>
            <w:r>
              <w:rPr>
                <w:sz w:val="20"/>
              </w:rPr>
              <w:t>Boddington</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5.382</w:t>
            </w:r>
          </w:p>
        </w:tc>
      </w:tr>
      <w:tr>
        <w:trPr>
          <w:cantSplit/>
        </w:trPr>
        <w:tc>
          <w:tcPr>
            <w:tcW w:w="2173" w:type="dxa"/>
          </w:tcPr>
          <w:p>
            <w:pPr>
              <w:pStyle w:val="yTableNAm"/>
              <w:rPr>
                <w:sz w:val="20"/>
              </w:rPr>
            </w:pPr>
            <w:r>
              <w:rPr>
                <w:sz w:val="20"/>
              </w:rPr>
              <w:t>Boyanup</w:t>
            </w:r>
          </w:p>
        </w:tc>
        <w:tc>
          <w:tcPr>
            <w:tcW w:w="2081" w:type="dxa"/>
          </w:tcPr>
          <w:p>
            <w:pPr>
              <w:pStyle w:val="yTableNAm"/>
              <w:tabs>
                <w:tab w:val="clear" w:pos="567"/>
                <w:tab w:val="decimal" w:pos="1100"/>
                <w:tab w:val="decimal" w:pos="3480"/>
              </w:tabs>
              <w:ind w:right="579"/>
              <w:jc w:val="right"/>
              <w:rPr>
                <w:sz w:val="20"/>
              </w:rPr>
            </w:pPr>
            <w:r>
              <w:rPr>
                <w:sz w:val="20"/>
              </w:rPr>
              <w:t>11.489</w:t>
            </w:r>
          </w:p>
        </w:tc>
        <w:tc>
          <w:tcPr>
            <w:tcW w:w="2174" w:type="dxa"/>
          </w:tcPr>
          <w:p>
            <w:pPr>
              <w:pStyle w:val="yTableNAm"/>
              <w:tabs>
                <w:tab w:val="clear" w:pos="567"/>
                <w:tab w:val="decimal" w:pos="1100"/>
                <w:tab w:val="decimal" w:pos="3480"/>
              </w:tabs>
              <w:ind w:right="551"/>
              <w:jc w:val="right"/>
              <w:rPr>
                <w:sz w:val="20"/>
              </w:rPr>
            </w:pPr>
            <w:r>
              <w:rPr>
                <w:sz w:val="20"/>
              </w:rPr>
              <w:t>3.123</w:t>
            </w:r>
          </w:p>
        </w:tc>
      </w:tr>
      <w:tr>
        <w:trPr>
          <w:cantSplit/>
        </w:trPr>
        <w:tc>
          <w:tcPr>
            <w:tcW w:w="2173" w:type="dxa"/>
          </w:tcPr>
          <w:p>
            <w:pPr>
              <w:pStyle w:val="yTableNAm"/>
              <w:rPr>
                <w:sz w:val="20"/>
              </w:rPr>
            </w:pPr>
            <w:r>
              <w:rPr>
                <w:sz w:val="20"/>
              </w:rPr>
              <w:t>Bremer Bay</w:t>
            </w:r>
          </w:p>
        </w:tc>
        <w:tc>
          <w:tcPr>
            <w:tcW w:w="2081" w:type="dxa"/>
          </w:tcPr>
          <w:p>
            <w:pPr>
              <w:pStyle w:val="yTableNAm"/>
              <w:tabs>
                <w:tab w:val="clear" w:pos="567"/>
                <w:tab w:val="decimal" w:pos="1100"/>
                <w:tab w:val="decimal" w:pos="3480"/>
              </w:tabs>
              <w:ind w:right="579"/>
              <w:jc w:val="right"/>
              <w:rPr>
                <w:sz w:val="20"/>
              </w:rPr>
            </w:pPr>
            <w:r>
              <w:rPr>
                <w:sz w:val="20"/>
              </w:rPr>
              <w:t>11.288</w:t>
            </w:r>
          </w:p>
        </w:tc>
        <w:tc>
          <w:tcPr>
            <w:tcW w:w="2174" w:type="dxa"/>
          </w:tcPr>
          <w:p>
            <w:pPr>
              <w:pStyle w:val="yTableNAm"/>
              <w:tabs>
                <w:tab w:val="clear" w:pos="567"/>
                <w:tab w:val="decimal" w:pos="1100"/>
                <w:tab w:val="decimal" w:pos="3480"/>
              </w:tabs>
              <w:ind w:right="551"/>
              <w:jc w:val="right"/>
              <w:rPr>
                <w:sz w:val="20"/>
              </w:rPr>
            </w:pPr>
            <w:r>
              <w:rPr>
                <w:sz w:val="20"/>
              </w:rPr>
              <w:t>2.322</w:t>
            </w:r>
          </w:p>
        </w:tc>
      </w:tr>
      <w:tr>
        <w:trPr>
          <w:cantSplit/>
        </w:trPr>
        <w:tc>
          <w:tcPr>
            <w:tcW w:w="2173" w:type="dxa"/>
          </w:tcPr>
          <w:p>
            <w:pPr>
              <w:pStyle w:val="yTableNAm"/>
              <w:rPr>
                <w:sz w:val="20"/>
              </w:rPr>
            </w:pPr>
            <w:r>
              <w:rPr>
                <w:sz w:val="20"/>
              </w:rPr>
              <w:t>Bridgetown</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Broome</w:t>
            </w:r>
          </w:p>
        </w:tc>
        <w:tc>
          <w:tcPr>
            <w:tcW w:w="2081" w:type="dxa"/>
          </w:tcPr>
          <w:p>
            <w:pPr>
              <w:pStyle w:val="yTableNAm"/>
              <w:tabs>
                <w:tab w:val="clear" w:pos="567"/>
                <w:tab w:val="decimal" w:pos="1100"/>
                <w:tab w:val="decimal" w:pos="3480"/>
              </w:tabs>
              <w:ind w:right="579"/>
              <w:jc w:val="right"/>
              <w:rPr>
                <w:sz w:val="20"/>
              </w:rPr>
            </w:pPr>
            <w:r>
              <w:rPr>
                <w:sz w:val="20"/>
              </w:rPr>
              <w:t>3.766</w:t>
            </w:r>
          </w:p>
        </w:tc>
        <w:tc>
          <w:tcPr>
            <w:tcW w:w="2174" w:type="dxa"/>
          </w:tcPr>
          <w:p>
            <w:pPr>
              <w:pStyle w:val="yTableNAm"/>
              <w:tabs>
                <w:tab w:val="clear" w:pos="567"/>
                <w:tab w:val="decimal" w:pos="1100"/>
                <w:tab w:val="decimal" w:pos="3480"/>
              </w:tabs>
              <w:ind w:right="551"/>
              <w:jc w:val="right"/>
              <w:rPr>
                <w:sz w:val="20"/>
              </w:rPr>
            </w:pPr>
            <w:r>
              <w:rPr>
                <w:sz w:val="20"/>
              </w:rPr>
              <w:t>1.279</w:t>
            </w:r>
          </w:p>
        </w:tc>
      </w:tr>
      <w:tr>
        <w:trPr>
          <w:cantSplit/>
        </w:trPr>
        <w:tc>
          <w:tcPr>
            <w:tcW w:w="2173" w:type="dxa"/>
          </w:tcPr>
          <w:p>
            <w:pPr>
              <w:pStyle w:val="yTableNAm"/>
              <w:rPr>
                <w:sz w:val="20"/>
              </w:rPr>
            </w:pPr>
            <w:r>
              <w:rPr>
                <w:sz w:val="20"/>
              </w:rPr>
              <w:t>Brunswick</w:t>
            </w:r>
          </w:p>
        </w:tc>
        <w:tc>
          <w:tcPr>
            <w:tcW w:w="2081" w:type="dxa"/>
          </w:tcPr>
          <w:p>
            <w:pPr>
              <w:pStyle w:val="yTableNAm"/>
              <w:tabs>
                <w:tab w:val="clear" w:pos="567"/>
                <w:tab w:val="decimal" w:pos="1100"/>
                <w:tab w:val="decimal" w:pos="3480"/>
              </w:tabs>
              <w:ind w:right="579"/>
              <w:jc w:val="right"/>
              <w:rPr>
                <w:sz w:val="20"/>
              </w:rPr>
            </w:pPr>
            <w:r>
              <w:rPr>
                <w:sz w:val="20"/>
              </w:rPr>
              <w:t>7.407</w:t>
            </w:r>
          </w:p>
        </w:tc>
        <w:tc>
          <w:tcPr>
            <w:tcW w:w="2174" w:type="dxa"/>
          </w:tcPr>
          <w:p>
            <w:pPr>
              <w:pStyle w:val="yTableNAm"/>
              <w:tabs>
                <w:tab w:val="clear" w:pos="567"/>
                <w:tab w:val="decimal" w:pos="1100"/>
                <w:tab w:val="decimal" w:pos="3480"/>
              </w:tabs>
              <w:ind w:right="551"/>
              <w:jc w:val="right"/>
              <w:rPr>
                <w:sz w:val="20"/>
              </w:rPr>
            </w:pPr>
            <w:r>
              <w:rPr>
                <w:sz w:val="20"/>
              </w:rPr>
              <w:t>4.303</w:t>
            </w:r>
          </w:p>
        </w:tc>
      </w:tr>
      <w:tr>
        <w:trPr>
          <w:cantSplit/>
        </w:trPr>
        <w:tc>
          <w:tcPr>
            <w:tcW w:w="2173" w:type="dxa"/>
          </w:tcPr>
          <w:p>
            <w:pPr>
              <w:pStyle w:val="yTableNAm"/>
              <w:rPr>
                <w:sz w:val="20"/>
              </w:rPr>
            </w:pPr>
            <w:r>
              <w:rPr>
                <w:sz w:val="20"/>
              </w:rPr>
              <w:t>Bunbury</w:t>
            </w:r>
            <w:r>
              <w:rPr>
                <w:sz w:val="20"/>
              </w:rPr>
              <w:br/>
              <w:t>(1/07/08 Values)</w:t>
            </w:r>
          </w:p>
        </w:tc>
        <w:tc>
          <w:tcPr>
            <w:tcW w:w="2081" w:type="dxa"/>
          </w:tcPr>
          <w:p>
            <w:pPr>
              <w:pStyle w:val="yTableNAm"/>
              <w:tabs>
                <w:tab w:val="clear" w:pos="567"/>
                <w:tab w:val="decimal" w:pos="1100"/>
                <w:tab w:val="decimal" w:pos="3480"/>
              </w:tabs>
              <w:ind w:right="579"/>
              <w:jc w:val="right"/>
              <w:rPr>
                <w:sz w:val="20"/>
              </w:rPr>
            </w:pPr>
            <w:r>
              <w:rPr>
                <w:sz w:val="20"/>
              </w:rPr>
              <w:t>6.173</w:t>
            </w:r>
          </w:p>
        </w:tc>
        <w:tc>
          <w:tcPr>
            <w:tcW w:w="2174" w:type="dxa"/>
          </w:tcPr>
          <w:p>
            <w:pPr>
              <w:pStyle w:val="yTableNAm"/>
              <w:tabs>
                <w:tab w:val="clear" w:pos="567"/>
                <w:tab w:val="decimal" w:pos="1100"/>
                <w:tab w:val="decimal" w:pos="3480"/>
              </w:tabs>
              <w:ind w:right="551"/>
              <w:jc w:val="right"/>
              <w:rPr>
                <w:sz w:val="20"/>
              </w:rPr>
            </w:pPr>
            <w:r>
              <w:rPr>
                <w:sz w:val="20"/>
              </w:rPr>
              <w:t>2.785</w:t>
            </w:r>
          </w:p>
        </w:tc>
      </w:tr>
      <w:tr>
        <w:trPr>
          <w:cantSplit/>
        </w:trPr>
        <w:tc>
          <w:tcPr>
            <w:tcW w:w="2173" w:type="dxa"/>
          </w:tcPr>
          <w:p>
            <w:pPr>
              <w:pStyle w:val="yTableNAm"/>
              <w:rPr>
                <w:sz w:val="20"/>
              </w:rPr>
            </w:pPr>
            <w:r>
              <w:rPr>
                <w:sz w:val="20"/>
              </w:rPr>
              <w:t>Bunbury</w:t>
            </w:r>
            <w:r>
              <w:rPr>
                <w:sz w:val="20"/>
              </w:rPr>
              <w:br/>
              <w:t>(1/07/10 Values)</w:t>
            </w:r>
          </w:p>
        </w:tc>
        <w:tc>
          <w:tcPr>
            <w:tcW w:w="2081" w:type="dxa"/>
          </w:tcPr>
          <w:p>
            <w:pPr>
              <w:pStyle w:val="yTableNAm"/>
              <w:tabs>
                <w:tab w:val="clear" w:pos="567"/>
                <w:tab w:val="decimal" w:pos="1100"/>
                <w:tab w:val="decimal" w:pos="3480"/>
              </w:tabs>
              <w:ind w:right="579"/>
              <w:jc w:val="right"/>
              <w:rPr>
                <w:sz w:val="20"/>
              </w:rPr>
            </w:pPr>
            <w:r>
              <w:rPr>
                <w:sz w:val="20"/>
              </w:rPr>
              <w:t>3.934</w:t>
            </w:r>
          </w:p>
        </w:tc>
        <w:tc>
          <w:tcPr>
            <w:tcW w:w="2174" w:type="dxa"/>
          </w:tcPr>
          <w:p>
            <w:pPr>
              <w:pStyle w:val="yTableNAm"/>
              <w:tabs>
                <w:tab w:val="clear" w:pos="567"/>
                <w:tab w:val="decimal" w:pos="1100"/>
                <w:tab w:val="decimal" w:pos="3480"/>
              </w:tabs>
              <w:ind w:right="551"/>
              <w:jc w:val="right"/>
              <w:rPr>
                <w:sz w:val="20"/>
              </w:rPr>
            </w:pPr>
            <w:r>
              <w:rPr>
                <w:sz w:val="20"/>
              </w:rPr>
              <w:t>1.881</w:t>
            </w:r>
          </w:p>
        </w:tc>
      </w:tr>
      <w:tr>
        <w:trPr>
          <w:cantSplit/>
        </w:trPr>
        <w:tc>
          <w:tcPr>
            <w:tcW w:w="2173" w:type="dxa"/>
          </w:tcPr>
          <w:p>
            <w:pPr>
              <w:pStyle w:val="yTableNAm"/>
              <w:rPr>
                <w:sz w:val="20"/>
              </w:rPr>
            </w:pPr>
            <w:r>
              <w:rPr>
                <w:sz w:val="20"/>
              </w:rPr>
              <w:t>Burekup</w:t>
            </w:r>
          </w:p>
        </w:tc>
        <w:tc>
          <w:tcPr>
            <w:tcW w:w="2081" w:type="dxa"/>
          </w:tcPr>
          <w:p>
            <w:pPr>
              <w:pStyle w:val="yTableNAm"/>
              <w:tabs>
                <w:tab w:val="clear" w:pos="567"/>
                <w:tab w:val="decimal" w:pos="1100"/>
                <w:tab w:val="decimal" w:pos="3480"/>
              </w:tabs>
              <w:ind w:right="579"/>
              <w:jc w:val="right"/>
              <w:rPr>
                <w:sz w:val="20"/>
              </w:rPr>
            </w:pPr>
            <w:r>
              <w:rPr>
                <w:sz w:val="20"/>
              </w:rPr>
              <w:t>8.711</w:t>
            </w:r>
          </w:p>
        </w:tc>
        <w:tc>
          <w:tcPr>
            <w:tcW w:w="2174" w:type="dxa"/>
          </w:tcPr>
          <w:p>
            <w:pPr>
              <w:pStyle w:val="yTableNAm"/>
              <w:tabs>
                <w:tab w:val="clear" w:pos="567"/>
                <w:tab w:val="decimal" w:pos="1100"/>
                <w:tab w:val="decimal" w:pos="3480"/>
              </w:tabs>
              <w:ind w:right="551"/>
              <w:jc w:val="right"/>
              <w:rPr>
                <w:sz w:val="20"/>
              </w:rPr>
            </w:pPr>
            <w:r>
              <w:rPr>
                <w:sz w:val="20"/>
              </w:rPr>
              <w:t>2.198</w:t>
            </w:r>
          </w:p>
        </w:tc>
      </w:tr>
      <w:tr>
        <w:trPr>
          <w:cantSplit/>
        </w:trPr>
        <w:tc>
          <w:tcPr>
            <w:tcW w:w="2173" w:type="dxa"/>
          </w:tcPr>
          <w:p>
            <w:pPr>
              <w:pStyle w:val="yTableNAm"/>
              <w:rPr>
                <w:sz w:val="20"/>
              </w:rPr>
            </w:pPr>
            <w:r>
              <w:rPr>
                <w:sz w:val="20"/>
              </w:rPr>
              <w:t>Busselton</w:t>
            </w:r>
          </w:p>
        </w:tc>
        <w:tc>
          <w:tcPr>
            <w:tcW w:w="2081" w:type="dxa"/>
          </w:tcPr>
          <w:p>
            <w:pPr>
              <w:pStyle w:val="yTableNAm"/>
              <w:tabs>
                <w:tab w:val="clear" w:pos="567"/>
                <w:tab w:val="decimal" w:pos="1100"/>
                <w:tab w:val="decimal" w:pos="3480"/>
              </w:tabs>
              <w:ind w:right="579"/>
              <w:jc w:val="right"/>
              <w:rPr>
                <w:sz w:val="20"/>
              </w:rPr>
            </w:pPr>
            <w:r>
              <w:rPr>
                <w:sz w:val="20"/>
              </w:rPr>
              <w:t>5.306</w:t>
            </w:r>
          </w:p>
        </w:tc>
        <w:tc>
          <w:tcPr>
            <w:tcW w:w="2174" w:type="dxa"/>
          </w:tcPr>
          <w:p>
            <w:pPr>
              <w:pStyle w:val="yTableNAm"/>
              <w:tabs>
                <w:tab w:val="clear" w:pos="567"/>
                <w:tab w:val="decimal" w:pos="1100"/>
                <w:tab w:val="decimal" w:pos="3480"/>
              </w:tabs>
              <w:ind w:right="551"/>
              <w:jc w:val="right"/>
              <w:rPr>
                <w:sz w:val="20"/>
              </w:rPr>
            </w:pPr>
            <w:r>
              <w:rPr>
                <w:sz w:val="20"/>
              </w:rPr>
              <w:t>3.367</w:t>
            </w:r>
          </w:p>
        </w:tc>
      </w:tr>
      <w:tr>
        <w:trPr>
          <w:cantSplit/>
        </w:trPr>
        <w:tc>
          <w:tcPr>
            <w:tcW w:w="2173" w:type="dxa"/>
          </w:tcPr>
          <w:p>
            <w:pPr>
              <w:pStyle w:val="yTableNAm"/>
              <w:rPr>
                <w:sz w:val="20"/>
              </w:rPr>
            </w:pPr>
            <w:r>
              <w:rPr>
                <w:sz w:val="20"/>
              </w:rPr>
              <w:t>Cape Burney</w:t>
            </w:r>
          </w:p>
        </w:tc>
        <w:tc>
          <w:tcPr>
            <w:tcW w:w="2081" w:type="dxa"/>
          </w:tcPr>
          <w:p>
            <w:pPr>
              <w:pStyle w:val="yTableNAm"/>
              <w:tabs>
                <w:tab w:val="clear" w:pos="567"/>
                <w:tab w:val="decimal" w:pos="1100"/>
                <w:tab w:val="decimal" w:pos="3480"/>
              </w:tabs>
              <w:ind w:right="579"/>
              <w:jc w:val="right"/>
              <w:rPr>
                <w:sz w:val="20"/>
              </w:rPr>
            </w:pPr>
            <w:r>
              <w:rPr>
                <w:sz w:val="20"/>
              </w:rPr>
              <w:t>8.103</w:t>
            </w:r>
          </w:p>
        </w:tc>
        <w:tc>
          <w:tcPr>
            <w:tcW w:w="2174" w:type="dxa"/>
          </w:tcPr>
          <w:p>
            <w:pPr>
              <w:pStyle w:val="yTableNAm"/>
              <w:tabs>
                <w:tab w:val="clear" w:pos="567"/>
                <w:tab w:val="decimal" w:pos="1100"/>
                <w:tab w:val="decimal" w:pos="3480"/>
              </w:tabs>
              <w:ind w:right="551"/>
              <w:jc w:val="right"/>
              <w:rPr>
                <w:sz w:val="20"/>
              </w:rPr>
            </w:pPr>
            <w:r>
              <w:rPr>
                <w:sz w:val="20"/>
              </w:rPr>
              <w:t>2.729</w:t>
            </w:r>
          </w:p>
        </w:tc>
      </w:tr>
      <w:tr>
        <w:trPr>
          <w:cantSplit/>
        </w:trPr>
        <w:tc>
          <w:tcPr>
            <w:tcW w:w="2173" w:type="dxa"/>
          </w:tcPr>
          <w:p>
            <w:pPr>
              <w:pStyle w:val="yTableNAm"/>
              <w:rPr>
                <w:sz w:val="20"/>
              </w:rPr>
            </w:pPr>
            <w:r>
              <w:rPr>
                <w:sz w:val="20"/>
              </w:rPr>
              <w:t>Capel</w:t>
            </w:r>
          </w:p>
        </w:tc>
        <w:tc>
          <w:tcPr>
            <w:tcW w:w="2081" w:type="dxa"/>
          </w:tcPr>
          <w:p>
            <w:pPr>
              <w:pStyle w:val="yTableNAm"/>
              <w:tabs>
                <w:tab w:val="clear" w:pos="567"/>
                <w:tab w:val="decimal" w:pos="1100"/>
                <w:tab w:val="decimal" w:pos="3480"/>
              </w:tabs>
              <w:ind w:right="579"/>
              <w:jc w:val="right"/>
              <w:rPr>
                <w:sz w:val="20"/>
              </w:rPr>
            </w:pPr>
            <w:r>
              <w:rPr>
                <w:sz w:val="20"/>
              </w:rPr>
              <w:t>11.188</w:t>
            </w:r>
          </w:p>
        </w:tc>
        <w:tc>
          <w:tcPr>
            <w:tcW w:w="2174" w:type="dxa"/>
          </w:tcPr>
          <w:p>
            <w:pPr>
              <w:pStyle w:val="yTableNAm"/>
              <w:tabs>
                <w:tab w:val="clear" w:pos="567"/>
                <w:tab w:val="decimal" w:pos="1100"/>
                <w:tab w:val="decimal" w:pos="3480"/>
              </w:tabs>
              <w:ind w:right="551"/>
              <w:jc w:val="right"/>
              <w:rPr>
                <w:sz w:val="20"/>
              </w:rPr>
            </w:pPr>
            <w:r>
              <w:rPr>
                <w:sz w:val="20"/>
              </w:rPr>
              <w:t>2.546</w:t>
            </w:r>
          </w:p>
        </w:tc>
      </w:tr>
      <w:tr>
        <w:trPr>
          <w:cantSplit/>
        </w:trPr>
        <w:tc>
          <w:tcPr>
            <w:tcW w:w="2173" w:type="dxa"/>
          </w:tcPr>
          <w:p>
            <w:pPr>
              <w:pStyle w:val="yTableNAm"/>
              <w:rPr>
                <w:sz w:val="20"/>
              </w:rPr>
            </w:pPr>
            <w:r>
              <w:rPr>
                <w:sz w:val="20"/>
              </w:rPr>
              <w:t>Carnarvon</w:t>
            </w:r>
          </w:p>
        </w:tc>
        <w:tc>
          <w:tcPr>
            <w:tcW w:w="2081" w:type="dxa"/>
          </w:tcPr>
          <w:p>
            <w:pPr>
              <w:pStyle w:val="yTableNAm"/>
              <w:tabs>
                <w:tab w:val="clear" w:pos="567"/>
                <w:tab w:val="decimal" w:pos="1100"/>
                <w:tab w:val="decimal" w:pos="3480"/>
              </w:tabs>
              <w:ind w:right="579"/>
              <w:jc w:val="right"/>
              <w:rPr>
                <w:sz w:val="20"/>
              </w:rPr>
            </w:pPr>
            <w:r>
              <w:rPr>
                <w:sz w:val="20"/>
              </w:rPr>
              <w:t>7.682</w:t>
            </w:r>
          </w:p>
        </w:tc>
        <w:tc>
          <w:tcPr>
            <w:tcW w:w="2174" w:type="dxa"/>
          </w:tcPr>
          <w:p>
            <w:pPr>
              <w:pStyle w:val="yTableNAm"/>
              <w:tabs>
                <w:tab w:val="clear" w:pos="567"/>
                <w:tab w:val="decimal" w:pos="1100"/>
                <w:tab w:val="decimal" w:pos="3480"/>
              </w:tabs>
              <w:ind w:right="551"/>
              <w:jc w:val="right"/>
              <w:rPr>
                <w:sz w:val="20"/>
              </w:rPr>
            </w:pPr>
            <w:r>
              <w:rPr>
                <w:sz w:val="20"/>
              </w:rPr>
              <w:t>4.345</w:t>
            </w:r>
          </w:p>
        </w:tc>
      </w:tr>
      <w:tr>
        <w:trPr>
          <w:cantSplit/>
        </w:trPr>
        <w:tc>
          <w:tcPr>
            <w:tcW w:w="2173" w:type="dxa"/>
          </w:tcPr>
          <w:p>
            <w:pPr>
              <w:pStyle w:val="yTableNAm"/>
              <w:rPr>
                <w:sz w:val="20"/>
              </w:rPr>
            </w:pPr>
            <w:r>
              <w:rPr>
                <w:sz w:val="20"/>
              </w:rPr>
              <w:t>Cervantes</w:t>
            </w:r>
          </w:p>
        </w:tc>
        <w:tc>
          <w:tcPr>
            <w:tcW w:w="2081" w:type="dxa"/>
          </w:tcPr>
          <w:p>
            <w:pPr>
              <w:pStyle w:val="yTableNAm"/>
              <w:tabs>
                <w:tab w:val="clear" w:pos="567"/>
                <w:tab w:val="decimal" w:pos="1100"/>
                <w:tab w:val="decimal" w:pos="3480"/>
              </w:tabs>
              <w:ind w:right="579"/>
              <w:jc w:val="right"/>
              <w:rPr>
                <w:sz w:val="20"/>
              </w:rPr>
            </w:pPr>
            <w:r>
              <w:rPr>
                <w:sz w:val="20"/>
              </w:rPr>
              <w:t>9.863</w:t>
            </w:r>
          </w:p>
        </w:tc>
        <w:tc>
          <w:tcPr>
            <w:tcW w:w="2174" w:type="dxa"/>
          </w:tcPr>
          <w:p>
            <w:pPr>
              <w:pStyle w:val="yTableNAm"/>
              <w:tabs>
                <w:tab w:val="clear" w:pos="567"/>
                <w:tab w:val="decimal" w:pos="1100"/>
                <w:tab w:val="decimal" w:pos="3480"/>
              </w:tabs>
              <w:ind w:right="551"/>
              <w:jc w:val="right"/>
              <w:rPr>
                <w:sz w:val="20"/>
              </w:rPr>
            </w:pPr>
            <w:r>
              <w:rPr>
                <w:sz w:val="20"/>
              </w:rPr>
              <w:t>1.373</w:t>
            </w:r>
          </w:p>
        </w:tc>
      </w:tr>
      <w:tr>
        <w:trPr>
          <w:cantSplit/>
        </w:trPr>
        <w:tc>
          <w:tcPr>
            <w:tcW w:w="2173" w:type="dxa"/>
          </w:tcPr>
          <w:p>
            <w:pPr>
              <w:pStyle w:val="yTableNAm"/>
              <w:rPr>
                <w:sz w:val="20"/>
              </w:rPr>
            </w:pPr>
            <w:r>
              <w:rPr>
                <w:sz w:val="20"/>
              </w:rPr>
              <w:t>Collie</w:t>
            </w:r>
          </w:p>
        </w:tc>
        <w:tc>
          <w:tcPr>
            <w:tcW w:w="2081" w:type="dxa"/>
          </w:tcPr>
          <w:p>
            <w:pPr>
              <w:pStyle w:val="yTableNAm"/>
              <w:tabs>
                <w:tab w:val="clear" w:pos="567"/>
                <w:tab w:val="decimal" w:pos="1100"/>
                <w:tab w:val="decimal" w:pos="3480"/>
              </w:tabs>
              <w:ind w:right="579"/>
              <w:jc w:val="right"/>
              <w:rPr>
                <w:sz w:val="20"/>
              </w:rPr>
            </w:pPr>
            <w:r>
              <w:rPr>
                <w:sz w:val="20"/>
              </w:rPr>
              <w:t>8.843</w:t>
            </w:r>
          </w:p>
        </w:tc>
        <w:tc>
          <w:tcPr>
            <w:tcW w:w="2174" w:type="dxa"/>
          </w:tcPr>
          <w:p>
            <w:pPr>
              <w:pStyle w:val="yTableNAm"/>
              <w:tabs>
                <w:tab w:val="clear" w:pos="567"/>
                <w:tab w:val="decimal" w:pos="1100"/>
                <w:tab w:val="decimal" w:pos="3480"/>
              </w:tabs>
              <w:ind w:right="551"/>
              <w:jc w:val="right"/>
              <w:rPr>
                <w:sz w:val="20"/>
              </w:rPr>
            </w:pPr>
            <w:r>
              <w:rPr>
                <w:sz w:val="20"/>
              </w:rPr>
              <w:t>4.766</w:t>
            </w:r>
          </w:p>
        </w:tc>
      </w:tr>
      <w:tr>
        <w:trPr>
          <w:cantSplit/>
        </w:trPr>
        <w:tc>
          <w:tcPr>
            <w:tcW w:w="2173" w:type="dxa"/>
          </w:tcPr>
          <w:p>
            <w:pPr>
              <w:pStyle w:val="yTableNAm"/>
              <w:rPr>
                <w:sz w:val="20"/>
              </w:rPr>
            </w:pPr>
            <w:r>
              <w:rPr>
                <w:sz w:val="20"/>
              </w:rPr>
              <w:t>Coral Bay</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Corrigin</w:t>
            </w:r>
          </w:p>
        </w:tc>
        <w:tc>
          <w:tcPr>
            <w:tcW w:w="2081" w:type="dxa"/>
          </w:tcPr>
          <w:p>
            <w:pPr>
              <w:pStyle w:val="yTableNAm"/>
              <w:tabs>
                <w:tab w:val="clear" w:pos="567"/>
                <w:tab w:val="decimal" w:pos="1100"/>
                <w:tab w:val="decimal" w:pos="3480"/>
              </w:tabs>
              <w:ind w:right="579"/>
              <w:jc w:val="right"/>
              <w:rPr>
                <w:sz w:val="20"/>
              </w:rPr>
            </w:pPr>
            <w:r>
              <w:rPr>
                <w:sz w:val="20"/>
              </w:rPr>
              <w:t>8.476</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Cowaramup</w:t>
            </w:r>
          </w:p>
        </w:tc>
        <w:tc>
          <w:tcPr>
            <w:tcW w:w="2081" w:type="dxa"/>
          </w:tcPr>
          <w:p>
            <w:pPr>
              <w:pStyle w:val="yTableNAm"/>
              <w:tabs>
                <w:tab w:val="clear" w:pos="567"/>
                <w:tab w:val="decimal" w:pos="1100"/>
                <w:tab w:val="decimal" w:pos="3480"/>
              </w:tabs>
              <w:ind w:right="579"/>
              <w:jc w:val="right"/>
              <w:rPr>
                <w:sz w:val="20"/>
              </w:rPr>
            </w:pPr>
            <w:r>
              <w:rPr>
                <w:sz w:val="20"/>
              </w:rPr>
              <w:t>10.927</w:t>
            </w:r>
          </w:p>
        </w:tc>
        <w:tc>
          <w:tcPr>
            <w:tcW w:w="2174" w:type="dxa"/>
          </w:tcPr>
          <w:p>
            <w:pPr>
              <w:pStyle w:val="yTableNAm"/>
              <w:tabs>
                <w:tab w:val="clear" w:pos="567"/>
                <w:tab w:val="decimal" w:pos="1100"/>
                <w:tab w:val="decimal" w:pos="3480"/>
              </w:tabs>
              <w:ind w:right="551"/>
              <w:jc w:val="right"/>
              <w:rPr>
                <w:sz w:val="20"/>
              </w:rPr>
            </w:pPr>
            <w:r>
              <w:rPr>
                <w:sz w:val="20"/>
              </w:rPr>
              <w:t>3.572</w:t>
            </w:r>
          </w:p>
        </w:tc>
      </w:tr>
      <w:tr>
        <w:trPr>
          <w:cantSplit/>
        </w:trPr>
        <w:tc>
          <w:tcPr>
            <w:tcW w:w="2173" w:type="dxa"/>
          </w:tcPr>
          <w:p>
            <w:pPr>
              <w:pStyle w:val="yTableNAm"/>
              <w:rPr>
                <w:sz w:val="20"/>
              </w:rPr>
            </w:pPr>
            <w:r>
              <w:rPr>
                <w:sz w:val="20"/>
              </w:rPr>
              <w:t>Cranbrook</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Cunderdin</w:t>
            </w:r>
          </w:p>
        </w:tc>
        <w:tc>
          <w:tcPr>
            <w:tcW w:w="2081" w:type="dxa"/>
          </w:tcPr>
          <w:p>
            <w:pPr>
              <w:pStyle w:val="yTableNAm"/>
              <w:tabs>
                <w:tab w:val="clear" w:pos="567"/>
                <w:tab w:val="decimal" w:pos="1100"/>
                <w:tab w:val="decimal" w:pos="3480"/>
              </w:tabs>
              <w:ind w:right="579"/>
              <w:jc w:val="right"/>
              <w:rPr>
                <w:sz w:val="20"/>
              </w:rPr>
            </w:pPr>
            <w:r>
              <w:rPr>
                <w:sz w:val="20"/>
              </w:rPr>
              <w:t>11.178</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Dardanup</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5.067</w:t>
            </w:r>
          </w:p>
        </w:tc>
      </w:tr>
      <w:tr>
        <w:trPr>
          <w:cantSplit/>
        </w:trPr>
        <w:tc>
          <w:tcPr>
            <w:tcW w:w="2173" w:type="dxa"/>
          </w:tcPr>
          <w:p>
            <w:pPr>
              <w:pStyle w:val="yTableNAm"/>
              <w:rPr>
                <w:sz w:val="20"/>
              </w:rPr>
            </w:pPr>
            <w:r>
              <w:rPr>
                <w:sz w:val="20"/>
              </w:rPr>
              <w:t>Denham</w:t>
            </w:r>
          </w:p>
        </w:tc>
        <w:tc>
          <w:tcPr>
            <w:tcW w:w="2081" w:type="dxa"/>
          </w:tcPr>
          <w:p>
            <w:pPr>
              <w:pStyle w:val="yTableNAm"/>
              <w:tabs>
                <w:tab w:val="clear" w:pos="567"/>
                <w:tab w:val="decimal" w:pos="1100"/>
                <w:tab w:val="decimal" w:pos="3480"/>
              </w:tabs>
              <w:ind w:right="579"/>
              <w:jc w:val="right"/>
              <w:rPr>
                <w:sz w:val="20"/>
              </w:rPr>
            </w:pPr>
            <w:r>
              <w:rPr>
                <w:sz w:val="20"/>
              </w:rPr>
              <w:t>11.683</w:t>
            </w:r>
          </w:p>
        </w:tc>
        <w:tc>
          <w:tcPr>
            <w:tcW w:w="2174" w:type="dxa"/>
          </w:tcPr>
          <w:p>
            <w:pPr>
              <w:pStyle w:val="yTableNAm"/>
              <w:tabs>
                <w:tab w:val="clear" w:pos="567"/>
                <w:tab w:val="decimal" w:pos="1100"/>
                <w:tab w:val="decimal" w:pos="3480"/>
              </w:tabs>
              <w:ind w:right="551"/>
              <w:jc w:val="right"/>
              <w:rPr>
                <w:sz w:val="20"/>
              </w:rPr>
            </w:pPr>
            <w:r>
              <w:rPr>
                <w:sz w:val="20"/>
              </w:rPr>
              <w:t>4.812</w:t>
            </w:r>
          </w:p>
        </w:tc>
      </w:tr>
      <w:tr>
        <w:trPr>
          <w:cantSplit/>
        </w:trPr>
        <w:tc>
          <w:tcPr>
            <w:tcW w:w="2173" w:type="dxa"/>
          </w:tcPr>
          <w:p>
            <w:pPr>
              <w:pStyle w:val="yTableNAm"/>
              <w:rPr>
                <w:sz w:val="20"/>
              </w:rPr>
            </w:pPr>
            <w:r>
              <w:rPr>
                <w:sz w:val="20"/>
              </w:rPr>
              <w:t>Denmark</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4.161</w:t>
            </w:r>
          </w:p>
        </w:tc>
      </w:tr>
      <w:tr>
        <w:trPr>
          <w:cantSplit/>
        </w:trPr>
        <w:tc>
          <w:tcPr>
            <w:tcW w:w="2173" w:type="dxa"/>
          </w:tcPr>
          <w:p>
            <w:pPr>
              <w:pStyle w:val="yTableNAm"/>
              <w:rPr>
                <w:sz w:val="20"/>
              </w:rPr>
            </w:pPr>
            <w:r>
              <w:rPr>
                <w:sz w:val="20"/>
              </w:rPr>
              <w:t>Derby</w:t>
            </w:r>
          </w:p>
        </w:tc>
        <w:tc>
          <w:tcPr>
            <w:tcW w:w="2081" w:type="dxa"/>
          </w:tcPr>
          <w:p>
            <w:pPr>
              <w:pStyle w:val="yTableNAm"/>
              <w:tabs>
                <w:tab w:val="clear" w:pos="567"/>
                <w:tab w:val="decimal" w:pos="1100"/>
                <w:tab w:val="decimal" w:pos="3480"/>
              </w:tabs>
              <w:ind w:right="579"/>
              <w:jc w:val="right"/>
              <w:rPr>
                <w:sz w:val="20"/>
              </w:rPr>
            </w:pPr>
            <w:r>
              <w:rPr>
                <w:sz w:val="20"/>
              </w:rPr>
              <w:t>7.758</w:t>
            </w:r>
          </w:p>
        </w:tc>
        <w:tc>
          <w:tcPr>
            <w:tcW w:w="2174" w:type="dxa"/>
          </w:tcPr>
          <w:p>
            <w:pPr>
              <w:pStyle w:val="yTableNAm"/>
              <w:tabs>
                <w:tab w:val="clear" w:pos="567"/>
                <w:tab w:val="decimal" w:pos="1100"/>
                <w:tab w:val="decimal" w:pos="3480"/>
              </w:tabs>
              <w:ind w:right="551"/>
              <w:jc w:val="right"/>
              <w:rPr>
                <w:sz w:val="20"/>
              </w:rPr>
            </w:pPr>
            <w:r>
              <w:rPr>
                <w:sz w:val="20"/>
              </w:rPr>
              <w:t>11.382</w:t>
            </w:r>
          </w:p>
        </w:tc>
      </w:tr>
      <w:tr>
        <w:trPr>
          <w:cantSplit/>
        </w:trPr>
        <w:tc>
          <w:tcPr>
            <w:tcW w:w="2173" w:type="dxa"/>
          </w:tcPr>
          <w:p>
            <w:pPr>
              <w:pStyle w:val="yTableNAm"/>
              <w:rPr>
                <w:sz w:val="20"/>
              </w:rPr>
            </w:pPr>
            <w:r>
              <w:rPr>
                <w:sz w:val="20"/>
              </w:rPr>
              <w:t>Dongara</w:t>
            </w:r>
            <w:r>
              <w:rPr>
                <w:sz w:val="20"/>
              </w:rPr>
              <w:noBreakHyphen/>
              <w:t>Denison</w:t>
            </w:r>
          </w:p>
        </w:tc>
        <w:tc>
          <w:tcPr>
            <w:tcW w:w="2081" w:type="dxa"/>
          </w:tcPr>
          <w:p>
            <w:pPr>
              <w:pStyle w:val="yTableNAm"/>
              <w:tabs>
                <w:tab w:val="clear" w:pos="567"/>
                <w:tab w:val="decimal" w:pos="1100"/>
                <w:tab w:val="decimal" w:pos="3480"/>
              </w:tabs>
              <w:ind w:right="579"/>
              <w:jc w:val="right"/>
              <w:rPr>
                <w:sz w:val="20"/>
              </w:rPr>
            </w:pPr>
            <w:r>
              <w:rPr>
                <w:sz w:val="20"/>
              </w:rPr>
              <w:t>10.807</w:t>
            </w:r>
          </w:p>
        </w:tc>
        <w:tc>
          <w:tcPr>
            <w:tcW w:w="2174" w:type="dxa"/>
          </w:tcPr>
          <w:p>
            <w:pPr>
              <w:pStyle w:val="yTableNAm"/>
              <w:tabs>
                <w:tab w:val="clear" w:pos="567"/>
                <w:tab w:val="decimal" w:pos="1100"/>
                <w:tab w:val="decimal" w:pos="3480"/>
              </w:tabs>
              <w:ind w:right="551"/>
              <w:jc w:val="right"/>
              <w:rPr>
                <w:sz w:val="20"/>
              </w:rPr>
            </w:pPr>
            <w:r>
              <w:rPr>
                <w:sz w:val="20"/>
              </w:rPr>
              <w:t>2.312</w:t>
            </w:r>
          </w:p>
        </w:tc>
      </w:tr>
      <w:tr>
        <w:trPr>
          <w:cantSplit/>
        </w:trPr>
        <w:tc>
          <w:tcPr>
            <w:tcW w:w="2173" w:type="dxa"/>
          </w:tcPr>
          <w:p>
            <w:pPr>
              <w:pStyle w:val="yTableNAm"/>
              <w:rPr>
                <w:sz w:val="20"/>
              </w:rPr>
            </w:pPr>
            <w:r>
              <w:rPr>
                <w:sz w:val="20"/>
              </w:rPr>
              <w:t>Donnybrook</w:t>
            </w:r>
          </w:p>
        </w:tc>
        <w:tc>
          <w:tcPr>
            <w:tcW w:w="2081" w:type="dxa"/>
          </w:tcPr>
          <w:p>
            <w:pPr>
              <w:pStyle w:val="yTableNAm"/>
              <w:tabs>
                <w:tab w:val="clear" w:pos="567"/>
                <w:tab w:val="decimal" w:pos="1100"/>
                <w:tab w:val="decimal" w:pos="3480"/>
              </w:tabs>
              <w:ind w:right="579"/>
              <w:jc w:val="right"/>
              <w:rPr>
                <w:sz w:val="20"/>
              </w:rPr>
            </w:pPr>
            <w:r>
              <w:rPr>
                <w:sz w:val="20"/>
              </w:rPr>
              <w:t>8.454</w:t>
            </w:r>
          </w:p>
        </w:tc>
        <w:tc>
          <w:tcPr>
            <w:tcW w:w="2174" w:type="dxa"/>
          </w:tcPr>
          <w:p>
            <w:pPr>
              <w:pStyle w:val="yTableNAm"/>
              <w:tabs>
                <w:tab w:val="clear" w:pos="567"/>
                <w:tab w:val="decimal" w:pos="1100"/>
                <w:tab w:val="decimal" w:pos="3480"/>
              </w:tabs>
              <w:ind w:right="551"/>
              <w:jc w:val="right"/>
              <w:rPr>
                <w:sz w:val="20"/>
              </w:rPr>
            </w:pPr>
            <w:r>
              <w:rPr>
                <w:sz w:val="20"/>
              </w:rPr>
              <w:t>3.229</w:t>
            </w:r>
          </w:p>
        </w:tc>
      </w:tr>
      <w:tr>
        <w:trPr>
          <w:cantSplit/>
        </w:trPr>
        <w:tc>
          <w:tcPr>
            <w:tcW w:w="2173" w:type="dxa"/>
          </w:tcPr>
          <w:p>
            <w:pPr>
              <w:pStyle w:val="yTableNAm"/>
              <w:rPr>
                <w:sz w:val="20"/>
              </w:rPr>
            </w:pPr>
            <w:r>
              <w:rPr>
                <w:sz w:val="20"/>
              </w:rPr>
              <w:t>Dunsborough</w:t>
            </w:r>
          </w:p>
        </w:tc>
        <w:tc>
          <w:tcPr>
            <w:tcW w:w="2081" w:type="dxa"/>
          </w:tcPr>
          <w:p>
            <w:pPr>
              <w:pStyle w:val="yTableNAm"/>
              <w:tabs>
                <w:tab w:val="clear" w:pos="567"/>
                <w:tab w:val="decimal" w:pos="1100"/>
                <w:tab w:val="decimal" w:pos="3480"/>
              </w:tabs>
              <w:ind w:right="579"/>
              <w:jc w:val="right"/>
              <w:rPr>
                <w:sz w:val="20"/>
              </w:rPr>
            </w:pPr>
            <w:r>
              <w:rPr>
                <w:sz w:val="20"/>
              </w:rPr>
              <w:t>6.602</w:t>
            </w:r>
          </w:p>
        </w:tc>
        <w:tc>
          <w:tcPr>
            <w:tcW w:w="2174" w:type="dxa"/>
          </w:tcPr>
          <w:p>
            <w:pPr>
              <w:pStyle w:val="yTableNAm"/>
              <w:tabs>
                <w:tab w:val="clear" w:pos="567"/>
                <w:tab w:val="decimal" w:pos="1100"/>
                <w:tab w:val="decimal" w:pos="3480"/>
              </w:tabs>
              <w:ind w:right="551"/>
              <w:jc w:val="right"/>
              <w:rPr>
                <w:sz w:val="20"/>
              </w:rPr>
            </w:pPr>
            <w:r>
              <w:rPr>
                <w:sz w:val="20"/>
              </w:rPr>
              <w:t>2.701</w:t>
            </w:r>
          </w:p>
        </w:tc>
      </w:tr>
      <w:tr>
        <w:trPr>
          <w:cantSplit/>
        </w:trPr>
        <w:tc>
          <w:tcPr>
            <w:tcW w:w="2173" w:type="dxa"/>
          </w:tcPr>
          <w:p>
            <w:pPr>
              <w:pStyle w:val="yTableNAm"/>
              <w:rPr>
                <w:sz w:val="20"/>
              </w:rPr>
            </w:pPr>
            <w:r>
              <w:rPr>
                <w:sz w:val="20"/>
              </w:rPr>
              <w:t>Eaton</w:t>
            </w:r>
            <w:r>
              <w:rPr>
                <w:sz w:val="20"/>
              </w:rPr>
              <w:br/>
              <w:t>(1/07/07 Values)</w:t>
            </w:r>
          </w:p>
        </w:tc>
        <w:tc>
          <w:tcPr>
            <w:tcW w:w="2081" w:type="dxa"/>
          </w:tcPr>
          <w:p>
            <w:pPr>
              <w:pStyle w:val="yTableNAm"/>
              <w:tabs>
                <w:tab w:val="clear" w:pos="567"/>
                <w:tab w:val="decimal" w:pos="1100"/>
                <w:tab w:val="decimal" w:pos="3480"/>
              </w:tabs>
              <w:ind w:right="579"/>
              <w:jc w:val="right"/>
              <w:rPr>
                <w:sz w:val="20"/>
              </w:rPr>
            </w:pPr>
            <w:r>
              <w:rPr>
                <w:sz w:val="20"/>
              </w:rPr>
              <w:t>8.858</w:t>
            </w:r>
          </w:p>
        </w:tc>
        <w:tc>
          <w:tcPr>
            <w:tcW w:w="2174" w:type="dxa"/>
          </w:tcPr>
          <w:p>
            <w:pPr>
              <w:pStyle w:val="yTableNAm"/>
              <w:tabs>
                <w:tab w:val="clear" w:pos="567"/>
                <w:tab w:val="decimal" w:pos="1100"/>
                <w:tab w:val="decimal" w:pos="3480"/>
              </w:tabs>
              <w:ind w:right="551"/>
              <w:jc w:val="right"/>
              <w:rPr>
                <w:sz w:val="20"/>
              </w:rPr>
            </w:pPr>
            <w:r>
              <w:rPr>
                <w:sz w:val="20"/>
              </w:rPr>
              <w:t>3.021</w:t>
            </w:r>
          </w:p>
        </w:tc>
      </w:tr>
      <w:tr>
        <w:trPr>
          <w:cantSplit/>
        </w:trPr>
        <w:tc>
          <w:tcPr>
            <w:tcW w:w="2173" w:type="dxa"/>
          </w:tcPr>
          <w:p>
            <w:pPr>
              <w:pStyle w:val="yTableNAm"/>
              <w:rPr>
                <w:sz w:val="20"/>
              </w:rPr>
            </w:pPr>
            <w:r>
              <w:rPr>
                <w:sz w:val="20"/>
              </w:rPr>
              <w:t>Eaton</w:t>
            </w:r>
            <w:r>
              <w:rPr>
                <w:sz w:val="20"/>
              </w:rPr>
              <w:br/>
              <w:t>(1/07/08 Values)</w:t>
            </w:r>
          </w:p>
        </w:tc>
        <w:tc>
          <w:tcPr>
            <w:tcW w:w="2081" w:type="dxa"/>
          </w:tcPr>
          <w:p>
            <w:pPr>
              <w:pStyle w:val="yTableNAm"/>
              <w:tabs>
                <w:tab w:val="clear" w:pos="567"/>
                <w:tab w:val="decimal" w:pos="1100"/>
                <w:tab w:val="decimal" w:pos="3480"/>
              </w:tabs>
              <w:ind w:right="579"/>
              <w:jc w:val="right"/>
              <w:rPr>
                <w:sz w:val="20"/>
              </w:rPr>
            </w:pPr>
            <w:r>
              <w:rPr>
                <w:sz w:val="20"/>
              </w:rPr>
              <w:t>8.159</w:t>
            </w:r>
          </w:p>
        </w:tc>
        <w:tc>
          <w:tcPr>
            <w:tcW w:w="2174" w:type="dxa"/>
          </w:tcPr>
          <w:p>
            <w:pPr>
              <w:pStyle w:val="yTableNAm"/>
              <w:tabs>
                <w:tab w:val="clear" w:pos="567"/>
                <w:tab w:val="decimal" w:pos="1100"/>
                <w:tab w:val="decimal" w:pos="3480"/>
              </w:tabs>
              <w:ind w:right="551"/>
              <w:jc w:val="right"/>
              <w:rPr>
                <w:sz w:val="20"/>
              </w:rPr>
            </w:pPr>
            <w:r>
              <w:rPr>
                <w:sz w:val="20"/>
              </w:rPr>
              <w:t>2.079</w:t>
            </w:r>
          </w:p>
        </w:tc>
      </w:tr>
      <w:tr>
        <w:trPr>
          <w:cantSplit/>
        </w:trPr>
        <w:tc>
          <w:tcPr>
            <w:tcW w:w="2173" w:type="dxa"/>
          </w:tcPr>
          <w:p>
            <w:pPr>
              <w:pStyle w:val="yTableNAm"/>
              <w:rPr>
                <w:sz w:val="20"/>
              </w:rPr>
            </w:pPr>
            <w:r>
              <w:rPr>
                <w:sz w:val="20"/>
              </w:rPr>
              <w:t>Eneabba</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Esperance</w:t>
            </w:r>
          </w:p>
        </w:tc>
        <w:tc>
          <w:tcPr>
            <w:tcW w:w="2081" w:type="dxa"/>
          </w:tcPr>
          <w:p>
            <w:pPr>
              <w:pStyle w:val="yTableNAm"/>
              <w:tabs>
                <w:tab w:val="clear" w:pos="567"/>
                <w:tab w:val="decimal" w:pos="1100"/>
                <w:tab w:val="decimal" w:pos="3480"/>
              </w:tabs>
              <w:ind w:right="579"/>
              <w:jc w:val="right"/>
              <w:rPr>
                <w:sz w:val="20"/>
              </w:rPr>
            </w:pPr>
            <w:r>
              <w:rPr>
                <w:sz w:val="20"/>
              </w:rPr>
              <w:t>6.410</w:t>
            </w:r>
          </w:p>
        </w:tc>
        <w:tc>
          <w:tcPr>
            <w:tcW w:w="2174" w:type="dxa"/>
          </w:tcPr>
          <w:p>
            <w:pPr>
              <w:pStyle w:val="yTableNAm"/>
              <w:tabs>
                <w:tab w:val="clear" w:pos="567"/>
                <w:tab w:val="decimal" w:pos="1100"/>
                <w:tab w:val="decimal" w:pos="3480"/>
              </w:tabs>
              <w:ind w:right="551"/>
              <w:jc w:val="right"/>
              <w:rPr>
                <w:sz w:val="20"/>
              </w:rPr>
            </w:pPr>
            <w:r>
              <w:rPr>
                <w:sz w:val="20"/>
              </w:rPr>
              <w:t>3.497</w:t>
            </w:r>
          </w:p>
        </w:tc>
      </w:tr>
      <w:tr>
        <w:trPr>
          <w:cantSplit/>
        </w:trPr>
        <w:tc>
          <w:tcPr>
            <w:tcW w:w="2173" w:type="dxa"/>
          </w:tcPr>
          <w:p>
            <w:pPr>
              <w:pStyle w:val="yTableNAm"/>
              <w:rPr>
                <w:sz w:val="20"/>
              </w:rPr>
            </w:pPr>
            <w:r>
              <w:rPr>
                <w:sz w:val="20"/>
              </w:rPr>
              <w:t>Exmouth</w:t>
            </w:r>
          </w:p>
        </w:tc>
        <w:tc>
          <w:tcPr>
            <w:tcW w:w="2081" w:type="dxa"/>
          </w:tcPr>
          <w:p>
            <w:pPr>
              <w:pStyle w:val="yTableNAm"/>
              <w:tabs>
                <w:tab w:val="clear" w:pos="567"/>
                <w:tab w:val="decimal" w:pos="1100"/>
                <w:tab w:val="decimal" w:pos="3480"/>
              </w:tabs>
              <w:ind w:right="579"/>
              <w:jc w:val="right"/>
              <w:rPr>
                <w:sz w:val="20"/>
              </w:rPr>
            </w:pPr>
            <w:r>
              <w:rPr>
                <w:sz w:val="20"/>
              </w:rPr>
              <w:t>3.607</w:t>
            </w:r>
          </w:p>
        </w:tc>
        <w:tc>
          <w:tcPr>
            <w:tcW w:w="2174" w:type="dxa"/>
          </w:tcPr>
          <w:p>
            <w:pPr>
              <w:pStyle w:val="yTableNAm"/>
              <w:tabs>
                <w:tab w:val="clear" w:pos="567"/>
                <w:tab w:val="decimal" w:pos="1100"/>
                <w:tab w:val="decimal" w:pos="3480"/>
              </w:tabs>
              <w:ind w:right="551"/>
              <w:jc w:val="right"/>
              <w:rPr>
                <w:sz w:val="20"/>
              </w:rPr>
            </w:pPr>
            <w:r>
              <w:rPr>
                <w:sz w:val="20"/>
              </w:rPr>
              <w:t>1.441</w:t>
            </w:r>
          </w:p>
        </w:tc>
      </w:tr>
      <w:tr>
        <w:trPr>
          <w:cantSplit/>
        </w:trPr>
        <w:tc>
          <w:tcPr>
            <w:tcW w:w="2173" w:type="dxa"/>
          </w:tcPr>
          <w:p>
            <w:pPr>
              <w:pStyle w:val="yTableNAm"/>
              <w:rPr>
                <w:sz w:val="20"/>
              </w:rPr>
            </w:pPr>
            <w:r>
              <w:rPr>
                <w:sz w:val="20"/>
              </w:rPr>
              <w:t>Fitzroy Crossing</w:t>
            </w:r>
          </w:p>
        </w:tc>
        <w:tc>
          <w:tcPr>
            <w:tcW w:w="2081" w:type="dxa"/>
          </w:tcPr>
          <w:p>
            <w:pPr>
              <w:pStyle w:val="yTableNAm"/>
              <w:tabs>
                <w:tab w:val="clear" w:pos="567"/>
                <w:tab w:val="decimal" w:pos="1100"/>
                <w:tab w:val="decimal" w:pos="3480"/>
              </w:tabs>
              <w:ind w:right="579"/>
              <w:jc w:val="right"/>
              <w:rPr>
                <w:sz w:val="20"/>
              </w:rPr>
            </w:pPr>
            <w:r>
              <w:rPr>
                <w:sz w:val="20"/>
              </w:rPr>
              <w:t>10.065</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Geraldton</w:t>
            </w:r>
          </w:p>
        </w:tc>
        <w:tc>
          <w:tcPr>
            <w:tcW w:w="2081" w:type="dxa"/>
          </w:tcPr>
          <w:p>
            <w:pPr>
              <w:pStyle w:val="yTableNAm"/>
              <w:tabs>
                <w:tab w:val="clear" w:pos="567"/>
                <w:tab w:val="decimal" w:pos="1100"/>
                <w:tab w:val="decimal" w:pos="3480"/>
              </w:tabs>
              <w:ind w:right="579"/>
              <w:jc w:val="right"/>
              <w:rPr>
                <w:sz w:val="20"/>
              </w:rPr>
            </w:pPr>
            <w:r>
              <w:rPr>
                <w:sz w:val="20"/>
              </w:rPr>
              <w:t>6.427</w:t>
            </w:r>
          </w:p>
        </w:tc>
        <w:tc>
          <w:tcPr>
            <w:tcW w:w="2174" w:type="dxa"/>
          </w:tcPr>
          <w:p>
            <w:pPr>
              <w:pStyle w:val="yTableNAm"/>
              <w:tabs>
                <w:tab w:val="clear" w:pos="567"/>
                <w:tab w:val="decimal" w:pos="1100"/>
                <w:tab w:val="decimal" w:pos="3480"/>
              </w:tabs>
              <w:ind w:right="551"/>
              <w:jc w:val="right"/>
              <w:rPr>
                <w:sz w:val="20"/>
              </w:rPr>
            </w:pPr>
            <w:r>
              <w:rPr>
                <w:sz w:val="20"/>
              </w:rPr>
              <w:t>2.893</w:t>
            </w:r>
          </w:p>
        </w:tc>
      </w:tr>
      <w:tr>
        <w:trPr>
          <w:cantSplit/>
        </w:trPr>
        <w:tc>
          <w:tcPr>
            <w:tcW w:w="2173" w:type="dxa"/>
          </w:tcPr>
          <w:p>
            <w:pPr>
              <w:pStyle w:val="yTableNAm"/>
              <w:rPr>
                <w:sz w:val="20"/>
              </w:rPr>
            </w:pPr>
            <w:r>
              <w:rPr>
                <w:sz w:val="20"/>
              </w:rPr>
              <w:t>Gnarabup</w:t>
            </w:r>
          </w:p>
        </w:tc>
        <w:tc>
          <w:tcPr>
            <w:tcW w:w="2081" w:type="dxa"/>
          </w:tcPr>
          <w:p>
            <w:pPr>
              <w:pStyle w:val="yTableNAm"/>
              <w:tabs>
                <w:tab w:val="clear" w:pos="567"/>
                <w:tab w:val="decimal" w:pos="1100"/>
                <w:tab w:val="decimal" w:pos="3480"/>
              </w:tabs>
              <w:ind w:right="579"/>
              <w:jc w:val="right"/>
              <w:rPr>
                <w:sz w:val="20"/>
              </w:rPr>
            </w:pPr>
            <w:r>
              <w:rPr>
                <w:sz w:val="20"/>
              </w:rPr>
              <w:t>5.942</w:t>
            </w:r>
          </w:p>
        </w:tc>
        <w:tc>
          <w:tcPr>
            <w:tcW w:w="2174" w:type="dxa"/>
          </w:tcPr>
          <w:p>
            <w:pPr>
              <w:pStyle w:val="yTableNAm"/>
              <w:tabs>
                <w:tab w:val="clear" w:pos="567"/>
                <w:tab w:val="decimal" w:pos="1100"/>
                <w:tab w:val="decimal" w:pos="3480"/>
              </w:tabs>
              <w:ind w:right="551"/>
              <w:jc w:val="right"/>
              <w:rPr>
                <w:sz w:val="20"/>
              </w:rPr>
            </w:pPr>
            <w:r>
              <w:rPr>
                <w:sz w:val="20"/>
              </w:rPr>
              <w:t>2.766</w:t>
            </w:r>
          </w:p>
        </w:tc>
      </w:tr>
      <w:tr>
        <w:trPr>
          <w:cantSplit/>
        </w:trPr>
        <w:tc>
          <w:tcPr>
            <w:tcW w:w="2173" w:type="dxa"/>
          </w:tcPr>
          <w:p>
            <w:pPr>
              <w:pStyle w:val="yTableNAm"/>
              <w:rPr>
                <w:sz w:val="20"/>
              </w:rPr>
            </w:pPr>
            <w:r>
              <w:rPr>
                <w:sz w:val="20"/>
              </w:rPr>
              <w:t>Gnowangerup</w:t>
            </w:r>
          </w:p>
        </w:tc>
        <w:tc>
          <w:tcPr>
            <w:tcW w:w="2081" w:type="dxa"/>
          </w:tcPr>
          <w:p>
            <w:pPr>
              <w:pStyle w:val="yTableNAm"/>
              <w:tabs>
                <w:tab w:val="clear" w:pos="567"/>
                <w:tab w:val="decimal" w:pos="1100"/>
                <w:tab w:val="decimal" w:pos="3480"/>
              </w:tabs>
              <w:ind w:right="579"/>
              <w:jc w:val="right"/>
              <w:rPr>
                <w:sz w:val="20"/>
              </w:rPr>
            </w:pPr>
            <w:r>
              <w:rPr>
                <w:sz w:val="20"/>
              </w:rPr>
              <w:t>8.910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Greenhead</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2.887</w:t>
            </w:r>
          </w:p>
        </w:tc>
      </w:tr>
      <w:tr>
        <w:trPr>
          <w:cantSplit/>
        </w:trPr>
        <w:tc>
          <w:tcPr>
            <w:tcW w:w="2173" w:type="dxa"/>
          </w:tcPr>
          <w:p>
            <w:pPr>
              <w:pStyle w:val="yTableNAm"/>
              <w:rPr>
                <w:sz w:val="20"/>
              </w:rPr>
            </w:pPr>
            <w:r>
              <w:rPr>
                <w:sz w:val="20"/>
              </w:rPr>
              <w:t>Halls Creek</w:t>
            </w:r>
          </w:p>
        </w:tc>
        <w:tc>
          <w:tcPr>
            <w:tcW w:w="2081" w:type="dxa"/>
          </w:tcPr>
          <w:p>
            <w:pPr>
              <w:pStyle w:val="yTableNAm"/>
              <w:tabs>
                <w:tab w:val="clear" w:pos="567"/>
                <w:tab w:val="decimal" w:pos="1100"/>
                <w:tab w:val="decimal" w:pos="3480"/>
              </w:tabs>
              <w:ind w:right="579"/>
              <w:jc w:val="right"/>
              <w:rPr>
                <w:sz w:val="20"/>
              </w:rPr>
            </w:pPr>
            <w:r>
              <w:rPr>
                <w:sz w:val="20"/>
              </w:rPr>
              <w:t>9.734</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Harvey</w:t>
            </w:r>
          </w:p>
        </w:tc>
        <w:tc>
          <w:tcPr>
            <w:tcW w:w="2081" w:type="dxa"/>
          </w:tcPr>
          <w:p>
            <w:pPr>
              <w:pStyle w:val="yTableNAm"/>
              <w:tabs>
                <w:tab w:val="clear" w:pos="567"/>
                <w:tab w:val="decimal" w:pos="1100"/>
                <w:tab w:val="decimal" w:pos="3480"/>
              </w:tabs>
              <w:ind w:right="579"/>
              <w:jc w:val="right"/>
              <w:rPr>
                <w:sz w:val="20"/>
              </w:rPr>
            </w:pPr>
            <w:r>
              <w:rPr>
                <w:sz w:val="20"/>
              </w:rPr>
              <w:t>9.522</w:t>
            </w:r>
          </w:p>
        </w:tc>
        <w:tc>
          <w:tcPr>
            <w:tcW w:w="2174" w:type="dxa"/>
          </w:tcPr>
          <w:p>
            <w:pPr>
              <w:pStyle w:val="yTableNAm"/>
              <w:tabs>
                <w:tab w:val="clear" w:pos="567"/>
                <w:tab w:val="decimal" w:pos="1100"/>
                <w:tab w:val="decimal" w:pos="3480"/>
              </w:tabs>
              <w:ind w:right="551"/>
              <w:jc w:val="right"/>
              <w:rPr>
                <w:sz w:val="20"/>
              </w:rPr>
            </w:pPr>
            <w:r>
              <w:rPr>
                <w:sz w:val="20"/>
              </w:rPr>
              <w:t>8.861</w:t>
            </w:r>
          </w:p>
        </w:tc>
      </w:tr>
      <w:tr>
        <w:trPr>
          <w:cantSplit/>
        </w:trPr>
        <w:tc>
          <w:tcPr>
            <w:tcW w:w="2173" w:type="dxa"/>
          </w:tcPr>
          <w:p>
            <w:pPr>
              <w:pStyle w:val="yTableNAm"/>
              <w:rPr>
                <w:sz w:val="20"/>
              </w:rPr>
            </w:pPr>
            <w:r>
              <w:rPr>
                <w:sz w:val="20"/>
              </w:rPr>
              <w:t>Hopetoun</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11.453</w:t>
            </w:r>
          </w:p>
        </w:tc>
      </w:tr>
      <w:tr>
        <w:trPr>
          <w:cantSplit/>
        </w:trPr>
        <w:tc>
          <w:tcPr>
            <w:tcW w:w="2173" w:type="dxa"/>
          </w:tcPr>
          <w:p>
            <w:pPr>
              <w:pStyle w:val="yTableNAm"/>
              <w:rPr>
                <w:sz w:val="20"/>
              </w:rPr>
            </w:pPr>
            <w:r>
              <w:rPr>
                <w:sz w:val="20"/>
              </w:rPr>
              <w:t>Horrocks</w:t>
            </w:r>
          </w:p>
        </w:tc>
        <w:tc>
          <w:tcPr>
            <w:tcW w:w="2081" w:type="dxa"/>
          </w:tcPr>
          <w:p>
            <w:pPr>
              <w:pStyle w:val="yTableNAm"/>
              <w:tabs>
                <w:tab w:val="clear" w:pos="567"/>
                <w:tab w:val="decimal" w:pos="1100"/>
                <w:tab w:val="decimal" w:pos="3480"/>
              </w:tabs>
              <w:ind w:right="579"/>
              <w:jc w:val="right"/>
              <w:rPr>
                <w:sz w:val="20"/>
              </w:rPr>
            </w:pPr>
            <w:r>
              <w:rPr>
                <w:sz w:val="20"/>
              </w:rPr>
              <w:t>11.395</w:t>
            </w:r>
          </w:p>
        </w:tc>
        <w:tc>
          <w:tcPr>
            <w:tcW w:w="2174" w:type="dxa"/>
          </w:tcPr>
          <w:p>
            <w:pPr>
              <w:pStyle w:val="yTableNAm"/>
              <w:tabs>
                <w:tab w:val="clear" w:pos="567"/>
                <w:tab w:val="decimal" w:pos="1100"/>
                <w:tab w:val="decimal" w:pos="3480"/>
              </w:tabs>
              <w:ind w:right="551"/>
              <w:jc w:val="right"/>
              <w:rPr>
                <w:sz w:val="20"/>
              </w:rPr>
            </w:pPr>
            <w:r>
              <w:rPr>
                <w:sz w:val="20"/>
              </w:rPr>
              <w:t>5.466</w:t>
            </w:r>
          </w:p>
        </w:tc>
      </w:tr>
      <w:tr>
        <w:trPr>
          <w:cantSplit/>
        </w:trPr>
        <w:tc>
          <w:tcPr>
            <w:tcW w:w="2173" w:type="dxa"/>
          </w:tcPr>
          <w:p>
            <w:pPr>
              <w:pStyle w:val="yTableNAm"/>
              <w:rPr>
                <w:sz w:val="20"/>
              </w:rPr>
            </w:pPr>
            <w:r>
              <w:rPr>
                <w:sz w:val="20"/>
              </w:rPr>
              <w:t>Jurien Bay</w:t>
            </w:r>
          </w:p>
        </w:tc>
        <w:tc>
          <w:tcPr>
            <w:tcW w:w="2081" w:type="dxa"/>
          </w:tcPr>
          <w:p>
            <w:pPr>
              <w:pStyle w:val="yTableNAm"/>
              <w:tabs>
                <w:tab w:val="clear" w:pos="567"/>
                <w:tab w:val="decimal" w:pos="1100"/>
                <w:tab w:val="decimal" w:pos="3480"/>
              </w:tabs>
              <w:ind w:right="579"/>
              <w:jc w:val="right"/>
              <w:rPr>
                <w:sz w:val="20"/>
              </w:rPr>
            </w:pPr>
            <w:r>
              <w:rPr>
                <w:sz w:val="20"/>
              </w:rPr>
              <w:t>9.218</w:t>
            </w:r>
          </w:p>
        </w:tc>
        <w:tc>
          <w:tcPr>
            <w:tcW w:w="2174" w:type="dxa"/>
          </w:tcPr>
          <w:p>
            <w:pPr>
              <w:pStyle w:val="yTableNAm"/>
              <w:tabs>
                <w:tab w:val="clear" w:pos="567"/>
                <w:tab w:val="decimal" w:pos="1100"/>
                <w:tab w:val="decimal" w:pos="3480"/>
              </w:tabs>
              <w:ind w:right="551"/>
              <w:jc w:val="right"/>
              <w:rPr>
                <w:sz w:val="20"/>
              </w:rPr>
            </w:pPr>
            <w:r>
              <w:rPr>
                <w:sz w:val="20"/>
              </w:rPr>
              <w:t>2.519</w:t>
            </w:r>
          </w:p>
        </w:tc>
      </w:tr>
      <w:tr>
        <w:trPr>
          <w:cantSplit/>
        </w:trPr>
        <w:tc>
          <w:tcPr>
            <w:tcW w:w="2173" w:type="dxa"/>
          </w:tcPr>
          <w:p>
            <w:pPr>
              <w:pStyle w:val="yTableNAm"/>
              <w:rPr>
                <w:sz w:val="20"/>
              </w:rPr>
            </w:pPr>
            <w:r>
              <w:rPr>
                <w:sz w:val="20"/>
              </w:rPr>
              <w:t>Kalbarri</w:t>
            </w:r>
          </w:p>
        </w:tc>
        <w:tc>
          <w:tcPr>
            <w:tcW w:w="2081" w:type="dxa"/>
          </w:tcPr>
          <w:p>
            <w:pPr>
              <w:pStyle w:val="yTableNAm"/>
              <w:tabs>
                <w:tab w:val="clear" w:pos="567"/>
                <w:tab w:val="decimal" w:pos="1100"/>
                <w:tab w:val="decimal" w:pos="3480"/>
              </w:tabs>
              <w:ind w:right="579"/>
              <w:jc w:val="right"/>
              <w:rPr>
                <w:sz w:val="20"/>
              </w:rPr>
            </w:pPr>
            <w:r>
              <w:rPr>
                <w:sz w:val="20"/>
              </w:rPr>
              <w:t>6.108</w:t>
            </w:r>
          </w:p>
        </w:tc>
        <w:tc>
          <w:tcPr>
            <w:tcW w:w="2174" w:type="dxa"/>
          </w:tcPr>
          <w:p>
            <w:pPr>
              <w:pStyle w:val="yTableNAm"/>
              <w:tabs>
                <w:tab w:val="clear" w:pos="567"/>
                <w:tab w:val="decimal" w:pos="1100"/>
                <w:tab w:val="decimal" w:pos="3480"/>
              </w:tabs>
              <w:ind w:right="551"/>
              <w:jc w:val="right"/>
              <w:rPr>
                <w:sz w:val="20"/>
              </w:rPr>
            </w:pPr>
            <w:r>
              <w:rPr>
                <w:sz w:val="20"/>
              </w:rPr>
              <w:t>1.871</w:t>
            </w:r>
          </w:p>
        </w:tc>
      </w:tr>
      <w:tr>
        <w:trPr>
          <w:cantSplit/>
        </w:trPr>
        <w:tc>
          <w:tcPr>
            <w:tcW w:w="2173" w:type="dxa"/>
          </w:tcPr>
          <w:p>
            <w:pPr>
              <w:pStyle w:val="yTableNAm"/>
              <w:rPr>
                <w:sz w:val="20"/>
              </w:rPr>
            </w:pPr>
            <w:r>
              <w:rPr>
                <w:sz w:val="20"/>
              </w:rPr>
              <w:t>Kambalda</w:t>
            </w:r>
          </w:p>
        </w:tc>
        <w:tc>
          <w:tcPr>
            <w:tcW w:w="2081" w:type="dxa"/>
          </w:tcPr>
          <w:p>
            <w:pPr>
              <w:pStyle w:val="yTableNAm"/>
              <w:tabs>
                <w:tab w:val="clear" w:pos="567"/>
                <w:tab w:val="decimal" w:pos="1100"/>
                <w:tab w:val="decimal" w:pos="3480"/>
              </w:tabs>
              <w:ind w:right="579"/>
              <w:jc w:val="right"/>
              <w:rPr>
                <w:sz w:val="20"/>
              </w:rPr>
            </w:pPr>
            <w:r>
              <w:rPr>
                <w:sz w:val="20"/>
              </w:rPr>
              <w:t>6.279</w:t>
            </w:r>
          </w:p>
        </w:tc>
        <w:tc>
          <w:tcPr>
            <w:tcW w:w="2174" w:type="dxa"/>
          </w:tcPr>
          <w:p>
            <w:pPr>
              <w:pStyle w:val="yTableNAm"/>
              <w:tabs>
                <w:tab w:val="clear" w:pos="567"/>
                <w:tab w:val="decimal" w:pos="1100"/>
                <w:tab w:val="decimal" w:pos="3480"/>
              </w:tabs>
              <w:ind w:right="551"/>
              <w:jc w:val="right"/>
              <w:rPr>
                <w:sz w:val="20"/>
              </w:rPr>
            </w:pPr>
            <w:r>
              <w:rPr>
                <w:sz w:val="20"/>
              </w:rPr>
              <w:t>6.279</w:t>
            </w:r>
          </w:p>
        </w:tc>
      </w:tr>
      <w:tr>
        <w:trPr>
          <w:cantSplit/>
        </w:trPr>
        <w:tc>
          <w:tcPr>
            <w:tcW w:w="2173" w:type="dxa"/>
          </w:tcPr>
          <w:p>
            <w:pPr>
              <w:pStyle w:val="yTableNAm"/>
              <w:rPr>
                <w:sz w:val="20"/>
              </w:rPr>
            </w:pPr>
            <w:r>
              <w:rPr>
                <w:sz w:val="20"/>
              </w:rPr>
              <w:t>Karratha</w:t>
            </w:r>
          </w:p>
        </w:tc>
        <w:tc>
          <w:tcPr>
            <w:tcW w:w="2081" w:type="dxa"/>
          </w:tcPr>
          <w:p>
            <w:pPr>
              <w:pStyle w:val="yTableNAm"/>
              <w:tabs>
                <w:tab w:val="clear" w:pos="567"/>
                <w:tab w:val="decimal" w:pos="1100"/>
                <w:tab w:val="decimal" w:pos="3480"/>
              </w:tabs>
              <w:ind w:right="579"/>
              <w:jc w:val="right"/>
              <w:rPr>
                <w:sz w:val="20"/>
              </w:rPr>
            </w:pPr>
            <w:r>
              <w:rPr>
                <w:sz w:val="20"/>
              </w:rPr>
              <w:t>0.956</w:t>
            </w:r>
          </w:p>
        </w:tc>
        <w:tc>
          <w:tcPr>
            <w:tcW w:w="2174" w:type="dxa"/>
          </w:tcPr>
          <w:p>
            <w:pPr>
              <w:pStyle w:val="yTableNAm"/>
              <w:tabs>
                <w:tab w:val="clear" w:pos="567"/>
                <w:tab w:val="decimal" w:pos="1100"/>
                <w:tab w:val="decimal" w:pos="3480"/>
              </w:tabs>
              <w:ind w:right="551"/>
              <w:jc w:val="right"/>
              <w:rPr>
                <w:sz w:val="20"/>
              </w:rPr>
            </w:pPr>
            <w:r>
              <w:rPr>
                <w:sz w:val="20"/>
              </w:rPr>
              <w:t>0.535</w:t>
            </w:r>
          </w:p>
        </w:tc>
      </w:tr>
      <w:tr>
        <w:trPr>
          <w:cantSplit/>
        </w:trPr>
        <w:tc>
          <w:tcPr>
            <w:tcW w:w="2173" w:type="dxa"/>
          </w:tcPr>
          <w:p>
            <w:pPr>
              <w:pStyle w:val="yTableNAm"/>
              <w:rPr>
                <w:sz w:val="20"/>
              </w:rPr>
            </w:pPr>
            <w:r>
              <w:rPr>
                <w:sz w:val="20"/>
              </w:rPr>
              <w:t>Katanning</w:t>
            </w:r>
          </w:p>
        </w:tc>
        <w:tc>
          <w:tcPr>
            <w:tcW w:w="2081" w:type="dxa"/>
          </w:tcPr>
          <w:p>
            <w:pPr>
              <w:pStyle w:val="yTableNAm"/>
              <w:tabs>
                <w:tab w:val="clear" w:pos="567"/>
                <w:tab w:val="decimal" w:pos="1100"/>
                <w:tab w:val="decimal" w:pos="3480"/>
              </w:tabs>
              <w:ind w:right="579"/>
              <w:jc w:val="right"/>
              <w:rPr>
                <w:sz w:val="20"/>
              </w:rPr>
            </w:pPr>
            <w:r>
              <w:rPr>
                <w:sz w:val="20"/>
              </w:rPr>
              <w:t>5.639</w:t>
            </w:r>
          </w:p>
        </w:tc>
        <w:tc>
          <w:tcPr>
            <w:tcW w:w="2174" w:type="dxa"/>
          </w:tcPr>
          <w:p>
            <w:pPr>
              <w:pStyle w:val="yTableNAm"/>
              <w:tabs>
                <w:tab w:val="clear" w:pos="567"/>
                <w:tab w:val="decimal" w:pos="1100"/>
                <w:tab w:val="decimal" w:pos="3480"/>
              </w:tabs>
              <w:ind w:right="551"/>
              <w:jc w:val="right"/>
              <w:rPr>
                <w:sz w:val="20"/>
              </w:rPr>
            </w:pPr>
            <w:r>
              <w:rPr>
                <w:sz w:val="20"/>
              </w:rPr>
              <w:t>10.897</w:t>
            </w:r>
          </w:p>
        </w:tc>
      </w:tr>
      <w:tr>
        <w:trPr>
          <w:cantSplit/>
        </w:trPr>
        <w:tc>
          <w:tcPr>
            <w:tcW w:w="2173" w:type="dxa"/>
          </w:tcPr>
          <w:p>
            <w:pPr>
              <w:pStyle w:val="yTableNAm"/>
              <w:rPr>
                <w:sz w:val="20"/>
              </w:rPr>
            </w:pPr>
            <w:r>
              <w:rPr>
                <w:sz w:val="20"/>
              </w:rPr>
              <w:t>Kellerberrin</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Kojonup</w:t>
            </w:r>
          </w:p>
        </w:tc>
        <w:tc>
          <w:tcPr>
            <w:tcW w:w="2081" w:type="dxa"/>
          </w:tcPr>
          <w:p>
            <w:pPr>
              <w:pStyle w:val="yTableNAm"/>
              <w:tabs>
                <w:tab w:val="clear" w:pos="567"/>
                <w:tab w:val="decimal" w:pos="1100"/>
                <w:tab w:val="decimal" w:pos="3480"/>
              </w:tabs>
              <w:ind w:right="579"/>
              <w:jc w:val="right"/>
              <w:rPr>
                <w:sz w:val="20"/>
              </w:rPr>
            </w:pPr>
            <w:r>
              <w:rPr>
                <w:sz w:val="20"/>
              </w:rPr>
              <w:t>8.211</w:t>
            </w:r>
          </w:p>
        </w:tc>
        <w:tc>
          <w:tcPr>
            <w:tcW w:w="2174" w:type="dxa"/>
          </w:tcPr>
          <w:p>
            <w:pPr>
              <w:pStyle w:val="yTableNAm"/>
              <w:tabs>
                <w:tab w:val="clear" w:pos="567"/>
                <w:tab w:val="decimal" w:pos="1100"/>
                <w:tab w:val="decimal" w:pos="3480"/>
              </w:tabs>
              <w:ind w:right="551"/>
              <w:jc w:val="right"/>
              <w:rPr>
                <w:sz w:val="20"/>
              </w:rPr>
            </w:pPr>
            <w:r>
              <w:rPr>
                <w:sz w:val="20"/>
              </w:rPr>
              <w:t>3.899</w:t>
            </w:r>
          </w:p>
        </w:tc>
      </w:tr>
      <w:tr>
        <w:trPr>
          <w:cantSplit/>
        </w:trPr>
        <w:tc>
          <w:tcPr>
            <w:tcW w:w="2173" w:type="dxa"/>
          </w:tcPr>
          <w:p>
            <w:pPr>
              <w:pStyle w:val="yTableNAm"/>
              <w:rPr>
                <w:sz w:val="20"/>
              </w:rPr>
            </w:pPr>
            <w:r>
              <w:rPr>
                <w:sz w:val="20"/>
              </w:rPr>
              <w:t>Kulin</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Kununurra</w:t>
            </w:r>
          </w:p>
        </w:tc>
        <w:tc>
          <w:tcPr>
            <w:tcW w:w="2081" w:type="dxa"/>
          </w:tcPr>
          <w:p>
            <w:pPr>
              <w:pStyle w:val="yTableNAm"/>
              <w:tabs>
                <w:tab w:val="clear" w:pos="567"/>
                <w:tab w:val="decimal" w:pos="1100"/>
                <w:tab w:val="decimal" w:pos="3480"/>
              </w:tabs>
              <w:ind w:right="579"/>
              <w:jc w:val="right"/>
              <w:rPr>
                <w:sz w:val="20"/>
              </w:rPr>
            </w:pPr>
            <w:r>
              <w:rPr>
                <w:sz w:val="20"/>
              </w:rPr>
              <w:t>3.543</w:t>
            </w:r>
          </w:p>
        </w:tc>
        <w:tc>
          <w:tcPr>
            <w:tcW w:w="2174" w:type="dxa"/>
          </w:tcPr>
          <w:p>
            <w:pPr>
              <w:pStyle w:val="yTableNAm"/>
              <w:tabs>
                <w:tab w:val="clear" w:pos="567"/>
                <w:tab w:val="decimal" w:pos="1100"/>
                <w:tab w:val="decimal" w:pos="3480"/>
              </w:tabs>
              <w:ind w:right="551"/>
              <w:jc w:val="right"/>
              <w:rPr>
                <w:sz w:val="20"/>
              </w:rPr>
            </w:pPr>
            <w:r>
              <w:rPr>
                <w:sz w:val="20"/>
              </w:rPr>
              <w:t>3.036</w:t>
            </w:r>
          </w:p>
        </w:tc>
      </w:tr>
      <w:tr>
        <w:trPr>
          <w:cantSplit/>
        </w:trPr>
        <w:tc>
          <w:tcPr>
            <w:tcW w:w="2173" w:type="dxa"/>
          </w:tcPr>
          <w:p>
            <w:pPr>
              <w:pStyle w:val="yTableNAm"/>
              <w:rPr>
                <w:sz w:val="20"/>
              </w:rPr>
            </w:pPr>
            <w:r>
              <w:rPr>
                <w:sz w:val="20"/>
              </w:rPr>
              <w:t>Lake Argyle</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Lancelin</w:t>
            </w:r>
          </w:p>
        </w:tc>
        <w:tc>
          <w:tcPr>
            <w:tcW w:w="2081" w:type="dxa"/>
          </w:tcPr>
          <w:p>
            <w:pPr>
              <w:pStyle w:val="yTableNAm"/>
              <w:tabs>
                <w:tab w:val="clear" w:pos="567"/>
                <w:tab w:val="decimal" w:pos="1100"/>
                <w:tab w:val="decimal" w:pos="3480"/>
              </w:tabs>
              <w:ind w:right="579"/>
              <w:jc w:val="right"/>
              <w:rPr>
                <w:sz w:val="20"/>
              </w:rPr>
            </w:pPr>
            <w:r>
              <w:rPr>
                <w:sz w:val="20"/>
              </w:rPr>
              <w:t>8.096</w:t>
            </w:r>
          </w:p>
        </w:tc>
        <w:tc>
          <w:tcPr>
            <w:tcW w:w="2174" w:type="dxa"/>
          </w:tcPr>
          <w:p>
            <w:pPr>
              <w:pStyle w:val="yTableNAm"/>
              <w:tabs>
                <w:tab w:val="clear" w:pos="567"/>
                <w:tab w:val="decimal" w:pos="1100"/>
                <w:tab w:val="decimal" w:pos="3480"/>
              </w:tabs>
              <w:ind w:right="551"/>
              <w:jc w:val="right"/>
              <w:rPr>
                <w:sz w:val="20"/>
              </w:rPr>
            </w:pPr>
            <w:r>
              <w:rPr>
                <w:sz w:val="20"/>
              </w:rPr>
              <w:t>1.534</w:t>
            </w:r>
          </w:p>
        </w:tc>
      </w:tr>
      <w:tr>
        <w:trPr>
          <w:cantSplit/>
        </w:trPr>
        <w:tc>
          <w:tcPr>
            <w:tcW w:w="2173" w:type="dxa"/>
          </w:tcPr>
          <w:p>
            <w:pPr>
              <w:pStyle w:val="yTableNAm"/>
              <w:rPr>
                <w:sz w:val="20"/>
              </w:rPr>
            </w:pPr>
            <w:r>
              <w:rPr>
                <w:sz w:val="20"/>
              </w:rPr>
              <w:t>Laverton</w:t>
            </w:r>
          </w:p>
        </w:tc>
        <w:tc>
          <w:tcPr>
            <w:tcW w:w="2081" w:type="dxa"/>
          </w:tcPr>
          <w:p>
            <w:pPr>
              <w:pStyle w:val="yTableNAm"/>
              <w:tabs>
                <w:tab w:val="clear" w:pos="567"/>
                <w:tab w:val="decimal" w:pos="1100"/>
                <w:tab w:val="decimal" w:pos="3480"/>
              </w:tabs>
              <w:ind w:right="579"/>
              <w:jc w:val="right"/>
              <w:rPr>
                <w:sz w:val="20"/>
              </w:rPr>
            </w:pPr>
            <w:r>
              <w:rPr>
                <w:sz w:val="20"/>
              </w:rPr>
              <w:t>8.040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Ledge Point</w:t>
            </w:r>
          </w:p>
        </w:tc>
        <w:tc>
          <w:tcPr>
            <w:tcW w:w="2081" w:type="dxa"/>
          </w:tcPr>
          <w:p>
            <w:pPr>
              <w:pStyle w:val="yTableNAm"/>
              <w:tabs>
                <w:tab w:val="clear" w:pos="567"/>
                <w:tab w:val="decimal" w:pos="1100"/>
                <w:tab w:val="decimal" w:pos="3480"/>
              </w:tabs>
              <w:ind w:right="579"/>
              <w:jc w:val="right"/>
              <w:rPr>
                <w:sz w:val="20"/>
              </w:rPr>
            </w:pPr>
            <w:r>
              <w:rPr>
                <w:sz w:val="20"/>
              </w:rPr>
              <w:t>6.285</w:t>
            </w:r>
          </w:p>
        </w:tc>
        <w:tc>
          <w:tcPr>
            <w:tcW w:w="2174" w:type="dxa"/>
          </w:tcPr>
          <w:p>
            <w:pPr>
              <w:pStyle w:val="yTableNAm"/>
              <w:tabs>
                <w:tab w:val="clear" w:pos="567"/>
                <w:tab w:val="decimal" w:pos="1100"/>
                <w:tab w:val="decimal" w:pos="3480"/>
              </w:tabs>
              <w:ind w:right="551"/>
              <w:jc w:val="right"/>
              <w:rPr>
                <w:sz w:val="20"/>
              </w:rPr>
            </w:pPr>
            <w:r>
              <w:rPr>
                <w:sz w:val="20"/>
              </w:rPr>
              <w:t>1.729</w:t>
            </w:r>
          </w:p>
        </w:tc>
      </w:tr>
      <w:tr>
        <w:trPr>
          <w:cantSplit/>
        </w:trPr>
        <w:tc>
          <w:tcPr>
            <w:tcW w:w="2173" w:type="dxa"/>
          </w:tcPr>
          <w:p>
            <w:pPr>
              <w:pStyle w:val="yTableNAm"/>
              <w:rPr>
                <w:sz w:val="20"/>
              </w:rPr>
            </w:pPr>
            <w:r>
              <w:rPr>
                <w:sz w:val="20"/>
              </w:rPr>
              <w:t>Leeman</w:t>
            </w:r>
          </w:p>
        </w:tc>
        <w:tc>
          <w:tcPr>
            <w:tcW w:w="2081" w:type="dxa"/>
          </w:tcPr>
          <w:p>
            <w:pPr>
              <w:pStyle w:val="yTableNAm"/>
              <w:tabs>
                <w:tab w:val="clear" w:pos="567"/>
                <w:tab w:val="decimal" w:pos="1100"/>
                <w:tab w:val="decimal" w:pos="3480"/>
              </w:tabs>
              <w:ind w:right="579"/>
              <w:jc w:val="right"/>
              <w:rPr>
                <w:sz w:val="20"/>
              </w:rPr>
            </w:pPr>
            <w:r>
              <w:rPr>
                <w:sz w:val="20"/>
              </w:rPr>
              <w:t>11.493</w:t>
            </w:r>
          </w:p>
        </w:tc>
        <w:tc>
          <w:tcPr>
            <w:tcW w:w="2174" w:type="dxa"/>
          </w:tcPr>
          <w:p>
            <w:pPr>
              <w:pStyle w:val="yTableNAm"/>
              <w:tabs>
                <w:tab w:val="clear" w:pos="567"/>
                <w:tab w:val="decimal" w:pos="1100"/>
                <w:tab w:val="decimal" w:pos="3480"/>
              </w:tabs>
              <w:ind w:right="551"/>
              <w:jc w:val="right"/>
              <w:rPr>
                <w:sz w:val="20"/>
              </w:rPr>
            </w:pPr>
            <w:r>
              <w:rPr>
                <w:sz w:val="20"/>
              </w:rPr>
              <w:t>3.677</w:t>
            </w:r>
          </w:p>
        </w:tc>
      </w:tr>
      <w:tr>
        <w:trPr>
          <w:cantSplit/>
        </w:trPr>
        <w:tc>
          <w:tcPr>
            <w:tcW w:w="2173" w:type="dxa"/>
          </w:tcPr>
          <w:p>
            <w:pPr>
              <w:pStyle w:val="yTableNAm"/>
              <w:rPr>
                <w:sz w:val="20"/>
              </w:rPr>
            </w:pPr>
            <w:r>
              <w:rPr>
                <w:sz w:val="20"/>
              </w:rPr>
              <w:t>Leonora</w:t>
            </w:r>
          </w:p>
        </w:tc>
        <w:tc>
          <w:tcPr>
            <w:tcW w:w="2081" w:type="dxa"/>
          </w:tcPr>
          <w:p>
            <w:pPr>
              <w:pStyle w:val="yTableNAm"/>
              <w:tabs>
                <w:tab w:val="clear" w:pos="567"/>
                <w:tab w:val="decimal" w:pos="1100"/>
                <w:tab w:val="decimal" w:pos="3480"/>
              </w:tabs>
              <w:ind w:right="579"/>
              <w:jc w:val="right"/>
              <w:rPr>
                <w:sz w:val="20"/>
              </w:rPr>
            </w:pPr>
            <w:r>
              <w:rPr>
                <w:sz w:val="20"/>
              </w:rPr>
              <w:t>8.438</w:t>
            </w:r>
          </w:p>
        </w:tc>
        <w:tc>
          <w:tcPr>
            <w:tcW w:w="2174" w:type="dxa"/>
          </w:tcPr>
          <w:p>
            <w:pPr>
              <w:pStyle w:val="yTableNAm"/>
              <w:tabs>
                <w:tab w:val="clear" w:pos="567"/>
                <w:tab w:val="decimal" w:pos="1100"/>
                <w:tab w:val="decimal" w:pos="3480"/>
              </w:tabs>
              <w:ind w:right="551"/>
              <w:jc w:val="right"/>
              <w:rPr>
                <w:sz w:val="20"/>
              </w:rPr>
            </w:pPr>
            <w:r>
              <w:rPr>
                <w:sz w:val="20"/>
              </w:rPr>
              <w:t>10.566</w:t>
            </w:r>
          </w:p>
        </w:tc>
      </w:tr>
      <w:tr>
        <w:trPr>
          <w:cantSplit/>
        </w:trPr>
        <w:tc>
          <w:tcPr>
            <w:tcW w:w="2173" w:type="dxa"/>
          </w:tcPr>
          <w:p>
            <w:pPr>
              <w:pStyle w:val="yTableNAm"/>
              <w:rPr>
                <w:sz w:val="20"/>
              </w:rPr>
            </w:pPr>
            <w:r>
              <w:rPr>
                <w:sz w:val="20"/>
              </w:rPr>
              <w:t>Mandurah</w:t>
            </w:r>
          </w:p>
        </w:tc>
        <w:tc>
          <w:tcPr>
            <w:tcW w:w="2081" w:type="dxa"/>
          </w:tcPr>
          <w:p>
            <w:pPr>
              <w:pStyle w:val="yTableNAm"/>
              <w:tabs>
                <w:tab w:val="clear" w:pos="567"/>
                <w:tab w:val="decimal" w:pos="1100"/>
                <w:tab w:val="decimal" w:pos="3480"/>
              </w:tabs>
              <w:ind w:right="579"/>
              <w:jc w:val="right"/>
              <w:rPr>
                <w:sz w:val="20"/>
              </w:rPr>
            </w:pPr>
            <w:r>
              <w:rPr>
                <w:sz w:val="20"/>
              </w:rPr>
              <w:t>5.534</w:t>
            </w:r>
          </w:p>
        </w:tc>
        <w:tc>
          <w:tcPr>
            <w:tcW w:w="2174" w:type="dxa"/>
          </w:tcPr>
          <w:p>
            <w:pPr>
              <w:pStyle w:val="yTableNAm"/>
              <w:tabs>
                <w:tab w:val="clear" w:pos="567"/>
                <w:tab w:val="decimal" w:pos="1100"/>
                <w:tab w:val="decimal" w:pos="3480"/>
              </w:tabs>
              <w:ind w:right="551"/>
              <w:jc w:val="right"/>
              <w:rPr>
                <w:sz w:val="20"/>
              </w:rPr>
            </w:pPr>
            <w:r>
              <w:rPr>
                <w:sz w:val="20"/>
              </w:rPr>
              <w:t>3.118</w:t>
            </w:r>
          </w:p>
        </w:tc>
      </w:tr>
      <w:tr>
        <w:trPr>
          <w:cantSplit/>
        </w:trPr>
        <w:tc>
          <w:tcPr>
            <w:tcW w:w="2173" w:type="dxa"/>
          </w:tcPr>
          <w:p>
            <w:pPr>
              <w:pStyle w:val="yTableNAm"/>
              <w:rPr>
                <w:sz w:val="20"/>
              </w:rPr>
            </w:pPr>
            <w:r>
              <w:rPr>
                <w:sz w:val="20"/>
              </w:rPr>
              <w:t>Manjimup</w:t>
            </w:r>
          </w:p>
        </w:tc>
        <w:tc>
          <w:tcPr>
            <w:tcW w:w="2081" w:type="dxa"/>
          </w:tcPr>
          <w:p>
            <w:pPr>
              <w:pStyle w:val="yTableNAm"/>
              <w:tabs>
                <w:tab w:val="clear" w:pos="567"/>
                <w:tab w:val="decimal" w:pos="1100"/>
                <w:tab w:val="decimal" w:pos="3480"/>
              </w:tabs>
              <w:ind w:right="579"/>
              <w:jc w:val="right"/>
              <w:rPr>
                <w:sz w:val="20"/>
              </w:rPr>
            </w:pPr>
            <w:r>
              <w:rPr>
                <w:sz w:val="20"/>
              </w:rPr>
              <w:t>10.607</w:t>
            </w:r>
          </w:p>
        </w:tc>
        <w:tc>
          <w:tcPr>
            <w:tcW w:w="2174" w:type="dxa"/>
          </w:tcPr>
          <w:p>
            <w:pPr>
              <w:pStyle w:val="yTableNAm"/>
              <w:tabs>
                <w:tab w:val="clear" w:pos="567"/>
                <w:tab w:val="decimal" w:pos="1100"/>
                <w:tab w:val="decimal" w:pos="3480"/>
              </w:tabs>
              <w:ind w:right="551"/>
              <w:jc w:val="right"/>
              <w:rPr>
                <w:sz w:val="20"/>
              </w:rPr>
            </w:pPr>
            <w:r>
              <w:rPr>
                <w:sz w:val="20"/>
              </w:rPr>
              <w:t>4.725</w:t>
            </w:r>
          </w:p>
        </w:tc>
      </w:tr>
      <w:tr>
        <w:trPr>
          <w:cantSplit/>
        </w:trPr>
        <w:tc>
          <w:tcPr>
            <w:tcW w:w="2173" w:type="dxa"/>
          </w:tcPr>
          <w:p>
            <w:pPr>
              <w:pStyle w:val="yTableNAm"/>
              <w:rPr>
                <w:sz w:val="20"/>
              </w:rPr>
            </w:pPr>
            <w:r>
              <w:rPr>
                <w:sz w:val="20"/>
              </w:rPr>
              <w:t>Margaret River</w:t>
            </w:r>
          </w:p>
        </w:tc>
        <w:tc>
          <w:tcPr>
            <w:tcW w:w="2081" w:type="dxa"/>
          </w:tcPr>
          <w:p>
            <w:pPr>
              <w:pStyle w:val="yTableNAm"/>
              <w:tabs>
                <w:tab w:val="clear" w:pos="567"/>
                <w:tab w:val="decimal" w:pos="1100"/>
                <w:tab w:val="decimal" w:pos="3480"/>
              </w:tabs>
              <w:ind w:right="579"/>
              <w:jc w:val="right"/>
              <w:rPr>
                <w:sz w:val="20"/>
              </w:rPr>
            </w:pPr>
            <w:r>
              <w:rPr>
                <w:sz w:val="20"/>
              </w:rPr>
              <w:t>6.082</w:t>
            </w:r>
          </w:p>
        </w:tc>
        <w:tc>
          <w:tcPr>
            <w:tcW w:w="2174" w:type="dxa"/>
          </w:tcPr>
          <w:p>
            <w:pPr>
              <w:pStyle w:val="yTableNAm"/>
              <w:tabs>
                <w:tab w:val="clear" w:pos="567"/>
                <w:tab w:val="decimal" w:pos="1100"/>
                <w:tab w:val="decimal" w:pos="3480"/>
              </w:tabs>
              <w:ind w:right="551"/>
              <w:jc w:val="right"/>
              <w:rPr>
                <w:sz w:val="20"/>
              </w:rPr>
            </w:pPr>
            <w:r>
              <w:rPr>
                <w:sz w:val="20"/>
              </w:rPr>
              <w:t>2.831</w:t>
            </w:r>
          </w:p>
        </w:tc>
      </w:tr>
      <w:tr>
        <w:trPr>
          <w:cantSplit/>
        </w:trPr>
        <w:tc>
          <w:tcPr>
            <w:tcW w:w="2173" w:type="dxa"/>
          </w:tcPr>
          <w:p>
            <w:pPr>
              <w:pStyle w:val="yTableNAm"/>
              <w:rPr>
                <w:sz w:val="20"/>
              </w:rPr>
            </w:pPr>
            <w:r>
              <w:rPr>
                <w:sz w:val="20"/>
              </w:rPr>
              <w:t>Meckering</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Merredin</w:t>
            </w:r>
          </w:p>
        </w:tc>
        <w:tc>
          <w:tcPr>
            <w:tcW w:w="2081" w:type="dxa"/>
          </w:tcPr>
          <w:p>
            <w:pPr>
              <w:pStyle w:val="yTableNAm"/>
              <w:tabs>
                <w:tab w:val="clear" w:pos="567"/>
                <w:tab w:val="decimal" w:pos="1100"/>
                <w:tab w:val="decimal" w:pos="3480"/>
              </w:tabs>
              <w:ind w:right="579"/>
              <w:jc w:val="right"/>
              <w:rPr>
                <w:sz w:val="20"/>
              </w:rPr>
            </w:pPr>
            <w:r>
              <w:rPr>
                <w:sz w:val="20"/>
              </w:rPr>
              <w:t>8.636</w:t>
            </w:r>
          </w:p>
        </w:tc>
        <w:tc>
          <w:tcPr>
            <w:tcW w:w="2174" w:type="dxa"/>
          </w:tcPr>
          <w:p>
            <w:pPr>
              <w:pStyle w:val="yTableNAm"/>
              <w:tabs>
                <w:tab w:val="clear" w:pos="567"/>
                <w:tab w:val="decimal" w:pos="1100"/>
                <w:tab w:val="decimal" w:pos="3480"/>
              </w:tabs>
              <w:ind w:right="551"/>
              <w:jc w:val="right"/>
              <w:rPr>
                <w:sz w:val="20"/>
              </w:rPr>
            </w:pPr>
            <w:r>
              <w:rPr>
                <w:sz w:val="20"/>
              </w:rPr>
              <w:t>5.572</w:t>
            </w:r>
          </w:p>
        </w:tc>
      </w:tr>
      <w:tr>
        <w:trPr>
          <w:cantSplit/>
        </w:trPr>
        <w:tc>
          <w:tcPr>
            <w:tcW w:w="2173" w:type="dxa"/>
          </w:tcPr>
          <w:p>
            <w:pPr>
              <w:pStyle w:val="yTableNAm"/>
              <w:rPr>
                <w:sz w:val="20"/>
              </w:rPr>
            </w:pPr>
            <w:r>
              <w:rPr>
                <w:sz w:val="20"/>
              </w:rPr>
              <w:t>Mount Barker</w:t>
            </w:r>
          </w:p>
        </w:tc>
        <w:tc>
          <w:tcPr>
            <w:tcW w:w="2081" w:type="dxa"/>
          </w:tcPr>
          <w:p>
            <w:pPr>
              <w:pStyle w:val="yTableNAm"/>
              <w:tabs>
                <w:tab w:val="clear" w:pos="567"/>
                <w:tab w:val="decimal" w:pos="1100"/>
                <w:tab w:val="decimal" w:pos="3480"/>
              </w:tabs>
              <w:ind w:right="579"/>
              <w:jc w:val="right"/>
              <w:rPr>
                <w:sz w:val="20"/>
              </w:rPr>
            </w:pPr>
            <w:r>
              <w:rPr>
                <w:sz w:val="20"/>
              </w:rPr>
              <w:t>9.807</w:t>
            </w:r>
          </w:p>
        </w:tc>
        <w:tc>
          <w:tcPr>
            <w:tcW w:w="2174" w:type="dxa"/>
          </w:tcPr>
          <w:p>
            <w:pPr>
              <w:pStyle w:val="yTableNAm"/>
              <w:tabs>
                <w:tab w:val="clear" w:pos="567"/>
                <w:tab w:val="decimal" w:pos="1100"/>
                <w:tab w:val="decimal" w:pos="3480"/>
              </w:tabs>
              <w:ind w:right="551"/>
              <w:jc w:val="right"/>
              <w:rPr>
                <w:sz w:val="20"/>
              </w:rPr>
            </w:pPr>
            <w:r>
              <w:rPr>
                <w:sz w:val="20"/>
              </w:rPr>
              <w:t>3.101</w:t>
            </w:r>
          </w:p>
        </w:tc>
      </w:tr>
      <w:tr>
        <w:trPr>
          <w:cantSplit/>
        </w:trPr>
        <w:tc>
          <w:tcPr>
            <w:tcW w:w="2173" w:type="dxa"/>
          </w:tcPr>
          <w:p>
            <w:pPr>
              <w:pStyle w:val="yTableNAm"/>
              <w:rPr>
                <w:sz w:val="20"/>
              </w:rPr>
            </w:pPr>
            <w:r>
              <w:rPr>
                <w:sz w:val="20"/>
              </w:rPr>
              <w:t>Mukinbudin</w:t>
            </w:r>
          </w:p>
        </w:tc>
        <w:tc>
          <w:tcPr>
            <w:tcW w:w="2081" w:type="dxa"/>
          </w:tcPr>
          <w:p>
            <w:pPr>
              <w:pStyle w:val="yTableNAm"/>
              <w:tabs>
                <w:tab w:val="clear" w:pos="567"/>
                <w:tab w:val="decimal" w:pos="1100"/>
                <w:tab w:val="decimal" w:pos="3480"/>
              </w:tabs>
              <w:ind w:right="579"/>
              <w:jc w:val="right"/>
              <w:rPr>
                <w:sz w:val="20"/>
              </w:rPr>
            </w:pPr>
            <w:r>
              <w:rPr>
                <w:sz w:val="20"/>
              </w:rPr>
              <w:t>10.508</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Nannup</w:t>
            </w:r>
          </w:p>
        </w:tc>
        <w:tc>
          <w:tcPr>
            <w:tcW w:w="2081" w:type="dxa"/>
          </w:tcPr>
          <w:p>
            <w:pPr>
              <w:pStyle w:val="yTableNAm"/>
              <w:tabs>
                <w:tab w:val="clear" w:pos="567"/>
                <w:tab w:val="decimal" w:pos="1100"/>
                <w:tab w:val="decimal" w:pos="3480"/>
              </w:tabs>
              <w:ind w:right="579"/>
              <w:jc w:val="right"/>
              <w:rPr>
                <w:sz w:val="20"/>
              </w:rPr>
            </w:pPr>
            <w:r>
              <w:rPr>
                <w:sz w:val="20"/>
              </w:rPr>
              <w:t>8.943</w:t>
            </w:r>
          </w:p>
        </w:tc>
        <w:tc>
          <w:tcPr>
            <w:tcW w:w="2174" w:type="dxa"/>
          </w:tcPr>
          <w:p>
            <w:pPr>
              <w:pStyle w:val="yTableNAm"/>
              <w:tabs>
                <w:tab w:val="clear" w:pos="567"/>
                <w:tab w:val="decimal" w:pos="1100"/>
                <w:tab w:val="decimal" w:pos="3480"/>
              </w:tabs>
              <w:ind w:right="551"/>
              <w:jc w:val="right"/>
              <w:rPr>
                <w:sz w:val="20"/>
              </w:rPr>
            </w:pPr>
            <w:r>
              <w:rPr>
                <w:sz w:val="20"/>
              </w:rPr>
              <w:t>9.056</w:t>
            </w:r>
          </w:p>
        </w:tc>
      </w:tr>
      <w:tr>
        <w:trPr>
          <w:cantSplit/>
        </w:trPr>
        <w:tc>
          <w:tcPr>
            <w:tcW w:w="2173" w:type="dxa"/>
          </w:tcPr>
          <w:p>
            <w:pPr>
              <w:pStyle w:val="yTableNAm"/>
              <w:rPr>
                <w:sz w:val="20"/>
              </w:rPr>
            </w:pPr>
            <w:r>
              <w:rPr>
                <w:sz w:val="20"/>
              </w:rPr>
              <w:t>Narembeen</w:t>
            </w:r>
          </w:p>
        </w:tc>
        <w:tc>
          <w:tcPr>
            <w:tcW w:w="2081" w:type="dxa"/>
          </w:tcPr>
          <w:p>
            <w:pPr>
              <w:pStyle w:val="yTableNAm"/>
              <w:tabs>
                <w:tab w:val="clear" w:pos="567"/>
                <w:tab w:val="decimal" w:pos="1100"/>
                <w:tab w:val="decimal" w:pos="3480"/>
              </w:tabs>
              <w:ind w:right="579"/>
              <w:jc w:val="right"/>
              <w:rPr>
                <w:sz w:val="20"/>
              </w:rPr>
            </w:pPr>
            <w:r>
              <w:rPr>
                <w:sz w:val="20"/>
              </w:rPr>
              <w:t>8.752</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Narrogin</w:t>
            </w:r>
          </w:p>
        </w:tc>
        <w:tc>
          <w:tcPr>
            <w:tcW w:w="2081" w:type="dxa"/>
          </w:tcPr>
          <w:p>
            <w:pPr>
              <w:pStyle w:val="yTableNAm"/>
              <w:tabs>
                <w:tab w:val="clear" w:pos="567"/>
                <w:tab w:val="decimal" w:pos="1100"/>
                <w:tab w:val="decimal" w:pos="3480"/>
              </w:tabs>
              <w:ind w:right="579"/>
              <w:jc w:val="right"/>
              <w:rPr>
                <w:sz w:val="20"/>
              </w:rPr>
            </w:pPr>
            <w:r>
              <w:rPr>
                <w:sz w:val="20"/>
              </w:rPr>
              <w:t>4.728</w:t>
            </w:r>
          </w:p>
        </w:tc>
        <w:tc>
          <w:tcPr>
            <w:tcW w:w="2174" w:type="dxa"/>
          </w:tcPr>
          <w:p>
            <w:pPr>
              <w:pStyle w:val="yTableNAm"/>
              <w:tabs>
                <w:tab w:val="clear" w:pos="567"/>
                <w:tab w:val="decimal" w:pos="1100"/>
                <w:tab w:val="decimal" w:pos="3480"/>
              </w:tabs>
              <w:ind w:right="551"/>
              <w:jc w:val="right"/>
              <w:rPr>
                <w:sz w:val="20"/>
              </w:rPr>
            </w:pPr>
            <w:r>
              <w:rPr>
                <w:sz w:val="20"/>
              </w:rPr>
              <w:t>4.621</w:t>
            </w:r>
          </w:p>
        </w:tc>
      </w:tr>
      <w:tr>
        <w:trPr>
          <w:cantSplit/>
        </w:trPr>
        <w:tc>
          <w:tcPr>
            <w:tcW w:w="2173" w:type="dxa"/>
          </w:tcPr>
          <w:p>
            <w:pPr>
              <w:pStyle w:val="yTableNAm"/>
              <w:rPr>
                <w:sz w:val="20"/>
              </w:rPr>
            </w:pPr>
            <w:r>
              <w:rPr>
                <w:sz w:val="20"/>
              </w:rPr>
              <w:t>Newdegate</w:t>
            </w:r>
          </w:p>
        </w:tc>
        <w:tc>
          <w:tcPr>
            <w:tcW w:w="2081" w:type="dxa"/>
          </w:tcPr>
          <w:p>
            <w:pPr>
              <w:pStyle w:val="yTableNAm"/>
              <w:tabs>
                <w:tab w:val="clear" w:pos="567"/>
                <w:tab w:val="decimal" w:pos="1100"/>
                <w:tab w:val="decimal" w:pos="3480"/>
              </w:tabs>
              <w:ind w:right="579"/>
              <w:jc w:val="right"/>
              <w:rPr>
                <w:sz w:val="20"/>
              </w:rPr>
            </w:pPr>
            <w:r>
              <w:rPr>
                <w:sz w:val="20"/>
              </w:rPr>
              <w:t>10.296</w:t>
            </w:r>
          </w:p>
        </w:tc>
        <w:tc>
          <w:tcPr>
            <w:tcW w:w="2174" w:type="dxa"/>
          </w:tcPr>
          <w:p>
            <w:pPr>
              <w:pStyle w:val="yTableNAm"/>
              <w:tabs>
                <w:tab w:val="clear" w:pos="567"/>
                <w:tab w:val="decimal" w:pos="1100"/>
                <w:tab w:val="decimal" w:pos="3480"/>
              </w:tabs>
              <w:ind w:right="551"/>
              <w:jc w:val="right"/>
              <w:rPr>
                <w:sz w:val="20"/>
              </w:rPr>
            </w:pPr>
            <w:r>
              <w:rPr>
                <w:sz w:val="20"/>
              </w:rPr>
              <w:t>9.030</w:t>
            </w:r>
          </w:p>
        </w:tc>
      </w:tr>
      <w:tr>
        <w:trPr>
          <w:cantSplit/>
        </w:trPr>
        <w:tc>
          <w:tcPr>
            <w:tcW w:w="2173" w:type="dxa"/>
          </w:tcPr>
          <w:p>
            <w:pPr>
              <w:pStyle w:val="yTableNAm"/>
              <w:rPr>
                <w:sz w:val="20"/>
              </w:rPr>
            </w:pPr>
            <w:r>
              <w:rPr>
                <w:sz w:val="20"/>
              </w:rPr>
              <w:t>Newman</w:t>
            </w:r>
          </w:p>
        </w:tc>
        <w:tc>
          <w:tcPr>
            <w:tcW w:w="2081" w:type="dxa"/>
          </w:tcPr>
          <w:p>
            <w:pPr>
              <w:pStyle w:val="yTableNAm"/>
              <w:tabs>
                <w:tab w:val="clear" w:pos="567"/>
                <w:tab w:val="decimal" w:pos="1100"/>
                <w:tab w:val="decimal" w:pos="3480"/>
              </w:tabs>
              <w:ind w:right="579"/>
              <w:jc w:val="right"/>
              <w:rPr>
                <w:sz w:val="20"/>
              </w:rPr>
            </w:pPr>
            <w:r>
              <w:rPr>
                <w:sz w:val="20"/>
              </w:rPr>
              <w:t>1.940</w:t>
            </w:r>
          </w:p>
        </w:tc>
        <w:tc>
          <w:tcPr>
            <w:tcW w:w="2174" w:type="dxa"/>
          </w:tcPr>
          <w:p>
            <w:pPr>
              <w:pStyle w:val="yTableNAm"/>
              <w:tabs>
                <w:tab w:val="clear" w:pos="567"/>
                <w:tab w:val="decimal" w:pos="1100"/>
                <w:tab w:val="decimal" w:pos="3480"/>
              </w:tabs>
              <w:ind w:right="551"/>
              <w:jc w:val="right"/>
              <w:rPr>
                <w:sz w:val="20"/>
              </w:rPr>
            </w:pPr>
            <w:r>
              <w:rPr>
                <w:sz w:val="20"/>
              </w:rPr>
              <w:t>0.798</w:t>
            </w:r>
          </w:p>
        </w:tc>
      </w:tr>
      <w:tr>
        <w:trPr>
          <w:cantSplit/>
        </w:trPr>
        <w:tc>
          <w:tcPr>
            <w:tcW w:w="2173" w:type="dxa"/>
          </w:tcPr>
          <w:p>
            <w:pPr>
              <w:pStyle w:val="yTableNAm"/>
              <w:rPr>
                <w:sz w:val="20"/>
              </w:rPr>
            </w:pPr>
            <w:r>
              <w:rPr>
                <w:sz w:val="20"/>
              </w:rPr>
              <w:t>Northam</w:t>
            </w:r>
          </w:p>
        </w:tc>
        <w:tc>
          <w:tcPr>
            <w:tcW w:w="2081" w:type="dxa"/>
          </w:tcPr>
          <w:p>
            <w:pPr>
              <w:pStyle w:val="yTableNAm"/>
              <w:tabs>
                <w:tab w:val="clear" w:pos="567"/>
                <w:tab w:val="decimal" w:pos="1100"/>
                <w:tab w:val="decimal" w:pos="3480"/>
              </w:tabs>
              <w:ind w:right="579"/>
              <w:jc w:val="right"/>
              <w:rPr>
                <w:sz w:val="20"/>
              </w:rPr>
            </w:pPr>
            <w:r>
              <w:rPr>
                <w:sz w:val="20"/>
              </w:rPr>
              <w:t>9.203</w:t>
            </w:r>
          </w:p>
        </w:tc>
        <w:tc>
          <w:tcPr>
            <w:tcW w:w="2174" w:type="dxa"/>
          </w:tcPr>
          <w:p>
            <w:pPr>
              <w:pStyle w:val="yTableNAm"/>
              <w:tabs>
                <w:tab w:val="clear" w:pos="567"/>
                <w:tab w:val="decimal" w:pos="1100"/>
                <w:tab w:val="decimal" w:pos="3480"/>
              </w:tabs>
              <w:ind w:right="551"/>
              <w:jc w:val="right"/>
              <w:rPr>
                <w:sz w:val="20"/>
              </w:rPr>
            </w:pPr>
            <w:r>
              <w:rPr>
                <w:sz w:val="20"/>
              </w:rPr>
              <w:t>4.461</w:t>
            </w:r>
          </w:p>
        </w:tc>
      </w:tr>
      <w:tr>
        <w:trPr>
          <w:cantSplit/>
        </w:trPr>
        <w:tc>
          <w:tcPr>
            <w:tcW w:w="2173" w:type="dxa"/>
          </w:tcPr>
          <w:p>
            <w:pPr>
              <w:pStyle w:val="yTableNAm"/>
              <w:rPr>
                <w:sz w:val="20"/>
              </w:rPr>
            </w:pPr>
            <w:r>
              <w:rPr>
                <w:sz w:val="20"/>
              </w:rPr>
              <w:t>Onslow</w:t>
            </w:r>
          </w:p>
        </w:tc>
        <w:tc>
          <w:tcPr>
            <w:tcW w:w="2081" w:type="dxa"/>
          </w:tcPr>
          <w:p>
            <w:pPr>
              <w:pStyle w:val="yTableNAm"/>
              <w:tabs>
                <w:tab w:val="clear" w:pos="567"/>
                <w:tab w:val="decimal" w:pos="1100"/>
                <w:tab w:val="decimal" w:pos="3480"/>
              </w:tabs>
              <w:ind w:right="579"/>
              <w:jc w:val="right"/>
              <w:rPr>
                <w:sz w:val="20"/>
              </w:rPr>
            </w:pPr>
            <w:r>
              <w:rPr>
                <w:sz w:val="20"/>
              </w:rPr>
              <w:t>10.111</w:t>
            </w:r>
          </w:p>
        </w:tc>
        <w:tc>
          <w:tcPr>
            <w:tcW w:w="2174" w:type="dxa"/>
          </w:tcPr>
          <w:p>
            <w:pPr>
              <w:pStyle w:val="yTableNAm"/>
              <w:tabs>
                <w:tab w:val="clear" w:pos="567"/>
                <w:tab w:val="decimal" w:pos="1100"/>
                <w:tab w:val="decimal" w:pos="3480"/>
              </w:tabs>
              <w:ind w:right="551"/>
              <w:jc w:val="right"/>
              <w:rPr>
                <w:sz w:val="20"/>
              </w:rPr>
            </w:pPr>
            <w:r>
              <w:rPr>
                <w:sz w:val="20"/>
              </w:rPr>
              <w:t>4.319</w:t>
            </w:r>
          </w:p>
        </w:tc>
      </w:tr>
      <w:tr>
        <w:trPr>
          <w:cantSplit/>
        </w:trPr>
        <w:tc>
          <w:tcPr>
            <w:tcW w:w="2173" w:type="dxa"/>
          </w:tcPr>
          <w:p>
            <w:pPr>
              <w:pStyle w:val="yTableNAm"/>
              <w:rPr>
                <w:sz w:val="20"/>
              </w:rPr>
            </w:pPr>
            <w:r>
              <w:rPr>
                <w:sz w:val="20"/>
              </w:rPr>
              <w:t>Pemberton</w:t>
            </w:r>
          </w:p>
        </w:tc>
        <w:tc>
          <w:tcPr>
            <w:tcW w:w="2081" w:type="dxa"/>
          </w:tcPr>
          <w:p>
            <w:pPr>
              <w:pStyle w:val="yTableNAm"/>
              <w:tabs>
                <w:tab w:val="clear" w:pos="567"/>
                <w:tab w:val="decimal" w:pos="1100"/>
                <w:tab w:val="decimal" w:pos="3480"/>
              </w:tabs>
              <w:ind w:right="579"/>
              <w:jc w:val="right"/>
              <w:rPr>
                <w:sz w:val="20"/>
              </w:rPr>
            </w:pPr>
            <w:r>
              <w:rPr>
                <w:sz w:val="20"/>
              </w:rPr>
              <w:t>8.558</w:t>
            </w:r>
          </w:p>
        </w:tc>
        <w:tc>
          <w:tcPr>
            <w:tcW w:w="2174" w:type="dxa"/>
          </w:tcPr>
          <w:p>
            <w:pPr>
              <w:pStyle w:val="yTableNAm"/>
              <w:tabs>
                <w:tab w:val="clear" w:pos="567"/>
                <w:tab w:val="decimal" w:pos="1100"/>
                <w:tab w:val="decimal" w:pos="3480"/>
              </w:tabs>
              <w:ind w:right="551"/>
              <w:jc w:val="right"/>
              <w:rPr>
                <w:sz w:val="20"/>
              </w:rPr>
            </w:pPr>
            <w:r>
              <w:rPr>
                <w:sz w:val="20"/>
              </w:rPr>
              <w:t>6.644</w:t>
            </w:r>
          </w:p>
        </w:tc>
      </w:tr>
      <w:tr>
        <w:trPr>
          <w:cantSplit/>
        </w:trPr>
        <w:tc>
          <w:tcPr>
            <w:tcW w:w="2173" w:type="dxa"/>
          </w:tcPr>
          <w:p>
            <w:pPr>
              <w:pStyle w:val="yTableNAm"/>
              <w:rPr>
                <w:sz w:val="20"/>
              </w:rPr>
            </w:pPr>
            <w:r>
              <w:rPr>
                <w:sz w:val="20"/>
              </w:rPr>
              <w:t>Pingelly</w:t>
            </w:r>
          </w:p>
        </w:tc>
        <w:tc>
          <w:tcPr>
            <w:tcW w:w="2081" w:type="dxa"/>
          </w:tcPr>
          <w:p>
            <w:pPr>
              <w:pStyle w:val="yTableNAm"/>
              <w:tabs>
                <w:tab w:val="clear" w:pos="567"/>
                <w:tab w:val="decimal" w:pos="1100"/>
                <w:tab w:val="decimal" w:pos="3480"/>
              </w:tabs>
              <w:ind w:right="579"/>
              <w:jc w:val="right"/>
              <w:rPr>
                <w:sz w:val="20"/>
              </w:rPr>
            </w:pPr>
            <w:r>
              <w:rPr>
                <w:sz w:val="20"/>
              </w:rPr>
              <w:t>7.507</w:t>
            </w:r>
          </w:p>
        </w:tc>
        <w:tc>
          <w:tcPr>
            <w:tcW w:w="2174" w:type="dxa"/>
          </w:tcPr>
          <w:p>
            <w:pPr>
              <w:pStyle w:val="yTableNAm"/>
              <w:tabs>
                <w:tab w:val="clear" w:pos="567"/>
                <w:tab w:val="decimal" w:pos="1100"/>
                <w:tab w:val="decimal" w:pos="3480"/>
              </w:tabs>
              <w:ind w:right="551"/>
              <w:jc w:val="right"/>
              <w:rPr>
                <w:sz w:val="20"/>
              </w:rPr>
            </w:pPr>
            <w:r>
              <w:rPr>
                <w:sz w:val="20"/>
              </w:rPr>
              <w:t>3.991</w:t>
            </w:r>
          </w:p>
        </w:tc>
      </w:tr>
      <w:tr>
        <w:trPr>
          <w:cantSplit/>
        </w:trPr>
        <w:tc>
          <w:tcPr>
            <w:tcW w:w="2173" w:type="dxa"/>
          </w:tcPr>
          <w:p>
            <w:pPr>
              <w:pStyle w:val="yTableNAm"/>
              <w:rPr>
                <w:sz w:val="20"/>
              </w:rPr>
            </w:pPr>
            <w:r>
              <w:rPr>
                <w:sz w:val="20"/>
              </w:rPr>
              <w:t>Pinjarra</w:t>
            </w:r>
          </w:p>
        </w:tc>
        <w:tc>
          <w:tcPr>
            <w:tcW w:w="2081" w:type="dxa"/>
          </w:tcPr>
          <w:p>
            <w:pPr>
              <w:pStyle w:val="yTableNAm"/>
              <w:tabs>
                <w:tab w:val="clear" w:pos="567"/>
                <w:tab w:val="decimal" w:pos="1100"/>
                <w:tab w:val="decimal" w:pos="3480"/>
              </w:tabs>
              <w:ind w:right="579"/>
              <w:jc w:val="right"/>
              <w:rPr>
                <w:sz w:val="20"/>
              </w:rPr>
            </w:pPr>
            <w:r>
              <w:rPr>
                <w:sz w:val="20"/>
              </w:rPr>
              <w:t>5.741</w:t>
            </w:r>
          </w:p>
        </w:tc>
        <w:tc>
          <w:tcPr>
            <w:tcW w:w="2174" w:type="dxa"/>
          </w:tcPr>
          <w:p>
            <w:pPr>
              <w:pStyle w:val="yTableNAm"/>
              <w:tabs>
                <w:tab w:val="clear" w:pos="567"/>
                <w:tab w:val="decimal" w:pos="1100"/>
                <w:tab w:val="decimal" w:pos="3480"/>
              </w:tabs>
              <w:ind w:right="551"/>
              <w:jc w:val="right"/>
              <w:rPr>
                <w:sz w:val="20"/>
              </w:rPr>
            </w:pPr>
            <w:r>
              <w:rPr>
                <w:sz w:val="20"/>
              </w:rPr>
              <w:t>2.923</w:t>
            </w:r>
          </w:p>
        </w:tc>
      </w:tr>
      <w:tr>
        <w:trPr>
          <w:cantSplit/>
        </w:trPr>
        <w:tc>
          <w:tcPr>
            <w:tcW w:w="2173" w:type="dxa"/>
          </w:tcPr>
          <w:p>
            <w:pPr>
              <w:pStyle w:val="yTableNAm"/>
              <w:rPr>
                <w:sz w:val="20"/>
              </w:rPr>
            </w:pPr>
            <w:r>
              <w:rPr>
                <w:sz w:val="20"/>
              </w:rPr>
              <w:t>Port Hedland</w:t>
            </w:r>
          </w:p>
        </w:tc>
        <w:tc>
          <w:tcPr>
            <w:tcW w:w="2081" w:type="dxa"/>
          </w:tcPr>
          <w:p>
            <w:pPr>
              <w:pStyle w:val="yTableNAm"/>
              <w:tabs>
                <w:tab w:val="clear" w:pos="567"/>
                <w:tab w:val="decimal" w:pos="1100"/>
                <w:tab w:val="decimal" w:pos="3480"/>
              </w:tabs>
              <w:ind w:right="579"/>
              <w:jc w:val="right"/>
              <w:rPr>
                <w:sz w:val="20"/>
              </w:rPr>
            </w:pPr>
            <w:r>
              <w:rPr>
                <w:sz w:val="20"/>
              </w:rPr>
              <w:t>3.703</w:t>
            </w:r>
          </w:p>
        </w:tc>
        <w:tc>
          <w:tcPr>
            <w:tcW w:w="2174" w:type="dxa"/>
          </w:tcPr>
          <w:p>
            <w:pPr>
              <w:pStyle w:val="yTableNAm"/>
              <w:tabs>
                <w:tab w:val="clear" w:pos="567"/>
                <w:tab w:val="decimal" w:pos="1100"/>
                <w:tab w:val="decimal" w:pos="3480"/>
              </w:tabs>
              <w:ind w:right="551"/>
              <w:jc w:val="right"/>
              <w:rPr>
                <w:sz w:val="20"/>
              </w:rPr>
            </w:pPr>
            <w:r>
              <w:rPr>
                <w:sz w:val="20"/>
              </w:rPr>
              <w:t>1.067</w:t>
            </w:r>
          </w:p>
        </w:tc>
      </w:tr>
      <w:tr>
        <w:trPr>
          <w:cantSplit/>
        </w:trPr>
        <w:tc>
          <w:tcPr>
            <w:tcW w:w="2173" w:type="dxa"/>
          </w:tcPr>
          <w:p>
            <w:pPr>
              <w:pStyle w:val="yTableNAm"/>
              <w:rPr>
                <w:sz w:val="20"/>
              </w:rPr>
            </w:pPr>
            <w:r>
              <w:rPr>
                <w:sz w:val="20"/>
              </w:rPr>
              <w:t>Quairading</w:t>
            </w:r>
          </w:p>
        </w:tc>
        <w:tc>
          <w:tcPr>
            <w:tcW w:w="2081" w:type="dxa"/>
          </w:tcPr>
          <w:p>
            <w:pPr>
              <w:pStyle w:val="yTableNAm"/>
              <w:tabs>
                <w:tab w:val="clear" w:pos="567"/>
                <w:tab w:val="decimal" w:pos="1100"/>
                <w:tab w:val="decimal" w:pos="3480"/>
              </w:tabs>
              <w:ind w:right="579"/>
              <w:jc w:val="right"/>
              <w:rPr>
                <w:sz w:val="20"/>
              </w:rPr>
            </w:pPr>
            <w:r>
              <w:rPr>
                <w:sz w:val="20"/>
              </w:rPr>
              <w:t>10.658</w:t>
            </w:r>
          </w:p>
        </w:tc>
        <w:tc>
          <w:tcPr>
            <w:tcW w:w="2174" w:type="dxa"/>
          </w:tcPr>
          <w:p>
            <w:pPr>
              <w:pStyle w:val="yTableNAm"/>
              <w:tabs>
                <w:tab w:val="clear" w:pos="567"/>
                <w:tab w:val="decimal" w:pos="1100"/>
                <w:tab w:val="decimal" w:pos="3480"/>
              </w:tabs>
              <w:ind w:right="551"/>
              <w:jc w:val="right"/>
              <w:rPr>
                <w:sz w:val="20"/>
              </w:rPr>
            </w:pPr>
            <w:r>
              <w:rPr>
                <w:sz w:val="20"/>
              </w:rPr>
              <w:t>11.335</w:t>
            </w:r>
          </w:p>
        </w:tc>
      </w:tr>
      <w:tr>
        <w:trPr>
          <w:cantSplit/>
        </w:trPr>
        <w:tc>
          <w:tcPr>
            <w:tcW w:w="2173" w:type="dxa"/>
          </w:tcPr>
          <w:p>
            <w:pPr>
              <w:pStyle w:val="yTableNAm"/>
              <w:rPr>
                <w:sz w:val="20"/>
              </w:rPr>
            </w:pPr>
            <w:r>
              <w:rPr>
                <w:sz w:val="20"/>
              </w:rPr>
              <w:t>Roebourne</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Seabird</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4.268</w:t>
            </w:r>
          </w:p>
        </w:tc>
      </w:tr>
      <w:tr>
        <w:tblPrEx>
          <w:tblCellMar>
            <w:left w:w="108" w:type="dxa"/>
            <w:right w:w="108" w:type="dxa"/>
          </w:tblCellMar>
        </w:tblPrEx>
        <w:trPr>
          <w:cantSplit/>
        </w:trPr>
        <w:tc>
          <w:tcPr>
            <w:tcW w:w="2173" w:type="dxa"/>
          </w:tcPr>
          <w:p>
            <w:pPr>
              <w:pStyle w:val="yTableNAm"/>
              <w:rPr>
                <w:sz w:val="20"/>
              </w:rPr>
            </w:pPr>
            <w:r>
              <w:rPr>
                <w:sz w:val="20"/>
              </w:rPr>
              <w:t>Tambellup</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Three Springs</w:t>
            </w:r>
          </w:p>
        </w:tc>
        <w:tc>
          <w:tcPr>
            <w:tcW w:w="2081" w:type="dxa"/>
          </w:tcPr>
          <w:p>
            <w:pPr>
              <w:pStyle w:val="yTableNAm"/>
              <w:tabs>
                <w:tab w:val="clear" w:pos="567"/>
                <w:tab w:val="decimal" w:pos="1100"/>
                <w:tab w:val="decimal" w:pos="3480"/>
              </w:tabs>
              <w:ind w:right="579"/>
              <w:jc w:val="right"/>
              <w:rPr>
                <w:sz w:val="20"/>
              </w:rPr>
            </w:pPr>
            <w:r>
              <w:rPr>
                <w:sz w:val="20"/>
              </w:rPr>
              <w:t>9.557</w:t>
            </w:r>
          </w:p>
        </w:tc>
        <w:tc>
          <w:tcPr>
            <w:tcW w:w="2174" w:type="dxa"/>
          </w:tcPr>
          <w:p>
            <w:pPr>
              <w:pStyle w:val="yTableNAm"/>
              <w:tabs>
                <w:tab w:val="clear" w:pos="567"/>
                <w:tab w:val="decimal" w:pos="1100"/>
                <w:tab w:val="decimal" w:pos="3480"/>
              </w:tabs>
              <w:ind w:right="551"/>
              <w:jc w:val="right"/>
              <w:rPr>
                <w:sz w:val="20"/>
              </w:rPr>
            </w:pPr>
            <w:r>
              <w:rPr>
                <w:sz w:val="20"/>
              </w:rPr>
              <w:t>8.853</w:t>
            </w:r>
          </w:p>
        </w:tc>
      </w:tr>
      <w:tr>
        <w:trPr>
          <w:cantSplit/>
        </w:trPr>
        <w:tc>
          <w:tcPr>
            <w:tcW w:w="2173" w:type="dxa"/>
          </w:tcPr>
          <w:p>
            <w:pPr>
              <w:pStyle w:val="yTableNAm"/>
              <w:rPr>
                <w:sz w:val="20"/>
              </w:rPr>
            </w:pPr>
            <w:r>
              <w:rPr>
                <w:sz w:val="20"/>
              </w:rPr>
              <w:t>Toodyay</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10.369</w:t>
            </w:r>
          </w:p>
        </w:tc>
      </w:tr>
      <w:tr>
        <w:trPr>
          <w:cantSplit/>
        </w:trPr>
        <w:tc>
          <w:tcPr>
            <w:tcW w:w="2173" w:type="dxa"/>
          </w:tcPr>
          <w:p>
            <w:pPr>
              <w:pStyle w:val="yTableNAm"/>
              <w:rPr>
                <w:sz w:val="20"/>
              </w:rPr>
            </w:pPr>
            <w:r>
              <w:rPr>
                <w:sz w:val="20"/>
              </w:rPr>
              <w:t>Wagin</w:t>
            </w:r>
          </w:p>
        </w:tc>
        <w:tc>
          <w:tcPr>
            <w:tcW w:w="2081" w:type="dxa"/>
          </w:tcPr>
          <w:p>
            <w:pPr>
              <w:pStyle w:val="yTableNAm"/>
              <w:tabs>
                <w:tab w:val="clear" w:pos="567"/>
                <w:tab w:val="decimal" w:pos="1100"/>
                <w:tab w:val="decimal" w:pos="3480"/>
              </w:tabs>
              <w:ind w:right="579"/>
              <w:jc w:val="right"/>
              <w:rPr>
                <w:sz w:val="20"/>
              </w:rPr>
            </w:pPr>
            <w:r>
              <w:rPr>
                <w:sz w:val="20"/>
              </w:rPr>
              <w:t>9.218</w:t>
            </w:r>
          </w:p>
        </w:tc>
        <w:tc>
          <w:tcPr>
            <w:tcW w:w="2174" w:type="dxa"/>
          </w:tcPr>
          <w:p>
            <w:pPr>
              <w:pStyle w:val="yTableNAm"/>
              <w:tabs>
                <w:tab w:val="clear" w:pos="567"/>
                <w:tab w:val="decimal" w:pos="1100"/>
                <w:tab w:val="decimal" w:pos="3480"/>
              </w:tabs>
              <w:ind w:right="551"/>
              <w:jc w:val="right"/>
              <w:rPr>
                <w:sz w:val="20"/>
              </w:rPr>
            </w:pPr>
            <w:r>
              <w:rPr>
                <w:sz w:val="20"/>
              </w:rPr>
              <w:t>10.183</w:t>
            </w:r>
          </w:p>
        </w:tc>
      </w:tr>
      <w:tr>
        <w:trPr>
          <w:cantSplit/>
        </w:trPr>
        <w:tc>
          <w:tcPr>
            <w:tcW w:w="2173" w:type="dxa"/>
          </w:tcPr>
          <w:p>
            <w:pPr>
              <w:pStyle w:val="yTableNAm"/>
              <w:rPr>
                <w:sz w:val="20"/>
              </w:rPr>
            </w:pPr>
            <w:r>
              <w:rPr>
                <w:sz w:val="20"/>
              </w:rPr>
              <w:t>Walpole</w:t>
            </w:r>
          </w:p>
        </w:tc>
        <w:tc>
          <w:tcPr>
            <w:tcW w:w="2081" w:type="dxa"/>
          </w:tcPr>
          <w:p>
            <w:pPr>
              <w:pStyle w:val="yTableNAm"/>
              <w:tabs>
                <w:tab w:val="clear" w:pos="567"/>
                <w:tab w:val="decimal" w:pos="1100"/>
                <w:tab w:val="decimal" w:pos="3480"/>
              </w:tabs>
              <w:ind w:right="579"/>
              <w:jc w:val="right"/>
              <w:rPr>
                <w:sz w:val="20"/>
              </w:rPr>
            </w:pPr>
            <w:r>
              <w:rPr>
                <w:sz w:val="20"/>
              </w:rPr>
              <w:t>9.094</w:t>
            </w:r>
          </w:p>
        </w:tc>
        <w:tc>
          <w:tcPr>
            <w:tcW w:w="2174" w:type="dxa"/>
          </w:tcPr>
          <w:p>
            <w:pPr>
              <w:pStyle w:val="yTableNAm"/>
              <w:tabs>
                <w:tab w:val="clear" w:pos="567"/>
                <w:tab w:val="decimal" w:pos="1100"/>
                <w:tab w:val="decimal" w:pos="3480"/>
              </w:tabs>
              <w:ind w:right="551"/>
              <w:jc w:val="right"/>
              <w:rPr>
                <w:sz w:val="20"/>
              </w:rPr>
            </w:pPr>
            <w:r>
              <w:rPr>
                <w:sz w:val="20"/>
              </w:rPr>
              <w:t>5.254</w:t>
            </w:r>
          </w:p>
        </w:tc>
      </w:tr>
      <w:tr>
        <w:trPr>
          <w:cantSplit/>
        </w:trPr>
        <w:tc>
          <w:tcPr>
            <w:tcW w:w="2173" w:type="dxa"/>
          </w:tcPr>
          <w:p>
            <w:pPr>
              <w:pStyle w:val="yTableNAm"/>
              <w:rPr>
                <w:sz w:val="20"/>
              </w:rPr>
            </w:pPr>
            <w:r>
              <w:rPr>
                <w:sz w:val="20"/>
              </w:rPr>
              <w:t>Waroona</w:t>
            </w:r>
          </w:p>
        </w:tc>
        <w:tc>
          <w:tcPr>
            <w:tcW w:w="2081" w:type="dxa"/>
          </w:tcPr>
          <w:p>
            <w:pPr>
              <w:pStyle w:val="yTableNAm"/>
              <w:tabs>
                <w:tab w:val="clear" w:pos="567"/>
                <w:tab w:val="decimal" w:pos="1100"/>
                <w:tab w:val="decimal" w:pos="3480"/>
              </w:tabs>
              <w:ind w:right="579"/>
              <w:jc w:val="right"/>
              <w:rPr>
                <w:sz w:val="20"/>
              </w:rPr>
            </w:pPr>
            <w:r>
              <w:rPr>
                <w:sz w:val="20"/>
              </w:rPr>
              <w:t>4.906</w:t>
            </w:r>
          </w:p>
        </w:tc>
        <w:tc>
          <w:tcPr>
            <w:tcW w:w="2174" w:type="dxa"/>
          </w:tcPr>
          <w:p>
            <w:pPr>
              <w:pStyle w:val="yTableNAm"/>
              <w:tabs>
                <w:tab w:val="clear" w:pos="567"/>
                <w:tab w:val="decimal" w:pos="1100"/>
                <w:tab w:val="decimal" w:pos="3480"/>
              </w:tabs>
              <w:ind w:right="551"/>
              <w:jc w:val="right"/>
              <w:rPr>
                <w:sz w:val="20"/>
              </w:rPr>
            </w:pPr>
            <w:r>
              <w:rPr>
                <w:sz w:val="20"/>
              </w:rPr>
              <w:t>2.992</w:t>
            </w:r>
          </w:p>
        </w:tc>
      </w:tr>
      <w:tr>
        <w:trPr>
          <w:cantSplit/>
        </w:trPr>
        <w:tc>
          <w:tcPr>
            <w:tcW w:w="2173" w:type="dxa"/>
          </w:tcPr>
          <w:p>
            <w:pPr>
              <w:pStyle w:val="yTableNAm"/>
              <w:rPr>
                <w:sz w:val="20"/>
              </w:rPr>
            </w:pPr>
            <w:r>
              <w:rPr>
                <w:sz w:val="20"/>
              </w:rPr>
              <w:t>Wickham</w:t>
            </w:r>
          </w:p>
        </w:tc>
        <w:tc>
          <w:tcPr>
            <w:tcW w:w="2081" w:type="dxa"/>
          </w:tcPr>
          <w:p>
            <w:pPr>
              <w:pStyle w:val="yTableNAm"/>
              <w:tabs>
                <w:tab w:val="clear" w:pos="567"/>
                <w:tab w:val="decimal" w:pos="1100"/>
                <w:tab w:val="decimal" w:pos="3480"/>
              </w:tabs>
              <w:ind w:right="579"/>
              <w:jc w:val="right"/>
              <w:rPr>
                <w:sz w:val="20"/>
              </w:rPr>
            </w:pPr>
            <w:r>
              <w:rPr>
                <w:sz w:val="20"/>
              </w:rPr>
              <w:t>7.347</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Williams</w:t>
            </w:r>
          </w:p>
        </w:tc>
        <w:tc>
          <w:tcPr>
            <w:tcW w:w="2081" w:type="dxa"/>
          </w:tcPr>
          <w:p>
            <w:pPr>
              <w:pStyle w:val="yTableNAm"/>
              <w:tabs>
                <w:tab w:val="clear" w:pos="567"/>
                <w:tab w:val="decimal" w:pos="1100"/>
                <w:tab w:val="decimal" w:pos="3480"/>
              </w:tabs>
              <w:ind w:right="579"/>
              <w:jc w:val="right"/>
              <w:rPr>
                <w:sz w:val="20"/>
              </w:rPr>
            </w:pPr>
            <w:r>
              <w:rPr>
                <w:sz w:val="20"/>
              </w:rPr>
              <w:t>6.188</w:t>
            </w:r>
          </w:p>
        </w:tc>
        <w:tc>
          <w:tcPr>
            <w:tcW w:w="2174" w:type="dxa"/>
          </w:tcPr>
          <w:p>
            <w:pPr>
              <w:pStyle w:val="yTableNAm"/>
              <w:tabs>
                <w:tab w:val="clear" w:pos="567"/>
                <w:tab w:val="decimal" w:pos="1100"/>
                <w:tab w:val="decimal" w:pos="3480"/>
              </w:tabs>
              <w:ind w:right="551"/>
              <w:jc w:val="right"/>
              <w:rPr>
                <w:sz w:val="20"/>
              </w:rPr>
            </w:pPr>
            <w:r>
              <w:rPr>
                <w:sz w:val="20"/>
              </w:rPr>
              <w:t>3.494</w:t>
            </w:r>
          </w:p>
        </w:tc>
      </w:tr>
      <w:tr>
        <w:tblPrEx>
          <w:tblCellMar>
            <w:left w:w="108" w:type="dxa"/>
            <w:right w:w="108" w:type="dxa"/>
          </w:tblCellMar>
        </w:tblPrEx>
        <w:trPr>
          <w:cantSplit/>
        </w:trPr>
        <w:tc>
          <w:tcPr>
            <w:tcW w:w="2173" w:type="dxa"/>
          </w:tcPr>
          <w:p>
            <w:pPr>
              <w:pStyle w:val="yTableNAm"/>
              <w:rPr>
                <w:sz w:val="20"/>
              </w:rPr>
            </w:pPr>
            <w:r>
              <w:rPr>
                <w:sz w:val="20"/>
              </w:rPr>
              <w:t>Wiluna</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Wongan Hills</w:t>
            </w:r>
          </w:p>
        </w:tc>
        <w:tc>
          <w:tcPr>
            <w:tcW w:w="2081" w:type="dxa"/>
          </w:tcPr>
          <w:p>
            <w:pPr>
              <w:pStyle w:val="yTableNAm"/>
              <w:tabs>
                <w:tab w:val="clear" w:pos="567"/>
                <w:tab w:val="decimal" w:pos="1100"/>
                <w:tab w:val="decimal" w:pos="3480"/>
              </w:tabs>
              <w:ind w:right="579"/>
              <w:jc w:val="right"/>
              <w:rPr>
                <w:sz w:val="20"/>
              </w:rPr>
            </w:pPr>
            <w:r>
              <w:rPr>
                <w:sz w:val="20"/>
              </w:rPr>
              <w:t>9.186</w:t>
            </w:r>
          </w:p>
        </w:tc>
        <w:tc>
          <w:tcPr>
            <w:tcW w:w="2174" w:type="dxa"/>
          </w:tcPr>
          <w:p>
            <w:pPr>
              <w:pStyle w:val="yTableNAm"/>
              <w:tabs>
                <w:tab w:val="clear" w:pos="567"/>
                <w:tab w:val="decimal" w:pos="1100"/>
                <w:tab w:val="decimal" w:pos="3480"/>
              </w:tabs>
              <w:ind w:right="551"/>
              <w:jc w:val="right"/>
              <w:rPr>
                <w:sz w:val="20"/>
              </w:rPr>
            </w:pPr>
            <w:r>
              <w:rPr>
                <w:sz w:val="20"/>
              </w:rPr>
              <w:t>8.433</w:t>
            </w:r>
          </w:p>
        </w:tc>
      </w:tr>
      <w:tr>
        <w:trPr>
          <w:cantSplit/>
        </w:trPr>
        <w:tc>
          <w:tcPr>
            <w:tcW w:w="2173" w:type="dxa"/>
          </w:tcPr>
          <w:p>
            <w:pPr>
              <w:pStyle w:val="yTableNAm"/>
              <w:rPr>
                <w:sz w:val="20"/>
              </w:rPr>
            </w:pPr>
            <w:r>
              <w:rPr>
                <w:sz w:val="20"/>
              </w:rPr>
              <w:t>Wundowie</w:t>
            </w:r>
          </w:p>
        </w:tc>
        <w:tc>
          <w:tcPr>
            <w:tcW w:w="2081" w:type="dxa"/>
          </w:tcPr>
          <w:p>
            <w:pPr>
              <w:pStyle w:val="yTableNAm"/>
              <w:tabs>
                <w:tab w:val="clear" w:pos="567"/>
                <w:tab w:val="decimal" w:pos="1100"/>
                <w:tab w:val="decimal" w:pos="3480"/>
              </w:tabs>
              <w:ind w:right="579"/>
              <w:jc w:val="right"/>
              <w:rPr>
                <w:sz w:val="20"/>
              </w:rPr>
            </w:pPr>
            <w:r>
              <w:rPr>
                <w:sz w:val="20"/>
              </w:rPr>
              <w:t>10.121</w:t>
            </w:r>
          </w:p>
        </w:tc>
        <w:tc>
          <w:tcPr>
            <w:tcW w:w="2174" w:type="dxa"/>
          </w:tcPr>
          <w:p>
            <w:pPr>
              <w:pStyle w:val="yTableNAm"/>
              <w:tabs>
                <w:tab w:val="clear" w:pos="567"/>
                <w:tab w:val="decimal" w:pos="1100"/>
                <w:tab w:val="decimal" w:pos="3480"/>
              </w:tabs>
              <w:ind w:right="551"/>
              <w:jc w:val="right"/>
              <w:rPr>
                <w:sz w:val="20"/>
              </w:rPr>
            </w:pPr>
            <w:r>
              <w:rPr>
                <w:sz w:val="20"/>
              </w:rPr>
              <w:t>4.892</w:t>
            </w:r>
          </w:p>
        </w:tc>
      </w:tr>
      <w:tr>
        <w:trPr>
          <w:cantSplit/>
        </w:trPr>
        <w:tc>
          <w:tcPr>
            <w:tcW w:w="2173" w:type="dxa"/>
          </w:tcPr>
          <w:p>
            <w:pPr>
              <w:pStyle w:val="yTableNAm"/>
              <w:rPr>
                <w:sz w:val="20"/>
              </w:rPr>
            </w:pPr>
            <w:r>
              <w:rPr>
                <w:sz w:val="20"/>
              </w:rPr>
              <w:t>Wyalkatchem</w:t>
            </w:r>
          </w:p>
        </w:tc>
        <w:tc>
          <w:tcPr>
            <w:tcW w:w="2081" w:type="dxa"/>
          </w:tcPr>
          <w:p>
            <w:pPr>
              <w:pStyle w:val="yTableNAm"/>
              <w:tabs>
                <w:tab w:val="clear" w:pos="567"/>
                <w:tab w:val="decimal" w:pos="1100"/>
                <w:tab w:val="decimal" w:pos="3480"/>
              </w:tabs>
              <w:ind w:right="579"/>
              <w:jc w:val="right"/>
              <w:rPr>
                <w:sz w:val="20"/>
              </w:rPr>
            </w:pPr>
            <w:r>
              <w:rPr>
                <w:sz w:val="20"/>
              </w:rPr>
              <w:t>8.914</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Wyndham</w:t>
            </w:r>
          </w:p>
        </w:tc>
        <w:tc>
          <w:tcPr>
            <w:tcW w:w="2081" w:type="dxa"/>
          </w:tcPr>
          <w:p>
            <w:pPr>
              <w:pStyle w:val="yTableNAm"/>
              <w:tabs>
                <w:tab w:val="clear" w:pos="567"/>
                <w:tab w:val="decimal" w:pos="1100"/>
                <w:tab w:val="decimal" w:pos="3480"/>
              </w:tabs>
              <w:ind w:right="579"/>
              <w:jc w:val="right"/>
              <w:rPr>
                <w:sz w:val="20"/>
              </w:rPr>
            </w:pPr>
            <w:r>
              <w:rPr>
                <w:sz w:val="20"/>
              </w:rPr>
              <w:t>6.579</w:t>
            </w:r>
          </w:p>
        </w:tc>
        <w:tc>
          <w:tcPr>
            <w:tcW w:w="2174" w:type="dxa"/>
          </w:tcPr>
          <w:p>
            <w:pPr>
              <w:pStyle w:val="yTableNAm"/>
              <w:tabs>
                <w:tab w:val="clear" w:pos="567"/>
                <w:tab w:val="decimal" w:pos="1100"/>
                <w:tab w:val="decimal" w:pos="3480"/>
              </w:tabs>
              <w:ind w:right="551"/>
              <w:jc w:val="right"/>
              <w:rPr>
                <w:sz w:val="20"/>
              </w:rPr>
            </w:pPr>
            <w:r>
              <w:rPr>
                <w:sz w:val="20"/>
              </w:rPr>
              <w:t>2.258</w:t>
            </w:r>
          </w:p>
        </w:tc>
      </w:tr>
      <w:tr>
        <w:trPr>
          <w:cantSplit/>
        </w:trPr>
        <w:tc>
          <w:tcPr>
            <w:tcW w:w="2173" w:type="dxa"/>
            <w:tcBorders>
              <w:bottom w:val="single" w:sz="4" w:space="0" w:color="auto"/>
            </w:tcBorders>
          </w:tcPr>
          <w:p>
            <w:pPr>
              <w:pStyle w:val="yTableNAm"/>
              <w:rPr>
                <w:sz w:val="20"/>
              </w:rPr>
            </w:pPr>
            <w:r>
              <w:rPr>
                <w:sz w:val="20"/>
              </w:rPr>
              <w:t>York</w:t>
            </w:r>
          </w:p>
        </w:tc>
        <w:tc>
          <w:tcPr>
            <w:tcW w:w="2081" w:type="dxa"/>
            <w:tcBorders>
              <w:bottom w:val="single" w:sz="4" w:space="0" w:color="auto"/>
            </w:tcBorders>
          </w:tcPr>
          <w:p>
            <w:pPr>
              <w:pStyle w:val="yTableNAm"/>
              <w:tabs>
                <w:tab w:val="clear" w:pos="567"/>
                <w:tab w:val="decimal" w:pos="1100"/>
                <w:tab w:val="decimal" w:pos="3480"/>
              </w:tabs>
              <w:ind w:right="579"/>
              <w:jc w:val="right"/>
              <w:rPr>
                <w:sz w:val="20"/>
              </w:rPr>
            </w:pPr>
            <w:r>
              <w:rPr>
                <w:sz w:val="20"/>
              </w:rPr>
              <w:t>12.000</w:t>
            </w:r>
          </w:p>
        </w:tc>
        <w:tc>
          <w:tcPr>
            <w:tcW w:w="2174" w:type="dxa"/>
            <w:tcBorders>
              <w:bottom w:val="single" w:sz="4" w:space="0" w:color="auto"/>
            </w:tcBorders>
          </w:tcPr>
          <w:p>
            <w:pPr>
              <w:pStyle w:val="yTableNAm"/>
              <w:tabs>
                <w:tab w:val="clear" w:pos="567"/>
                <w:tab w:val="decimal" w:pos="1100"/>
                <w:tab w:val="decimal" w:pos="3480"/>
              </w:tabs>
              <w:ind w:right="551"/>
              <w:jc w:val="right"/>
              <w:rPr>
                <w:sz w:val="20"/>
              </w:rPr>
            </w:pPr>
            <w:r>
              <w:rPr>
                <w:sz w:val="20"/>
              </w:rPr>
              <w:t>8.596</w:t>
            </w:r>
          </w:p>
        </w:tc>
      </w:tr>
    </w:tbl>
    <w:p>
      <w:pPr>
        <w:pStyle w:val="yFootnotesection"/>
      </w:pPr>
      <w:r>
        <w:tab/>
        <w:t>[Division 2 inserted in Gazette 25 Jun 2010 p. 2931</w:t>
      </w:r>
      <w:r>
        <w:noBreakHyphen/>
        <w:t>6.]</w:t>
      </w:r>
    </w:p>
    <w:p>
      <w:pPr>
        <w:pStyle w:val="yHeading3"/>
      </w:pPr>
      <w:bookmarkStart w:id="759" w:name="_Toc265743611"/>
      <w:r>
        <w:rPr>
          <w:rStyle w:val="CharSDivNo"/>
        </w:rPr>
        <w:t>Division 3</w:t>
      </w:r>
      <w:r>
        <w:rPr>
          <w:b w:val="0"/>
        </w:rPr>
        <w:t> — </w:t>
      </w:r>
      <w:r>
        <w:rPr>
          <w:rStyle w:val="CharSDivText"/>
        </w:rPr>
        <w:t>Variable charges</w:t>
      </w:r>
      <w:bookmarkEnd w:id="759"/>
    </w:p>
    <w:p>
      <w:pPr>
        <w:pStyle w:val="yFootnoteheading"/>
      </w:pPr>
      <w:r>
        <w:tab/>
        <w:t>[Heading inserted in Gazette 25 Jun 2010 p. 2937.]</w:t>
      </w:r>
    </w:p>
    <w:tbl>
      <w:tblPr>
        <w:tblW w:w="0" w:type="auto"/>
        <w:tblInd w:w="534" w:type="dxa"/>
        <w:tblLook w:val="0000" w:firstRow="0" w:lastRow="0" w:firstColumn="0" w:lastColumn="0" w:noHBand="0" w:noVBand="0"/>
      </w:tblPr>
      <w:tblGrid>
        <w:gridCol w:w="850"/>
        <w:gridCol w:w="4236"/>
        <w:gridCol w:w="1576"/>
      </w:tblGrid>
      <w:tr>
        <w:trPr>
          <w:cantSplit/>
        </w:trPr>
        <w:tc>
          <w:tcPr>
            <w:tcW w:w="850" w:type="dxa"/>
          </w:tcPr>
          <w:p>
            <w:pPr>
              <w:pStyle w:val="yHeading5"/>
              <w:tabs>
                <w:tab w:val="clear" w:pos="879"/>
              </w:tabs>
              <w:ind w:left="0" w:firstLine="0"/>
            </w:pPr>
            <w:bookmarkStart w:id="760" w:name="_Toc265743612"/>
            <w:r>
              <w:t>11.</w:t>
            </w:r>
            <w:bookmarkEnd w:id="760"/>
          </w:p>
        </w:tc>
        <w:tc>
          <w:tcPr>
            <w:tcW w:w="5812" w:type="dxa"/>
            <w:gridSpan w:val="2"/>
          </w:tcPr>
          <w:p>
            <w:pPr>
              <w:pStyle w:val="yHeading5"/>
              <w:tabs>
                <w:tab w:val="clear" w:pos="879"/>
              </w:tabs>
              <w:ind w:left="0" w:firstLine="0"/>
            </w:pPr>
            <w:bookmarkStart w:id="761" w:name="_Toc265743613"/>
            <w:r>
              <w:t>Industrial waste discharged into a sewer of the Corporation pursuant to a permit</w:t>
            </w:r>
            <w:bookmarkEnd w:id="761"/>
          </w:p>
        </w:tc>
      </w:tr>
      <w:tr>
        <w:trPr>
          <w:cantSplit/>
        </w:trPr>
        <w:tc>
          <w:tcPr>
            <w:tcW w:w="850" w:type="dxa"/>
          </w:tcPr>
          <w:p>
            <w:pPr>
              <w:pStyle w:val="yTableNAm"/>
            </w:pPr>
          </w:p>
        </w:tc>
        <w:tc>
          <w:tcPr>
            <w:tcW w:w="4236" w:type="dxa"/>
          </w:tcPr>
          <w:p>
            <w:pPr>
              <w:pStyle w:val="yTableNAm"/>
              <w:tabs>
                <w:tab w:val="clear" w:pos="567"/>
                <w:tab w:val="left" w:pos="416"/>
                <w:tab w:val="left" w:pos="896"/>
              </w:tabs>
              <w:rPr>
                <w:spacing w:val="-1"/>
              </w:rPr>
            </w:pPr>
            <w:r>
              <w:t>For industrial waste discharged into a sewer of the Corporation pursuant to a permit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pPr>
            <w:r>
              <w:tab/>
              <w:t>(a)</w:t>
            </w:r>
            <w:r>
              <w:tab/>
              <w:t xml:space="preserve">for volume </w:t>
            </w:r>
            <w:r>
              <w:tab/>
            </w:r>
          </w:p>
        </w:tc>
        <w:tc>
          <w:tcPr>
            <w:tcW w:w="1576" w:type="dxa"/>
          </w:tcPr>
          <w:p>
            <w:pPr>
              <w:pStyle w:val="yTableNAm"/>
              <w:tabs>
                <w:tab w:val="clear" w:pos="567"/>
              </w:tabs>
            </w:pPr>
            <w:r>
              <w:t>123.0 c/kL</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(b)</w:t>
            </w:r>
            <w:r>
              <w:tab/>
              <w:t xml:space="preserve">for B.O.D. — </w:t>
            </w:r>
          </w:p>
        </w:tc>
        <w:tc>
          <w:tcPr>
            <w:tcW w:w="1576" w:type="dxa"/>
          </w:tcPr>
          <w:p>
            <w:pPr>
              <w:pStyle w:val="yTableNAm"/>
              <w:tabs>
                <w:tab w:val="clear" w:pos="567"/>
              </w:tabs>
            </w:pPr>
          </w:p>
        </w:tc>
      </w:tr>
      <w:tr>
        <w:trPr>
          <w:cantSplit/>
        </w:trPr>
        <w:tc>
          <w:tcPr>
            <w:tcW w:w="850" w:type="dxa"/>
          </w:tcPr>
          <w:p>
            <w:pPr>
              <w:pStyle w:val="yTableNAm"/>
            </w:pPr>
          </w:p>
        </w:tc>
        <w:tc>
          <w:tcPr>
            <w:tcW w:w="4236" w:type="dxa"/>
          </w:tcPr>
          <w:p>
            <w:pPr>
              <w:pStyle w:val="yTableNAm"/>
              <w:tabs>
                <w:tab w:val="clear" w:pos="567"/>
                <w:tab w:val="left" w:pos="416"/>
                <w:tab w:val="left" w:pos="896"/>
                <w:tab w:val="left" w:pos="1856"/>
                <w:tab w:val="left" w:leader="dot" w:pos="4020"/>
              </w:tabs>
              <w:ind w:left="1376" w:hanging="1376"/>
            </w:pPr>
            <w:r>
              <w:tab/>
            </w:r>
            <w:r>
              <w:tab/>
              <w:t>(i)</w:t>
            </w:r>
            <w:r>
              <w:tab/>
              <w:t xml:space="preserve">with a concentration of up to 5 kg per kL </w:t>
            </w:r>
            <w:r>
              <w:tab/>
            </w:r>
          </w:p>
        </w:tc>
        <w:tc>
          <w:tcPr>
            <w:tcW w:w="1576" w:type="dxa"/>
          </w:tcPr>
          <w:p>
            <w:pPr>
              <w:pStyle w:val="yTableNAm"/>
              <w:tabs>
                <w:tab w:val="clear" w:pos="567"/>
              </w:tabs>
            </w:pPr>
            <w:r>
              <w:br/>
              <w:t>105.0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pos="1856"/>
                <w:tab w:val="left" w:leader="dot" w:pos="4020"/>
              </w:tabs>
              <w:ind w:left="1376" w:hanging="1376"/>
            </w:pPr>
            <w:r>
              <w:tab/>
            </w:r>
            <w:r>
              <w:tab/>
              <w:t>(ii)</w:t>
            </w:r>
            <w:r>
              <w:tab/>
              <w:t xml:space="preserve">with a concentration of over 5 kg per kL </w:t>
            </w:r>
            <w:r>
              <w:tab/>
            </w:r>
          </w:p>
        </w:tc>
        <w:tc>
          <w:tcPr>
            <w:tcW w:w="1576" w:type="dxa"/>
          </w:tcPr>
          <w:p>
            <w:pPr>
              <w:pStyle w:val="yTableNAm"/>
              <w:tabs>
                <w:tab w:val="clear" w:pos="567"/>
              </w:tabs>
            </w:pPr>
            <w:r>
              <w:br/>
              <w:t>212.0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(c)</w:t>
            </w:r>
            <w:r>
              <w:tab/>
              <w:t xml:space="preserve">for suspended solids — </w:t>
            </w:r>
          </w:p>
        </w:tc>
        <w:tc>
          <w:tcPr>
            <w:tcW w:w="1576" w:type="dxa"/>
          </w:tcPr>
          <w:p>
            <w:pPr>
              <w:pStyle w:val="yTableNAm"/>
              <w:tabs>
                <w:tab w:val="clear" w:pos="567"/>
              </w:tabs>
            </w:pPr>
          </w:p>
        </w:tc>
      </w:tr>
      <w:tr>
        <w:trPr>
          <w:cantSplit/>
        </w:trPr>
        <w:tc>
          <w:tcPr>
            <w:tcW w:w="850" w:type="dxa"/>
          </w:tcPr>
          <w:p>
            <w:pPr>
              <w:pStyle w:val="yTableNAm"/>
            </w:pPr>
          </w:p>
        </w:tc>
        <w:tc>
          <w:tcPr>
            <w:tcW w:w="4236" w:type="dxa"/>
          </w:tcPr>
          <w:p>
            <w:pPr>
              <w:pStyle w:val="yTableNAm"/>
              <w:tabs>
                <w:tab w:val="clear" w:pos="567"/>
                <w:tab w:val="left" w:pos="416"/>
                <w:tab w:val="left" w:pos="896"/>
                <w:tab w:val="left" w:pos="1856"/>
                <w:tab w:val="left" w:leader="dot" w:pos="4020"/>
              </w:tabs>
              <w:ind w:left="1376" w:hanging="1376"/>
            </w:pPr>
            <w:r>
              <w:tab/>
            </w:r>
            <w:r>
              <w:tab/>
              <w:t>(i)</w:t>
            </w:r>
            <w:r>
              <w:tab/>
              <w:t xml:space="preserve">with a concentration of up to 2 kg per kL </w:t>
            </w:r>
            <w:r>
              <w:tab/>
            </w:r>
          </w:p>
        </w:tc>
        <w:tc>
          <w:tcPr>
            <w:tcW w:w="1576" w:type="dxa"/>
          </w:tcPr>
          <w:p>
            <w:pPr>
              <w:pStyle w:val="yTableNAm"/>
              <w:tabs>
                <w:tab w:val="clear" w:pos="567"/>
              </w:tabs>
            </w:pPr>
            <w:r>
              <w:br/>
              <w:t>142.0</w:t>
            </w:r>
            <w:r>
              <w:rPr>
                <w:rStyle w:val="DraftersNotes"/>
              </w:rPr>
              <w:t xml:space="preserve"> </w:t>
            </w:r>
            <w:r>
              <w:t>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pos="1856"/>
                <w:tab w:val="left" w:leader="dot" w:pos="4020"/>
              </w:tabs>
              <w:ind w:left="1376" w:hanging="1376"/>
            </w:pPr>
            <w:r>
              <w:tab/>
            </w:r>
            <w:r>
              <w:tab/>
              <w:t>(ii)</w:t>
            </w:r>
            <w:r>
              <w:tab/>
              <w:t xml:space="preserve">with a concentration of over 2 kg per kL </w:t>
            </w:r>
            <w:r>
              <w:tab/>
            </w:r>
          </w:p>
        </w:tc>
        <w:tc>
          <w:tcPr>
            <w:tcW w:w="1576" w:type="dxa"/>
          </w:tcPr>
          <w:p>
            <w:pPr>
              <w:pStyle w:val="yTableNAm"/>
              <w:tabs>
                <w:tab w:val="clear" w:pos="567"/>
              </w:tabs>
              <w:rPr>
                <w:spacing w:val="-1"/>
              </w:rPr>
            </w:pPr>
            <w:r>
              <w:rPr>
                <w:spacing w:val="-1"/>
              </w:rPr>
              <w:br/>
              <w:t>284.0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(d)</w:t>
            </w:r>
            <w:r>
              <w:tab/>
              <w:t xml:space="preserve">for chemical oxygen demand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pos="1856"/>
                <w:tab w:val="left" w:leader="dot" w:pos="4020"/>
              </w:tabs>
              <w:ind w:left="1376" w:hanging="1376"/>
            </w:pPr>
            <w:r>
              <w:tab/>
            </w:r>
            <w:r>
              <w:tab/>
              <w:t>(i)</w:t>
            </w:r>
            <w:r>
              <w:tab/>
              <w:t xml:space="preserve">with a concentration of up to 10 kg per kL </w:t>
            </w:r>
            <w:r>
              <w:tab/>
            </w:r>
          </w:p>
        </w:tc>
        <w:tc>
          <w:tcPr>
            <w:tcW w:w="1576" w:type="dxa"/>
          </w:tcPr>
          <w:p>
            <w:pPr>
              <w:pStyle w:val="yTableNAm"/>
              <w:tabs>
                <w:tab w:val="clear" w:pos="567"/>
              </w:tabs>
              <w:rPr>
                <w:spacing w:val="-1"/>
              </w:rPr>
            </w:pPr>
            <w:r>
              <w:rPr>
                <w:spacing w:val="-1"/>
              </w:rPr>
              <w:br/>
              <w:t>42.0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pos="1856"/>
                <w:tab w:val="left" w:leader="dot" w:pos="4020"/>
              </w:tabs>
              <w:ind w:left="1376" w:hanging="1376"/>
            </w:pPr>
            <w:r>
              <w:tab/>
            </w:r>
            <w:r>
              <w:tab/>
              <w:t>(ii)</w:t>
            </w:r>
            <w:r>
              <w:tab/>
              <w:t xml:space="preserve">with a concentration of over 10 kg per kL </w:t>
            </w:r>
            <w:r>
              <w:tab/>
            </w:r>
          </w:p>
        </w:tc>
        <w:tc>
          <w:tcPr>
            <w:tcW w:w="1576" w:type="dxa"/>
          </w:tcPr>
          <w:p>
            <w:pPr>
              <w:pStyle w:val="yTableNAm"/>
              <w:tabs>
                <w:tab w:val="clear" w:pos="567"/>
              </w:tabs>
              <w:rPr>
                <w:spacing w:val="-1"/>
              </w:rPr>
            </w:pPr>
            <w:r>
              <w:rPr>
                <w:spacing w:val="-1"/>
              </w:rPr>
              <w:br/>
              <w:t>85.0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(e)</w:t>
            </w:r>
            <w:r>
              <w:tab/>
              <w:t xml:space="preserve">for oil and grease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with a concentration of up to 0.3 kg per kL</w:t>
            </w:r>
            <w:r>
              <w:tab/>
            </w:r>
          </w:p>
        </w:tc>
        <w:tc>
          <w:tcPr>
            <w:tcW w:w="1576" w:type="dxa"/>
          </w:tcPr>
          <w:p>
            <w:pPr>
              <w:pStyle w:val="yTableNAm"/>
              <w:tabs>
                <w:tab w:val="clear" w:pos="567"/>
              </w:tabs>
              <w:rPr>
                <w:spacing w:val="-1"/>
              </w:rPr>
            </w:pPr>
            <w:r>
              <w:rPr>
                <w:spacing w:val="-1"/>
              </w:rPr>
              <w:br/>
              <w:t>127.0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pos="1856"/>
                <w:tab w:val="left" w:leader="dot" w:pos="4020"/>
              </w:tabs>
              <w:ind w:left="1376" w:hanging="1376"/>
            </w:pPr>
            <w:r>
              <w:tab/>
            </w:r>
            <w:r>
              <w:tab/>
              <w:t>(ii)</w:t>
            </w:r>
            <w:r>
              <w:tab/>
              <w:t xml:space="preserve">with a concentration over 0.3 kg per kL but not over 0.6 kg per kL </w:t>
            </w:r>
            <w:r>
              <w:tab/>
            </w:r>
          </w:p>
        </w:tc>
        <w:tc>
          <w:tcPr>
            <w:tcW w:w="1576" w:type="dxa"/>
          </w:tcPr>
          <w:p>
            <w:pPr>
              <w:pStyle w:val="yTableNAm"/>
              <w:tabs>
                <w:tab w:val="clear" w:pos="567"/>
              </w:tabs>
              <w:rPr>
                <w:spacing w:val="-1"/>
              </w:rPr>
            </w:pPr>
            <w:r>
              <w:rPr>
                <w:spacing w:val="-1"/>
              </w:rPr>
              <w:br/>
            </w:r>
            <w:r>
              <w:rPr>
                <w:spacing w:val="-1"/>
              </w:rPr>
              <w:br/>
              <w:t>253.0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pos="1856"/>
                <w:tab w:val="left" w:leader="dot" w:pos="4020"/>
              </w:tabs>
              <w:ind w:left="1376" w:hanging="1376"/>
            </w:pPr>
            <w:r>
              <w:tab/>
            </w:r>
            <w:r>
              <w:tab/>
              <w:t>(iii)</w:t>
            </w:r>
            <w:r>
              <w:tab/>
              <w:t xml:space="preserve">with a concentration of over 0.6 kg per kL </w:t>
            </w:r>
            <w:r>
              <w:tab/>
            </w:r>
          </w:p>
        </w:tc>
        <w:tc>
          <w:tcPr>
            <w:tcW w:w="1576" w:type="dxa"/>
          </w:tcPr>
          <w:p>
            <w:pPr>
              <w:pStyle w:val="yTableNAm"/>
              <w:tabs>
                <w:tab w:val="clear" w:pos="567"/>
              </w:tabs>
              <w:rPr>
                <w:spacing w:val="-1"/>
              </w:rPr>
            </w:pPr>
            <w:r>
              <w:rPr>
                <w:spacing w:val="-1"/>
              </w:rPr>
              <w:br/>
              <w:t>506.0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(f)</w:t>
            </w:r>
            <w:r>
              <w:tab/>
              <w:t xml:space="preserve">for acidity (pH &lt; 6)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 xml:space="preserve">with a concentration of up to 0.1 kg per kL </w:t>
            </w:r>
            <w:r>
              <w:tab/>
            </w:r>
          </w:p>
        </w:tc>
        <w:tc>
          <w:tcPr>
            <w:tcW w:w="1576" w:type="dxa"/>
          </w:tcPr>
          <w:p>
            <w:pPr>
              <w:pStyle w:val="yTableNAm"/>
              <w:tabs>
                <w:tab w:val="clear" w:pos="567"/>
              </w:tabs>
              <w:rPr>
                <w:spacing w:val="-1"/>
              </w:rPr>
            </w:pPr>
            <w:r>
              <w:rPr>
                <w:spacing w:val="-1"/>
              </w:rPr>
              <w:br/>
              <w:t>37.0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w:t>
            </w:r>
            <w:r>
              <w:tab/>
            </w:r>
            <w:r>
              <w:rPr>
                <w:spacing w:val="-1"/>
              </w:rPr>
              <w:t>with</w:t>
            </w:r>
            <w:r>
              <w:t xml:space="preserve"> a concentration over 0.1 kg per kL but not over 0.3 kg per kL </w:t>
            </w:r>
            <w:r>
              <w:tab/>
            </w:r>
          </w:p>
        </w:tc>
        <w:tc>
          <w:tcPr>
            <w:tcW w:w="1576" w:type="dxa"/>
          </w:tcPr>
          <w:p>
            <w:pPr>
              <w:pStyle w:val="yTableNAm"/>
              <w:tabs>
                <w:tab w:val="clear" w:pos="567"/>
              </w:tabs>
              <w:rPr>
                <w:spacing w:val="-1"/>
              </w:rPr>
            </w:pPr>
            <w:r>
              <w:rPr>
                <w:spacing w:val="-1"/>
              </w:rPr>
              <w:br/>
            </w:r>
            <w:r>
              <w:rPr>
                <w:spacing w:val="-1"/>
              </w:rPr>
              <w:br/>
              <w:t>74.0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(iii)</w:t>
            </w:r>
            <w:r>
              <w:tab/>
              <w:t xml:space="preserve">with a concentration of over 0.3 kg per kL </w:t>
            </w:r>
            <w:r>
              <w:tab/>
            </w:r>
          </w:p>
        </w:tc>
        <w:tc>
          <w:tcPr>
            <w:tcW w:w="1576" w:type="dxa"/>
          </w:tcPr>
          <w:p>
            <w:pPr>
              <w:pStyle w:val="yTableNAm"/>
              <w:tabs>
                <w:tab w:val="clear" w:pos="567"/>
              </w:tabs>
              <w:rPr>
                <w:spacing w:val="-1"/>
              </w:rPr>
            </w:pPr>
            <w:r>
              <w:rPr>
                <w:spacing w:val="-1"/>
              </w:rPr>
              <w:br/>
              <w:t>148.0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(g)</w:t>
            </w:r>
            <w:r>
              <w:tab/>
              <w:t xml:space="preserve">for alkalinity (pH &gt; 10)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 xml:space="preserve">with a concentration of up to 0.1 kg per kL </w:t>
            </w:r>
            <w:r>
              <w:tab/>
            </w:r>
          </w:p>
        </w:tc>
        <w:tc>
          <w:tcPr>
            <w:tcW w:w="1576" w:type="dxa"/>
          </w:tcPr>
          <w:p>
            <w:pPr>
              <w:pStyle w:val="yTableNAm"/>
              <w:tabs>
                <w:tab w:val="clear" w:pos="567"/>
              </w:tabs>
              <w:rPr>
                <w:spacing w:val="-1"/>
              </w:rPr>
            </w:pPr>
            <w:r>
              <w:rPr>
                <w:spacing w:val="-1"/>
              </w:rPr>
              <w:br/>
              <w:t>13.0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w:t>
            </w:r>
            <w:r>
              <w:tab/>
              <w:t xml:space="preserve">with a concentration over 0.1 kg per kL but not over 0.2 kg per kL </w:t>
            </w:r>
            <w:r>
              <w:tab/>
            </w:r>
          </w:p>
        </w:tc>
        <w:tc>
          <w:tcPr>
            <w:tcW w:w="1576" w:type="dxa"/>
          </w:tcPr>
          <w:p>
            <w:pPr>
              <w:pStyle w:val="yTableNAm"/>
              <w:tabs>
                <w:tab w:val="clear" w:pos="567"/>
              </w:tabs>
              <w:rPr>
                <w:spacing w:val="-1"/>
              </w:rPr>
            </w:pPr>
            <w:r>
              <w:rPr>
                <w:spacing w:val="-1"/>
              </w:rPr>
              <w:br/>
            </w:r>
            <w:r>
              <w:rPr>
                <w:spacing w:val="-1"/>
              </w:rPr>
              <w:br/>
              <w:t>27.0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(iii)</w:t>
            </w:r>
            <w:r>
              <w:tab/>
              <w:t xml:space="preserve">with a concentration of over 0.2 kg per kL </w:t>
            </w:r>
            <w:r>
              <w:tab/>
            </w:r>
          </w:p>
        </w:tc>
        <w:tc>
          <w:tcPr>
            <w:tcW w:w="1576" w:type="dxa"/>
          </w:tcPr>
          <w:p>
            <w:pPr>
              <w:pStyle w:val="yTableNAm"/>
              <w:tabs>
                <w:tab w:val="clear" w:pos="567"/>
              </w:tabs>
              <w:rPr>
                <w:spacing w:val="-1"/>
              </w:rPr>
            </w:pPr>
            <w:r>
              <w:rPr>
                <w:spacing w:val="-1"/>
              </w:rPr>
              <w:br/>
              <w:t>53.0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pPr>
            <w:r>
              <w:tab/>
              <w:t>(h)</w:t>
            </w:r>
            <w:r>
              <w:tab/>
              <w:t xml:space="preserve">for nitrogen </w:t>
            </w:r>
            <w:r>
              <w:tab/>
            </w:r>
          </w:p>
        </w:tc>
        <w:tc>
          <w:tcPr>
            <w:tcW w:w="1576" w:type="dxa"/>
          </w:tcPr>
          <w:p>
            <w:pPr>
              <w:pStyle w:val="yTableNAm"/>
              <w:tabs>
                <w:tab w:val="clear" w:pos="567"/>
              </w:tabs>
              <w:rPr>
                <w:spacing w:val="-1"/>
              </w:rPr>
            </w:pPr>
            <w:r>
              <w:rPr>
                <w:spacing w:val="-1"/>
              </w:rPr>
              <w:t>115.0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pPr>
            <w:r>
              <w:tab/>
              <w:t>(i)</w:t>
            </w:r>
            <w:r>
              <w:tab/>
              <w:t xml:space="preserve">for phosphorus </w:t>
            </w:r>
            <w:r>
              <w:tab/>
            </w:r>
          </w:p>
        </w:tc>
        <w:tc>
          <w:tcPr>
            <w:tcW w:w="1576" w:type="dxa"/>
          </w:tcPr>
          <w:p>
            <w:pPr>
              <w:pStyle w:val="yTableNAm"/>
              <w:tabs>
                <w:tab w:val="clear" w:pos="567"/>
              </w:tabs>
              <w:rPr>
                <w:spacing w:val="-1"/>
              </w:rPr>
            </w:pPr>
            <w:r>
              <w:rPr>
                <w:spacing w:val="-1"/>
              </w:rPr>
              <w:t>33.0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pPr>
            <w:r>
              <w:tab/>
              <w:t>(j)</w:t>
            </w:r>
            <w:r>
              <w:tab/>
              <w:t xml:space="preserve">for sulphate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 xml:space="preserve">with a concentration of up to 0.05 kg per kL </w:t>
            </w:r>
            <w:r>
              <w:tab/>
            </w:r>
          </w:p>
        </w:tc>
        <w:tc>
          <w:tcPr>
            <w:tcW w:w="1576" w:type="dxa"/>
          </w:tcPr>
          <w:p>
            <w:pPr>
              <w:pStyle w:val="yTableNAm"/>
              <w:tabs>
                <w:tab w:val="clear" w:pos="567"/>
              </w:tabs>
              <w:rPr>
                <w:spacing w:val="-1"/>
              </w:rPr>
            </w:pPr>
            <w:r>
              <w:rPr>
                <w:spacing w:val="-1"/>
              </w:rPr>
              <w:br/>
              <w:t>no charge</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w:t>
            </w:r>
            <w:r>
              <w:tab/>
              <w:t xml:space="preserve">with a concentration of over 0.05 kg per kL </w:t>
            </w:r>
            <w:r>
              <w:tab/>
            </w:r>
          </w:p>
        </w:tc>
        <w:tc>
          <w:tcPr>
            <w:tcW w:w="1576" w:type="dxa"/>
          </w:tcPr>
          <w:p>
            <w:pPr>
              <w:pStyle w:val="yTableNAm"/>
              <w:tabs>
                <w:tab w:val="clear" w:pos="567"/>
              </w:tabs>
              <w:rPr>
                <w:spacing w:val="-1"/>
              </w:rPr>
            </w:pPr>
            <w:r>
              <w:rPr>
                <w:spacing w:val="-1"/>
              </w:rPr>
              <w:br/>
              <w:t>60.0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(k)</w:t>
            </w:r>
            <w:r>
              <w:tab/>
              <w:t xml:space="preserve">for total dissolved salts — </w:t>
            </w:r>
          </w:p>
        </w:tc>
        <w:tc>
          <w:tcPr>
            <w:tcW w:w="1576" w:type="dxa"/>
          </w:tcPr>
          <w:p>
            <w:pPr>
              <w:pStyle w:val="yTableNAm"/>
              <w:tabs>
                <w:tab w:val="clear" w:pos="567"/>
              </w:tabs>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 xml:space="preserve">with a concentration of up to 1 kg per kL </w:t>
            </w:r>
            <w:r>
              <w:tab/>
            </w:r>
          </w:p>
        </w:tc>
        <w:tc>
          <w:tcPr>
            <w:tcW w:w="1576" w:type="dxa"/>
          </w:tcPr>
          <w:p>
            <w:pPr>
              <w:pStyle w:val="yTableNAm"/>
              <w:tabs>
                <w:tab w:val="clear" w:pos="567"/>
              </w:tabs>
              <w:rPr>
                <w:spacing w:val="-1"/>
              </w:rPr>
            </w:pPr>
            <w:r>
              <w:rPr>
                <w:spacing w:val="-1"/>
              </w:rPr>
              <w:br/>
            </w:r>
            <w:r>
              <w:rPr>
                <w:spacing w:val="-1"/>
              </w:rPr>
              <w:tab/>
              <w:t>no charge</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w:t>
            </w:r>
            <w:r>
              <w:tab/>
            </w:r>
            <w:r>
              <w:rPr>
                <w:spacing w:val="-1"/>
              </w:rPr>
              <w:t>with</w:t>
            </w:r>
            <w:r>
              <w:t xml:space="preserve"> a concentration over 1 kg per kL but not over 3 kg per kL </w:t>
            </w:r>
            <w:r>
              <w:tab/>
            </w:r>
          </w:p>
        </w:tc>
        <w:tc>
          <w:tcPr>
            <w:tcW w:w="1576" w:type="dxa"/>
          </w:tcPr>
          <w:p>
            <w:pPr>
              <w:pStyle w:val="yTableNAm"/>
              <w:tabs>
                <w:tab w:val="clear" w:pos="567"/>
              </w:tabs>
              <w:rPr>
                <w:spacing w:val="-1"/>
              </w:rPr>
            </w:pPr>
            <w:r>
              <w:rPr>
                <w:spacing w:val="-1"/>
              </w:rPr>
              <w:br/>
            </w:r>
            <w:r>
              <w:rPr>
                <w:spacing w:val="-1"/>
              </w:rPr>
              <w:br/>
              <w:t>0.1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(iii)</w:t>
            </w:r>
            <w:r>
              <w:tab/>
              <w:t xml:space="preserve">with a concentration over 3 kg per kL but not </w:t>
            </w:r>
            <w:r>
              <w:rPr>
                <w:spacing w:val="-1"/>
              </w:rPr>
              <w:t>over</w:t>
            </w:r>
            <w:r>
              <w:t xml:space="preserve"> 6 kg per kL </w:t>
            </w:r>
            <w:r>
              <w:tab/>
            </w:r>
          </w:p>
        </w:tc>
        <w:tc>
          <w:tcPr>
            <w:tcW w:w="1576" w:type="dxa"/>
          </w:tcPr>
          <w:p>
            <w:pPr>
              <w:pStyle w:val="yTableNAm"/>
              <w:tabs>
                <w:tab w:val="clear" w:pos="567"/>
              </w:tabs>
              <w:rPr>
                <w:spacing w:val="-1"/>
              </w:rPr>
            </w:pPr>
            <w:r>
              <w:rPr>
                <w:spacing w:val="-1"/>
              </w:rPr>
              <w:br/>
            </w:r>
            <w:r>
              <w:rPr>
                <w:spacing w:val="-1"/>
              </w:rPr>
              <w:br/>
              <w:t>3.5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(iv)</w:t>
            </w:r>
            <w:r>
              <w:tab/>
              <w:t xml:space="preserve">with a concentration of over 6 kg per kL </w:t>
            </w:r>
            <w:r>
              <w:tab/>
            </w:r>
          </w:p>
        </w:tc>
        <w:tc>
          <w:tcPr>
            <w:tcW w:w="1576" w:type="dxa"/>
          </w:tcPr>
          <w:p>
            <w:pPr>
              <w:pStyle w:val="yTableNAm"/>
              <w:tabs>
                <w:tab w:val="clear" w:pos="567"/>
              </w:tabs>
              <w:rPr>
                <w:spacing w:val="-1"/>
              </w:rPr>
            </w:pPr>
            <w:r>
              <w:rPr>
                <w:spacing w:val="-1"/>
              </w:rPr>
              <w:br/>
              <w:t>12.0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(l)</w:t>
            </w:r>
            <w:r>
              <w:tab/>
              <w:t xml:space="preserve">for chromium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 xml:space="preserve">with a concentration of up to 0.03 kg per day </w:t>
            </w:r>
            <w:r>
              <w:tab/>
            </w:r>
          </w:p>
        </w:tc>
        <w:tc>
          <w:tcPr>
            <w:tcW w:w="1576" w:type="dxa"/>
          </w:tcPr>
          <w:p>
            <w:pPr>
              <w:pStyle w:val="yTableNAm"/>
              <w:tabs>
                <w:tab w:val="clear" w:pos="567"/>
              </w:tabs>
              <w:rPr>
                <w:spacing w:val="-1"/>
              </w:rPr>
            </w:pPr>
            <w:r>
              <w:rPr>
                <w:spacing w:val="-1"/>
              </w:rPr>
              <w:br/>
              <w:t>940.0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w:t>
            </w:r>
            <w:r>
              <w:tab/>
            </w:r>
            <w:r>
              <w:rPr>
                <w:spacing w:val="-1"/>
              </w:rPr>
              <w:t>with</w:t>
            </w:r>
            <w:r>
              <w:t xml:space="preserve"> a concentration over 0.03 kg per day but not over 1 kg per day </w:t>
            </w:r>
            <w:r>
              <w:tab/>
            </w:r>
          </w:p>
        </w:tc>
        <w:tc>
          <w:tcPr>
            <w:tcW w:w="1576" w:type="dxa"/>
          </w:tcPr>
          <w:p>
            <w:pPr>
              <w:pStyle w:val="yTableNAm"/>
              <w:tabs>
                <w:tab w:val="clear" w:pos="567"/>
              </w:tabs>
              <w:rPr>
                <w:spacing w:val="-1"/>
              </w:rPr>
            </w:pPr>
            <w:r>
              <w:rPr>
                <w:spacing w:val="-1"/>
              </w:rPr>
              <w:br/>
            </w:r>
            <w:r>
              <w:rPr>
                <w:spacing w:val="-1"/>
              </w:rPr>
              <w:br/>
              <w:t>1880.0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(iii)</w:t>
            </w:r>
            <w:r>
              <w:tab/>
            </w:r>
            <w:r>
              <w:rPr>
                <w:spacing w:val="-1"/>
              </w:rPr>
              <w:t>with</w:t>
            </w:r>
            <w:r>
              <w:t xml:space="preserve"> a concentration of over 1 kg per day </w:t>
            </w:r>
            <w:r>
              <w:tab/>
            </w:r>
          </w:p>
        </w:tc>
        <w:tc>
          <w:tcPr>
            <w:tcW w:w="1576" w:type="dxa"/>
          </w:tcPr>
          <w:p>
            <w:pPr>
              <w:pStyle w:val="yTableNAm"/>
              <w:tabs>
                <w:tab w:val="clear" w:pos="567"/>
              </w:tabs>
              <w:rPr>
                <w:spacing w:val="-1"/>
              </w:rPr>
            </w:pPr>
            <w:r>
              <w:rPr>
                <w:spacing w:val="-1"/>
              </w:rPr>
              <w:br/>
              <w:t>7525.0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(m)</w:t>
            </w:r>
            <w:r>
              <w:tab/>
              <w:t xml:space="preserve">for copper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 xml:space="preserve">with a concentration of up to 0.03 kg per day </w:t>
            </w:r>
            <w:r>
              <w:tab/>
            </w:r>
          </w:p>
        </w:tc>
        <w:tc>
          <w:tcPr>
            <w:tcW w:w="1576" w:type="dxa"/>
          </w:tcPr>
          <w:p>
            <w:pPr>
              <w:pStyle w:val="yTableNAm"/>
              <w:tabs>
                <w:tab w:val="clear" w:pos="567"/>
              </w:tabs>
              <w:rPr>
                <w:spacing w:val="-1"/>
              </w:rPr>
            </w:pPr>
            <w:r>
              <w:rPr>
                <w:spacing w:val="-1"/>
              </w:rPr>
              <w:br/>
              <w:t>940.0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w:t>
            </w:r>
            <w:r>
              <w:tab/>
              <w:t xml:space="preserve">with a concentration over 0.03 kg per day but not over 0.12 kg per day </w:t>
            </w:r>
            <w:r>
              <w:tab/>
            </w:r>
          </w:p>
        </w:tc>
        <w:tc>
          <w:tcPr>
            <w:tcW w:w="1576" w:type="dxa"/>
          </w:tcPr>
          <w:p>
            <w:pPr>
              <w:pStyle w:val="yTableNAm"/>
              <w:tabs>
                <w:tab w:val="clear" w:pos="567"/>
              </w:tabs>
              <w:rPr>
                <w:spacing w:val="-1"/>
              </w:rPr>
            </w:pPr>
            <w:r>
              <w:rPr>
                <w:spacing w:val="-1"/>
              </w:rPr>
              <w:br/>
            </w:r>
            <w:r>
              <w:rPr>
                <w:spacing w:val="-1"/>
              </w:rPr>
              <w:br/>
              <w:t>1880.0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(iii)</w:t>
            </w:r>
            <w:r>
              <w:tab/>
              <w:t xml:space="preserve">with a concentration of over 0.12 kg per day </w:t>
            </w:r>
            <w:r>
              <w:tab/>
            </w:r>
          </w:p>
        </w:tc>
        <w:tc>
          <w:tcPr>
            <w:tcW w:w="1576" w:type="dxa"/>
          </w:tcPr>
          <w:p>
            <w:pPr>
              <w:pStyle w:val="yTableNAm"/>
              <w:tabs>
                <w:tab w:val="clear" w:pos="567"/>
              </w:tabs>
              <w:rPr>
                <w:spacing w:val="-1"/>
              </w:rPr>
            </w:pPr>
            <w:r>
              <w:rPr>
                <w:spacing w:val="-1"/>
              </w:rPr>
              <w:br/>
              <w:t>7525.0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(n)</w:t>
            </w:r>
            <w:r>
              <w:tab/>
              <w:t xml:space="preserve">for lead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 xml:space="preserve">with a concentration of up to 0.03 kg per day </w:t>
            </w:r>
            <w:r>
              <w:tab/>
            </w:r>
          </w:p>
        </w:tc>
        <w:tc>
          <w:tcPr>
            <w:tcW w:w="1576" w:type="dxa"/>
          </w:tcPr>
          <w:p>
            <w:pPr>
              <w:pStyle w:val="yTableNAm"/>
              <w:tabs>
                <w:tab w:val="clear" w:pos="567"/>
              </w:tabs>
              <w:rPr>
                <w:spacing w:val="-1"/>
              </w:rPr>
            </w:pPr>
            <w:r>
              <w:rPr>
                <w:spacing w:val="-1"/>
              </w:rPr>
              <w:br/>
              <w:t>940.0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w:t>
            </w:r>
            <w:r>
              <w:tab/>
              <w:t xml:space="preserve">with a concentration over 0.03 kg per day but not over 0.3 kg per day </w:t>
            </w:r>
            <w:r>
              <w:tab/>
            </w:r>
          </w:p>
        </w:tc>
        <w:tc>
          <w:tcPr>
            <w:tcW w:w="1576" w:type="dxa"/>
          </w:tcPr>
          <w:p>
            <w:pPr>
              <w:pStyle w:val="yTableNAm"/>
              <w:tabs>
                <w:tab w:val="clear" w:pos="567"/>
              </w:tabs>
              <w:rPr>
                <w:spacing w:val="-1"/>
              </w:rPr>
            </w:pPr>
            <w:r>
              <w:rPr>
                <w:spacing w:val="-1"/>
              </w:rPr>
              <w:br/>
            </w:r>
            <w:r>
              <w:rPr>
                <w:spacing w:val="-1"/>
              </w:rPr>
              <w:br/>
              <w:t>1880.0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(iii)</w:t>
            </w:r>
            <w:r>
              <w:tab/>
              <w:t xml:space="preserve">with a concentration of over 0.3 kg per day </w:t>
            </w:r>
            <w:r>
              <w:tab/>
            </w:r>
          </w:p>
        </w:tc>
        <w:tc>
          <w:tcPr>
            <w:tcW w:w="1576" w:type="dxa"/>
          </w:tcPr>
          <w:p>
            <w:pPr>
              <w:pStyle w:val="yTableNAm"/>
              <w:tabs>
                <w:tab w:val="clear" w:pos="567"/>
              </w:tabs>
              <w:rPr>
                <w:spacing w:val="-1"/>
              </w:rPr>
            </w:pPr>
            <w:r>
              <w:rPr>
                <w:spacing w:val="-1"/>
              </w:rPr>
              <w:br/>
              <w:t>7525.0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(o)</w:t>
            </w:r>
            <w:r>
              <w:tab/>
              <w:t xml:space="preserve">for nickel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 xml:space="preserve">with a concentration of up to 0.006 kg per day </w:t>
            </w:r>
            <w:r>
              <w:tab/>
            </w:r>
          </w:p>
        </w:tc>
        <w:tc>
          <w:tcPr>
            <w:tcW w:w="1576" w:type="dxa"/>
          </w:tcPr>
          <w:p>
            <w:pPr>
              <w:pStyle w:val="yTableNAm"/>
              <w:tabs>
                <w:tab w:val="clear" w:pos="567"/>
              </w:tabs>
              <w:rPr>
                <w:spacing w:val="-1"/>
              </w:rPr>
            </w:pPr>
            <w:r>
              <w:rPr>
                <w:spacing w:val="-1"/>
              </w:rPr>
              <w:br/>
              <w:t>940.0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w:t>
            </w:r>
            <w:r>
              <w:tab/>
              <w:t xml:space="preserve">with a concentration over 0.006 kg per day but not over 0.15 kg per day </w:t>
            </w:r>
            <w:r>
              <w:tab/>
            </w:r>
          </w:p>
        </w:tc>
        <w:tc>
          <w:tcPr>
            <w:tcW w:w="1576" w:type="dxa"/>
          </w:tcPr>
          <w:p>
            <w:pPr>
              <w:pStyle w:val="yTableNAm"/>
              <w:tabs>
                <w:tab w:val="clear" w:pos="567"/>
              </w:tabs>
              <w:rPr>
                <w:spacing w:val="-1"/>
              </w:rPr>
            </w:pPr>
            <w:r>
              <w:rPr>
                <w:spacing w:val="-1"/>
              </w:rPr>
              <w:br/>
            </w:r>
            <w:r>
              <w:rPr>
                <w:spacing w:val="-1"/>
              </w:rPr>
              <w:br/>
              <w:t>1880.0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(iii)</w:t>
            </w:r>
            <w:r>
              <w:tab/>
            </w:r>
            <w:r>
              <w:rPr>
                <w:spacing w:val="-1"/>
              </w:rPr>
              <w:t>with</w:t>
            </w:r>
            <w:r>
              <w:t xml:space="preserve"> a concentration of over 0.15 kg per day </w:t>
            </w:r>
            <w:r>
              <w:tab/>
            </w:r>
          </w:p>
        </w:tc>
        <w:tc>
          <w:tcPr>
            <w:tcW w:w="1576" w:type="dxa"/>
          </w:tcPr>
          <w:p>
            <w:pPr>
              <w:pStyle w:val="yTableNAm"/>
              <w:tabs>
                <w:tab w:val="clear" w:pos="567"/>
              </w:tabs>
              <w:rPr>
                <w:spacing w:val="-1"/>
              </w:rPr>
            </w:pPr>
            <w:r>
              <w:rPr>
                <w:spacing w:val="-1"/>
              </w:rPr>
              <w:br/>
              <w:t>7525.0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(p)</w:t>
            </w:r>
            <w:r>
              <w:tab/>
              <w:t xml:space="preserve">for zinc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 xml:space="preserve">with a concentration of up to 0.05 kg per day </w:t>
            </w:r>
            <w:r>
              <w:tab/>
            </w:r>
          </w:p>
        </w:tc>
        <w:tc>
          <w:tcPr>
            <w:tcW w:w="1576" w:type="dxa"/>
          </w:tcPr>
          <w:p>
            <w:pPr>
              <w:pStyle w:val="yTableNAm"/>
              <w:tabs>
                <w:tab w:val="clear" w:pos="567"/>
              </w:tabs>
              <w:rPr>
                <w:spacing w:val="-1"/>
              </w:rPr>
            </w:pPr>
            <w:r>
              <w:rPr>
                <w:spacing w:val="-1"/>
              </w:rPr>
              <w:br/>
              <w:t>940.0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w:t>
            </w:r>
            <w:r>
              <w:tab/>
              <w:t xml:space="preserve">with a concentration over 0.05 kg per day but not over 0.5 kg per day </w:t>
            </w:r>
            <w:r>
              <w:tab/>
            </w:r>
          </w:p>
        </w:tc>
        <w:tc>
          <w:tcPr>
            <w:tcW w:w="1576" w:type="dxa"/>
          </w:tcPr>
          <w:p>
            <w:pPr>
              <w:pStyle w:val="yTableNAm"/>
              <w:tabs>
                <w:tab w:val="clear" w:pos="567"/>
              </w:tabs>
              <w:rPr>
                <w:spacing w:val="-1"/>
              </w:rPr>
            </w:pPr>
            <w:r>
              <w:rPr>
                <w:spacing w:val="-1"/>
              </w:rPr>
              <w:br/>
            </w:r>
            <w:r>
              <w:rPr>
                <w:spacing w:val="-1"/>
              </w:rPr>
              <w:br/>
              <w:t>1880.0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(iii)</w:t>
            </w:r>
            <w:r>
              <w:tab/>
              <w:t xml:space="preserve">with a concentration of over 0.5 kg per day </w:t>
            </w:r>
            <w:r>
              <w:tab/>
            </w:r>
          </w:p>
        </w:tc>
        <w:tc>
          <w:tcPr>
            <w:tcW w:w="1576" w:type="dxa"/>
          </w:tcPr>
          <w:p>
            <w:pPr>
              <w:pStyle w:val="yTableNAm"/>
              <w:tabs>
                <w:tab w:val="clear" w:pos="567"/>
              </w:tabs>
              <w:rPr>
                <w:spacing w:val="-1"/>
              </w:rPr>
            </w:pPr>
            <w:r>
              <w:rPr>
                <w:spacing w:val="-1"/>
              </w:rPr>
              <w:br/>
              <w:t>7525.0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(q)</w:t>
            </w:r>
            <w:r>
              <w:tab/>
              <w:t xml:space="preserve">for arsenic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 xml:space="preserve">with a concentration of up to 0.001 kg per day </w:t>
            </w:r>
            <w:r>
              <w:tab/>
            </w:r>
          </w:p>
        </w:tc>
        <w:tc>
          <w:tcPr>
            <w:tcW w:w="1576" w:type="dxa"/>
          </w:tcPr>
          <w:p>
            <w:pPr>
              <w:pStyle w:val="yTableNAm"/>
              <w:tabs>
                <w:tab w:val="clear" w:pos="567"/>
              </w:tabs>
              <w:rPr>
                <w:spacing w:val="-1"/>
              </w:rPr>
            </w:pPr>
            <w:r>
              <w:rPr>
                <w:spacing w:val="-1"/>
              </w:rPr>
              <w:br/>
              <w:t>940.0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w:t>
            </w:r>
            <w:r>
              <w:tab/>
              <w:t xml:space="preserve">with a concentration over 0.001 kg per day but not over 0.04 kg per day </w:t>
            </w:r>
            <w:r>
              <w:tab/>
            </w:r>
          </w:p>
        </w:tc>
        <w:tc>
          <w:tcPr>
            <w:tcW w:w="1576" w:type="dxa"/>
          </w:tcPr>
          <w:p>
            <w:pPr>
              <w:pStyle w:val="yTableNAm"/>
              <w:tabs>
                <w:tab w:val="clear" w:pos="567"/>
              </w:tabs>
              <w:rPr>
                <w:spacing w:val="-1"/>
              </w:rPr>
            </w:pPr>
            <w:r>
              <w:rPr>
                <w:spacing w:val="-1"/>
              </w:rPr>
              <w:br/>
            </w:r>
            <w:r>
              <w:rPr>
                <w:spacing w:val="-1"/>
              </w:rPr>
              <w:br/>
              <w:t>9405.0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(iii)</w:t>
            </w:r>
            <w:r>
              <w:tab/>
              <w:t xml:space="preserve">with a concentration of over 0.04 kg per day </w:t>
            </w:r>
            <w:r>
              <w:tab/>
            </w:r>
          </w:p>
        </w:tc>
        <w:tc>
          <w:tcPr>
            <w:tcW w:w="1576" w:type="dxa"/>
          </w:tcPr>
          <w:p>
            <w:pPr>
              <w:pStyle w:val="yTableNAm"/>
              <w:tabs>
                <w:tab w:val="clear" w:pos="567"/>
              </w:tabs>
              <w:rPr>
                <w:spacing w:val="-1"/>
              </w:rPr>
            </w:pPr>
            <w:r>
              <w:rPr>
                <w:spacing w:val="-1"/>
              </w:rPr>
              <w:br/>
              <w:t>94035.0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(r)</w:t>
            </w:r>
            <w:r>
              <w:tab/>
              <w:t xml:space="preserve">for cadmium — </w:t>
            </w:r>
          </w:p>
        </w:tc>
        <w:tc>
          <w:tcPr>
            <w:tcW w:w="1576" w:type="dxa"/>
          </w:tcPr>
          <w:p>
            <w:pPr>
              <w:pStyle w:val="yTableNAm"/>
              <w:tabs>
                <w:tab w:val="clear" w:pos="567"/>
              </w:tabs>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 xml:space="preserve">with a concentration of up to 0.001 kg per day </w:t>
            </w:r>
            <w:r>
              <w:tab/>
            </w:r>
          </w:p>
        </w:tc>
        <w:tc>
          <w:tcPr>
            <w:tcW w:w="1576" w:type="dxa"/>
          </w:tcPr>
          <w:p>
            <w:pPr>
              <w:pStyle w:val="yTableNAm"/>
              <w:tabs>
                <w:tab w:val="clear" w:pos="567"/>
              </w:tabs>
              <w:rPr>
                <w:spacing w:val="-1"/>
              </w:rPr>
            </w:pPr>
            <w:r>
              <w:rPr>
                <w:spacing w:val="-1"/>
              </w:rPr>
              <w:br/>
              <w:t>940.0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w:t>
            </w:r>
            <w:r>
              <w:tab/>
              <w:t xml:space="preserve">with a concentration over 0.001 kg per day but not over 0.015 kg per day </w:t>
            </w:r>
            <w:r>
              <w:tab/>
            </w:r>
          </w:p>
        </w:tc>
        <w:tc>
          <w:tcPr>
            <w:tcW w:w="1576" w:type="dxa"/>
          </w:tcPr>
          <w:p>
            <w:pPr>
              <w:pStyle w:val="yTableNAm"/>
              <w:tabs>
                <w:tab w:val="clear" w:pos="567"/>
              </w:tabs>
              <w:rPr>
                <w:spacing w:val="-1"/>
              </w:rPr>
            </w:pPr>
            <w:r>
              <w:rPr>
                <w:spacing w:val="-1"/>
              </w:rPr>
              <w:br/>
            </w:r>
            <w:r>
              <w:rPr>
                <w:spacing w:val="-1"/>
              </w:rPr>
              <w:br/>
              <w:t>9405.0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(iii)</w:t>
            </w:r>
            <w:r>
              <w:tab/>
            </w:r>
            <w:r>
              <w:rPr>
                <w:spacing w:val="-1"/>
              </w:rPr>
              <w:t>with</w:t>
            </w:r>
            <w:r>
              <w:t xml:space="preserve"> a concentration of over 0.015 kg per day </w:t>
            </w:r>
            <w:r>
              <w:tab/>
            </w:r>
          </w:p>
        </w:tc>
        <w:tc>
          <w:tcPr>
            <w:tcW w:w="1576" w:type="dxa"/>
          </w:tcPr>
          <w:p>
            <w:pPr>
              <w:pStyle w:val="yTableNAm"/>
              <w:tabs>
                <w:tab w:val="clear" w:pos="567"/>
              </w:tabs>
              <w:rPr>
                <w:spacing w:val="-1"/>
              </w:rPr>
            </w:pPr>
            <w:r>
              <w:rPr>
                <w:spacing w:val="-1"/>
              </w:rPr>
              <w:br/>
              <w:t>94035.0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(s)</w:t>
            </w:r>
            <w:r>
              <w:tab/>
              <w:t xml:space="preserve">for molybdenum or selenium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 xml:space="preserve">with a concentration of up to 0.001 kg per </w:t>
            </w:r>
            <w:r>
              <w:rPr>
                <w:spacing w:val="-1"/>
              </w:rPr>
              <w:t>day</w:t>
            </w:r>
            <w:r>
              <w:t xml:space="preserve"> </w:t>
            </w:r>
            <w:r>
              <w:tab/>
            </w:r>
          </w:p>
        </w:tc>
        <w:tc>
          <w:tcPr>
            <w:tcW w:w="1576" w:type="dxa"/>
          </w:tcPr>
          <w:p>
            <w:pPr>
              <w:pStyle w:val="yTableNAm"/>
              <w:tabs>
                <w:tab w:val="clear" w:pos="567"/>
              </w:tabs>
              <w:rPr>
                <w:spacing w:val="-1"/>
              </w:rPr>
            </w:pPr>
            <w:r>
              <w:rPr>
                <w:spacing w:val="-1"/>
              </w:rPr>
              <w:br/>
              <w:t>940.0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w:t>
            </w:r>
            <w:r>
              <w:tab/>
              <w:t xml:space="preserve">with a concentration over 0.001 kg per day but not over 0.02 kg per day </w:t>
            </w:r>
            <w:r>
              <w:tab/>
            </w:r>
          </w:p>
        </w:tc>
        <w:tc>
          <w:tcPr>
            <w:tcW w:w="1576" w:type="dxa"/>
          </w:tcPr>
          <w:p>
            <w:pPr>
              <w:pStyle w:val="yTableNAm"/>
              <w:tabs>
                <w:tab w:val="clear" w:pos="567"/>
              </w:tabs>
              <w:rPr>
                <w:spacing w:val="-1"/>
              </w:rPr>
            </w:pPr>
            <w:r>
              <w:rPr>
                <w:spacing w:val="-1"/>
              </w:rPr>
              <w:br/>
            </w:r>
            <w:r>
              <w:rPr>
                <w:spacing w:val="-1"/>
              </w:rPr>
              <w:br/>
              <w:t>9405.0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(iii)</w:t>
            </w:r>
            <w:r>
              <w:tab/>
              <w:t xml:space="preserve">with a concentration of over 0.02 kg per day </w:t>
            </w:r>
            <w:r>
              <w:tab/>
            </w:r>
          </w:p>
        </w:tc>
        <w:tc>
          <w:tcPr>
            <w:tcW w:w="1576" w:type="dxa"/>
          </w:tcPr>
          <w:p>
            <w:pPr>
              <w:pStyle w:val="yTableNAm"/>
              <w:tabs>
                <w:tab w:val="clear" w:pos="567"/>
              </w:tabs>
              <w:rPr>
                <w:spacing w:val="-1"/>
              </w:rPr>
            </w:pPr>
            <w:r>
              <w:rPr>
                <w:spacing w:val="-1"/>
              </w:rPr>
              <w:br/>
              <w:t>94035.0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(t)</w:t>
            </w:r>
            <w:r>
              <w:tab/>
              <w:t xml:space="preserve">for silver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r>
            <w:r>
              <w:rPr>
                <w:spacing w:val="-1"/>
              </w:rPr>
              <w:t>with</w:t>
            </w:r>
            <w:r>
              <w:t xml:space="preserve"> a concentration of up to 0.002 kg per day </w:t>
            </w:r>
            <w:r>
              <w:tab/>
            </w:r>
          </w:p>
        </w:tc>
        <w:tc>
          <w:tcPr>
            <w:tcW w:w="1576" w:type="dxa"/>
          </w:tcPr>
          <w:p>
            <w:pPr>
              <w:pStyle w:val="yTableNAm"/>
              <w:tabs>
                <w:tab w:val="clear" w:pos="567"/>
              </w:tabs>
              <w:rPr>
                <w:spacing w:val="-1"/>
              </w:rPr>
            </w:pPr>
            <w:r>
              <w:rPr>
                <w:spacing w:val="-1"/>
              </w:rPr>
              <w:br/>
              <w:t>940.0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w:t>
            </w:r>
            <w:r>
              <w:tab/>
            </w:r>
            <w:r>
              <w:rPr>
                <w:spacing w:val="-1"/>
              </w:rPr>
              <w:t>with</w:t>
            </w:r>
            <w:r>
              <w:t xml:space="preserve"> a concentration over 0.002 kg per day but not over 0.01 kg per day </w:t>
            </w:r>
            <w:r>
              <w:tab/>
            </w:r>
          </w:p>
        </w:tc>
        <w:tc>
          <w:tcPr>
            <w:tcW w:w="1576" w:type="dxa"/>
          </w:tcPr>
          <w:p>
            <w:pPr>
              <w:pStyle w:val="yTableNAm"/>
              <w:tabs>
                <w:tab w:val="clear" w:pos="567"/>
              </w:tabs>
              <w:rPr>
                <w:spacing w:val="-1"/>
              </w:rPr>
            </w:pPr>
            <w:r>
              <w:rPr>
                <w:spacing w:val="-1"/>
              </w:rPr>
              <w:br/>
            </w:r>
            <w:r>
              <w:rPr>
                <w:spacing w:val="-1"/>
              </w:rPr>
              <w:br/>
              <w:t>9405.0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(iii)</w:t>
            </w:r>
            <w:r>
              <w:tab/>
              <w:t xml:space="preserve">with a concentration of over 0.01 kg per day </w:t>
            </w:r>
            <w:r>
              <w:tab/>
            </w:r>
          </w:p>
        </w:tc>
        <w:tc>
          <w:tcPr>
            <w:tcW w:w="1576" w:type="dxa"/>
          </w:tcPr>
          <w:p>
            <w:pPr>
              <w:pStyle w:val="yTableNAm"/>
              <w:tabs>
                <w:tab w:val="clear" w:pos="567"/>
              </w:tabs>
              <w:rPr>
                <w:spacing w:val="-1"/>
              </w:rPr>
            </w:pPr>
            <w:r>
              <w:rPr>
                <w:spacing w:val="-1"/>
              </w:rPr>
              <w:br/>
              <w:t>94035.0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(u)</w:t>
            </w:r>
            <w:r>
              <w:tab/>
              <w:t xml:space="preserve">for mercury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 xml:space="preserve">with a concentration of up to 0.0001 kg per day </w:t>
            </w:r>
            <w:r>
              <w:tab/>
            </w:r>
          </w:p>
        </w:tc>
        <w:tc>
          <w:tcPr>
            <w:tcW w:w="1576" w:type="dxa"/>
          </w:tcPr>
          <w:p>
            <w:pPr>
              <w:pStyle w:val="yTableNAm"/>
              <w:tabs>
                <w:tab w:val="clear" w:pos="567"/>
              </w:tabs>
              <w:rPr>
                <w:spacing w:val="-1"/>
              </w:rPr>
            </w:pPr>
            <w:r>
              <w:rPr>
                <w:spacing w:val="-1"/>
              </w:rPr>
              <w:br/>
              <w:t>940.0 c/kg</w:t>
            </w:r>
          </w:p>
        </w:tc>
      </w:tr>
      <w:tr>
        <w:trPr>
          <w:cantSplit/>
        </w:trPr>
        <w:tc>
          <w:tcPr>
            <w:tcW w:w="850" w:type="dxa"/>
          </w:tcPr>
          <w:p>
            <w:pPr>
              <w:pStyle w:val="yTableNAm"/>
            </w:pPr>
          </w:p>
        </w:tc>
        <w:tc>
          <w:tcPr>
            <w:tcW w:w="4236" w:type="dxa"/>
          </w:tcPr>
          <w:p>
            <w:pPr>
              <w:pStyle w:val="yTableNAm"/>
              <w:tabs>
                <w:tab w:val="clear" w:pos="567"/>
                <w:tab w:val="left" w:pos="416"/>
                <w:tab w:val="left" w:pos="896"/>
              </w:tabs>
              <w:ind w:left="1440" w:hanging="1440"/>
            </w:pPr>
            <w:r>
              <w:tab/>
            </w:r>
            <w:r>
              <w:tab/>
              <w:t>(ii)</w:t>
            </w:r>
            <w:r>
              <w:tab/>
            </w:r>
            <w:r>
              <w:rPr>
                <w:spacing w:val="-1"/>
              </w:rPr>
              <w:t>with</w:t>
            </w:r>
            <w:r>
              <w:t xml:space="preserve"> a concentration over 0.0001 kg per day but not over 0.001 kg per day </w:t>
            </w:r>
            <w:r>
              <w:tab/>
            </w:r>
          </w:p>
        </w:tc>
        <w:tc>
          <w:tcPr>
            <w:tcW w:w="1576" w:type="dxa"/>
          </w:tcPr>
          <w:p>
            <w:pPr>
              <w:pStyle w:val="yTableNAm"/>
              <w:tabs>
                <w:tab w:val="clear" w:pos="567"/>
              </w:tabs>
              <w:rPr>
                <w:spacing w:val="-1"/>
              </w:rPr>
            </w:pPr>
            <w:r>
              <w:rPr>
                <w:spacing w:val="-1"/>
              </w:rPr>
              <w:br/>
            </w:r>
            <w:r>
              <w:rPr>
                <w:spacing w:val="-1"/>
              </w:rPr>
              <w:br/>
              <w:t>94035.0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(iii)</w:t>
            </w:r>
            <w:r>
              <w:tab/>
            </w:r>
            <w:r>
              <w:rPr>
                <w:spacing w:val="-1"/>
              </w:rPr>
              <w:t>with</w:t>
            </w:r>
            <w:r>
              <w:t xml:space="preserve"> a concentration of over 0.001 kg per day </w:t>
            </w:r>
            <w:r>
              <w:tab/>
            </w:r>
          </w:p>
        </w:tc>
        <w:tc>
          <w:tcPr>
            <w:tcW w:w="1576" w:type="dxa"/>
          </w:tcPr>
          <w:p>
            <w:pPr>
              <w:pStyle w:val="yTableNAm"/>
              <w:tabs>
                <w:tab w:val="clear" w:pos="567"/>
              </w:tabs>
              <w:rPr>
                <w:spacing w:val="-1"/>
              </w:rPr>
            </w:pPr>
            <w:r>
              <w:rPr>
                <w:spacing w:val="-1"/>
              </w:rPr>
              <w:br/>
              <w:t>705255.0 c/kg</w:t>
            </w:r>
          </w:p>
        </w:tc>
      </w:tr>
      <w:tr>
        <w:trPr>
          <w:cantSplit/>
        </w:trPr>
        <w:tc>
          <w:tcPr>
            <w:tcW w:w="850" w:type="dxa"/>
          </w:tcPr>
          <w:p>
            <w:pPr>
              <w:pStyle w:val="yHeading5"/>
              <w:tabs>
                <w:tab w:val="clear" w:pos="879"/>
              </w:tabs>
              <w:ind w:left="0" w:firstLine="0"/>
            </w:pPr>
            <w:bookmarkStart w:id="762" w:name="_Toc265743614"/>
            <w:r>
              <w:t>12.</w:t>
            </w:r>
            <w:bookmarkEnd w:id="762"/>
          </w:p>
        </w:tc>
        <w:tc>
          <w:tcPr>
            <w:tcW w:w="5812" w:type="dxa"/>
            <w:gridSpan w:val="2"/>
          </w:tcPr>
          <w:p>
            <w:pPr>
              <w:pStyle w:val="yHeading5"/>
              <w:tabs>
                <w:tab w:val="clear" w:pos="879"/>
              </w:tabs>
              <w:ind w:left="0" w:firstLine="0"/>
            </w:pPr>
            <w:bookmarkStart w:id="763" w:name="_Toc265743615"/>
            <w:r>
              <w:t>Effluent discharged from a septic tank effluent pumping system into a sewer of the Corporation</w:t>
            </w:r>
            <w:bookmarkEnd w:id="763"/>
          </w:p>
        </w:tc>
      </w:tr>
      <w:tr>
        <w:trPr>
          <w:cantSplit/>
        </w:trPr>
        <w:tc>
          <w:tcPr>
            <w:tcW w:w="850" w:type="dxa"/>
          </w:tcPr>
          <w:p>
            <w:pPr>
              <w:pStyle w:val="yTableNAm"/>
            </w:pPr>
          </w:p>
        </w:tc>
        <w:tc>
          <w:tcPr>
            <w:tcW w:w="4236" w:type="dxa"/>
          </w:tcPr>
          <w:p>
            <w:pPr>
              <w:pStyle w:val="yTableNAm"/>
              <w:tabs>
                <w:tab w:val="clear" w:pos="567"/>
                <w:tab w:val="left" w:leader="dot" w:pos="4020"/>
              </w:tabs>
            </w:pPr>
            <w:r>
              <w:t xml:space="preserve">For effluent discharged from a septic tank effluent pumping system into a sewer of the Corporation </w:t>
            </w:r>
            <w:r>
              <w:tab/>
            </w:r>
          </w:p>
        </w:tc>
        <w:tc>
          <w:tcPr>
            <w:tcW w:w="1576" w:type="dxa"/>
          </w:tcPr>
          <w:p>
            <w:pPr>
              <w:pStyle w:val="yTableNAm"/>
              <w:tabs>
                <w:tab w:val="clear" w:pos="567"/>
              </w:tabs>
              <w:rPr>
                <w:spacing w:val="-1"/>
              </w:rPr>
            </w:pPr>
            <w:r>
              <w:rPr>
                <w:spacing w:val="-1"/>
              </w:rPr>
              <w:br/>
            </w:r>
            <w:r>
              <w:rPr>
                <w:spacing w:val="-1"/>
              </w:rPr>
              <w:br/>
              <w:t>140.0 c/kL</w:t>
            </w:r>
          </w:p>
        </w:tc>
      </w:tr>
    </w:tbl>
    <w:p>
      <w:pPr>
        <w:pStyle w:val="yFootnotesection"/>
      </w:pPr>
      <w:r>
        <w:tab/>
        <w:t>[Division 3 inserted in Gazette 25 Jun 2010 p. 2937</w:t>
      </w:r>
      <w:r>
        <w:noBreakHyphen/>
        <w:t>41.]</w:t>
      </w:r>
    </w:p>
    <w:p>
      <w:pPr>
        <w:pStyle w:val="yHeading3"/>
      </w:pPr>
      <w:bookmarkStart w:id="764" w:name="_Toc265743616"/>
      <w:r>
        <w:rPr>
          <w:rStyle w:val="CharSDivNo"/>
        </w:rPr>
        <w:t>Division 4</w:t>
      </w:r>
      <w:r>
        <w:rPr>
          <w:b w:val="0"/>
        </w:rPr>
        <w:t> — </w:t>
      </w:r>
      <w:r>
        <w:rPr>
          <w:rStyle w:val="CharSDivText"/>
        </w:rPr>
        <w:t>Metropolitan combined charges</w:t>
      </w:r>
      <w:bookmarkEnd w:id="764"/>
    </w:p>
    <w:p>
      <w:pPr>
        <w:pStyle w:val="yFootnoteheading"/>
      </w:pPr>
      <w:r>
        <w:tab/>
        <w:t>[Heading inserted in Gazette 25 Jun 2010 p. 2941.]</w:t>
      </w:r>
    </w:p>
    <w:p>
      <w:pPr>
        <w:pStyle w:val="yHeading5"/>
      </w:pPr>
      <w:bookmarkStart w:id="765" w:name="_Toc265743617"/>
      <w:r>
        <w:t>13.</w:t>
      </w:r>
      <w:r>
        <w:tab/>
        <w:t>Metropolitan non</w:t>
      </w:r>
      <w:r>
        <w:noBreakHyphen/>
        <w:t>residential (other than vacant land)</w:t>
      </w:r>
      <w:bookmarkEnd w:id="765"/>
    </w:p>
    <w:p>
      <w:pPr>
        <w:pStyle w:val="ySubsection"/>
      </w:pPr>
      <w:r>
        <w:tab/>
      </w:r>
      <w:r>
        <w:tab/>
        <w:t xml:space="preserve">In respect of </w:t>
      </w:r>
      <w:r>
        <w:rPr>
          <w:snapToGrid w:val="0"/>
        </w:rPr>
        <w:t>land</w:t>
      </w:r>
      <w:r>
        <w:t xml:space="preserve"> in the metropolitan area that is not — </w:t>
      </w:r>
    </w:p>
    <w:p>
      <w:pPr>
        <w:pStyle w:val="yIndenta"/>
      </w:pPr>
      <w:r>
        <w:tab/>
        <w:t>(a)</w:t>
      </w:r>
      <w:r>
        <w:tab/>
        <w:t>comprised in a residential property; and</w:t>
      </w:r>
    </w:p>
    <w:p>
      <w:pPr>
        <w:pStyle w:val="yIndenta"/>
      </w:pPr>
      <w:r>
        <w:tab/>
        <w:t>(b)</w:t>
      </w:r>
      <w:r>
        <w:tab/>
        <w:t>referred to in item 1, 3, 4, 5, 14, 15 or 16,</w:t>
      </w:r>
    </w:p>
    <w:p>
      <w:pPr>
        <w:pStyle w:val="ySubsection"/>
      </w:pPr>
      <w:r>
        <w:tab/>
      </w:r>
      <w:r>
        <w:tab/>
        <w:t xml:space="preserve">the charge is calculated in accordance with the following formula — </w:t>
      </w:r>
    </w:p>
    <w:p>
      <w:pPr>
        <w:pStyle w:val="yIndenta"/>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yIndenta"/>
      </w:pPr>
      <w:r>
        <w:tab/>
      </w:r>
      <w:r>
        <w:tab/>
      </w:r>
      <w:r>
        <w:rPr>
          <w:b/>
          <w:bCs/>
        </w:rPr>
        <w:t>P</w:t>
      </w:r>
      <w:r>
        <w:t xml:space="preserve"> + </w:t>
      </w:r>
      <w:r>
        <w:rPr>
          <w:b/>
          <w:bCs/>
        </w:rPr>
        <w:t>Q</w:t>
      </w:r>
    </w:p>
    <w:p>
      <w:pPr>
        <w:pStyle w:val="yIndenta"/>
      </w:pPr>
      <w:r>
        <w:tab/>
      </w:r>
      <w:r>
        <w:tab/>
        <w:t xml:space="preserve">or if — </w:t>
      </w:r>
    </w:p>
    <w:p>
      <w:pPr>
        <w:pStyle w:val="yIndenta"/>
        <w:rPr>
          <w:b/>
        </w:rPr>
      </w:pPr>
      <w:r>
        <w:rPr>
          <w:b/>
        </w:rPr>
        <w:tab/>
      </w:r>
      <w:r>
        <w:rPr>
          <w:b/>
        </w:rPr>
        <w:tab/>
      </w:r>
      <w:r>
        <w:rPr>
          <w:b/>
        </w:rPr>
        <w:tab/>
      </w:r>
      <w:r>
        <w:t>(</w:t>
      </w:r>
      <w:r>
        <w:rPr>
          <w:b/>
        </w:rPr>
        <w:t>P</w:t>
      </w:r>
      <w:r>
        <w:t xml:space="preserve"> + </w:t>
      </w:r>
      <w:r>
        <w:rPr>
          <w:b/>
        </w:rPr>
        <w:t>Q</w:t>
      </w:r>
      <w:r>
        <w:t xml:space="preserve">) &gt; </w:t>
      </w:r>
      <w:r>
        <w:rPr>
          <w:b/>
        </w:rPr>
        <w:t>R</w:t>
      </w:r>
      <w:r>
        <w:t>; and</w:t>
      </w:r>
    </w:p>
    <w:p>
      <w:pPr>
        <w:pStyle w:val="yIndenta"/>
        <w:rPr>
          <w:b/>
        </w:rPr>
      </w:pPr>
      <w:r>
        <w:rPr>
          <w:b/>
        </w:rPr>
        <w:tab/>
      </w:r>
      <w:r>
        <w:rPr>
          <w:b/>
        </w:rPr>
        <w:tab/>
      </w:r>
      <w:r>
        <w:rPr>
          <w:b/>
        </w:rPr>
        <w:tab/>
        <w:t>N</w:t>
      </w:r>
      <w:r>
        <w:t xml:space="preserve"> </w:t>
      </w:r>
      <w:r>
        <w:sym w:font="Symbol" w:char="F0A3"/>
      </w:r>
      <w:r>
        <w:t xml:space="preserve"> </w:t>
      </w:r>
      <w:r>
        <w:rPr>
          <w:b/>
        </w:rPr>
        <w:t>W</w:t>
      </w:r>
      <w:r>
        <w:t>,</w:t>
      </w:r>
    </w:p>
    <w:p>
      <w:pPr>
        <w:pStyle w:val="yIndenta"/>
      </w:pPr>
      <w:r>
        <w:tab/>
      </w:r>
      <w:r>
        <w:tab/>
        <w:t xml:space="preserve">then — </w:t>
      </w:r>
    </w:p>
    <w:p>
      <w:pPr>
        <w:pStyle w:val="yIndenta"/>
        <w:rPr>
          <w:b/>
        </w:rPr>
      </w:pPr>
      <w:r>
        <w:rPr>
          <w:b/>
        </w:rPr>
        <w:tab/>
      </w:r>
      <w:r>
        <w:rPr>
          <w:b/>
        </w:rPr>
        <w:tab/>
      </w:r>
      <w:r>
        <w:rPr>
          <w:b/>
        </w:rPr>
        <w:tab/>
        <w:t>R</w:t>
      </w:r>
    </w:p>
    <w:p>
      <w:pPr>
        <w:pStyle w:val="yIndenta"/>
      </w:pPr>
      <w:r>
        <w:tab/>
      </w:r>
      <w:r>
        <w:tab/>
        <w:t xml:space="preserve">or if — </w:t>
      </w:r>
    </w:p>
    <w:p>
      <w:pPr>
        <w:pStyle w:val="yIndenta"/>
        <w:rPr>
          <w:b/>
        </w:rPr>
      </w:pPr>
      <w:r>
        <w:rPr>
          <w:b/>
        </w:rPr>
        <w:tab/>
      </w:r>
      <w:r>
        <w:rPr>
          <w:b/>
        </w:rPr>
        <w:tab/>
      </w:r>
      <w:r>
        <w:rPr>
          <w:b/>
        </w:rPr>
        <w:tab/>
      </w:r>
      <w:r>
        <w:t>(</w:t>
      </w:r>
      <w:r>
        <w:rPr>
          <w:b/>
        </w:rPr>
        <w:t>P</w:t>
      </w:r>
      <w:r>
        <w:t xml:space="preserve"> </w:t>
      </w:r>
      <w:r>
        <w:rPr>
          <w:b/>
        </w:rPr>
        <w:t>+</w:t>
      </w:r>
      <w:r>
        <w:t xml:space="preserve"> </w:t>
      </w:r>
      <w:r>
        <w:rPr>
          <w:b/>
        </w:rPr>
        <w:t>Q</w:t>
      </w:r>
      <w:r>
        <w:t xml:space="preserve">) </w:t>
      </w:r>
      <w:r>
        <w:rPr>
          <w:b/>
        </w:rPr>
        <w:t>&gt;</w:t>
      </w:r>
      <w:r>
        <w:t xml:space="preserve"> </w:t>
      </w:r>
      <w:r>
        <w:rPr>
          <w:b/>
        </w:rPr>
        <w:t>R</w:t>
      </w:r>
      <w:r>
        <w:t>; and</w:t>
      </w:r>
    </w:p>
    <w:p>
      <w:pPr>
        <w:pStyle w:val="yIndenta"/>
        <w:rPr>
          <w:b/>
        </w:rPr>
      </w:pPr>
      <w:r>
        <w:rPr>
          <w:b/>
        </w:rPr>
        <w:tab/>
      </w:r>
      <w:r>
        <w:rPr>
          <w:b/>
        </w:rPr>
        <w:tab/>
      </w:r>
      <w:r>
        <w:rPr>
          <w:b/>
        </w:rPr>
        <w:tab/>
        <w:t>N &gt; W</w:t>
      </w:r>
      <w:r>
        <w:t>,</w:t>
      </w:r>
    </w:p>
    <w:p>
      <w:pPr>
        <w:pStyle w:val="yIndenta"/>
      </w:pPr>
      <w:r>
        <w:tab/>
      </w:r>
      <w:r>
        <w:tab/>
        <w:t xml:space="preserve">then — </w:t>
      </w:r>
    </w:p>
    <w:p>
      <w:pPr>
        <w:pStyle w:val="yIndenta"/>
      </w:pPr>
      <w:r>
        <w:tab/>
      </w:r>
      <w:r>
        <w:tab/>
      </w:r>
      <w:r>
        <w:tab/>
      </w:r>
      <w:r>
        <w:rPr>
          <w:b/>
        </w:rPr>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Indenta"/>
      </w:pPr>
      <w:r>
        <w:tab/>
      </w:r>
      <w:r>
        <w:tab/>
        <w:t xml:space="preserve">where — </w:t>
      </w:r>
    </w:p>
    <w:p>
      <w:pPr>
        <w:pStyle w:val="yIndenti0"/>
      </w:pPr>
      <w:r>
        <w:rPr>
          <w:b/>
        </w:rPr>
        <w:tab/>
        <w:t>P</w:t>
      </w:r>
      <w:r>
        <w:t xml:space="preserve"> =</w:t>
      </w:r>
      <w:r>
        <w:tab/>
        <w:t>the annual charge calculated in accordance with the formula in item 18;</w:t>
      </w:r>
    </w:p>
    <w:p>
      <w:pPr>
        <w:pStyle w:val="yIndenti0"/>
      </w:pPr>
      <w:r>
        <w:rPr>
          <w:b/>
        </w:rPr>
        <w:tab/>
        <w:t>Q</w:t>
      </w:r>
      <w:r>
        <w:t xml:space="preserve"> =</w:t>
      </w:r>
      <w:r>
        <w:tab/>
        <w:t>the quantity charge calculated in accordance with the formula in item 19;</w:t>
      </w:r>
    </w:p>
    <w:p>
      <w:pPr>
        <w:pStyle w:val="yIndenti0"/>
      </w:pPr>
      <w:r>
        <w:rPr>
          <w:b/>
        </w:rPr>
        <w:tab/>
        <w:t>R</w:t>
      </w:r>
      <w:r>
        <w:t xml:space="preserve"> =</w:t>
      </w:r>
      <w:r>
        <w:tab/>
        <w:t>the charge calculated in accordance with the following formula — </w:t>
      </w:r>
    </w:p>
    <w:p>
      <w:pPr>
        <w:pStyle w:val="yIndenti0"/>
      </w:pPr>
      <w:r>
        <w:rPr>
          <w:b/>
        </w:rPr>
        <w:tab/>
      </w:r>
      <w:r>
        <w:rPr>
          <w:b/>
        </w:rPr>
        <w:tab/>
        <w:t>A</w:t>
      </w:r>
      <w:r>
        <w:t xml:space="preserve"> </w:t>
      </w:r>
      <w:r>
        <w:sym w:font="Symbol" w:char="F0B4"/>
      </w:r>
      <w:r>
        <w:t xml:space="preserve"> </w:t>
      </w:r>
      <w:r>
        <w:rPr>
          <w:b/>
        </w:rPr>
        <w:t>S</w:t>
      </w:r>
    </w:p>
    <w:p>
      <w:pPr>
        <w:pStyle w:val="yIndenti0"/>
      </w:pPr>
      <w:r>
        <w:tab/>
      </w:r>
      <w:r>
        <w:tab/>
        <w:t xml:space="preserve">where — </w:t>
      </w:r>
    </w:p>
    <w:p>
      <w:pPr>
        <w:pStyle w:val="yIndentI"/>
      </w:pPr>
      <w:r>
        <w:rPr>
          <w:b/>
        </w:rPr>
        <w:tab/>
        <w:t>A</w:t>
      </w:r>
      <w:r>
        <w:t xml:space="preserve"> =</w:t>
      </w:r>
      <w:r>
        <w:tab/>
        <w:t>the charge payable in the 2009/2010 year;</w:t>
      </w:r>
    </w:p>
    <w:p>
      <w:pPr>
        <w:pStyle w:val="yIndentI"/>
      </w:pPr>
      <w:r>
        <w:rPr>
          <w:b/>
        </w:rPr>
        <w:tab/>
        <w:t>S</w:t>
      </w:r>
      <w:r>
        <w:t xml:space="preserve"> =</w:t>
      </w:r>
      <w:r>
        <w:tab/>
        <w:t>1.121;</w:t>
      </w:r>
    </w:p>
    <w:p>
      <w:pPr>
        <w:pStyle w:val="yIndentI"/>
      </w:pPr>
      <w:r>
        <w:rPr>
          <w:b/>
        </w:rPr>
        <w:tab/>
        <w:t>N</w:t>
      </w:r>
      <w:r>
        <w:t xml:space="preserve"> =</w:t>
      </w:r>
      <w:r>
        <w:tab/>
        <w:t>the discharge volume for the 2010/2011 year;</w:t>
      </w:r>
    </w:p>
    <w:p>
      <w:pPr>
        <w:pStyle w:val="yIndentI"/>
      </w:pPr>
      <w:r>
        <w:rPr>
          <w:b/>
        </w:rPr>
        <w:tab/>
        <w:t>W</w:t>
      </w:r>
      <w:r>
        <w:t xml:space="preserve"> =</w:t>
      </w:r>
      <w:r>
        <w:tab/>
        <w:t xml:space="preserve">the </w:t>
      </w:r>
      <w:r>
        <w:rPr>
          <w:bCs/>
        </w:rPr>
        <w:t>discharge</w:t>
      </w:r>
      <w:r>
        <w:t xml:space="preserve"> volume for the 2009/2010 year;</w:t>
      </w:r>
    </w:p>
    <w:p>
      <w:pPr>
        <w:pStyle w:val="yIndentI"/>
      </w:pPr>
      <w:r>
        <w:rPr>
          <w:b/>
        </w:rPr>
        <w:tab/>
        <w:t>I</w:t>
      </w:r>
      <w:r>
        <w:t xml:space="preserve"> =</w:t>
      </w:r>
      <w:r>
        <w:tab/>
        <w:t>2.420.</w:t>
      </w:r>
    </w:p>
    <w:p>
      <w:pPr>
        <w:pStyle w:val="yHeading5"/>
      </w:pPr>
      <w:bookmarkStart w:id="766" w:name="_Toc265743618"/>
      <w:r>
        <w:t>14.</w:t>
      </w:r>
      <w:r>
        <w:tab/>
        <w:t>Metropolitan Government trading organisation and non</w:t>
      </w:r>
      <w:r>
        <w:noBreakHyphen/>
        <w:t>commercial Government property</w:t>
      </w:r>
      <w:bookmarkEnd w:id="766"/>
    </w:p>
    <w:p>
      <w:pPr>
        <w:pStyle w:val="ySubsection"/>
      </w:pPr>
      <w:r>
        <w:tab/>
      </w:r>
      <w:r>
        <w:tab/>
        <w:t xml:space="preserve">In respect of a </w:t>
      </w:r>
      <w:r>
        <w:rPr>
          <w:snapToGrid w:val="0"/>
        </w:rPr>
        <w:t>non</w:t>
      </w:r>
      <w:r>
        <w:noBreakHyphen/>
        <w:t xml:space="preserve">commercial Government property, or a property held by a Government trading organisation, in the metropolitan area the charge payable in accordance with the following formula — </w:t>
      </w:r>
    </w:p>
    <w:p>
      <w:pPr>
        <w:pStyle w:val="ySubsection"/>
      </w:pPr>
      <w:r>
        <w:rPr>
          <w:b/>
        </w:rPr>
        <w:tab/>
      </w:r>
      <w:r>
        <w:rPr>
          <w:b/>
        </w:rPr>
        <w:tab/>
        <w:t>Y</w:t>
      </w:r>
      <w:r>
        <w:t xml:space="preserve"> + </w:t>
      </w:r>
      <w:r>
        <w:rPr>
          <w:b/>
        </w:rPr>
        <w:t>Q</w:t>
      </w:r>
    </w:p>
    <w:p>
      <w:pPr>
        <w:pStyle w:val="ySubsection"/>
      </w:pPr>
      <w:r>
        <w:tab/>
      </w:r>
      <w:r>
        <w:tab/>
        <w:t xml:space="preserve">where — </w:t>
      </w:r>
    </w:p>
    <w:p>
      <w:pPr>
        <w:pStyle w:val="yIndenta"/>
      </w:pPr>
      <w:r>
        <w:rPr>
          <w:b/>
        </w:rPr>
        <w:tab/>
        <w:t>Y</w:t>
      </w:r>
      <w:r>
        <w:t xml:space="preserve"> =</w:t>
      </w:r>
      <w:r>
        <w:tab/>
        <w:t>the charge payable for the relevant number of major fixtures in the 2010/2011 year as set out in the Table to item 18;</w:t>
      </w:r>
    </w:p>
    <w:p>
      <w:pPr>
        <w:pStyle w:val="yIndenta"/>
      </w:pPr>
      <w:r>
        <w:rPr>
          <w:b/>
        </w:rPr>
        <w:tab/>
        <w:t>Q</w:t>
      </w:r>
      <w:r>
        <w:t xml:space="preserve"> =</w:t>
      </w:r>
      <w:r>
        <w:tab/>
        <w:t>the quantity charge calculated in accordance with the formula in item 19.</w:t>
      </w:r>
    </w:p>
    <w:p>
      <w:pPr>
        <w:pStyle w:val="yHeading5"/>
      </w:pPr>
      <w:bookmarkStart w:id="767" w:name="_Toc265743619"/>
      <w:r>
        <w:t>15.</w:t>
      </w:r>
      <w:r>
        <w:tab/>
        <w:t>Metropolitan non strata</w:t>
      </w:r>
      <w:r>
        <w:noBreakHyphen/>
        <w:t>titled caravan park with long</w:t>
      </w:r>
      <w:r>
        <w:noBreakHyphen/>
        <w:t>term residential caravan bays</w:t>
      </w:r>
      <w:bookmarkEnd w:id="767"/>
    </w:p>
    <w:p>
      <w:pPr>
        <w:pStyle w:val="ySubsection"/>
      </w:pPr>
      <w:r>
        <w:tab/>
      </w:r>
      <w:r>
        <w:tab/>
        <w:t xml:space="preserve">In respect of a caravan park in the metropolitan area — </w:t>
      </w:r>
    </w:p>
    <w:p>
      <w:pPr>
        <w:pStyle w:val="yIndenta"/>
      </w:pPr>
      <w:r>
        <w:tab/>
        <w:t>(a)</w:t>
      </w:r>
      <w:r>
        <w:tab/>
        <w:t>not consisting of strata</w:t>
      </w:r>
      <w:r>
        <w:noBreakHyphen/>
        <w:t>titled caravan bays referred to in item 3; and</w:t>
      </w:r>
    </w:p>
    <w:p>
      <w:pPr>
        <w:pStyle w:val="yIndenta"/>
      </w:pPr>
      <w:r>
        <w:tab/>
        <w:t>(b)</w:t>
      </w:r>
      <w:r>
        <w:tab/>
        <w:t>having long</w:t>
      </w:r>
      <w:r>
        <w:noBreakHyphen/>
        <w:t xml:space="preserve">term residential caravan bays, the charge payable in accordance with the following formula — </w:t>
      </w:r>
    </w:p>
    <w:p>
      <w:pPr>
        <w:pStyle w:val="yIndenta"/>
      </w:pPr>
      <w:r>
        <w:rPr>
          <w:b/>
        </w:rPr>
        <w:tab/>
      </w:r>
      <w:r>
        <w:rPr>
          <w:b/>
        </w:rPr>
        <w:tab/>
        <w:t>AA</w:t>
      </w:r>
      <w:r>
        <w:t xml:space="preserve"> + </w:t>
      </w:r>
      <w:r>
        <w:rPr>
          <w:b/>
        </w:rPr>
        <w:t>AB</w:t>
      </w:r>
    </w:p>
    <w:p>
      <w:pPr>
        <w:pStyle w:val="yIndenta"/>
      </w:pPr>
      <w:r>
        <w:tab/>
      </w:r>
      <w:r>
        <w:tab/>
        <w:t xml:space="preserve">where — </w:t>
      </w:r>
    </w:p>
    <w:p>
      <w:pPr>
        <w:pStyle w:val="yIndenti0"/>
      </w:pPr>
      <w:r>
        <w:rPr>
          <w:b/>
          <w:bCs/>
        </w:rPr>
        <w:tab/>
        <w:t>AA =</w:t>
      </w:r>
      <w:r>
        <w:tab/>
        <w:t>a charge of $217.40 for each long</w:t>
      </w:r>
      <w:r>
        <w:noBreakHyphen/>
        <w:t>term residential caravan bay;</w:t>
      </w:r>
    </w:p>
    <w:p>
      <w:pPr>
        <w:pStyle w:val="yIndenti0"/>
      </w:pPr>
      <w:r>
        <w:tab/>
      </w:r>
      <w:r>
        <w:rPr>
          <w:b/>
          <w:bCs/>
        </w:rPr>
        <w:t>AB</w:t>
      </w:r>
      <w:r>
        <w:t xml:space="preserve"> =</w:t>
      </w:r>
      <w:r>
        <w:tab/>
        <w:t>the charge for any part of the caravan park not comprised in long</w:t>
      </w:r>
      <w:r>
        <w:noBreakHyphen/>
        <w:t xml:space="preserve">term residential caravan bays, calculated in accordance with the following formula — </w:t>
      </w:r>
    </w:p>
    <w:p>
      <w:pPr>
        <w:pStyle w:val="yIndenti0"/>
      </w:pPr>
      <w:r>
        <w:tab/>
      </w:r>
      <w:r>
        <w:tab/>
        <w:t>If (</w:t>
      </w:r>
      <w:r>
        <w:rPr>
          <w:b/>
          <w:bCs/>
        </w:rPr>
        <w:t>Y</w:t>
      </w:r>
      <w:r>
        <w:t xml:space="preserve"> + </w:t>
      </w:r>
      <w:r>
        <w:rPr>
          <w:b/>
          <w:bCs/>
        </w:rPr>
        <w:t>Q</w:t>
      </w:r>
      <w:r>
        <w:t xml:space="preserve">) </w:t>
      </w:r>
      <w:r>
        <w:sym w:font="Symbol" w:char="F0A3"/>
      </w:r>
      <w:r>
        <w:t xml:space="preserve"> </w:t>
      </w:r>
      <w:r>
        <w:rPr>
          <w:b/>
          <w:bCs/>
        </w:rPr>
        <w:t>R</w:t>
      </w:r>
      <w:r>
        <w:t xml:space="preserve">, then — </w:t>
      </w:r>
    </w:p>
    <w:p>
      <w:pPr>
        <w:pStyle w:val="yIndenti0"/>
      </w:pPr>
      <w:r>
        <w:tab/>
      </w:r>
      <w:r>
        <w:tab/>
      </w:r>
      <w:r>
        <w:rPr>
          <w:b/>
          <w:bCs/>
        </w:rPr>
        <w:t>Y</w:t>
      </w:r>
      <w:r>
        <w:t xml:space="preserve"> + </w:t>
      </w:r>
      <w:r>
        <w:rPr>
          <w:b/>
          <w:bCs/>
        </w:rPr>
        <w:t>Q</w:t>
      </w:r>
    </w:p>
    <w:p>
      <w:pPr>
        <w:pStyle w:val="yIndenti0"/>
      </w:pPr>
      <w:r>
        <w:tab/>
      </w:r>
      <w:r>
        <w:tab/>
        <w:t xml:space="preserve">or if — </w:t>
      </w:r>
    </w:p>
    <w:p>
      <w:pPr>
        <w:pStyle w:val="yIndenti0"/>
      </w:pPr>
      <w:r>
        <w:tab/>
      </w:r>
      <w:r>
        <w:tab/>
        <w:t>(</w:t>
      </w:r>
      <w:r>
        <w:rPr>
          <w:b/>
          <w:bCs/>
        </w:rPr>
        <w:t>Y</w:t>
      </w:r>
      <w:r>
        <w:t xml:space="preserve"> + </w:t>
      </w:r>
      <w:r>
        <w:rPr>
          <w:b/>
          <w:bCs/>
        </w:rPr>
        <w:t>Q</w:t>
      </w:r>
      <w:r>
        <w:t xml:space="preserve">) &gt; </w:t>
      </w:r>
      <w:r>
        <w:rPr>
          <w:b/>
          <w:bCs/>
        </w:rPr>
        <w:t>R</w:t>
      </w:r>
      <w:r>
        <w:t>; and</w:t>
      </w:r>
    </w:p>
    <w:p>
      <w:pPr>
        <w:pStyle w:val="yIndenti0"/>
      </w:pPr>
      <w:r>
        <w:tab/>
      </w:r>
      <w:r>
        <w:tab/>
      </w:r>
      <w:r>
        <w:rPr>
          <w:b/>
          <w:bCs/>
        </w:rPr>
        <w:t>N</w:t>
      </w:r>
      <w:r>
        <w:t xml:space="preserve"> </w:t>
      </w:r>
      <w:r>
        <w:sym w:font="Symbol" w:char="F0A3"/>
      </w:r>
      <w:r>
        <w:t xml:space="preserve"> </w:t>
      </w:r>
      <w:r>
        <w:rPr>
          <w:b/>
          <w:bCs/>
        </w:rPr>
        <w:t>W</w:t>
      </w:r>
      <w:r>
        <w:t>,</w:t>
      </w:r>
    </w:p>
    <w:p>
      <w:pPr>
        <w:pStyle w:val="yIndenti0"/>
      </w:pPr>
      <w:r>
        <w:tab/>
      </w:r>
      <w:r>
        <w:tab/>
        <w:t xml:space="preserve">then — </w:t>
      </w:r>
    </w:p>
    <w:p>
      <w:pPr>
        <w:pStyle w:val="yIndenti0"/>
        <w:rPr>
          <w:b/>
          <w:bCs/>
        </w:rPr>
      </w:pPr>
      <w:r>
        <w:tab/>
      </w:r>
      <w:r>
        <w:tab/>
      </w:r>
      <w:r>
        <w:rPr>
          <w:b/>
          <w:bCs/>
        </w:rPr>
        <w:t>R</w:t>
      </w:r>
    </w:p>
    <w:p>
      <w:pPr>
        <w:pStyle w:val="yIndenti0"/>
      </w:pPr>
      <w:r>
        <w:tab/>
      </w:r>
      <w:r>
        <w:tab/>
        <w:t xml:space="preserve">or if — </w:t>
      </w:r>
    </w:p>
    <w:p>
      <w:pPr>
        <w:pStyle w:val="yIndenti0"/>
      </w:pPr>
      <w:r>
        <w:tab/>
      </w:r>
      <w:r>
        <w:tab/>
        <w:t>(</w:t>
      </w:r>
      <w:r>
        <w:rPr>
          <w:b/>
          <w:bCs/>
        </w:rPr>
        <w:t>Y</w:t>
      </w:r>
      <w:r>
        <w:t xml:space="preserve"> + </w:t>
      </w:r>
      <w:r>
        <w:rPr>
          <w:b/>
          <w:bCs/>
        </w:rPr>
        <w:t>Q</w:t>
      </w:r>
      <w:r>
        <w:t xml:space="preserve">) &gt; </w:t>
      </w:r>
      <w:r>
        <w:rPr>
          <w:b/>
          <w:bCs/>
        </w:rPr>
        <w:t>R</w:t>
      </w:r>
      <w:r>
        <w:t>; and</w:t>
      </w:r>
    </w:p>
    <w:p>
      <w:pPr>
        <w:pStyle w:val="yIndenti0"/>
      </w:pPr>
      <w:r>
        <w:tab/>
      </w:r>
      <w:r>
        <w:tab/>
      </w:r>
      <w:r>
        <w:rPr>
          <w:b/>
          <w:bCs/>
        </w:rPr>
        <w:t>N</w:t>
      </w:r>
      <w:r>
        <w:t xml:space="preserve"> &gt; </w:t>
      </w:r>
      <w:r>
        <w:rPr>
          <w:b/>
          <w:bCs/>
        </w:rPr>
        <w:t>W</w:t>
      </w:r>
      <w:r>
        <w:t>,</w:t>
      </w:r>
    </w:p>
    <w:p>
      <w:pPr>
        <w:pStyle w:val="yIndenti0"/>
      </w:pPr>
      <w:r>
        <w:tab/>
      </w:r>
      <w:r>
        <w:tab/>
        <w:t xml:space="preserve">then — </w:t>
      </w:r>
    </w:p>
    <w:p>
      <w:pPr>
        <w:pStyle w:val="yIndenti0"/>
      </w:pPr>
      <w:r>
        <w:tab/>
      </w:r>
      <w:r>
        <w:tab/>
      </w:r>
      <w:r>
        <w:rPr>
          <w:b/>
          <w:bCs/>
        </w:rPr>
        <w:t>R</w:t>
      </w:r>
      <w:r>
        <w:t xml:space="preserve"> + {(</w:t>
      </w:r>
      <w:r>
        <w:rPr>
          <w:b/>
          <w:bCs/>
        </w:rPr>
        <w:t>N</w:t>
      </w:r>
      <w:r>
        <w:t xml:space="preserve"> – </w:t>
      </w:r>
      <w:r>
        <w:rPr>
          <w:b/>
          <w:bCs/>
        </w:rPr>
        <w:t>W</w:t>
      </w:r>
      <w:r>
        <w:t xml:space="preserve">) </w:t>
      </w:r>
      <w:r>
        <w:sym w:font="Symbol" w:char="F0B4"/>
      </w:r>
      <w:r>
        <w:t xml:space="preserve"> </w:t>
      </w:r>
      <w:r>
        <w:rPr>
          <w:b/>
          <w:bCs/>
        </w:rPr>
        <w:t>I</w:t>
      </w:r>
      <w:r>
        <w:t>}</w:t>
      </w:r>
    </w:p>
    <w:p>
      <w:pPr>
        <w:pStyle w:val="yIndenti0"/>
      </w:pPr>
      <w:r>
        <w:tab/>
      </w:r>
      <w:r>
        <w:tab/>
        <w:t xml:space="preserve">where — </w:t>
      </w:r>
    </w:p>
    <w:p>
      <w:pPr>
        <w:pStyle w:val="yIndentI"/>
      </w:pPr>
      <w:r>
        <w:tab/>
      </w:r>
      <w:r>
        <w:rPr>
          <w:b/>
        </w:rPr>
        <w:t>Y</w:t>
      </w:r>
      <w:r>
        <w:t xml:space="preserve"> =</w:t>
      </w:r>
      <w:r>
        <w:tab/>
        <w:t>the charge payable for the number of major fixtures in the relevant part of the caravan park in the 2010/2011 year as set out in the Table to item 18;</w:t>
      </w:r>
    </w:p>
    <w:p>
      <w:pPr>
        <w:pStyle w:val="yIndentI"/>
        <w:rPr>
          <w:spacing w:val="-4"/>
        </w:rPr>
      </w:pPr>
      <w:r>
        <w:rPr>
          <w:b/>
          <w:spacing w:val="-4"/>
        </w:rPr>
        <w:tab/>
        <w:t>Q</w:t>
      </w:r>
      <w:r>
        <w:rPr>
          <w:spacing w:val="-4"/>
        </w:rPr>
        <w:t xml:space="preserve"> =</w:t>
      </w:r>
      <w:r>
        <w:rPr>
          <w:spacing w:val="-4"/>
        </w:rPr>
        <w:tab/>
        <w:t xml:space="preserve">the </w:t>
      </w:r>
      <w:r>
        <w:t>quantity</w:t>
      </w:r>
      <w:r>
        <w:rPr>
          <w:spacing w:val="-4"/>
        </w:rPr>
        <w:t xml:space="preserve"> charge calculated in accordance with the formula in item 19;</w:t>
      </w:r>
    </w:p>
    <w:p>
      <w:pPr>
        <w:pStyle w:val="yIndentI"/>
      </w:pPr>
      <w:r>
        <w:rPr>
          <w:b/>
        </w:rPr>
        <w:tab/>
        <w:t>R</w:t>
      </w:r>
      <w:r>
        <w:t xml:space="preserve"> =</w:t>
      </w:r>
      <w:r>
        <w:tab/>
        <w:t>the charge calculated in accordance with the following formula — </w:t>
      </w:r>
    </w:p>
    <w:p>
      <w:pPr>
        <w:pStyle w:val="yIndentI"/>
      </w:pPr>
      <w:r>
        <w:rPr>
          <w:b/>
        </w:rPr>
        <w:tab/>
      </w:r>
      <w:r>
        <w:rPr>
          <w:b/>
        </w:rPr>
        <w:tab/>
        <w:t>A</w:t>
      </w:r>
      <w:r>
        <w:t xml:space="preserve"> </w:t>
      </w:r>
      <w:r>
        <w:sym w:font="Symbol" w:char="F0B4"/>
      </w:r>
      <w:r>
        <w:t xml:space="preserve"> </w:t>
      </w:r>
      <w:r>
        <w:rPr>
          <w:b/>
        </w:rPr>
        <w:t>S</w:t>
      </w:r>
    </w:p>
    <w:p>
      <w:pPr>
        <w:pStyle w:val="yIndentI"/>
      </w:pPr>
      <w:r>
        <w:tab/>
      </w:r>
      <w:r>
        <w:tab/>
        <w:t xml:space="preserve">where — </w:t>
      </w:r>
    </w:p>
    <w:p>
      <w:pPr>
        <w:pStyle w:val="yIndentA0"/>
      </w:pPr>
      <w:r>
        <w:rPr>
          <w:b/>
        </w:rPr>
        <w:tab/>
        <w:t>A</w:t>
      </w:r>
      <w:r>
        <w:t xml:space="preserve"> =</w:t>
      </w:r>
      <w:r>
        <w:tab/>
        <w:t>the amount payable in the 2009/2010 year;</w:t>
      </w:r>
    </w:p>
    <w:p>
      <w:pPr>
        <w:pStyle w:val="yIndentA0"/>
        <w:rPr>
          <w:b/>
        </w:rPr>
      </w:pPr>
      <w:r>
        <w:rPr>
          <w:b/>
        </w:rPr>
        <w:tab/>
        <w:t>S =</w:t>
      </w:r>
      <w:r>
        <w:rPr>
          <w:b/>
        </w:rPr>
        <w:tab/>
      </w:r>
      <w:r>
        <w:t>1.121;</w:t>
      </w:r>
    </w:p>
    <w:p>
      <w:pPr>
        <w:pStyle w:val="yIndentI"/>
      </w:pPr>
      <w:r>
        <w:rPr>
          <w:b/>
        </w:rPr>
        <w:tab/>
        <w:t>N</w:t>
      </w:r>
      <w:r>
        <w:rPr>
          <w:bCs/>
        </w:rPr>
        <w:t xml:space="preserve"> </w:t>
      </w:r>
      <w:r>
        <w:t>=</w:t>
      </w:r>
      <w:r>
        <w:tab/>
        <w:t>the discharge volume for the 2010/2011 year;</w:t>
      </w:r>
    </w:p>
    <w:p>
      <w:pPr>
        <w:pStyle w:val="yIndentI"/>
      </w:pPr>
      <w:r>
        <w:tab/>
      </w:r>
      <w:r>
        <w:rPr>
          <w:b/>
          <w:bCs/>
        </w:rPr>
        <w:t>W</w:t>
      </w:r>
      <w:r>
        <w:t xml:space="preserve"> =</w:t>
      </w:r>
      <w:r>
        <w:tab/>
        <w:t>the discharge volume for the 2009/2010 year;</w:t>
      </w:r>
    </w:p>
    <w:p>
      <w:pPr>
        <w:pStyle w:val="yIndentI"/>
      </w:pPr>
      <w:r>
        <w:tab/>
      </w:r>
      <w:r>
        <w:rPr>
          <w:b/>
          <w:bCs/>
        </w:rPr>
        <w:t>I</w:t>
      </w:r>
      <w:r>
        <w:t xml:space="preserve"> =</w:t>
      </w:r>
      <w:r>
        <w:tab/>
        <w:t>2.420.</w:t>
      </w:r>
    </w:p>
    <w:p>
      <w:pPr>
        <w:pStyle w:val="yHeading5"/>
      </w:pPr>
      <w:bookmarkStart w:id="768" w:name="_Toc265743620"/>
      <w:r>
        <w:t>16.</w:t>
      </w:r>
      <w:r>
        <w:tab/>
        <w:t>Metropolitan nursing home</w:t>
      </w:r>
      <w:bookmarkEnd w:id="768"/>
    </w:p>
    <w:p>
      <w:pPr>
        <w:pStyle w:val="ySubsection"/>
      </w:pPr>
      <w:r>
        <w:tab/>
      </w:r>
      <w:r>
        <w:tab/>
        <w:t>In respect of a nursing home in the metropolitan area, not being a nursing home which is, or is part of, a home for the aged the charge is calculated in accordance with the following formula —</w:t>
      </w:r>
    </w:p>
    <w:p>
      <w:pPr>
        <w:pStyle w:val="ySubsection"/>
      </w:pPr>
      <w:r>
        <w:tab/>
      </w:r>
      <w:r>
        <w:tab/>
        <w:t>If (</w:t>
      </w:r>
      <w:r>
        <w:rPr>
          <w:b/>
        </w:rPr>
        <w:t>T + Q</w:t>
      </w:r>
      <w:r>
        <w:t xml:space="preserve">) </w:t>
      </w:r>
      <w:r>
        <w:rPr>
          <w:b/>
        </w:rPr>
        <w:sym w:font="Symbol" w:char="F0A3"/>
      </w:r>
      <w:r>
        <w:t xml:space="preserve"> </w:t>
      </w:r>
      <w:r>
        <w:rPr>
          <w:b/>
        </w:rPr>
        <w:t>R</w:t>
      </w:r>
      <w:r>
        <w:t xml:space="preserve">, then — </w:t>
      </w:r>
    </w:p>
    <w:p>
      <w:pPr>
        <w:pStyle w:val="ySubsection"/>
      </w:pPr>
      <w:r>
        <w:tab/>
      </w:r>
      <w:r>
        <w:tab/>
      </w:r>
      <w:r>
        <w:rPr>
          <w:b/>
        </w:rPr>
        <w:t>T</w:t>
      </w:r>
      <w:r>
        <w:t xml:space="preserve"> + </w:t>
      </w:r>
      <w:r>
        <w:rPr>
          <w:b/>
        </w:rPr>
        <w:t>Q</w:t>
      </w:r>
    </w:p>
    <w:p>
      <w:pPr>
        <w:pStyle w:val="ySubsection"/>
      </w:pPr>
      <w:r>
        <w:tab/>
      </w:r>
      <w:r>
        <w:tab/>
        <w:t>or if (</w:t>
      </w:r>
      <w:r>
        <w:rPr>
          <w:b/>
        </w:rPr>
        <w:t>T</w:t>
      </w:r>
      <w:r>
        <w:t xml:space="preserve"> </w:t>
      </w:r>
      <w:r>
        <w:rPr>
          <w:b/>
        </w:rPr>
        <w:t>+</w:t>
      </w:r>
      <w:r>
        <w:t xml:space="preserve"> </w:t>
      </w:r>
      <w:r>
        <w:rPr>
          <w:b/>
        </w:rPr>
        <w:t>Q</w:t>
      </w:r>
      <w:r>
        <w:t xml:space="preserve">) </w:t>
      </w:r>
      <w:r>
        <w:rPr>
          <w:b/>
        </w:rPr>
        <w:t>&gt;</w:t>
      </w:r>
      <w:r>
        <w:t xml:space="preserve"> </w:t>
      </w:r>
      <w:r>
        <w:rPr>
          <w:b/>
        </w:rPr>
        <w:t>R</w:t>
      </w:r>
      <w:r>
        <w:t xml:space="preserve">, then — </w:t>
      </w:r>
    </w:p>
    <w:p>
      <w:pPr>
        <w:pStyle w:val="ySubsection"/>
        <w:rPr>
          <w:b/>
        </w:rPr>
      </w:pPr>
      <w:r>
        <w:rPr>
          <w:b/>
        </w:rPr>
        <w:tab/>
      </w:r>
      <w:r>
        <w:rPr>
          <w:b/>
        </w:rPr>
        <w:tab/>
        <w:t>R</w:t>
      </w:r>
    </w:p>
    <w:p>
      <w:pPr>
        <w:pStyle w:val="ySubsection"/>
      </w:pPr>
      <w:r>
        <w:tab/>
      </w:r>
      <w:r>
        <w:tab/>
        <w:t xml:space="preserve">where — </w:t>
      </w:r>
    </w:p>
    <w:p>
      <w:pPr>
        <w:pStyle w:val="yIndenta"/>
      </w:pPr>
      <w:r>
        <w:rPr>
          <w:b/>
        </w:rPr>
        <w:tab/>
        <w:t>T</w:t>
      </w:r>
      <w:r>
        <w:t xml:space="preserve"> =</w:t>
      </w:r>
      <w:r>
        <w:tab/>
        <w:t>the charge calculated in accordance with the following formula — </w:t>
      </w:r>
    </w:p>
    <w:p>
      <w:pPr>
        <w:pStyle w:val="yIndenta"/>
      </w:pPr>
      <w:r>
        <w:rPr>
          <w:b/>
        </w:rPr>
        <w:tab/>
      </w:r>
      <w:r>
        <w:rPr>
          <w:b/>
        </w:rPr>
        <w:tab/>
        <w:t>U</w:t>
      </w:r>
      <w:r>
        <w:t xml:space="preserve"> </w:t>
      </w:r>
      <w:r>
        <w:sym w:font="Symbol" w:char="F0B4"/>
      </w:r>
      <w:r>
        <w:t xml:space="preserve"> </w:t>
      </w:r>
      <w:r>
        <w:rPr>
          <w:b/>
        </w:rPr>
        <w:t>V</w:t>
      </w:r>
    </w:p>
    <w:p>
      <w:pPr>
        <w:pStyle w:val="yIndenta"/>
      </w:pPr>
      <w:r>
        <w:tab/>
      </w:r>
      <w:r>
        <w:tab/>
        <w:t xml:space="preserve">where — </w:t>
      </w:r>
    </w:p>
    <w:p>
      <w:pPr>
        <w:pStyle w:val="yIndenti0"/>
      </w:pPr>
      <w:r>
        <w:rPr>
          <w:b/>
        </w:rPr>
        <w:tab/>
        <w:t>U</w:t>
      </w:r>
      <w:r>
        <w:t xml:space="preserve"> =</w:t>
      </w:r>
      <w:r>
        <w:tab/>
        <w:t>the number of beds in the nursing home;</w:t>
      </w:r>
    </w:p>
    <w:p>
      <w:pPr>
        <w:pStyle w:val="yIndenti0"/>
      </w:pPr>
      <w:r>
        <w:rPr>
          <w:b/>
        </w:rPr>
        <w:tab/>
        <w:t>V</w:t>
      </w:r>
      <w:r>
        <w:t xml:space="preserve"> =</w:t>
      </w:r>
      <w:r>
        <w:tab/>
        <w:t>$119.10;</w:t>
      </w:r>
    </w:p>
    <w:p>
      <w:pPr>
        <w:pStyle w:val="yIndenta"/>
      </w:pPr>
      <w:r>
        <w:rPr>
          <w:b/>
        </w:rPr>
        <w:tab/>
        <w:t>Q</w:t>
      </w:r>
      <w:r>
        <w:t xml:space="preserve"> =</w:t>
      </w:r>
      <w:r>
        <w:tab/>
        <w:t>the quantity charge calculated in accordance with the formula in item 19;</w:t>
      </w:r>
    </w:p>
    <w:p>
      <w:pPr>
        <w:pStyle w:val="yIndenta"/>
      </w:pPr>
      <w:r>
        <w:rPr>
          <w:b/>
        </w:rPr>
        <w:tab/>
        <w:t>R</w:t>
      </w:r>
      <w:r>
        <w:t xml:space="preserve"> =</w:t>
      </w:r>
      <w:r>
        <w:tab/>
        <w:t xml:space="preserve">the charge calculated in accordance with the following formula — </w:t>
      </w:r>
    </w:p>
    <w:p>
      <w:pPr>
        <w:pStyle w:val="yIndenta"/>
      </w:pPr>
      <w:r>
        <w:rPr>
          <w:b/>
        </w:rPr>
        <w:tab/>
      </w:r>
      <w:r>
        <w:rPr>
          <w:b/>
        </w:rPr>
        <w:tab/>
        <w:t>A</w:t>
      </w:r>
      <w:r>
        <w:t xml:space="preserve"> </w:t>
      </w:r>
      <w:r>
        <w:sym w:font="Symbol" w:char="F0B4"/>
      </w:r>
      <w:r>
        <w:t xml:space="preserve"> </w:t>
      </w:r>
      <w:r>
        <w:rPr>
          <w:b/>
        </w:rPr>
        <w:t>S</w:t>
      </w:r>
    </w:p>
    <w:p>
      <w:pPr>
        <w:pStyle w:val="yIndenta"/>
      </w:pPr>
      <w:r>
        <w:tab/>
      </w:r>
      <w:r>
        <w:tab/>
        <w:t xml:space="preserve">where — </w:t>
      </w:r>
    </w:p>
    <w:p>
      <w:pPr>
        <w:pStyle w:val="yIndenti0"/>
      </w:pPr>
      <w:r>
        <w:rPr>
          <w:b/>
        </w:rPr>
        <w:tab/>
        <w:t>A</w:t>
      </w:r>
      <w:r>
        <w:t xml:space="preserve"> =</w:t>
      </w:r>
      <w:r>
        <w:tab/>
        <w:t xml:space="preserve">the amount payable in the 2009/2010 year; </w:t>
      </w:r>
    </w:p>
    <w:p>
      <w:pPr>
        <w:pStyle w:val="yIndenti0"/>
      </w:pPr>
      <w:r>
        <w:rPr>
          <w:b/>
        </w:rPr>
        <w:tab/>
        <w:t>S</w:t>
      </w:r>
      <w:r>
        <w:t xml:space="preserve"> =</w:t>
      </w:r>
      <w:r>
        <w:tab/>
        <w:t>1.121.</w:t>
      </w:r>
    </w:p>
    <w:p>
      <w:pPr>
        <w:pStyle w:val="yHeading5"/>
      </w:pPr>
      <w:bookmarkStart w:id="769" w:name="_Toc265743621"/>
      <w:r>
        <w:t>17.</w:t>
      </w:r>
      <w:r>
        <w:tab/>
        <w:t>Certain metropolitan strata</w:t>
      </w:r>
      <w:r>
        <w:noBreakHyphen/>
        <w:t>titled units</w:t>
      </w:r>
      <w:bookmarkEnd w:id="769"/>
    </w:p>
    <w:p>
      <w:pPr>
        <w:pStyle w:val="ySubsection"/>
      </w:pPr>
      <w:r>
        <w:tab/>
      </w:r>
      <w:r>
        <w:tab/>
        <w:t>In respect of land in the metropolitan area that —</w:t>
      </w:r>
    </w:p>
    <w:p>
      <w:pPr>
        <w:pStyle w:val="yIndenta"/>
      </w:pPr>
      <w:r>
        <w:tab/>
        <w:t>(a)</w:t>
      </w:r>
      <w:r>
        <w:tab/>
        <w:t>is not classified residential or vacant land; and</w:t>
      </w:r>
    </w:p>
    <w:p>
      <w:pPr>
        <w:pStyle w:val="yIndenta"/>
      </w:pPr>
      <w:r>
        <w:tab/>
        <w:t>(b)</w:t>
      </w:r>
      <w:r>
        <w:tab/>
        <w:t xml:space="preserve">comprises a unit that is a lot within the meaning of the </w:t>
      </w:r>
      <w:r>
        <w:rPr>
          <w:i/>
        </w:rPr>
        <w:t>Strata Titles Act 1985</w:t>
      </w:r>
      <w:r>
        <w:t>; and</w:t>
      </w:r>
    </w:p>
    <w:p>
      <w:pPr>
        <w:pStyle w:val="yIndenta"/>
      </w:pPr>
      <w:r>
        <w:tab/>
        <w:t>(c)</w:t>
      </w:r>
      <w:r>
        <w:tab/>
        <w:t xml:space="preserve">shares a major fixture with another unit described in paragraph (b) and </w:t>
      </w:r>
      <w:r>
        <w:rPr>
          <w:spacing w:val="-1"/>
        </w:rPr>
        <w:t>has no other major fixtures that discharge into the sewer,</w:t>
      </w:r>
    </w:p>
    <w:p>
      <w:pPr>
        <w:pStyle w:val="ySubsection"/>
      </w:pPr>
      <w:r>
        <w:tab/>
      </w:r>
      <w:r>
        <w:tab/>
      </w:r>
      <w:r>
        <w:rPr>
          <w:spacing w:val="-1"/>
        </w:rPr>
        <w:t xml:space="preserve">and </w:t>
      </w:r>
      <w:r>
        <w:t>where</w:t>
      </w:r>
      <w:r>
        <w:rPr>
          <w:spacing w:val="-1"/>
        </w:rPr>
        <w:t xml:space="preserve"> </w:t>
      </w:r>
      <w:r>
        <w:t>the</w:t>
      </w:r>
      <w:r>
        <w:rPr>
          <w:spacing w:val="-1"/>
        </w:rPr>
        <w:t xml:space="preserve"> </w:t>
      </w:r>
      <w:r>
        <w:t>total</w:t>
      </w:r>
      <w:r>
        <w:rPr>
          <w:spacing w:val="-1"/>
        </w:rPr>
        <w:t xml:space="preserve"> number of major fixtures shared by all the units on the relevant strata plan is less than the number of those units,</w:t>
      </w:r>
      <w:r>
        <w:t xml:space="preserve"> an amount calculated in accordance with the following formula — </w:t>
      </w:r>
    </w:p>
    <w:p>
      <w:pPr>
        <w:pStyle w:val="ySubsection"/>
      </w:pPr>
      <w:r>
        <w:tab/>
      </w:r>
      <w:r>
        <w:tab/>
      </w:r>
      <w:r>
        <w:rPr>
          <w:b/>
          <w:bCs/>
        </w:rPr>
        <w:t>T</w:t>
      </w:r>
      <w:r>
        <w:t xml:space="preserve"> + </w:t>
      </w:r>
      <w:r>
        <w:rPr>
          <w:b/>
          <w:bCs/>
        </w:rPr>
        <w:t>Q</w:t>
      </w:r>
    </w:p>
    <w:p>
      <w:pPr>
        <w:pStyle w:val="ySubsection"/>
      </w:pPr>
      <w:r>
        <w:tab/>
      </w:r>
      <w:r>
        <w:tab/>
        <w:t xml:space="preserve">where — </w:t>
      </w:r>
    </w:p>
    <w:p>
      <w:pPr>
        <w:pStyle w:val="yIndenta"/>
      </w:pPr>
      <w:r>
        <w:rPr>
          <w:b/>
        </w:rPr>
        <w:tab/>
        <w:t>T</w:t>
      </w:r>
      <w:r>
        <w:t xml:space="preserve"> =</w:t>
      </w:r>
      <w:r>
        <w:tab/>
        <w:t>$409.30;</w:t>
      </w:r>
    </w:p>
    <w:p>
      <w:pPr>
        <w:pStyle w:val="yIndenta"/>
      </w:pPr>
      <w:r>
        <w:rPr>
          <w:b/>
        </w:rPr>
        <w:tab/>
        <w:t>Q</w:t>
      </w:r>
      <w:r>
        <w:t xml:space="preserve"> =</w:t>
      </w:r>
      <w:r>
        <w:tab/>
        <w:t>the quantity charge calculated in accordance with the formula in item 19.</w:t>
      </w:r>
    </w:p>
    <w:p>
      <w:pPr>
        <w:pStyle w:val="yFootnotesection"/>
      </w:pPr>
      <w:r>
        <w:tab/>
        <w:t>[Division 4 inserted in Gazette 25 Jun 2010 p. 2941</w:t>
      </w:r>
      <w:r>
        <w:noBreakHyphen/>
        <w:t>6.]</w:t>
      </w:r>
    </w:p>
    <w:p>
      <w:pPr>
        <w:pStyle w:val="yHeading3"/>
      </w:pPr>
      <w:bookmarkStart w:id="770" w:name="_Toc265743622"/>
      <w:r>
        <w:rPr>
          <w:rStyle w:val="CharSDivNo"/>
        </w:rPr>
        <w:t>Division 5</w:t>
      </w:r>
      <w:r>
        <w:rPr>
          <w:b w:val="0"/>
        </w:rPr>
        <w:t> — </w:t>
      </w:r>
      <w:r>
        <w:rPr>
          <w:rStyle w:val="CharSDivText"/>
        </w:rPr>
        <w:t>Computation of combined metropolitan charges</w:t>
      </w:r>
      <w:bookmarkEnd w:id="770"/>
    </w:p>
    <w:p>
      <w:pPr>
        <w:pStyle w:val="yFootnoteheading"/>
      </w:pPr>
      <w:r>
        <w:tab/>
        <w:t>[Heading inserted in Gazette 25 Jun 2010 p. 2946.]</w:t>
      </w:r>
    </w:p>
    <w:p>
      <w:pPr>
        <w:pStyle w:val="yHeading5"/>
      </w:pPr>
      <w:bookmarkStart w:id="771" w:name="_Toc265743623"/>
      <w:r>
        <w:t>18.</w:t>
      </w:r>
      <w:r>
        <w:tab/>
        <w:t>Formula for annual charge</w:t>
      </w:r>
      <w:bookmarkEnd w:id="771"/>
    </w:p>
    <w:p>
      <w:pPr>
        <w:pStyle w:val="ySubsection"/>
      </w:pPr>
      <w:r>
        <w:tab/>
      </w:r>
      <w:r>
        <w:tab/>
        <w:t>For the purposes of Division 4, the annual charge (</w:t>
      </w:r>
      <w:r>
        <w:rPr>
          <w:rStyle w:val="CharDefText"/>
        </w:rPr>
        <w:t>P</w:t>
      </w:r>
      <w:r>
        <w:t xml:space="preserve">) is calculated according to the following formula — </w:t>
      </w:r>
    </w:p>
    <w:p>
      <w:pPr>
        <w:pStyle w:val="ySubsection"/>
      </w:pPr>
      <w:r>
        <w:tab/>
      </w: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rPr>
          <w:b/>
        </w:rPr>
        <w:t>X</w:t>
      </w:r>
    </w:p>
    <w:p>
      <w:pPr>
        <w:pStyle w:val="ySubsection"/>
      </w:pPr>
      <w:r>
        <w:tab/>
      </w:r>
      <w:r>
        <w:tab/>
        <w:t>or if (</w:t>
      </w:r>
      <w:r>
        <w:rPr>
          <w:b/>
        </w:rPr>
        <w:t>A</w:t>
      </w:r>
      <w:r>
        <w:t xml:space="preserve"> </w:t>
      </w:r>
      <w:r>
        <w:sym w:font="Symbol" w:char="F0B4"/>
      </w:r>
      <w:r>
        <w:t xml:space="preserve"> </w:t>
      </w:r>
      <w:r>
        <w:rPr>
          <w:b/>
        </w:rPr>
        <w:t>B</w:t>
      </w:r>
      <w:r>
        <w:t>) &gt; (</w:t>
      </w:r>
      <w:r>
        <w:rPr>
          <w:b/>
        </w:rPr>
        <w:t>C</w:t>
      </w:r>
      <w:r>
        <w:t xml:space="preserve"> + </w:t>
      </w:r>
      <w:r>
        <w:rPr>
          <w:b/>
        </w:rPr>
        <w:t>D</w:t>
      </w:r>
      <w:r>
        <w:t xml:space="preserve">), then — </w:t>
      </w:r>
    </w:p>
    <w:p>
      <w:pPr>
        <w:pStyle w:val="ySubsection"/>
      </w:pPr>
      <w:r>
        <w:tab/>
      </w: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Subsection"/>
      </w:pPr>
      <w:r>
        <w:tab/>
      </w:r>
      <w:r>
        <w:tab/>
        <w:t xml:space="preserve">where — </w:t>
      </w:r>
    </w:p>
    <w:p>
      <w:pPr>
        <w:pStyle w:val="yIndenta"/>
      </w:pPr>
      <w:r>
        <w:tab/>
      </w:r>
      <w:r>
        <w:rPr>
          <w:b/>
        </w:rPr>
        <w:t>A</w:t>
      </w:r>
      <w:r>
        <w:t xml:space="preserve"> =</w:t>
      </w:r>
      <w:r>
        <w:tab/>
        <w:t>the amount payable in the 2009/2010 year;</w:t>
      </w:r>
    </w:p>
    <w:p>
      <w:pPr>
        <w:pStyle w:val="yIndenta"/>
      </w:pPr>
      <w:r>
        <w:tab/>
      </w:r>
      <w:r>
        <w:rPr>
          <w:b/>
        </w:rPr>
        <w:t>B</w:t>
      </w:r>
      <w:r>
        <w:t xml:space="preserve"> =</w:t>
      </w:r>
      <w:r>
        <w:tab/>
        <w:t>1.121;</w:t>
      </w:r>
    </w:p>
    <w:p>
      <w:pPr>
        <w:pStyle w:val="yIndenta"/>
      </w:pPr>
      <w:r>
        <w:tab/>
      </w:r>
      <w:r>
        <w:rPr>
          <w:b/>
        </w:rPr>
        <w:t>C</w:t>
      </w:r>
      <w:r>
        <w:t xml:space="preserve"> =</w:t>
      </w:r>
      <w:r>
        <w:tab/>
        <w:t>the charge payable for the relevant number of major fixtures for the 2010/2011 year as set out in the Table;</w:t>
      </w:r>
    </w:p>
    <w:p>
      <w:pPr>
        <w:pStyle w:val="yIndenta"/>
      </w:pPr>
      <w:r>
        <w:tab/>
      </w:r>
      <w:r>
        <w:rPr>
          <w:b/>
        </w:rPr>
        <w:t>D</w:t>
      </w:r>
      <w:r>
        <w:t xml:space="preserve"> =</w:t>
      </w:r>
      <w:r>
        <w:tab/>
        <w:t>discharge charge;</w:t>
      </w:r>
    </w:p>
    <w:p>
      <w:pPr>
        <w:pStyle w:val="yIndenta"/>
      </w:pPr>
      <w:r>
        <w:tab/>
      </w:r>
      <w:r>
        <w:rPr>
          <w:b/>
        </w:rPr>
        <w:t>E</w:t>
      </w:r>
      <w:r>
        <w:t xml:space="preserve"> =</w:t>
      </w:r>
      <w:r>
        <w:tab/>
        <w:t>1.000;</w:t>
      </w:r>
    </w:p>
    <w:p>
      <w:pPr>
        <w:pStyle w:val="yIndenta"/>
      </w:pPr>
      <w:r>
        <w:rPr>
          <w:b/>
        </w:rPr>
        <w:tab/>
        <w:t>X</w:t>
      </w:r>
      <w:r>
        <w:t xml:space="preserve"> =</w:t>
      </w:r>
      <w:r>
        <w:tab/>
        <w:t>the amount specified in relation to the 2010/2011 year for the relevant number of major fixtures as set out in the Table.</w:t>
      </w:r>
    </w:p>
    <w:p>
      <w:pPr>
        <w:pStyle w:val="yTHeadingNAm"/>
      </w:pPr>
      <w:r>
        <w:t>Table of major fixture</w:t>
      </w:r>
      <w:r>
        <w:noBreakHyphen/>
        <w:t>based minimum charges</w:t>
      </w:r>
      <w:r>
        <w:br/>
        <w:t>(per fixture)</w:t>
      </w:r>
    </w:p>
    <w:tbl>
      <w:tblPr>
        <w:tblW w:w="0" w:type="auto"/>
        <w:tblInd w:w="1446" w:type="dxa"/>
        <w:tblLayout w:type="fixed"/>
        <w:tblCellMar>
          <w:left w:w="28" w:type="dxa"/>
          <w:right w:w="28" w:type="dxa"/>
        </w:tblCellMar>
        <w:tblLook w:val="0000" w:firstRow="0" w:lastRow="0" w:firstColumn="0" w:lastColumn="0" w:noHBand="0" w:noVBand="0"/>
      </w:tblPr>
      <w:tblGrid>
        <w:gridCol w:w="2268"/>
        <w:gridCol w:w="2268"/>
      </w:tblGrid>
      <w:tr>
        <w:trPr>
          <w:tblHeader/>
        </w:trPr>
        <w:tc>
          <w:tcPr>
            <w:tcW w:w="2268" w:type="dxa"/>
            <w:tcBorders>
              <w:top w:val="single" w:sz="4" w:space="0" w:color="auto"/>
              <w:bottom w:val="single" w:sz="4" w:space="0" w:color="auto"/>
            </w:tcBorders>
          </w:tcPr>
          <w:p>
            <w:pPr>
              <w:pStyle w:val="yTableNAm"/>
              <w:jc w:val="center"/>
              <w:rPr>
                <w:b/>
                <w:bCs/>
              </w:rPr>
            </w:pPr>
            <w:r>
              <w:rPr>
                <w:b/>
                <w:bCs/>
              </w:rPr>
              <w:t>No. of fixtures</w:t>
            </w:r>
          </w:p>
        </w:tc>
        <w:tc>
          <w:tcPr>
            <w:tcW w:w="2268"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268" w:type="dxa"/>
          </w:tcPr>
          <w:p>
            <w:pPr>
              <w:pStyle w:val="yTableNAm"/>
              <w:jc w:val="center"/>
            </w:pPr>
            <w:r>
              <w:t>1</w:t>
            </w:r>
          </w:p>
        </w:tc>
        <w:tc>
          <w:tcPr>
            <w:tcW w:w="2268" w:type="dxa"/>
          </w:tcPr>
          <w:p>
            <w:pPr>
              <w:pStyle w:val="yTableNAm"/>
              <w:jc w:val="center"/>
            </w:pPr>
            <w:r>
              <w:t>658.50</w:t>
            </w:r>
          </w:p>
        </w:tc>
      </w:tr>
      <w:tr>
        <w:tc>
          <w:tcPr>
            <w:tcW w:w="2268" w:type="dxa"/>
          </w:tcPr>
          <w:p>
            <w:pPr>
              <w:pStyle w:val="yTableNAm"/>
              <w:jc w:val="center"/>
            </w:pPr>
            <w:r>
              <w:t>2</w:t>
            </w:r>
          </w:p>
        </w:tc>
        <w:tc>
          <w:tcPr>
            <w:tcW w:w="2268" w:type="dxa"/>
          </w:tcPr>
          <w:p>
            <w:pPr>
              <w:pStyle w:val="yTableNAm"/>
              <w:jc w:val="center"/>
            </w:pPr>
            <w:r>
              <w:t>281.80</w:t>
            </w:r>
          </w:p>
        </w:tc>
      </w:tr>
      <w:tr>
        <w:tc>
          <w:tcPr>
            <w:tcW w:w="2268" w:type="dxa"/>
          </w:tcPr>
          <w:p>
            <w:pPr>
              <w:pStyle w:val="yTableNAm"/>
              <w:jc w:val="center"/>
            </w:pPr>
            <w:r>
              <w:t>3</w:t>
            </w:r>
          </w:p>
        </w:tc>
        <w:tc>
          <w:tcPr>
            <w:tcW w:w="2268" w:type="dxa"/>
          </w:tcPr>
          <w:p>
            <w:pPr>
              <w:pStyle w:val="yTableNAm"/>
              <w:jc w:val="center"/>
            </w:pPr>
            <w:r>
              <w:t>376.40</w:t>
            </w:r>
          </w:p>
        </w:tc>
      </w:tr>
      <w:tr>
        <w:tc>
          <w:tcPr>
            <w:tcW w:w="2268" w:type="dxa"/>
            <w:tcBorders>
              <w:bottom w:val="single" w:sz="4" w:space="0" w:color="auto"/>
            </w:tcBorders>
          </w:tcPr>
          <w:p>
            <w:pPr>
              <w:pStyle w:val="yTableNAm"/>
              <w:jc w:val="center"/>
            </w:pPr>
            <w:r>
              <w:t>4+</w:t>
            </w:r>
          </w:p>
        </w:tc>
        <w:tc>
          <w:tcPr>
            <w:tcW w:w="2268" w:type="dxa"/>
            <w:tcBorders>
              <w:bottom w:val="single" w:sz="4" w:space="0" w:color="auto"/>
            </w:tcBorders>
          </w:tcPr>
          <w:p>
            <w:pPr>
              <w:pStyle w:val="yTableNAm"/>
              <w:jc w:val="center"/>
            </w:pPr>
            <w:r>
              <w:t>409.30</w:t>
            </w:r>
          </w:p>
        </w:tc>
      </w:tr>
    </w:tbl>
    <w:p>
      <w:pPr>
        <w:pStyle w:val="yHeading5"/>
      </w:pPr>
      <w:bookmarkStart w:id="772" w:name="_Toc265743624"/>
      <w:r>
        <w:t>19.</w:t>
      </w:r>
      <w:r>
        <w:tab/>
        <w:t>Formula for quantity charge</w:t>
      </w:r>
      <w:bookmarkEnd w:id="772"/>
    </w:p>
    <w:p>
      <w:pPr>
        <w:pStyle w:val="ySubsection"/>
        <w:rPr>
          <w:snapToGrid w:val="0"/>
        </w:rPr>
      </w:pPr>
      <w:r>
        <w:rPr>
          <w:snapToGrid w:val="0"/>
        </w:rPr>
        <w:tab/>
      </w:r>
      <w:r>
        <w:rPr>
          <w:snapToGrid w:val="0"/>
        </w:rPr>
        <w:tab/>
        <w:t xml:space="preserve">For the </w:t>
      </w:r>
      <w:r>
        <w:t>purposes</w:t>
      </w:r>
      <w:r>
        <w:rPr>
          <w:snapToGrid w:val="0"/>
        </w:rPr>
        <w:t xml:space="preserve"> of </w:t>
      </w:r>
      <w:r>
        <w:t>Division </w:t>
      </w:r>
      <w:r>
        <w:rPr>
          <w:snapToGrid w:val="0"/>
        </w:rPr>
        <w:t>4, the quantity charge (</w:t>
      </w:r>
      <w:r>
        <w:rPr>
          <w:rStyle w:val="CharDefText"/>
        </w:rPr>
        <w:t>Q</w:t>
      </w:r>
      <w:r>
        <w:rPr>
          <w:snapToGrid w:val="0"/>
        </w:rPr>
        <w:t xml:space="preserve">) is calculated in accordance with the following formula —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Indenta"/>
      </w:pPr>
      <w:r>
        <w:rPr>
          <w:b/>
        </w:rPr>
        <w:tab/>
        <w:t>F</w:t>
      </w:r>
      <w:r>
        <w:t xml:space="preserve"> =</w:t>
      </w:r>
      <w:r>
        <w:tab/>
        <w:t>the volume of water delivered to the property in the 2010/2011 year;</w:t>
      </w:r>
    </w:p>
    <w:p>
      <w:pPr>
        <w:pStyle w:val="yIndenta"/>
      </w:pPr>
      <w:r>
        <w:rPr>
          <w:b/>
        </w:rPr>
        <w:tab/>
        <w:t>G</w:t>
      </w:r>
      <w:r>
        <w:t xml:space="preserve"> =</w:t>
      </w:r>
      <w:r>
        <w:tab/>
        <w:t>the discharge factor set for the property for the 2010/2011 year;</w:t>
      </w:r>
    </w:p>
    <w:p>
      <w:pPr>
        <w:pStyle w:val="yIndenta"/>
      </w:pPr>
      <w:r>
        <w:rPr>
          <w:b/>
        </w:rPr>
        <w:tab/>
        <w:t>H</w:t>
      </w:r>
      <w:r>
        <w:t xml:space="preserve"> =</w:t>
      </w:r>
      <w:r>
        <w:tab/>
        <w:t>the discharge allowance for the 2010/2011 year calculated in accordance with item 20;</w:t>
      </w:r>
    </w:p>
    <w:p>
      <w:pPr>
        <w:pStyle w:val="yIndenta"/>
      </w:pPr>
      <w:r>
        <w:rPr>
          <w:b/>
        </w:rPr>
        <w:tab/>
        <w:t>I</w:t>
      </w:r>
      <w:r>
        <w:t xml:space="preserve"> =</w:t>
      </w:r>
      <w:r>
        <w:tab/>
        <w:t>2.420.</w:t>
      </w:r>
    </w:p>
    <w:p>
      <w:pPr>
        <w:pStyle w:val="yHeading5"/>
      </w:pPr>
      <w:bookmarkStart w:id="773" w:name="_Toc265743625"/>
      <w:r>
        <w:t>20.</w:t>
      </w:r>
      <w:r>
        <w:tab/>
        <w:t>Discharge allowance</w:t>
      </w:r>
      <w:bookmarkEnd w:id="773"/>
    </w:p>
    <w:p>
      <w:pPr>
        <w:pStyle w:val="ySubsection"/>
        <w:rPr>
          <w:snapToGrid w:val="0"/>
        </w:rPr>
      </w:pPr>
      <w:r>
        <w:rPr>
          <w:snapToGrid w:val="0"/>
        </w:rPr>
        <w:tab/>
      </w:r>
      <w:r>
        <w:rPr>
          <w:snapToGrid w:val="0"/>
        </w:rPr>
        <w:tab/>
        <w:t xml:space="preserve">For the purposes of item 19, the discharge </w:t>
      </w:r>
      <w:r>
        <w:t>allowance</w:t>
      </w:r>
      <w:r>
        <w:rPr>
          <w:snapToGrid w:val="0"/>
        </w:rPr>
        <w:t xml:space="preserve"> is — </w:t>
      </w:r>
    </w:p>
    <w:p>
      <w:pPr>
        <w:pStyle w:val="yIndenta"/>
        <w:rPr>
          <w:snapToGrid w:val="0"/>
        </w:rPr>
      </w:pPr>
      <w:r>
        <w:rPr>
          <w:snapToGrid w:val="0"/>
        </w:rPr>
        <w:tab/>
        <w:t>(a)</w:t>
      </w:r>
      <w:r>
        <w:rPr>
          <w:snapToGrid w:val="0"/>
        </w:rPr>
        <w:tab/>
        <w:t>for land to which item 13 applies that is not mentioned in paragraph (e), 200 kL of water; and</w:t>
      </w:r>
    </w:p>
    <w:p>
      <w:pPr>
        <w:pStyle w:val="yIndenta"/>
        <w:rPr>
          <w:snapToGrid w:val="0"/>
        </w:rPr>
      </w:pPr>
      <w:r>
        <w:rPr>
          <w:snapToGrid w:val="0"/>
        </w:rPr>
        <w:tab/>
        <w:t>(b)</w:t>
      </w:r>
      <w:r>
        <w:rPr>
          <w:snapToGrid w:val="0"/>
        </w:rPr>
        <w:tab/>
        <w:t>for a non</w:t>
      </w:r>
      <w:r>
        <w:rPr>
          <w:snapToGrid w:val="0"/>
        </w:rPr>
        <w:noBreakHyphen/>
        <w:t xml:space="preserve">commercial Government property, or a property held by a </w:t>
      </w:r>
      <w:r>
        <w:t>Government trading organisation</w:t>
      </w:r>
      <w:r>
        <w:rPr>
          <w:snapToGrid w:val="0"/>
        </w:rPr>
        <w:t>, 200 kL of water; and</w:t>
      </w:r>
    </w:p>
    <w:p>
      <w:pPr>
        <w:pStyle w:val="yIndenta"/>
        <w:rPr>
          <w:snapToGrid w:val="0"/>
        </w:rPr>
      </w:pPr>
      <w:r>
        <w:rPr>
          <w:snapToGrid w:val="0"/>
        </w:rPr>
        <w:tab/>
        <w:t>(c)</w:t>
      </w:r>
      <w:r>
        <w:rPr>
          <w:snapToGrid w:val="0"/>
        </w:rPr>
        <w:tab/>
        <w:t>for a caravan park referred to in item 15,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 xml:space="preserve">where — </w:t>
      </w:r>
    </w:p>
    <w:p>
      <w:pPr>
        <w:pStyle w:val="yIndenti0"/>
      </w:pPr>
      <w:r>
        <w:tab/>
      </w:r>
      <w:r>
        <w:rPr>
          <w:b/>
        </w:rPr>
        <w:t>L =</w:t>
      </w:r>
      <w:r>
        <w:rPr>
          <w:b/>
        </w:rPr>
        <w:tab/>
      </w:r>
      <w:r>
        <w:t>200;</w:t>
      </w:r>
    </w:p>
    <w:p>
      <w:pPr>
        <w:pStyle w:val="yIndenti0"/>
      </w:pPr>
      <w:r>
        <w:rPr>
          <w:b/>
        </w:rPr>
        <w:tab/>
        <w:t xml:space="preserve">M </w:t>
      </w:r>
      <w:r>
        <w:t>=</w:t>
      </w:r>
      <w:r>
        <w:tab/>
        <w:t>75 kL of water for each long</w:t>
      </w:r>
      <w:r>
        <w:noBreakHyphen/>
        <w:t>term residential caravan bay;</w:t>
      </w:r>
    </w:p>
    <w:p>
      <w:pPr>
        <w:pStyle w:val="yIndenta"/>
      </w:pPr>
      <w:r>
        <w:tab/>
      </w:r>
      <w:r>
        <w:tab/>
        <w:t>and</w:t>
      </w:r>
    </w:p>
    <w:p>
      <w:pPr>
        <w:pStyle w:val="yIndenta"/>
        <w:rPr>
          <w:snapToGrid w:val="0"/>
        </w:rPr>
      </w:pPr>
      <w:r>
        <w:rPr>
          <w:snapToGrid w:val="0"/>
        </w:rPr>
        <w:tab/>
        <w:t>(d)</w:t>
      </w:r>
      <w:r>
        <w:rPr>
          <w:snapToGrid w:val="0"/>
        </w:rPr>
        <w:tab/>
        <w:t>for a nursing home referred to in item 16, 75 kL of water per bed; and</w:t>
      </w:r>
    </w:p>
    <w:p>
      <w:pPr>
        <w:pStyle w:val="yIndenta"/>
        <w:rPr>
          <w:snapToGrid w:val="0"/>
        </w:rPr>
      </w:pPr>
      <w:r>
        <w:rPr>
          <w:snapToGrid w:val="0"/>
        </w:rPr>
        <w:tab/>
        <w:t>(e)</w:t>
      </w:r>
      <w:r>
        <w:rPr>
          <w:snapToGrid w:val="0"/>
        </w:rPr>
        <w:tab/>
        <w:t>for properties served through a common metered service, 200 kL of water for each property.</w:t>
      </w:r>
    </w:p>
    <w:p>
      <w:pPr>
        <w:pStyle w:val="yFootnotesection"/>
      </w:pPr>
      <w:r>
        <w:tab/>
        <w:t>[Division 5 inserted in Gazette 25 Jun 2010 p. 2946</w:t>
      </w:r>
      <w:r>
        <w:noBreakHyphen/>
        <w:t>8.]</w:t>
      </w:r>
    </w:p>
    <w:p>
      <w:pPr>
        <w:pStyle w:val="yHeading3"/>
      </w:pPr>
      <w:bookmarkStart w:id="774" w:name="_Toc265743626"/>
      <w:r>
        <w:rPr>
          <w:rStyle w:val="CharSDivNo"/>
        </w:rPr>
        <w:t>Division 6</w:t>
      </w:r>
      <w:r>
        <w:rPr>
          <w:b w:val="0"/>
        </w:rPr>
        <w:t> — </w:t>
      </w:r>
      <w:r>
        <w:rPr>
          <w:rStyle w:val="CharSDivText"/>
        </w:rPr>
        <w:t>Service charges for industrial waste</w:t>
      </w:r>
      <w:bookmarkEnd w:id="774"/>
    </w:p>
    <w:p>
      <w:pPr>
        <w:pStyle w:val="yFootnoteheading"/>
      </w:pPr>
      <w:r>
        <w:tab/>
        <w:t>[Heading inserted in Gazette 25 Jun 2010 p. 2948.]</w:t>
      </w:r>
    </w:p>
    <w:tbl>
      <w:tblPr>
        <w:tblW w:w="0" w:type="auto"/>
        <w:tblInd w:w="108" w:type="dxa"/>
        <w:tblLayout w:type="fixed"/>
        <w:tblLook w:val="0000" w:firstRow="0" w:lastRow="0" w:firstColumn="0" w:lastColumn="0" w:noHBand="0" w:noVBand="0"/>
      </w:tblPr>
      <w:tblGrid>
        <w:gridCol w:w="1276"/>
        <w:gridCol w:w="4198"/>
        <w:gridCol w:w="14"/>
        <w:gridCol w:w="14"/>
        <w:gridCol w:w="1444"/>
      </w:tblGrid>
      <w:tr>
        <w:trPr>
          <w:cantSplit/>
        </w:trPr>
        <w:tc>
          <w:tcPr>
            <w:tcW w:w="1276" w:type="dxa"/>
          </w:tcPr>
          <w:p>
            <w:pPr>
              <w:pStyle w:val="yHeading5"/>
              <w:tabs>
                <w:tab w:val="clear" w:pos="879"/>
              </w:tabs>
              <w:ind w:left="0" w:firstLine="0"/>
            </w:pPr>
            <w:bookmarkStart w:id="775" w:name="_Toc265743627"/>
            <w:r>
              <w:t>21.</w:t>
            </w:r>
            <w:bookmarkEnd w:id="775"/>
          </w:p>
        </w:tc>
        <w:tc>
          <w:tcPr>
            <w:tcW w:w="5670" w:type="dxa"/>
            <w:gridSpan w:val="4"/>
          </w:tcPr>
          <w:p>
            <w:pPr>
              <w:pStyle w:val="yHeading5"/>
              <w:tabs>
                <w:tab w:val="clear" w:pos="879"/>
              </w:tabs>
              <w:ind w:left="0" w:firstLine="0"/>
            </w:pPr>
            <w:bookmarkStart w:id="776" w:name="_Toc265743628"/>
            <w:r>
              <w:t>Inspection — routine programme</w:t>
            </w:r>
            <w:bookmarkEnd w:id="776"/>
          </w:p>
        </w:tc>
      </w:tr>
      <w:tr>
        <w:tc>
          <w:tcPr>
            <w:tcW w:w="1276" w:type="dxa"/>
          </w:tcPr>
          <w:p>
            <w:pPr>
              <w:pStyle w:val="zyTableNAm"/>
            </w:pPr>
          </w:p>
        </w:tc>
        <w:tc>
          <w:tcPr>
            <w:tcW w:w="4226" w:type="dxa"/>
            <w:gridSpan w:val="3"/>
          </w:tcPr>
          <w:p>
            <w:pPr>
              <w:pStyle w:val="zyTableNAm"/>
              <w:tabs>
                <w:tab w:val="right" w:leader="dot" w:pos="4253"/>
              </w:tabs>
            </w:pPr>
            <w:r>
              <w:t xml:space="preserve">For an inspection for a routine programme </w:t>
            </w:r>
            <w:r>
              <w:tab/>
            </w:r>
          </w:p>
        </w:tc>
        <w:tc>
          <w:tcPr>
            <w:tcW w:w="1444" w:type="dxa"/>
          </w:tcPr>
          <w:p>
            <w:pPr>
              <w:pStyle w:val="zyTableNAm"/>
              <w:tabs>
                <w:tab w:val="clear" w:pos="567"/>
                <w:tab w:val="left" w:pos="202"/>
              </w:tabs>
              <w:rPr>
                <w:spacing w:val="-1"/>
              </w:rPr>
            </w:pPr>
            <w:r>
              <w:rPr>
                <w:spacing w:val="-1"/>
              </w:rPr>
              <w:t>$123.75/hour</w:t>
            </w:r>
          </w:p>
        </w:tc>
      </w:tr>
      <w:tr>
        <w:tc>
          <w:tcPr>
            <w:tcW w:w="1276" w:type="dxa"/>
          </w:tcPr>
          <w:p>
            <w:pPr>
              <w:pStyle w:val="yHeading5"/>
              <w:tabs>
                <w:tab w:val="clear" w:pos="879"/>
              </w:tabs>
              <w:ind w:left="0" w:firstLine="0"/>
            </w:pPr>
            <w:bookmarkStart w:id="777" w:name="_Toc265743629"/>
            <w:r>
              <w:t>22.</w:t>
            </w:r>
            <w:bookmarkEnd w:id="777"/>
          </w:p>
        </w:tc>
        <w:tc>
          <w:tcPr>
            <w:tcW w:w="4226" w:type="dxa"/>
            <w:gridSpan w:val="3"/>
          </w:tcPr>
          <w:p>
            <w:pPr>
              <w:pStyle w:val="yHeading5"/>
              <w:tabs>
                <w:tab w:val="clear" w:pos="879"/>
              </w:tabs>
              <w:ind w:left="0" w:firstLine="0"/>
            </w:pPr>
            <w:bookmarkStart w:id="778" w:name="_Toc265743630"/>
            <w:r>
              <w:t>Meter reading — routine programme</w:t>
            </w:r>
            <w:bookmarkEnd w:id="778"/>
          </w:p>
        </w:tc>
        <w:tc>
          <w:tcPr>
            <w:tcW w:w="1444" w:type="dxa"/>
          </w:tcPr>
          <w:p>
            <w:pPr>
              <w:pStyle w:val="yHeading5"/>
              <w:tabs>
                <w:tab w:val="clear" w:pos="879"/>
              </w:tabs>
              <w:ind w:left="0" w:firstLine="0"/>
            </w:pPr>
          </w:p>
        </w:tc>
      </w:tr>
      <w:tr>
        <w:tc>
          <w:tcPr>
            <w:tcW w:w="1276" w:type="dxa"/>
          </w:tcPr>
          <w:p>
            <w:pPr>
              <w:pStyle w:val="zyTableNAm"/>
            </w:pPr>
          </w:p>
        </w:tc>
        <w:tc>
          <w:tcPr>
            <w:tcW w:w="4226" w:type="dxa"/>
            <w:gridSpan w:val="3"/>
          </w:tcPr>
          <w:p>
            <w:pPr>
              <w:pStyle w:val="zyTableNAm"/>
              <w:tabs>
                <w:tab w:val="right" w:leader="dot" w:pos="4253"/>
              </w:tabs>
            </w:pPr>
            <w:r>
              <w:t xml:space="preserve">For each meter reading for a routine programme </w:t>
            </w:r>
            <w:r>
              <w:tab/>
            </w:r>
          </w:p>
        </w:tc>
        <w:tc>
          <w:tcPr>
            <w:tcW w:w="1444" w:type="dxa"/>
          </w:tcPr>
          <w:p>
            <w:pPr>
              <w:pStyle w:val="zyTableNAm"/>
              <w:tabs>
                <w:tab w:val="clear" w:pos="567"/>
                <w:tab w:val="left" w:pos="194"/>
              </w:tabs>
              <w:rPr>
                <w:spacing w:val="-1"/>
              </w:rPr>
            </w:pPr>
            <w:r>
              <w:rPr>
                <w:spacing w:val="-1"/>
              </w:rPr>
              <w:br/>
              <w:t>$22.55</w:t>
            </w:r>
          </w:p>
        </w:tc>
      </w:tr>
      <w:tr>
        <w:tc>
          <w:tcPr>
            <w:tcW w:w="1276" w:type="dxa"/>
          </w:tcPr>
          <w:p>
            <w:pPr>
              <w:pStyle w:val="yHeading5"/>
              <w:tabs>
                <w:tab w:val="clear" w:pos="879"/>
              </w:tabs>
              <w:ind w:left="0" w:firstLine="0"/>
            </w:pPr>
            <w:bookmarkStart w:id="779" w:name="_Toc265743631"/>
            <w:r>
              <w:t>23.</w:t>
            </w:r>
            <w:bookmarkEnd w:id="779"/>
          </w:p>
        </w:tc>
        <w:tc>
          <w:tcPr>
            <w:tcW w:w="4226" w:type="dxa"/>
            <w:gridSpan w:val="3"/>
          </w:tcPr>
          <w:p>
            <w:pPr>
              <w:pStyle w:val="yHeading5"/>
              <w:tabs>
                <w:tab w:val="clear" w:pos="879"/>
              </w:tabs>
              <w:ind w:left="0" w:firstLine="0"/>
            </w:pPr>
            <w:bookmarkStart w:id="780" w:name="_Toc265743632"/>
            <w:r>
              <w:t>Grab samples — routine programme</w:t>
            </w:r>
            <w:bookmarkEnd w:id="780"/>
          </w:p>
        </w:tc>
        <w:tc>
          <w:tcPr>
            <w:tcW w:w="1444" w:type="dxa"/>
          </w:tcPr>
          <w:p>
            <w:pPr>
              <w:pStyle w:val="yHeading5"/>
              <w:tabs>
                <w:tab w:val="clear" w:pos="879"/>
              </w:tabs>
              <w:ind w:left="0" w:firstLine="0"/>
            </w:pPr>
          </w:p>
        </w:tc>
      </w:tr>
      <w:tr>
        <w:tc>
          <w:tcPr>
            <w:tcW w:w="1276" w:type="dxa"/>
          </w:tcPr>
          <w:p>
            <w:pPr>
              <w:pStyle w:val="zyTableNAm"/>
            </w:pPr>
          </w:p>
        </w:tc>
        <w:tc>
          <w:tcPr>
            <w:tcW w:w="4226" w:type="dxa"/>
            <w:gridSpan w:val="3"/>
          </w:tcPr>
          <w:p>
            <w:pPr>
              <w:pStyle w:val="zyTableNAm"/>
              <w:tabs>
                <w:tab w:val="right" w:leader="dot" w:pos="4253"/>
              </w:tabs>
              <w:rPr>
                <w:spacing w:val="-12"/>
              </w:rPr>
            </w:pPr>
            <w:r>
              <w:t xml:space="preserve">For each grab sample for a routine programme </w:t>
            </w:r>
            <w:r>
              <w:tab/>
            </w:r>
          </w:p>
        </w:tc>
        <w:tc>
          <w:tcPr>
            <w:tcW w:w="1444" w:type="dxa"/>
          </w:tcPr>
          <w:p>
            <w:pPr>
              <w:pStyle w:val="zyTableNAm"/>
              <w:tabs>
                <w:tab w:val="clear" w:pos="567"/>
                <w:tab w:val="left" w:pos="194"/>
              </w:tabs>
              <w:rPr>
                <w:spacing w:val="-1"/>
              </w:rPr>
            </w:pPr>
            <w:r>
              <w:rPr>
                <w:spacing w:val="-1"/>
              </w:rPr>
              <w:br/>
              <w:t>$262.90</w:t>
            </w:r>
          </w:p>
        </w:tc>
      </w:tr>
      <w:tr>
        <w:tc>
          <w:tcPr>
            <w:tcW w:w="1276" w:type="dxa"/>
          </w:tcPr>
          <w:p>
            <w:pPr>
              <w:pStyle w:val="yHeading5"/>
              <w:tabs>
                <w:tab w:val="clear" w:pos="879"/>
              </w:tabs>
              <w:ind w:left="0" w:firstLine="0"/>
            </w:pPr>
            <w:bookmarkStart w:id="781" w:name="_Toc265743633"/>
            <w:r>
              <w:t>24.</w:t>
            </w:r>
            <w:bookmarkEnd w:id="781"/>
          </w:p>
        </w:tc>
        <w:tc>
          <w:tcPr>
            <w:tcW w:w="4226" w:type="dxa"/>
            <w:gridSpan w:val="3"/>
          </w:tcPr>
          <w:p>
            <w:pPr>
              <w:pStyle w:val="yHeading5"/>
              <w:tabs>
                <w:tab w:val="clear" w:pos="879"/>
              </w:tabs>
              <w:ind w:left="0" w:firstLine="0"/>
            </w:pPr>
            <w:bookmarkStart w:id="782" w:name="_Toc265743634"/>
            <w:r>
              <w:t>Composite samples — routine programme</w:t>
            </w:r>
            <w:bookmarkEnd w:id="782"/>
          </w:p>
        </w:tc>
        <w:tc>
          <w:tcPr>
            <w:tcW w:w="1444" w:type="dxa"/>
          </w:tcPr>
          <w:p>
            <w:pPr>
              <w:pStyle w:val="yHeading5"/>
              <w:tabs>
                <w:tab w:val="clear" w:pos="879"/>
              </w:tabs>
              <w:ind w:left="0" w:firstLine="0"/>
            </w:pPr>
          </w:p>
        </w:tc>
      </w:tr>
      <w:tr>
        <w:tc>
          <w:tcPr>
            <w:tcW w:w="1276" w:type="dxa"/>
          </w:tcPr>
          <w:p>
            <w:pPr>
              <w:pStyle w:val="zyTableNAm"/>
            </w:pPr>
          </w:p>
        </w:tc>
        <w:tc>
          <w:tcPr>
            <w:tcW w:w="4226" w:type="dxa"/>
            <w:gridSpan w:val="3"/>
          </w:tcPr>
          <w:p>
            <w:pPr>
              <w:pStyle w:val="zyTableNAm"/>
              <w:tabs>
                <w:tab w:val="right" w:leader="dot" w:pos="4253"/>
              </w:tabs>
              <w:rPr>
                <w:spacing w:val="-1"/>
              </w:rPr>
            </w:pPr>
            <w:r>
              <w:rPr>
                <w:spacing w:val="-1"/>
              </w:rPr>
              <w:t xml:space="preserve">For each </w:t>
            </w:r>
            <w:r>
              <w:t>composite sample</w:t>
            </w:r>
            <w:r>
              <w:rPr>
                <w:spacing w:val="-1"/>
              </w:rPr>
              <w:t xml:space="preserve"> for a routine </w:t>
            </w:r>
            <w:r>
              <w:t>programme</w:t>
            </w:r>
            <w:r>
              <w:rPr>
                <w:spacing w:val="-1"/>
              </w:rPr>
              <w:t xml:space="preserve"> </w:t>
            </w:r>
            <w:r>
              <w:rPr>
                <w:spacing w:val="-1"/>
              </w:rPr>
              <w:tab/>
            </w:r>
          </w:p>
        </w:tc>
        <w:tc>
          <w:tcPr>
            <w:tcW w:w="1444" w:type="dxa"/>
          </w:tcPr>
          <w:p>
            <w:pPr>
              <w:pStyle w:val="zyTableNAm"/>
              <w:tabs>
                <w:tab w:val="clear" w:pos="567"/>
                <w:tab w:val="left" w:pos="194"/>
              </w:tabs>
              <w:rPr>
                <w:spacing w:val="-1"/>
              </w:rPr>
            </w:pPr>
            <w:r>
              <w:rPr>
                <w:spacing w:val="-1"/>
              </w:rPr>
              <w:br/>
              <w:t>$617.10</w:t>
            </w:r>
          </w:p>
        </w:tc>
      </w:tr>
      <w:tr>
        <w:tc>
          <w:tcPr>
            <w:tcW w:w="1276" w:type="dxa"/>
          </w:tcPr>
          <w:p>
            <w:pPr>
              <w:pStyle w:val="yHeading5"/>
              <w:tabs>
                <w:tab w:val="clear" w:pos="879"/>
              </w:tabs>
              <w:ind w:left="0" w:firstLine="0"/>
            </w:pPr>
            <w:bookmarkStart w:id="783" w:name="_Toc265743635"/>
            <w:r>
              <w:t>25.</w:t>
            </w:r>
            <w:bookmarkEnd w:id="783"/>
          </w:p>
        </w:tc>
        <w:tc>
          <w:tcPr>
            <w:tcW w:w="4226" w:type="dxa"/>
            <w:gridSpan w:val="3"/>
          </w:tcPr>
          <w:p>
            <w:pPr>
              <w:pStyle w:val="yHeading5"/>
              <w:tabs>
                <w:tab w:val="clear" w:pos="879"/>
              </w:tabs>
              <w:ind w:left="0" w:firstLine="0"/>
            </w:pPr>
            <w:bookmarkStart w:id="784" w:name="_Toc265743636"/>
            <w:r>
              <w:t>Establishment charge — unscheduled visit</w:t>
            </w:r>
            <w:bookmarkEnd w:id="784"/>
          </w:p>
        </w:tc>
        <w:tc>
          <w:tcPr>
            <w:tcW w:w="1444" w:type="dxa"/>
          </w:tcPr>
          <w:p>
            <w:pPr>
              <w:pStyle w:val="yHeading5"/>
              <w:tabs>
                <w:tab w:val="clear" w:pos="879"/>
              </w:tabs>
              <w:ind w:left="0" w:firstLine="0"/>
            </w:pPr>
          </w:p>
        </w:tc>
      </w:tr>
      <w:tr>
        <w:tc>
          <w:tcPr>
            <w:tcW w:w="1276" w:type="dxa"/>
          </w:tcPr>
          <w:p>
            <w:pPr>
              <w:pStyle w:val="zyTableNAm"/>
              <w:keepNext/>
            </w:pPr>
          </w:p>
        </w:tc>
        <w:tc>
          <w:tcPr>
            <w:tcW w:w="4226" w:type="dxa"/>
            <w:gridSpan w:val="3"/>
          </w:tcPr>
          <w:p>
            <w:pPr>
              <w:pStyle w:val="zyTableNAm"/>
              <w:keepNext/>
              <w:tabs>
                <w:tab w:val="right" w:leader="dot" w:pos="4253"/>
              </w:tabs>
              <w:rPr>
                <w:spacing w:val="-1"/>
              </w:rPr>
            </w:pPr>
            <w:r>
              <w:rPr>
                <w:spacing w:val="-1"/>
              </w:rPr>
              <w:t xml:space="preserve">Establishment charge </w:t>
            </w:r>
            <w:r>
              <w:rPr>
                <w:spacing w:val="-12"/>
              </w:rPr>
              <w:t>for</w:t>
            </w:r>
            <w:r>
              <w:rPr>
                <w:spacing w:val="-1"/>
              </w:rPr>
              <w:t xml:space="preserve"> an </w:t>
            </w:r>
            <w:r>
              <w:t>unscheduled</w:t>
            </w:r>
            <w:r>
              <w:rPr>
                <w:spacing w:val="-1"/>
              </w:rPr>
              <w:t xml:space="preserve"> visit</w:t>
            </w:r>
            <w:r>
              <w:rPr>
                <w:spacing w:val="-1"/>
              </w:rPr>
              <w:tab/>
              <w:t xml:space="preserve"> </w:t>
            </w:r>
          </w:p>
        </w:tc>
        <w:tc>
          <w:tcPr>
            <w:tcW w:w="1444" w:type="dxa"/>
          </w:tcPr>
          <w:p>
            <w:pPr>
              <w:pStyle w:val="zyTableNAm"/>
              <w:keepNext/>
              <w:tabs>
                <w:tab w:val="clear" w:pos="567"/>
                <w:tab w:val="left" w:pos="194"/>
              </w:tabs>
              <w:rPr>
                <w:spacing w:val="-1"/>
              </w:rPr>
            </w:pPr>
            <w:r>
              <w:rPr>
                <w:spacing w:val="-1"/>
              </w:rPr>
              <w:t>$112.50/hour</w:t>
            </w:r>
          </w:p>
        </w:tc>
      </w:tr>
      <w:tr>
        <w:tc>
          <w:tcPr>
            <w:tcW w:w="1276" w:type="dxa"/>
          </w:tcPr>
          <w:p>
            <w:pPr>
              <w:pStyle w:val="yHeading5"/>
              <w:tabs>
                <w:tab w:val="clear" w:pos="879"/>
              </w:tabs>
              <w:ind w:left="0" w:firstLine="0"/>
            </w:pPr>
            <w:bookmarkStart w:id="785" w:name="_Toc265743637"/>
            <w:r>
              <w:t>26.</w:t>
            </w:r>
            <w:bookmarkEnd w:id="785"/>
          </w:p>
        </w:tc>
        <w:tc>
          <w:tcPr>
            <w:tcW w:w="4226" w:type="dxa"/>
            <w:gridSpan w:val="3"/>
          </w:tcPr>
          <w:p>
            <w:pPr>
              <w:pStyle w:val="yHeading5"/>
              <w:tabs>
                <w:tab w:val="clear" w:pos="879"/>
              </w:tabs>
              <w:ind w:left="0" w:firstLine="0"/>
            </w:pPr>
            <w:bookmarkStart w:id="786" w:name="_Toc265743638"/>
            <w:r>
              <w:t>Product evaluation — unscheduled visit</w:t>
            </w:r>
            <w:bookmarkEnd w:id="786"/>
          </w:p>
        </w:tc>
        <w:tc>
          <w:tcPr>
            <w:tcW w:w="1444" w:type="dxa"/>
          </w:tcPr>
          <w:p>
            <w:pPr>
              <w:pStyle w:val="yHeading5"/>
              <w:tabs>
                <w:tab w:val="clear" w:pos="879"/>
              </w:tabs>
              <w:ind w:left="0" w:firstLine="0"/>
            </w:pPr>
          </w:p>
        </w:tc>
      </w:tr>
      <w:tr>
        <w:tc>
          <w:tcPr>
            <w:tcW w:w="1276" w:type="dxa"/>
          </w:tcPr>
          <w:p>
            <w:pPr>
              <w:pStyle w:val="zyTableNAm"/>
            </w:pPr>
          </w:p>
        </w:tc>
        <w:tc>
          <w:tcPr>
            <w:tcW w:w="4226" w:type="dxa"/>
            <w:gridSpan w:val="3"/>
          </w:tcPr>
          <w:p>
            <w:pPr>
              <w:pStyle w:val="zyTableNAm"/>
              <w:tabs>
                <w:tab w:val="right" w:leader="dot" w:pos="4253"/>
              </w:tabs>
              <w:rPr>
                <w:spacing w:val="-1"/>
              </w:rPr>
            </w:pPr>
            <w:r>
              <w:rPr>
                <w:spacing w:val="-1"/>
              </w:rPr>
              <w:t xml:space="preserve">Product evaluation for an unscheduled visit </w:t>
            </w:r>
            <w:r>
              <w:rPr>
                <w:spacing w:val="-1"/>
              </w:rPr>
              <w:tab/>
            </w:r>
          </w:p>
        </w:tc>
        <w:tc>
          <w:tcPr>
            <w:tcW w:w="1444" w:type="dxa"/>
          </w:tcPr>
          <w:p>
            <w:pPr>
              <w:pStyle w:val="zyTableNAm"/>
              <w:tabs>
                <w:tab w:val="clear" w:pos="567"/>
                <w:tab w:val="left" w:pos="194"/>
              </w:tabs>
              <w:rPr>
                <w:spacing w:val="-1"/>
              </w:rPr>
            </w:pPr>
            <w:r>
              <w:rPr>
                <w:spacing w:val="-1"/>
              </w:rPr>
              <w:t>$140.90/hour</w:t>
            </w:r>
          </w:p>
        </w:tc>
      </w:tr>
      <w:tr>
        <w:tc>
          <w:tcPr>
            <w:tcW w:w="1276" w:type="dxa"/>
          </w:tcPr>
          <w:p>
            <w:pPr>
              <w:pStyle w:val="yHeading5"/>
              <w:tabs>
                <w:tab w:val="clear" w:pos="879"/>
              </w:tabs>
              <w:ind w:left="0" w:firstLine="0"/>
            </w:pPr>
            <w:bookmarkStart w:id="787" w:name="_Toc265743639"/>
            <w:r>
              <w:t>27.</w:t>
            </w:r>
            <w:bookmarkEnd w:id="787"/>
          </w:p>
        </w:tc>
        <w:tc>
          <w:tcPr>
            <w:tcW w:w="4226" w:type="dxa"/>
            <w:gridSpan w:val="3"/>
          </w:tcPr>
          <w:p>
            <w:pPr>
              <w:pStyle w:val="yHeading5"/>
              <w:tabs>
                <w:tab w:val="clear" w:pos="879"/>
              </w:tabs>
              <w:ind w:left="0" w:firstLine="0"/>
            </w:pPr>
            <w:bookmarkStart w:id="788" w:name="_Toc265743640"/>
            <w:r>
              <w:t>Grab samples — unscheduled visit</w:t>
            </w:r>
            <w:bookmarkEnd w:id="788"/>
          </w:p>
        </w:tc>
        <w:tc>
          <w:tcPr>
            <w:tcW w:w="1444" w:type="dxa"/>
          </w:tcPr>
          <w:p>
            <w:pPr>
              <w:pStyle w:val="yHeading5"/>
              <w:tabs>
                <w:tab w:val="clear" w:pos="879"/>
              </w:tabs>
              <w:ind w:left="0" w:firstLine="0"/>
            </w:pPr>
          </w:p>
        </w:tc>
      </w:tr>
      <w:tr>
        <w:tc>
          <w:tcPr>
            <w:tcW w:w="1276" w:type="dxa"/>
          </w:tcPr>
          <w:p>
            <w:pPr>
              <w:pStyle w:val="zyTableNAm"/>
            </w:pPr>
          </w:p>
        </w:tc>
        <w:tc>
          <w:tcPr>
            <w:tcW w:w="4226" w:type="dxa"/>
            <w:gridSpan w:val="3"/>
          </w:tcPr>
          <w:p>
            <w:pPr>
              <w:pStyle w:val="zyTableNAm"/>
              <w:tabs>
                <w:tab w:val="right" w:leader="dot" w:pos="4253"/>
              </w:tabs>
              <w:rPr>
                <w:spacing w:val="-1"/>
              </w:rPr>
            </w:pPr>
            <w:r>
              <w:rPr>
                <w:spacing w:val="-1"/>
              </w:rPr>
              <w:t xml:space="preserve">For each grab sample for an unscheduled visit </w:t>
            </w:r>
          </w:p>
        </w:tc>
        <w:tc>
          <w:tcPr>
            <w:tcW w:w="1444" w:type="dxa"/>
          </w:tcPr>
          <w:p>
            <w:pPr>
              <w:pStyle w:val="zyTableNAm"/>
              <w:tabs>
                <w:tab w:val="clear" w:pos="567"/>
                <w:tab w:val="left" w:pos="194"/>
              </w:tabs>
              <w:rPr>
                <w:spacing w:val="-1"/>
              </w:rPr>
            </w:pPr>
            <w:r>
              <w:rPr>
                <w:spacing w:val="-1"/>
              </w:rPr>
              <w:t>At cost</w:t>
            </w:r>
          </w:p>
        </w:tc>
      </w:tr>
      <w:tr>
        <w:tc>
          <w:tcPr>
            <w:tcW w:w="1276" w:type="dxa"/>
          </w:tcPr>
          <w:p>
            <w:pPr>
              <w:pStyle w:val="yHeading5"/>
              <w:tabs>
                <w:tab w:val="clear" w:pos="879"/>
              </w:tabs>
              <w:ind w:left="0" w:firstLine="0"/>
            </w:pPr>
            <w:bookmarkStart w:id="789" w:name="_Toc265743641"/>
            <w:r>
              <w:t>28.</w:t>
            </w:r>
            <w:bookmarkEnd w:id="789"/>
          </w:p>
        </w:tc>
        <w:tc>
          <w:tcPr>
            <w:tcW w:w="4226" w:type="dxa"/>
            <w:gridSpan w:val="3"/>
          </w:tcPr>
          <w:p>
            <w:pPr>
              <w:pStyle w:val="yHeading5"/>
              <w:tabs>
                <w:tab w:val="clear" w:pos="879"/>
              </w:tabs>
              <w:ind w:left="0" w:firstLine="0"/>
            </w:pPr>
            <w:bookmarkStart w:id="790" w:name="_Toc265743642"/>
            <w:r>
              <w:t>Composite samples — unscheduled visit</w:t>
            </w:r>
            <w:bookmarkEnd w:id="790"/>
          </w:p>
        </w:tc>
        <w:tc>
          <w:tcPr>
            <w:tcW w:w="1444" w:type="dxa"/>
          </w:tcPr>
          <w:p>
            <w:pPr>
              <w:pStyle w:val="yHeading5"/>
              <w:tabs>
                <w:tab w:val="clear" w:pos="879"/>
              </w:tabs>
              <w:ind w:left="0" w:firstLine="0"/>
            </w:pPr>
          </w:p>
        </w:tc>
      </w:tr>
      <w:tr>
        <w:tc>
          <w:tcPr>
            <w:tcW w:w="1276" w:type="dxa"/>
          </w:tcPr>
          <w:p>
            <w:pPr>
              <w:pStyle w:val="zyTableNAm"/>
            </w:pPr>
          </w:p>
        </w:tc>
        <w:tc>
          <w:tcPr>
            <w:tcW w:w="4226" w:type="dxa"/>
            <w:gridSpan w:val="3"/>
          </w:tcPr>
          <w:p>
            <w:pPr>
              <w:pStyle w:val="zyTableNAm"/>
              <w:tabs>
                <w:tab w:val="right" w:leader="dot" w:pos="4253"/>
              </w:tabs>
              <w:rPr>
                <w:spacing w:val="-1"/>
              </w:rPr>
            </w:pPr>
            <w:r>
              <w:rPr>
                <w:spacing w:val="-1"/>
              </w:rPr>
              <w:t xml:space="preserve">For each composite sample for an unscheduled visit </w:t>
            </w:r>
            <w:r>
              <w:rPr>
                <w:spacing w:val="-1"/>
              </w:rPr>
              <w:tab/>
            </w:r>
          </w:p>
        </w:tc>
        <w:tc>
          <w:tcPr>
            <w:tcW w:w="1444" w:type="dxa"/>
          </w:tcPr>
          <w:p>
            <w:pPr>
              <w:pStyle w:val="zyTableNAm"/>
              <w:tabs>
                <w:tab w:val="clear" w:pos="567"/>
                <w:tab w:val="left" w:pos="194"/>
              </w:tabs>
              <w:rPr>
                <w:spacing w:val="-1"/>
              </w:rPr>
            </w:pPr>
            <w:r>
              <w:rPr>
                <w:spacing w:val="-1"/>
              </w:rPr>
              <w:br/>
              <w:t>At cost</w:t>
            </w:r>
          </w:p>
        </w:tc>
      </w:tr>
      <w:tr>
        <w:trPr>
          <w:cantSplit/>
        </w:trPr>
        <w:tc>
          <w:tcPr>
            <w:tcW w:w="1276" w:type="dxa"/>
          </w:tcPr>
          <w:p>
            <w:pPr>
              <w:pStyle w:val="yHeading5"/>
              <w:tabs>
                <w:tab w:val="clear" w:pos="879"/>
              </w:tabs>
              <w:ind w:left="0" w:firstLine="0"/>
            </w:pPr>
            <w:bookmarkStart w:id="791" w:name="_Toc265743643"/>
            <w:r>
              <w:t>29.</w:t>
            </w:r>
            <w:bookmarkEnd w:id="791"/>
          </w:p>
        </w:tc>
        <w:tc>
          <w:tcPr>
            <w:tcW w:w="5670" w:type="dxa"/>
            <w:gridSpan w:val="4"/>
          </w:tcPr>
          <w:p>
            <w:pPr>
              <w:pStyle w:val="yHeading5"/>
              <w:tabs>
                <w:tab w:val="clear" w:pos="879"/>
              </w:tabs>
              <w:ind w:left="0" w:firstLine="0"/>
            </w:pPr>
            <w:bookmarkStart w:id="792" w:name="_Toc265743644"/>
            <w:r>
              <w:t>Non</w:t>
            </w:r>
            <w:r>
              <w:noBreakHyphen/>
              <w:t>permit holders discharging industrial waste</w:t>
            </w:r>
            <w:bookmarkEnd w:id="792"/>
          </w:p>
        </w:tc>
      </w:tr>
      <w:tr>
        <w:tc>
          <w:tcPr>
            <w:tcW w:w="1276" w:type="dxa"/>
          </w:tcPr>
          <w:p>
            <w:pPr>
              <w:pStyle w:val="zyTableNAm"/>
            </w:pPr>
          </w:p>
        </w:tc>
        <w:tc>
          <w:tcPr>
            <w:tcW w:w="4212" w:type="dxa"/>
            <w:gridSpan w:val="2"/>
          </w:tcPr>
          <w:p>
            <w:pPr>
              <w:pStyle w:val="zyTableNAm"/>
              <w:tabs>
                <w:tab w:val="right" w:leader="dot" w:pos="4253"/>
              </w:tabs>
              <w:rPr>
                <w:spacing w:val="-1"/>
              </w:rPr>
            </w:pPr>
            <w:r>
              <w:rPr>
                <w:spacing w:val="-1"/>
              </w:rPr>
              <w:t>For a one</w:t>
            </w:r>
            <w:r>
              <w:rPr>
                <w:spacing w:val="-1"/>
              </w:rPr>
              <w:noBreakHyphen/>
              <w:t xml:space="preserve">off discharge of industrial waste by a person who does not hold an industrial waste permit </w:t>
            </w:r>
            <w:r>
              <w:rPr>
                <w:spacing w:val="-1"/>
              </w:rPr>
              <w:tab/>
            </w:r>
          </w:p>
        </w:tc>
        <w:tc>
          <w:tcPr>
            <w:tcW w:w="1458" w:type="dxa"/>
            <w:gridSpan w:val="2"/>
          </w:tcPr>
          <w:p>
            <w:pPr>
              <w:pStyle w:val="zyTableNAm"/>
              <w:tabs>
                <w:tab w:val="clear" w:pos="567"/>
                <w:tab w:val="left" w:pos="202"/>
              </w:tabs>
              <w:rPr>
                <w:spacing w:val="-1"/>
              </w:rPr>
            </w:pPr>
            <w:r>
              <w:rPr>
                <w:spacing w:val="-1"/>
              </w:rPr>
              <w:br/>
            </w:r>
            <w:r>
              <w:rPr>
                <w:spacing w:val="-1"/>
              </w:rPr>
              <w:br/>
              <w:t>$112.50/hour</w:t>
            </w:r>
          </w:p>
        </w:tc>
      </w:tr>
      <w:tr>
        <w:trPr>
          <w:cantSplit/>
        </w:trPr>
        <w:tc>
          <w:tcPr>
            <w:tcW w:w="1276" w:type="dxa"/>
          </w:tcPr>
          <w:p>
            <w:pPr>
              <w:pStyle w:val="yHeading5"/>
              <w:tabs>
                <w:tab w:val="clear" w:pos="879"/>
              </w:tabs>
              <w:ind w:left="0" w:firstLine="0"/>
            </w:pPr>
            <w:bookmarkStart w:id="793" w:name="_Toc265743645"/>
            <w:r>
              <w:t>30.</w:t>
            </w:r>
            <w:bookmarkEnd w:id="793"/>
          </w:p>
        </w:tc>
        <w:tc>
          <w:tcPr>
            <w:tcW w:w="5670" w:type="dxa"/>
            <w:gridSpan w:val="4"/>
          </w:tcPr>
          <w:p>
            <w:pPr>
              <w:pStyle w:val="yHeading5"/>
              <w:tabs>
                <w:tab w:val="clear" w:pos="879"/>
              </w:tabs>
              <w:ind w:left="0" w:firstLine="0"/>
            </w:pPr>
            <w:bookmarkStart w:id="794" w:name="_Toc265743646"/>
            <w:r>
              <w:t>Discharging industrial waste from an open area</w:t>
            </w:r>
            <w:bookmarkEnd w:id="794"/>
          </w:p>
        </w:tc>
      </w:tr>
      <w:tr>
        <w:tc>
          <w:tcPr>
            <w:tcW w:w="1276" w:type="dxa"/>
          </w:tcPr>
          <w:p>
            <w:pPr>
              <w:pStyle w:val="zyTableNAm"/>
            </w:pPr>
          </w:p>
        </w:tc>
        <w:tc>
          <w:tcPr>
            <w:tcW w:w="4198" w:type="dxa"/>
          </w:tcPr>
          <w:p>
            <w:pPr>
              <w:pStyle w:val="zyTableNAm"/>
              <w:tabs>
                <w:tab w:val="right" w:leader="dot" w:pos="4253"/>
              </w:tabs>
              <w:rPr>
                <w:spacing w:val="-1"/>
              </w:rPr>
            </w:pPr>
            <w:r>
              <w:rPr>
                <w:spacing w:val="-1"/>
              </w:rPr>
              <w:t xml:space="preserve">For discharging industrial waste from an open area </w:t>
            </w:r>
            <w:r>
              <w:rPr>
                <w:spacing w:val="-1"/>
              </w:rPr>
              <w:tab/>
            </w:r>
          </w:p>
        </w:tc>
        <w:tc>
          <w:tcPr>
            <w:tcW w:w="1472" w:type="dxa"/>
            <w:gridSpan w:val="3"/>
          </w:tcPr>
          <w:p>
            <w:pPr>
              <w:pStyle w:val="zyTableNAm"/>
              <w:tabs>
                <w:tab w:val="clear" w:pos="567"/>
                <w:tab w:val="left" w:pos="202"/>
              </w:tabs>
              <w:rPr>
                <w:spacing w:val="-1"/>
              </w:rPr>
            </w:pPr>
            <w:r>
              <w:rPr>
                <w:spacing w:val="-1"/>
              </w:rPr>
              <w:br/>
              <w:t>$1.33/square metre</w:t>
            </w:r>
          </w:p>
        </w:tc>
      </w:tr>
    </w:tbl>
    <w:p>
      <w:pPr>
        <w:pStyle w:val="yFootnotesection"/>
      </w:pPr>
      <w:r>
        <w:tab/>
        <w:t>[Division 6 inserted in Gazette 25 Jun 2010 p. 2948</w:t>
      </w:r>
      <w:r>
        <w:noBreakHyphen/>
        <w:t>9.]</w:t>
      </w:r>
    </w:p>
    <w:p>
      <w:pPr>
        <w:pStyle w:val="yHeading3"/>
        <w:rPr>
          <w:rStyle w:val="CharSDivText"/>
        </w:rPr>
      </w:pPr>
      <w:bookmarkStart w:id="795" w:name="_Toc265743647"/>
      <w:r>
        <w:rPr>
          <w:rStyle w:val="CharSDivNo"/>
        </w:rPr>
        <w:t>Division 7</w:t>
      </w:r>
      <w:r>
        <w:rPr>
          <w:b w:val="0"/>
        </w:rPr>
        <w:t> — </w:t>
      </w:r>
      <w:r>
        <w:rPr>
          <w:rStyle w:val="CharSDivText"/>
        </w:rPr>
        <w:t>Combined charges for country non</w:t>
      </w:r>
      <w:r>
        <w:rPr>
          <w:rStyle w:val="CharSDivText"/>
        </w:rPr>
        <w:noBreakHyphen/>
        <w:t>residential or commercial residential</w:t>
      </w:r>
      <w:bookmarkEnd w:id="795"/>
    </w:p>
    <w:p>
      <w:pPr>
        <w:pStyle w:val="yFootnoteheading"/>
      </w:pPr>
      <w:r>
        <w:tab/>
        <w:t>[Heading inserted in Gazette 25 Jun 2010 p. 2949.]</w:t>
      </w:r>
    </w:p>
    <w:p>
      <w:pPr>
        <w:pStyle w:val="yHeading5"/>
      </w:pPr>
      <w:bookmarkStart w:id="796" w:name="_Toc265743648"/>
      <w:r>
        <w:t>31.</w:t>
      </w:r>
      <w:r>
        <w:tab/>
        <w:t>Country non</w:t>
      </w:r>
      <w:r>
        <w:noBreakHyphen/>
        <w:t>residential or commercial residential</w:t>
      </w:r>
      <w:bookmarkEnd w:id="796"/>
    </w:p>
    <w:p>
      <w:pPr>
        <w:pStyle w:val="ySubsection"/>
      </w:pPr>
      <w:r>
        <w:tab/>
      </w:r>
      <w:r>
        <w:tab/>
        <w:t>In respect of land in a country sewerage area that is classified as country non</w:t>
      </w:r>
      <w:r>
        <w:noBreakHyphen/>
        <w:t>residential or commercial residential property and is not referred to in item 2, 4, 5, 32, 33 or 34, the charge is calculated in accordance with the following formula —</w:t>
      </w:r>
    </w:p>
    <w:p>
      <w:pPr>
        <w:pStyle w:val="ySubsection"/>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ySubsection"/>
      </w:pPr>
      <w:r>
        <w:rPr>
          <w:b/>
        </w:rPr>
        <w:tab/>
      </w:r>
      <w:r>
        <w:rPr>
          <w:b/>
        </w:rPr>
        <w:tab/>
        <w:t>P</w:t>
      </w:r>
      <w:r>
        <w:t xml:space="preserve"> + </w:t>
      </w:r>
      <w:r>
        <w:rPr>
          <w:b/>
        </w:rPr>
        <w:t>Q</w:t>
      </w:r>
    </w:p>
    <w:p>
      <w:pPr>
        <w:pStyle w:val="ySubsection"/>
      </w:pPr>
      <w:r>
        <w:tab/>
      </w:r>
      <w:r>
        <w:tab/>
        <w:t xml:space="preserve">or if — </w:t>
      </w:r>
    </w:p>
    <w:p>
      <w:pPr>
        <w:pStyle w:val="ySubsection"/>
      </w:pPr>
      <w:r>
        <w:tab/>
      </w:r>
      <w:r>
        <w:tab/>
        <w:t>(</w:t>
      </w:r>
      <w:r>
        <w:rPr>
          <w:b/>
        </w:rPr>
        <w:t>P</w:t>
      </w:r>
      <w:r>
        <w:t xml:space="preserve"> + </w:t>
      </w:r>
      <w:r>
        <w:rPr>
          <w:b/>
        </w:rPr>
        <w:t>Q</w:t>
      </w:r>
      <w:r>
        <w:t xml:space="preserve">) &gt; </w:t>
      </w:r>
      <w:r>
        <w:rPr>
          <w:b/>
        </w:rPr>
        <w:t>R</w:t>
      </w:r>
      <w:r>
        <w:t>; and</w:t>
      </w:r>
    </w:p>
    <w:p>
      <w:pPr>
        <w:pStyle w:val="ySubsection"/>
      </w:pPr>
      <w:r>
        <w:rPr>
          <w:b/>
        </w:rPr>
        <w:tab/>
      </w:r>
      <w:r>
        <w:rPr>
          <w:b/>
        </w:rPr>
        <w:tab/>
        <w:t>N</w:t>
      </w:r>
      <w:r>
        <w:t xml:space="preserve"> </w:t>
      </w:r>
      <w:r>
        <w:sym w:font="Symbol" w:char="F0A3"/>
      </w:r>
      <w:r>
        <w:t xml:space="preserve"> </w:t>
      </w:r>
      <w:r>
        <w:rPr>
          <w:b/>
        </w:rPr>
        <w:t>W</w:t>
      </w:r>
      <w:r>
        <w:t>,</w:t>
      </w:r>
    </w:p>
    <w:p>
      <w:pPr>
        <w:pStyle w:val="ySubsection"/>
      </w:pPr>
      <w:r>
        <w:tab/>
      </w:r>
      <w:r>
        <w:tab/>
        <w:t xml:space="preserve">then — </w:t>
      </w:r>
    </w:p>
    <w:p>
      <w:pPr>
        <w:pStyle w:val="ySubsection"/>
        <w:rPr>
          <w:b/>
        </w:rPr>
      </w:pPr>
      <w:r>
        <w:rPr>
          <w:b/>
        </w:rPr>
        <w:tab/>
      </w:r>
      <w:r>
        <w:rPr>
          <w:b/>
        </w:rPr>
        <w:tab/>
        <w:t>R</w:t>
      </w:r>
      <w:r>
        <w:t xml:space="preserve"> + {(</w:t>
      </w:r>
      <w:r>
        <w:rPr>
          <w:b/>
        </w:rPr>
        <w:t>N</w:t>
      </w:r>
      <w:r>
        <w:t xml:space="preserve"> </w:t>
      </w:r>
      <w:r>
        <w:sym w:font="Symbol" w:char="F02D"/>
      </w:r>
      <w:r>
        <w:t xml:space="preserve"> </w:t>
      </w:r>
      <w:r>
        <w:rPr>
          <w:b/>
        </w:rPr>
        <w:t>W</w:t>
      </w:r>
      <w:r>
        <w:t xml:space="preserve">) </w:t>
      </w:r>
      <w:r>
        <w:sym w:font="Symbol" w:char="F0B4"/>
      </w:r>
      <w:r>
        <w:rPr>
          <w:b/>
        </w:rPr>
        <w:t xml:space="preserve"> I</w:t>
      </w:r>
      <w:r>
        <w:t>}</w:t>
      </w:r>
    </w:p>
    <w:p>
      <w:pPr>
        <w:pStyle w:val="ySubsection"/>
      </w:pPr>
      <w:r>
        <w:tab/>
      </w:r>
      <w:r>
        <w:tab/>
        <w:t xml:space="preserve">where — </w:t>
      </w:r>
    </w:p>
    <w:p>
      <w:pPr>
        <w:pStyle w:val="yIndenta"/>
      </w:pPr>
      <w:r>
        <w:rPr>
          <w:b/>
        </w:rPr>
        <w:tab/>
        <w:t>P</w:t>
      </w:r>
      <w:r>
        <w:t xml:space="preserve"> =</w:t>
      </w:r>
      <w:r>
        <w:tab/>
        <w:t xml:space="preserve">the </w:t>
      </w:r>
      <w:r>
        <w:rPr>
          <w:snapToGrid w:val="0"/>
        </w:rPr>
        <w:t>annual</w:t>
      </w:r>
      <w:r>
        <w:t xml:space="preserve"> charge calculated in accordance with the formula in item 36;</w:t>
      </w:r>
    </w:p>
    <w:p>
      <w:pPr>
        <w:pStyle w:val="yIndenta"/>
      </w:pPr>
      <w:r>
        <w:rPr>
          <w:b/>
        </w:rPr>
        <w:tab/>
        <w:t>Q</w:t>
      </w:r>
      <w:r>
        <w:t xml:space="preserve"> =</w:t>
      </w:r>
      <w:r>
        <w:tab/>
        <w:t>the quantity charge calculated in accordance with the formula in item 37;</w:t>
      </w:r>
    </w:p>
    <w:p>
      <w:pPr>
        <w:pStyle w:val="yIndenta"/>
      </w:pPr>
      <w:r>
        <w:rPr>
          <w:b/>
        </w:rPr>
        <w:tab/>
        <w:t>R</w:t>
      </w:r>
      <w:r>
        <w:t xml:space="preserve"> =</w:t>
      </w:r>
      <w:r>
        <w:tab/>
        <w:t>the maximum charge calculated in accordance with the formula in item 35;</w:t>
      </w:r>
    </w:p>
    <w:p>
      <w:pPr>
        <w:pStyle w:val="yIndenta"/>
      </w:pPr>
      <w:r>
        <w:rPr>
          <w:b/>
        </w:rPr>
        <w:tab/>
        <w:t>N</w:t>
      </w:r>
      <w:r>
        <w:t xml:space="preserve"> =</w:t>
      </w:r>
      <w:r>
        <w:tab/>
        <w:t>the discharge volume for the 2010/2011 year;</w:t>
      </w:r>
    </w:p>
    <w:p>
      <w:pPr>
        <w:pStyle w:val="yIndenta"/>
      </w:pPr>
      <w:r>
        <w:rPr>
          <w:b/>
        </w:rPr>
        <w:tab/>
        <w:t>W</w:t>
      </w:r>
      <w:r>
        <w:t xml:space="preserve"> =</w:t>
      </w:r>
      <w:r>
        <w:tab/>
        <w:t>the discharge volume for the last available consumption year;</w:t>
      </w:r>
    </w:p>
    <w:p>
      <w:pPr>
        <w:pStyle w:val="yIndenta"/>
      </w:pPr>
      <w:r>
        <w:rPr>
          <w:b/>
        </w:rPr>
        <w:tab/>
        <w:t>I</w:t>
      </w:r>
      <w:r>
        <w:t xml:space="preserve"> =</w:t>
      </w:r>
      <w:r>
        <w:tab/>
        <w:t>2.420.</w:t>
      </w:r>
    </w:p>
    <w:p>
      <w:pPr>
        <w:pStyle w:val="yHeading5"/>
      </w:pPr>
      <w:bookmarkStart w:id="797" w:name="_Toc265743649"/>
      <w:r>
        <w:t>32.</w:t>
      </w:r>
      <w:r>
        <w:tab/>
        <w:t>Country non strata</w:t>
      </w:r>
      <w:r>
        <w:noBreakHyphen/>
        <w:t>titled caravan park with long</w:t>
      </w:r>
      <w:r>
        <w:noBreakHyphen/>
        <w:t>term residential caravan bays</w:t>
      </w:r>
      <w:bookmarkEnd w:id="797"/>
    </w:p>
    <w:p>
      <w:pPr>
        <w:pStyle w:val="ySubsection"/>
      </w:pPr>
      <w:r>
        <w:tab/>
      </w:r>
      <w:r>
        <w:tab/>
        <w:t>In respect of a caravan park in a country sewerage area —</w:t>
      </w:r>
    </w:p>
    <w:p>
      <w:pPr>
        <w:pStyle w:val="yIndenta"/>
      </w:pPr>
      <w:r>
        <w:tab/>
        <w:t>(a)</w:t>
      </w:r>
      <w:r>
        <w:tab/>
        <w:t>not consisting of strata</w:t>
      </w:r>
      <w:r>
        <w:noBreakHyphen/>
        <w:t>titled caravan bays referred to in item 3 of this Schedule; and</w:t>
      </w:r>
    </w:p>
    <w:p>
      <w:pPr>
        <w:pStyle w:val="yIndenta"/>
      </w:pPr>
      <w:r>
        <w:tab/>
        <w:t>(b)</w:t>
      </w:r>
      <w:r>
        <w:tab/>
        <w:t>having long</w:t>
      </w:r>
      <w:r>
        <w:noBreakHyphen/>
        <w:t>term residential caravan bays,</w:t>
      </w:r>
    </w:p>
    <w:p>
      <w:pPr>
        <w:pStyle w:val="ySubsection"/>
      </w:pPr>
      <w:r>
        <w:tab/>
      </w:r>
      <w:r>
        <w:tab/>
        <w:t xml:space="preserve">the charge payable in accordance with the following formula — </w:t>
      </w:r>
    </w:p>
    <w:p>
      <w:pPr>
        <w:pStyle w:val="ySubsection"/>
      </w:pPr>
      <w:r>
        <w:rPr>
          <w:b/>
        </w:rPr>
        <w:tab/>
      </w:r>
      <w:r>
        <w:rPr>
          <w:b/>
        </w:rPr>
        <w:tab/>
        <w:t>AA</w:t>
      </w:r>
      <w:r>
        <w:t xml:space="preserve"> + </w:t>
      </w:r>
      <w:r>
        <w:rPr>
          <w:b/>
        </w:rPr>
        <w:t>AB</w:t>
      </w:r>
    </w:p>
    <w:p>
      <w:pPr>
        <w:pStyle w:val="ySubsection"/>
      </w:pPr>
      <w:r>
        <w:tab/>
      </w:r>
      <w:r>
        <w:tab/>
        <w:t xml:space="preserve">where — </w:t>
      </w:r>
    </w:p>
    <w:p>
      <w:pPr>
        <w:pStyle w:val="yIndenta"/>
      </w:pPr>
      <w:r>
        <w:rPr>
          <w:b/>
        </w:rPr>
        <w:tab/>
        <w:t>AA</w:t>
      </w:r>
      <w:r>
        <w:t xml:space="preserve"> =</w:t>
      </w:r>
      <w:r>
        <w:tab/>
        <w:t>a charge of $217.40 for each long</w:t>
      </w:r>
      <w:r>
        <w:noBreakHyphen/>
        <w:t xml:space="preserve">term residential caravan bay; </w:t>
      </w:r>
    </w:p>
    <w:p>
      <w:pPr>
        <w:pStyle w:val="yIndenta"/>
      </w:pPr>
      <w:r>
        <w:rPr>
          <w:b/>
        </w:rPr>
        <w:tab/>
        <w:t>AB</w:t>
      </w:r>
      <w:r>
        <w:t xml:space="preserve"> =</w:t>
      </w:r>
      <w:r>
        <w:tab/>
        <w:t>the charge for any part of the caravan park not comprised in long</w:t>
      </w:r>
      <w:r>
        <w:noBreakHyphen/>
        <w:t xml:space="preserve">term residential caravan bays, calculated in accordance with the following formula — </w:t>
      </w:r>
    </w:p>
    <w:p>
      <w:pPr>
        <w:pStyle w:val="yIndenta"/>
      </w:pPr>
      <w:r>
        <w:tab/>
      </w:r>
      <w:r>
        <w:tab/>
        <w:t>If (</w:t>
      </w:r>
      <w:r>
        <w:rPr>
          <w:b/>
        </w:rPr>
        <w:t>Y</w:t>
      </w:r>
      <w:r>
        <w:t xml:space="preserve"> + </w:t>
      </w:r>
      <w:r>
        <w:rPr>
          <w:b/>
        </w:rPr>
        <w:t>Q</w:t>
      </w:r>
      <w:r>
        <w:t xml:space="preserve">) </w:t>
      </w:r>
      <w:r>
        <w:sym w:font="Symbol" w:char="F0A3"/>
      </w:r>
      <w:r>
        <w:t xml:space="preserve"> </w:t>
      </w:r>
      <w:r>
        <w:rPr>
          <w:b/>
        </w:rPr>
        <w:t>R</w:t>
      </w:r>
      <w:r>
        <w:t xml:space="preserve">, then — </w:t>
      </w:r>
    </w:p>
    <w:p>
      <w:pPr>
        <w:pStyle w:val="yIndenta"/>
      </w:pPr>
      <w:r>
        <w:rPr>
          <w:b/>
        </w:rPr>
        <w:tab/>
      </w:r>
      <w:r>
        <w:rPr>
          <w:b/>
        </w:rPr>
        <w:tab/>
        <w:t>Y</w:t>
      </w:r>
      <w:r>
        <w:t xml:space="preserve"> + </w:t>
      </w:r>
      <w:r>
        <w:rPr>
          <w:b/>
        </w:rPr>
        <w:t>Q</w:t>
      </w:r>
    </w:p>
    <w:p>
      <w:pPr>
        <w:pStyle w:val="yIndenta"/>
      </w:pPr>
      <w:r>
        <w:tab/>
      </w:r>
      <w:r>
        <w:tab/>
        <w:t xml:space="preserve">or if — </w:t>
      </w:r>
    </w:p>
    <w:p>
      <w:pPr>
        <w:pStyle w:val="yIndenta"/>
      </w:pPr>
      <w:r>
        <w:tab/>
      </w:r>
      <w:r>
        <w:tab/>
        <w:t>(</w:t>
      </w:r>
      <w:r>
        <w:rPr>
          <w:b/>
        </w:rPr>
        <w:t>Y</w:t>
      </w:r>
      <w:r>
        <w:t xml:space="preserve"> + </w:t>
      </w:r>
      <w:r>
        <w:rPr>
          <w:b/>
        </w:rPr>
        <w:t>Q</w:t>
      </w:r>
      <w:r>
        <w:t xml:space="preserve">) &gt; </w:t>
      </w:r>
      <w:r>
        <w:rPr>
          <w:b/>
        </w:rPr>
        <w:t>R</w:t>
      </w:r>
      <w:r>
        <w:t>; and</w:t>
      </w:r>
    </w:p>
    <w:p>
      <w:pPr>
        <w:pStyle w:val="yIndenta"/>
      </w:pPr>
      <w:r>
        <w:rPr>
          <w:b/>
        </w:rPr>
        <w:tab/>
      </w:r>
      <w:r>
        <w:rPr>
          <w:b/>
        </w:rPr>
        <w:tab/>
        <w:t>N</w:t>
      </w:r>
      <w:r>
        <w:t xml:space="preserve"> </w:t>
      </w:r>
      <w:r>
        <w:sym w:font="Symbol" w:char="F0A3"/>
      </w:r>
      <w:r>
        <w:t xml:space="preserve"> </w:t>
      </w:r>
      <w:r>
        <w:rPr>
          <w:b/>
        </w:rPr>
        <w:t>W</w:t>
      </w:r>
      <w:r>
        <w:t>,</w:t>
      </w:r>
    </w:p>
    <w:p>
      <w:pPr>
        <w:pStyle w:val="yIndenta"/>
      </w:pPr>
      <w:r>
        <w:tab/>
      </w:r>
      <w:r>
        <w:tab/>
        <w:t xml:space="preserve">then — </w:t>
      </w:r>
    </w:p>
    <w:p>
      <w:pPr>
        <w:pStyle w:val="yIndenta"/>
        <w:rPr>
          <w:b/>
        </w:rPr>
      </w:pPr>
      <w:r>
        <w:rPr>
          <w:b/>
        </w:rPr>
        <w:tab/>
      </w:r>
      <w:r>
        <w:rPr>
          <w:b/>
        </w:rPr>
        <w:tab/>
        <w:t>R</w:t>
      </w:r>
    </w:p>
    <w:p>
      <w:pPr>
        <w:pStyle w:val="yIndenta"/>
      </w:pPr>
      <w:r>
        <w:tab/>
      </w:r>
      <w:r>
        <w:tab/>
        <w:t xml:space="preserve">or if — </w:t>
      </w:r>
    </w:p>
    <w:p>
      <w:pPr>
        <w:pStyle w:val="yIndenta"/>
      </w:pPr>
      <w:r>
        <w:tab/>
      </w:r>
      <w:r>
        <w:tab/>
        <w:t>(</w:t>
      </w:r>
      <w:r>
        <w:rPr>
          <w:b/>
        </w:rPr>
        <w:t>Y</w:t>
      </w:r>
      <w:r>
        <w:t xml:space="preserve"> + </w:t>
      </w:r>
      <w:r>
        <w:rPr>
          <w:b/>
        </w:rPr>
        <w:t>Q</w:t>
      </w:r>
      <w:r>
        <w:t xml:space="preserve">) &gt; </w:t>
      </w:r>
      <w:r>
        <w:rPr>
          <w:b/>
        </w:rPr>
        <w:t>R</w:t>
      </w:r>
      <w:r>
        <w:t>; and</w:t>
      </w:r>
    </w:p>
    <w:p>
      <w:pPr>
        <w:pStyle w:val="yIndenta"/>
      </w:pPr>
      <w:r>
        <w:rPr>
          <w:b/>
        </w:rPr>
        <w:tab/>
      </w:r>
      <w:r>
        <w:rPr>
          <w:b/>
        </w:rPr>
        <w:tab/>
        <w:t>N</w:t>
      </w:r>
      <w:r>
        <w:t xml:space="preserve"> &gt; </w:t>
      </w:r>
      <w:r>
        <w:rPr>
          <w:b/>
        </w:rPr>
        <w:t>W</w:t>
      </w:r>
      <w:r>
        <w:t>,</w:t>
      </w:r>
    </w:p>
    <w:p>
      <w:pPr>
        <w:pStyle w:val="yIndenta"/>
      </w:pPr>
      <w:r>
        <w:tab/>
      </w:r>
      <w:r>
        <w:tab/>
        <w:t xml:space="preserve">then — </w:t>
      </w:r>
    </w:p>
    <w:p>
      <w:pPr>
        <w:pStyle w:val="yIndenta"/>
      </w:pP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a"/>
      </w:pPr>
      <w:r>
        <w:tab/>
      </w:r>
      <w:r>
        <w:tab/>
        <w:t xml:space="preserve">where — </w:t>
      </w:r>
    </w:p>
    <w:p>
      <w:pPr>
        <w:pStyle w:val="yIndenti0"/>
      </w:pPr>
      <w:r>
        <w:rPr>
          <w:b/>
        </w:rPr>
        <w:tab/>
        <w:t>Y</w:t>
      </w:r>
      <w:r>
        <w:t xml:space="preserve"> =</w:t>
      </w:r>
      <w:r>
        <w:tab/>
        <w:t>the charge payable for the number of major fixtures in the relevant part of the caravan park in the 2010/2011 year as set out in the Table to item 36;</w:t>
      </w:r>
    </w:p>
    <w:p>
      <w:pPr>
        <w:pStyle w:val="yIndenti0"/>
      </w:pPr>
      <w:r>
        <w:rPr>
          <w:b/>
        </w:rPr>
        <w:tab/>
        <w:t>Q</w:t>
      </w:r>
      <w:r>
        <w:t xml:space="preserve"> =</w:t>
      </w:r>
      <w:r>
        <w:tab/>
        <w:t>the quantity charge calculated in accordance with the formula in item 37;</w:t>
      </w:r>
    </w:p>
    <w:p>
      <w:pPr>
        <w:pStyle w:val="yIndenti0"/>
      </w:pPr>
      <w:r>
        <w:rPr>
          <w:b/>
        </w:rPr>
        <w:tab/>
        <w:t>R</w:t>
      </w:r>
      <w:r>
        <w:t xml:space="preserve"> =</w:t>
      </w:r>
      <w:r>
        <w:tab/>
        <w:t>the charge calculated in accordance with the formula in item 35;</w:t>
      </w:r>
    </w:p>
    <w:p>
      <w:pPr>
        <w:pStyle w:val="yIndenti0"/>
      </w:pPr>
      <w:r>
        <w:rPr>
          <w:b/>
        </w:rPr>
        <w:tab/>
        <w:t>N =</w:t>
      </w:r>
      <w:r>
        <w:rPr>
          <w:b/>
        </w:rPr>
        <w:tab/>
      </w:r>
      <w:r>
        <w:t>the discharge volume for the 2010/2011 year;</w:t>
      </w:r>
    </w:p>
    <w:p>
      <w:pPr>
        <w:pStyle w:val="yIndenti0"/>
      </w:pPr>
      <w:r>
        <w:rPr>
          <w:b/>
        </w:rPr>
        <w:tab/>
        <w:t>W =</w:t>
      </w:r>
      <w:r>
        <w:rPr>
          <w:b/>
        </w:rPr>
        <w:tab/>
      </w:r>
      <w:r>
        <w:t>the discharge volume for the last available consumption year;</w:t>
      </w:r>
    </w:p>
    <w:p>
      <w:pPr>
        <w:pStyle w:val="yIndenti0"/>
      </w:pPr>
      <w:r>
        <w:rPr>
          <w:b/>
        </w:rPr>
        <w:tab/>
        <w:t>I =</w:t>
      </w:r>
      <w:r>
        <w:rPr>
          <w:b/>
        </w:rPr>
        <w:tab/>
      </w:r>
      <w:r>
        <w:t>2.420.</w:t>
      </w:r>
    </w:p>
    <w:p>
      <w:pPr>
        <w:pStyle w:val="yHeading5"/>
      </w:pPr>
      <w:bookmarkStart w:id="798" w:name="_Toc265743650"/>
      <w:r>
        <w:t>33.</w:t>
      </w:r>
      <w:r>
        <w:tab/>
        <w:t>Country nursing home</w:t>
      </w:r>
      <w:bookmarkEnd w:id="798"/>
    </w:p>
    <w:p>
      <w:pPr>
        <w:pStyle w:val="ySubsection"/>
      </w:pPr>
      <w:r>
        <w:tab/>
      </w:r>
      <w:r>
        <w:tab/>
        <w:t>In respect of a nursing home in a country sewerage area, not being a nursing home which is, or is part of, a home for the aged, the charge is calculated in accordance with the following formula —</w:t>
      </w:r>
    </w:p>
    <w:p>
      <w:pPr>
        <w:pStyle w:val="ySubsection"/>
      </w:pPr>
      <w:r>
        <w:tab/>
      </w:r>
      <w:r>
        <w:tab/>
        <w:t>If (</w:t>
      </w:r>
      <w:r>
        <w:rPr>
          <w:b/>
        </w:rPr>
        <w:t>T</w:t>
      </w:r>
      <w:r>
        <w:t xml:space="preserve"> + </w:t>
      </w:r>
      <w:r>
        <w:rPr>
          <w:b/>
        </w:rPr>
        <w:t>Q</w:t>
      </w:r>
      <w:r>
        <w:t xml:space="preserve">) </w:t>
      </w:r>
      <w:r>
        <w:sym w:font="Symbol" w:char="F0A3"/>
      </w:r>
      <w:r>
        <w:t xml:space="preserve"> </w:t>
      </w:r>
      <w:r>
        <w:rPr>
          <w:b/>
        </w:rPr>
        <w:t>R</w:t>
      </w:r>
      <w:r>
        <w:t xml:space="preserve">, then — </w:t>
      </w:r>
    </w:p>
    <w:p>
      <w:pPr>
        <w:pStyle w:val="ySubsection"/>
      </w:pPr>
      <w:r>
        <w:tab/>
      </w:r>
      <w:r>
        <w:tab/>
      </w:r>
      <w:r>
        <w:rPr>
          <w:b/>
        </w:rPr>
        <w:t>T</w:t>
      </w:r>
      <w:r>
        <w:t xml:space="preserve"> + </w:t>
      </w:r>
      <w:r>
        <w:rPr>
          <w:b/>
        </w:rPr>
        <w:t>Q</w:t>
      </w:r>
    </w:p>
    <w:p>
      <w:pPr>
        <w:pStyle w:val="ySubsection"/>
      </w:pPr>
      <w:r>
        <w:tab/>
      </w:r>
      <w:r>
        <w:tab/>
        <w:t>or if (</w:t>
      </w:r>
      <w:r>
        <w:rPr>
          <w:b/>
        </w:rPr>
        <w:t>T</w:t>
      </w:r>
      <w:r>
        <w:t xml:space="preserve"> + </w:t>
      </w:r>
      <w:r>
        <w:rPr>
          <w:b/>
        </w:rPr>
        <w:t>Q</w:t>
      </w:r>
      <w:r>
        <w:t xml:space="preserve">) &gt; </w:t>
      </w:r>
      <w:r>
        <w:rPr>
          <w:b/>
        </w:rPr>
        <w:t>R</w:t>
      </w:r>
      <w:r>
        <w:t xml:space="preserve">, then — </w:t>
      </w:r>
    </w:p>
    <w:p>
      <w:pPr>
        <w:pStyle w:val="ySubsection"/>
        <w:rPr>
          <w:b/>
        </w:rPr>
      </w:pPr>
      <w:r>
        <w:tab/>
      </w:r>
      <w:r>
        <w:tab/>
      </w:r>
      <w:r>
        <w:rPr>
          <w:b/>
        </w:rPr>
        <w:t>R</w:t>
      </w:r>
    </w:p>
    <w:p>
      <w:pPr>
        <w:pStyle w:val="ySubsection"/>
      </w:pPr>
      <w:r>
        <w:tab/>
      </w:r>
      <w:r>
        <w:tab/>
        <w:t xml:space="preserve">where — </w:t>
      </w:r>
    </w:p>
    <w:p>
      <w:pPr>
        <w:pStyle w:val="yIndenta"/>
      </w:pPr>
      <w:r>
        <w:rPr>
          <w:b/>
        </w:rPr>
        <w:tab/>
        <w:t>T</w:t>
      </w:r>
      <w:r>
        <w:t xml:space="preserve"> =</w:t>
      </w:r>
      <w:r>
        <w:tab/>
        <w:t>the charge calculated in accordance with the following formula — </w:t>
      </w:r>
    </w:p>
    <w:p>
      <w:pPr>
        <w:pStyle w:val="yIndenta"/>
      </w:pPr>
      <w:r>
        <w:rPr>
          <w:b/>
        </w:rPr>
        <w:tab/>
      </w:r>
      <w:r>
        <w:rPr>
          <w:b/>
        </w:rPr>
        <w:tab/>
        <w:t>U</w:t>
      </w:r>
      <w:r>
        <w:t xml:space="preserve"> </w:t>
      </w:r>
      <w:r>
        <w:sym w:font="Symbol" w:char="F0B4"/>
      </w:r>
      <w:r>
        <w:t xml:space="preserve"> </w:t>
      </w:r>
      <w:r>
        <w:rPr>
          <w:b/>
        </w:rPr>
        <w:t>V</w:t>
      </w:r>
    </w:p>
    <w:p>
      <w:pPr>
        <w:pStyle w:val="yIndenta"/>
      </w:pPr>
      <w:r>
        <w:tab/>
      </w:r>
      <w:r>
        <w:tab/>
        <w:t xml:space="preserve">where — </w:t>
      </w:r>
    </w:p>
    <w:p>
      <w:pPr>
        <w:pStyle w:val="yIndenti0"/>
      </w:pPr>
      <w:r>
        <w:rPr>
          <w:b/>
        </w:rPr>
        <w:tab/>
        <w:t>U</w:t>
      </w:r>
      <w:r>
        <w:t xml:space="preserve"> =</w:t>
      </w:r>
      <w:r>
        <w:tab/>
        <w:t xml:space="preserve">the number of beds in the nursing home; </w:t>
      </w:r>
    </w:p>
    <w:p>
      <w:pPr>
        <w:pStyle w:val="yIndenti0"/>
      </w:pPr>
      <w:r>
        <w:rPr>
          <w:b/>
        </w:rPr>
        <w:tab/>
        <w:t>V</w:t>
      </w:r>
      <w:r>
        <w:t xml:space="preserve"> =</w:t>
      </w:r>
      <w:r>
        <w:tab/>
        <w:t>$119.10;</w:t>
      </w:r>
    </w:p>
    <w:p>
      <w:pPr>
        <w:pStyle w:val="yIndenta"/>
      </w:pPr>
      <w:r>
        <w:rPr>
          <w:b/>
        </w:rPr>
        <w:tab/>
        <w:t>Q</w:t>
      </w:r>
      <w:r>
        <w:t xml:space="preserve"> =</w:t>
      </w:r>
      <w:r>
        <w:tab/>
        <w:t>the quantity charge calculated in accordance with the formula in item 37;</w:t>
      </w:r>
    </w:p>
    <w:p>
      <w:pPr>
        <w:pStyle w:val="yIndenta"/>
      </w:pPr>
      <w:r>
        <w:rPr>
          <w:b/>
        </w:rPr>
        <w:tab/>
        <w:t>R</w:t>
      </w:r>
      <w:r>
        <w:t xml:space="preserve"> =</w:t>
      </w:r>
      <w:r>
        <w:tab/>
        <w:t>the charge calculated in accordance with the formula in item 35.</w:t>
      </w:r>
    </w:p>
    <w:p>
      <w:pPr>
        <w:pStyle w:val="yHeading5"/>
      </w:pPr>
      <w:bookmarkStart w:id="799" w:name="_Toc265743651"/>
      <w:r>
        <w:t>34.</w:t>
      </w:r>
      <w:r>
        <w:tab/>
        <w:t>Certain country strata</w:t>
      </w:r>
      <w:r>
        <w:noBreakHyphen/>
        <w:t>titled units</w:t>
      </w:r>
      <w:bookmarkEnd w:id="799"/>
    </w:p>
    <w:p>
      <w:pPr>
        <w:pStyle w:val="ySubsection"/>
      </w:pPr>
      <w:r>
        <w:tab/>
      </w:r>
      <w:r>
        <w:tab/>
        <w:t>In respect of country non</w:t>
      </w:r>
      <w:r>
        <w:noBreakHyphen/>
        <w:t xml:space="preserve">residential or commercial residential property that is in a country sewerage area that — </w:t>
      </w:r>
    </w:p>
    <w:p>
      <w:pPr>
        <w:pStyle w:val="yIndenta"/>
      </w:pPr>
      <w:r>
        <w:tab/>
        <w:t>(a)</w:t>
      </w:r>
      <w:r>
        <w:tab/>
      </w:r>
      <w:r>
        <w:rPr>
          <w:snapToGrid w:val="0"/>
        </w:rPr>
        <w:t>comprises</w:t>
      </w:r>
      <w:r>
        <w:t xml:space="preserve"> a unit that is a lot within the meaning of the </w:t>
      </w:r>
      <w:r>
        <w:rPr>
          <w:i/>
        </w:rPr>
        <w:t>Strata Titles Act 1985</w:t>
      </w:r>
      <w:r>
        <w:t>; and</w:t>
      </w:r>
    </w:p>
    <w:p>
      <w:pPr>
        <w:pStyle w:val="yIndenta"/>
      </w:pPr>
      <w:r>
        <w:tab/>
        <w:t>(b)</w:t>
      </w:r>
      <w:r>
        <w:tab/>
      </w:r>
      <w:r>
        <w:rPr>
          <w:snapToGrid w:val="0"/>
        </w:rPr>
        <w:t>shares</w:t>
      </w:r>
      <w:r>
        <w:t xml:space="preserve"> a major fixture with another unit described in paragraph (a) and </w:t>
      </w:r>
      <w:r>
        <w:rPr>
          <w:spacing w:val="-1"/>
        </w:rPr>
        <w:t>has no other major fixtures that discharge into the sewer,</w:t>
      </w:r>
    </w:p>
    <w:p>
      <w:pPr>
        <w:pStyle w:val="ySubsection"/>
      </w:pPr>
      <w:r>
        <w:tab/>
      </w:r>
      <w:r>
        <w:tab/>
      </w:r>
      <w:r>
        <w:rPr>
          <w:spacing w:val="-1"/>
        </w:rPr>
        <w:t xml:space="preserve">and where the </w:t>
      </w:r>
      <w:r>
        <w:t>total</w:t>
      </w:r>
      <w:r>
        <w:rPr>
          <w:spacing w:val="-1"/>
        </w:rPr>
        <w:t xml:space="preserve"> number of major fixtures shared by all the units on the relevant strata plan is less than the number of those units,</w:t>
      </w:r>
      <w:r>
        <w:t xml:space="preserve"> an amount is calculated in accordance with the following formula — </w:t>
      </w:r>
    </w:p>
    <w:p>
      <w:pPr>
        <w:pStyle w:val="ySubsection"/>
      </w:pPr>
      <w:r>
        <w:tab/>
      </w:r>
      <w:r>
        <w:tab/>
      </w:r>
      <w:r>
        <w:rPr>
          <w:b/>
          <w:bCs/>
        </w:rPr>
        <w:t>T</w:t>
      </w:r>
      <w:r>
        <w:t xml:space="preserve"> + </w:t>
      </w:r>
      <w:r>
        <w:rPr>
          <w:b/>
          <w:bCs/>
        </w:rPr>
        <w:t>Q</w:t>
      </w:r>
    </w:p>
    <w:p>
      <w:pPr>
        <w:pStyle w:val="ySubsection"/>
      </w:pPr>
      <w:r>
        <w:tab/>
      </w:r>
      <w:r>
        <w:tab/>
        <w:t xml:space="preserve">where — </w:t>
      </w:r>
    </w:p>
    <w:p>
      <w:pPr>
        <w:pStyle w:val="yIndenta"/>
      </w:pPr>
      <w:r>
        <w:rPr>
          <w:b/>
        </w:rPr>
        <w:tab/>
        <w:t>T</w:t>
      </w:r>
      <w:r>
        <w:t xml:space="preserve"> =</w:t>
      </w:r>
      <w:r>
        <w:tab/>
        <w:t>$409.30;</w:t>
      </w:r>
    </w:p>
    <w:p>
      <w:pPr>
        <w:pStyle w:val="yIndenta"/>
      </w:pPr>
      <w:r>
        <w:rPr>
          <w:b/>
        </w:rPr>
        <w:tab/>
        <w:t>Q</w:t>
      </w:r>
      <w:r>
        <w:t xml:space="preserve"> =</w:t>
      </w:r>
      <w:r>
        <w:tab/>
        <w:t>the quantity charge calculated in accordance with the formula in item 37.</w:t>
      </w:r>
    </w:p>
    <w:p>
      <w:pPr>
        <w:pStyle w:val="yHeading5"/>
      </w:pPr>
      <w:bookmarkStart w:id="800" w:name="_Toc265743652"/>
      <w:r>
        <w:t>35.</w:t>
      </w:r>
      <w:r>
        <w:tab/>
        <w:t>Limit on increase</w:t>
      </w:r>
      <w:bookmarkEnd w:id="800"/>
    </w:p>
    <w:p>
      <w:pPr>
        <w:pStyle w:val="ySubsection"/>
      </w:pPr>
      <w:r>
        <w:tab/>
      </w:r>
      <w:r>
        <w:tab/>
        <w:t xml:space="preserve">For the </w:t>
      </w:r>
      <w:r>
        <w:rPr>
          <w:spacing w:val="-1"/>
        </w:rPr>
        <w:t>purposes</w:t>
      </w:r>
      <w:r>
        <w:t xml:space="preserve"> of this Division, the maximum charge (</w:t>
      </w:r>
      <w:r>
        <w:rPr>
          <w:rStyle w:val="CharDefText"/>
        </w:rPr>
        <w:t>R</w:t>
      </w:r>
      <w:r>
        <w:t xml:space="preserve">) is calculated in accordance with the following formula — </w:t>
      </w:r>
    </w:p>
    <w:p>
      <w:pPr>
        <w:pStyle w:val="ySubsection"/>
      </w:pPr>
      <w:r>
        <w:tab/>
      </w: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xml:space="preserve">, then — </w:t>
      </w:r>
    </w:p>
    <w:p>
      <w:pPr>
        <w:pStyle w:val="ySubsection"/>
      </w:pPr>
      <w:r>
        <w:tab/>
      </w:r>
      <w:r>
        <w:tab/>
        <w:t>if (</w:t>
      </w:r>
      <w:r>
        <w:rPr>
          <w:b/>
        </w:rPr>
        <w:t>A</w:t>
      </w:r>
      <w:r>
        <w:t xml:space="preserve"> </w:t>
      </w:r>
      <w:r>
        <w:sym w:font="Symbol" w:char="F0B4"/>
      </w:r>
      <w:r>
        <w:t xml:space="preserve"> </w:t>
      </w:r>
      <w:r>
        <w:rPr>
          <w:b/>
        </w:rPr>
        <w:t>S</w:t>
      </w:r>
      <w:r>
        <w:t>) &gt; (</w:t>
      </w:r>
      <w:r>
        <w:rPr>
          <w:b/>
        </w:rPr>
        <w:t>A</w:t>
      </w:r>
      <w:r>
        <w:t xml:space="preserve"> + </w:t>
      </w:r>
      <w:r>
        <w:rPr>
          <w:b/>
        </w:rPr>
        <w:t>J</w:t>
      </w:r>
      <w:r>
        <w:t>), then</w:t>
      </w:r>
    </w:p>
    <w:p>
      <w:pPr>
        <w:pStyle w:val="ySubsection"/>
        <w:rPr>
          <w:b/>
        </w:rPr>
      </w:pPr>
      <w:r>
        <w:rPr>
          <w:b/>
        </w:rPr>
        <w:tab/>
      </w:r>
      <w:r>
        <w:rPr>
          <w:b/>
        </w:rPr>
        <w:tab/>
      </w:r>
      <w:r>
        <w:t>(</w:t>
      </w:r>
      <w:r>
        <w:rPr>
          <w:b/>
        </w:rPr>
        <w:t>A</w:t>
      </w:r>
      <w:r>
        <w:rPr>
          <w:bCs/>
        </w:rPr>
        <w:t xml:space="preserve"> </w:t>
      </w:r>
      <w:r>
        <w:rPr>
          <w:bCs/>
        </w:rPr>
        <w:sym w:font="Symbol" w:char="F0B4"/>
      </w:r>
      <w:r>
        <w:rPr>
          <w:bCs/>
        </w:rPr>
        <w:t xml:space="preserve"> </w:t>
      </w:r>
      <w:r>
        <w:rPr>
          <w:b/>
        </w:rPr>
        <w:t>S</w:t>
      </w:r>
      <w:r>
        <w:t>)</w:t>
      </w:r>
    </w:p>
    <w:p>
      <w:pPr>
        <w:pStyle w:val="ySubsection"/>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ySubsection"/>
      </w:pPr>
      <w:r>
        <w:rPr>
          <w:b/>
        </w:rPr>
        <w:tab/>
      </w:r>
      <w:r>
        <w:rPr>
          <w:b/>
        </w:rPr>
        <w:tab/>
      </w:r>
      <w:r>
        <w:t>(</w:t>
      </w:r>
      <w:r>
        <w:rPr>
          <w:b/>
        </w:rPr>
        <w:t xml:space="preserve">A </w:t>
      </w:r>
      <w:r>
        <w:t xml:space="preserve">+ </w:t>
      </w:r>
      <w:r>
        <w:rPr>
          <w:b/>
        </w:rPr>
        <w:t>J</w:t>
      </w:r>
      <w:r>
        <w:t>)</w:t>
      </w:r>
    </w:p>
    <w:p>
      <w:pPr>
        <w:pStyle w:val="ySubsection"/>
      </w:pPr>
      <w:r>
        <w:tab/>
      </w: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xml:space="preserve">, then — </w:t>
      </w:r>
    </w:p>
    <w:p>
      <w:pPr>
        <w:pStyle w:val="ySubsection"/>
      </w:pPr>
      <w:r>
        <w:tab/>
      </w: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Subsection"/>
      </w:pPr>
      <w:r>
        <w:rPr>
          <w:b/>
        </w:rPr>
        <w:tab/>
      </w:r>
      <w:r>
        <w:rPr>
          <w:b/>
        </w:rPr>
        <w:tab/>
      </w:r>
      <w:r>
        <w:t>(</w:t>
      </w:r>
      <w:r>
        <w:rPr>
          <w:b/>
        </w:rPr>
        <w:t>A</w:t>
      </w:r>
      <w:r>
        <w:rPr>
          <w:bCs/>
        </w:rPr>
        <w:t xml:space="preserve"> </w:t>
      </w:r>
      <w:r>
        <w:rPr>
          <w:bCs/>
        </w:rPr>
        <w:sym w:font="Symbol" w:char="F0B4"/>
      </w:r>
      <w:r>
        <w:rPr>
          <w:bCs/>
        </w:rPr>
        <w:t xml:space="preserve"> </w:t>
      </w:r>
      <w:r>
        <w:rPr>
          <w:b/>
        </w:rPr>
        <w:t>S</w:t>
      </w:r>
      <w:r>
        <w:t>)</w:t>
      </w:r>
    </w:p>
    <w:p>
      <w:pPr>
        <w:pStyle w:val="ySubsection"/>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xml:space="preserve">], then — </w:t>
      </w:r>
    </w:p>
    <w:p>
      <w:pPr>
        <w:pStyle w:val="ySubsection"/>
      </w:pPr>
      <w:r>
        <w:rPr>
          <w:b/>
        </w:rPr>
        <w:tab/>
      </w:r>
      <w:r>
        <w:rPr>
          <w:b/>
        </w:rPr>
        <w:tab/>
      </w:r>
      <w:r>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ySubsection"/>
      </w:pPr>
      <w:r>
        <w:tab/>
      </w:r>
      <w:r>
        <w:tab/>
        <w:t xml:space="preserve">where — </w:t>
      </w:r>
    </w:p>
    <w:p>
      <w:pPr>
        <w:pStyle w:val="yIndenta"/>
      </w:pPr>
      <w:r>
        <w:rPr>
          <w:b/>
        </w:rPr>
        <w:tab/>
        <w:t>P</w:t>
      </w:r>
      <w:r>
        <w:t xml:space="preserve"> =</w:t>
      </w:r>
      <w:r>
        <w:tab/>
        <w:t>the target annual charge, based on the number of major fixtures calculated using the Table in item 36;</w:t>
      </w:r>
    </w:p>
    <w:p>
      <w:pPr>
        <w:pStyle w:val="yIndenta"/>
      </w:pPr>
      <w:r>
        <w:rPr>
          <w:b/>
        </w:rPr>
        <w:tab/>
        <w:t>Q</w:t>
      </w:r>
      <w:r>
        <w:t xml:space="preserve"> =</w:t>
      </w:r>
      <w:r>
        <w:tab/>
        <w:t>the ultimate discharge charge calculated using the formula in item 37, except that the discharge allowance calculated in accordance with item 38(a) is 200 kL;</w:t>
      </w:r>
    </w:p>
    <w:p>
      <w:pPr>
        <w:pStyle w:val="yIndenta"/>
      </w:pPr>
      <w:r>
        <w:rPr>
          <w:b/>
        </w:rPr>
        <w:tab/>
        <w:t>A</w:t>
      </w:r>
      <w:r>
        <w:t xml:space="preserve"> =</w:t>
      </w:r>
      <w:r>
        <w:tab/>
        <w:t>the equivalent full year charge payable in the 2009/2010 year;</w:t>
      </w:r>
    </w:p>
    <w:p>
      <w:pPr>
        <w:pStyle w:val="yIndenta"/>
      </w:pPr>
      <w:r>
        <w:rPr>
          <w:b/>
        </w:rPr>
        <w:tab/>
        <w:t>S</w:t>
      </w:r>
      <w:r>
        <w:t xml:space="preserve"> =</w:t>
      </w:r>
      <w:r>
        <w:tab/>
        <w:t>1.121;</w:t>
      </w:r>
    </w:p>
    <w:p>
      <w:pPr>
        <w:pStyle w:val="yIndenta"/>
      </w:pPr>
      <w:r>
        <w:rPr>
          <w:b/>
        </w:rPr>
        <w:tab/>
        <w:t>B</w:t>
      </w:r>
      <w:r>
        <w:t xml:space="preserve"> =</w:t>
      </w:r>
      <w:r>
        <w:tab/>
        <w:t>$166.67;</w:t>
      </w:r>
    </w:p>
    <w:p>
      <w:pPr>
        <w:pStyle w:val="yIndenta"/>
      </w:pPr>
      <w:r>
        <w:rPr>
          <w:b/>
        </w:rPr>
        <w:tab/>
        <w:t>J</w:t>
      </w:r>
      <w:r>
        <w:t xml:space="preserve"> =</w:t>
      </w:r>
      <w:r>
        <w:tab/>
        <w:t>$166.67;</w:t>
      </w:r>
    </w:p>
    <w:p>
      <w:pPr>
        <w:pStyle w:val="yIndenta"/>
      </w:pPr>
      <w:r>
        <w:rPr>
          <w:b/>
        </w:rPr>
        <w:tab/>
        <w:t>O</w:t>
      </w:r>
      <w:r>
        <w:t xml:space="preserve"> =</w:t>
      </w:r>
      <w:r>
        <w:tab/>
        <w:t>1.</w:t>
      </w:r>
    </w:p>
    <w:p>
      <w:pPr>
        <w:pStyle w:val="yFootnotesection"/>
      </w:pPr>
      <w:r>
        <w:tab/>
        <w:t>[Division 7 inserted in Gazette 25 Jun 2010 p. 2949</w:t>
      </w:r>
      <w:r>
        <w:noBreakHyphen/>
        <w:t>53.]</w:t>
      </w:r>
    </w:p>
    <w:p>
      <w:pPr>
        <w:pStyle w:val="yHeading3"/>
        <w:rPr>
          <w:rStyle w:val="CharSDivText"/>
        </w:rPr>
      </w:pPr>
      <w:bookmarkStart w:id="801" w:name="_Toc265743653"/>
      <w:r>
        <w:rPr>
          <w:rStyle w:val="CharSDivNo"/>
        </w:rPr>
        <w:t>Division 8</w:t>
      </w:r>
      <w:r>
        <w:rPr>
          <w:b w:val="0"/>
        </w:rPr>
        <w:t> — </w:t>
      </w:r>
      <w:r>
        <w:rPr>
          <w:rStyle w:val="CharSDivText"/>
        </w:rPr>
        <w:t>Computation of combined charges for country non</w:t>
      </w:r>
      <w:r>
        <w:rPr>
          <w:rStyle w:val="CharSDivText"/>
        </w:rPr>
        <w:noBreakHyphen/>
        <w:t>residential or commercial residential property</w:t>
      </w:r>
      <w:bookmarkEnd w:id="801"/>
    </w:p>
    <w:p>
      <w:pPr>
        <w:pStyle w:val="yFootnoteheading"/>
      </w:pPr>
      <w:r>
        <w:tab/>
        <w:t>[Heading inserted in Gazette 25 Jun 2010 p. 2954.]</w:t>
      </w:r>
    </w:p>
    <w:p>
      <w:pPr>
        <w:pStyle w:val="yHeading5"/>
      </w:pPr>
      <w:bookmarkStart w:id="802" w:name="_Toc265743654"/>
      <w:r>
        <w:t>36.</w:t>
      </w:r>
      <w:r>
        <w:tab/>
        <w:t>Formula for annual charge</w:t>
      </w:r>
      <w:bookmarkEnd w:id="802"/>
    </w:p>
    <w:p>
      <w:pPr>
        <w:pStyle w:val="ySubsection"/>
      </w:pPr>
      <w:r>
        <w:tab/>
      </w:r>
      <w:r>
        <w:tab/>
        <w:t xml:space="preserve">For the </w:t>
      </w:r>
      <w:r>
        <w:rPr>
          <w:spacing w:val="-1"/>
        </w:rPr>
        <w:t>purposes</w:t>
      </w:r>
      <w:r>
        <w:t xml:space="preserve"> of Division 7, the annual charge (</w:t>
      </w:r>
      <w:r>
        <w:rPr>
          <w:rStyle w:val="CharDefText"/>
        </w:rPr>
        <w:t>P</w:t>
      </w:r>
      <w:r>
        <w:t xml:space="preserve">) is calculated according to the following formula — </w:t>
      </w:r>
    </w:p>
    <w:p>
      <w:pPr>
        <w:pStyle w:val="ySubsection"/>
      </w:pPr>
      <w:r>
        <w:tab/>
      </w:r>
      <w:r>
        <w:tab/>
        <w:t xml:space="preserve">If </w:t>
      </w:r>
      <w:r>
        <w:rPr>
          <w:b/>
        </w:rPr>
        <w:t>A</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rPr>
          <w:b/>
        </w:rPr>
        <w:t>X</w:t>
      </w:r>
    </w:p>
    <w:p>
      <w:pPr>
        <w:pStyle w:val="ySubsection"/>
      </w:pPr>
      <w:r>
        <w:tab/>
      </w:r>
      <w:r>
        <w:tab/>
        <w:t xml:space="preserve">or if </w:t>
      </w:r>
      <w:r>
        <w:rPr>
          <w:b/>
        </w:rPr>
        <w:t>A</w:t>
      </w:r>
      <w:r>
        <w:t xml:space="preserve"> &gt; (</w:t>
      </w:r>
      <w:r>
        <w:rPr>
          <w:b/>
        </w:rPr>
        <w:t>C</w:t>
      </w:r>
      <w:r>
        <w:t xml:space="preserve"> + </w:t>
      </w:r>
      <w:r>
        <w:rPr>
          <w:b/>
        </w:rPr>
        <w:t>D</w:t>
      </w:r>
      <w:r>
        <w:t xml:space="preserve">), then — </w:t>
      </w:r>
    </w:p>
    <w:p>
      <w:pPr>
        <w:pStyle w:val="ySubsection"/>
      </w:pPr>
      <w:r>
        <w:tab/>
      </w:r>
      <w:r>
        <w:tab/>
      </w:r>
      <w:r>
        <w:rPr>
          <w:b/>
        </w:rPr>
        <w:t>A</w:t>
      </w:r>
      <w:r>
        <w:t xml:space="preserve"> – [{</w:t>
      </w:r>
      <w:r>
        <w:rPr>
          <w:b/>
        </w:rPr>
        <w:t xml:space="preserve">A </w:t>
      </w:r>
      <w:r>
        <w:t>– (</w:t>
      </w:r>
      <w:r>
        <w:rPr>
          <w:b/>
        </w:rPr>
        <w:t>C</w:t>
      </w:r>
      <w:r>
        <w:t xml:space="preserve"> + </w:t>
      </w:r>
      <w:r>
        <w:rPr>
          <w:b/>
        </w:rPr>
        <w:t>D</w:t>
      </w:r>
      <w:r>
        <w:t xml:space="preserve">)} / </w:t>
      </w:r>
      <w:r>
        <w:rPr>
          <w:b/>
        </w:rPr>
        <w:t>E</w:t>
      </w:r>
      <w:r>
        <w:t>]</w:t>
      </w:r>
    </w:p>
    <w:p>
      <w:pPr>
        <w:pStyle w:val="ySubsection"/>
      </w:pPr>
      <w:r>
        <w:tab/>
      </w:r>
      <w:r>
        <w:tab/>
        <w:t xml:space="preserve">where — </w:t>
      </w:r>
    </w:p>
    <w:p>
      <w:pPr>
        <w:pStyle w:val="yIndenta"/>
      </w:pPr>
      <w:r>
        <w:rPr>
          <w:b/>
        </w:rPr>
        <w:tab/>
        <w:t>A</w:t>
      </w:r>
      <w:r>
        <w:t xml:space="preserve"> =</w:t>
      </w:r>
      <w:r>
        <w:tab/>
        <w:t>the equivalent amount payable in the 2009/2010 year;</w:t>
      </w:r>
    </w:p>
    <w:p>
      <w:pPr>
        <w:pStyle w:val="yIndenta"/>
      </w:pPr>
      <w:r>
        <w:rPr>
          <w:b/>
        </w:rPr>
        <w:tab/>
        <w:t>C</w:t>
      </w:r>
      <w:r>
        <w:t xml:space="preserve"> =</w:t>
      </w:r>
      <w:r>
        <w:tab/>
        <w:t>the charge payable for the relevant number of major fixtures for the 2010/2011 year as set out in the Table;</w:t>
      </w:r>
    </w:p>
    <w:p>
      <w:pPr>
        <w:pStyle w:val="yIndenta"/>
      </w:pPr>
      <w:r>
        <w:rPr>
          <w:b/>
        </w:rPr>
        <w:tab/>
        <w:t>D</w:t>
      </w:r>
      <w:r>
        <w:t xml:space="preserve"> =</w:t>
      </w:r>
      <w:r>
        <w:tab/>
        <w:t>the ultimate discharge charge;</w:t>
      </w:r>
    </w:p>
    <w:p>
      <w:pPr>
        <w:pStyle w:val="yIndenta"/>
      </w:pPr>
      <w:r>
        <w:rPr>
          <w:b/>
        </w:rPr>
        <w:tab/>
        <w:t>E</w:t>
      </w:r>
      <w:r>
        <w:t xml:space="preserve"> =</w:t>
      </w:r>
      <w:r>
        <w:tab/>
        <w:t>1;</w:t>
      </w:r>
    </w:p>
    <w:p>
      <w:pPr>
        <w:pStyle w:val="yIndenta"/>
      </w:pPr>
      <w:r>
        <w:rPr>
          <w:b/>
        </w:rPr>
        <w:tab/>
        <w:t>X</w:t>
      </w:r>
      <w:r>
        <w:t xml:space="preserve"> =</w:t>
      </w:r>
      <w:r>
        <w:tab/>
        <w:t>the amount specified in relation to the 2010/2011 year for the relevant number of major fixtures as set out in the Table.</w:t>
      </w:r>
    </w:p>
    <w:tbl>
      <w:tblPr>
        <w:tblW w:w="0" w:type="auto"/>
        <w:tblInd w:w="952" w:type="dxa"/>
        <w:tblLayout w:type="fixed"/>
        <w:tblCellMar>
          <w:left w:w="70" w:type="dxa"/>
          <w:right w:w="70" w:type="dxa"/>
        </w:tblCellMar>
        <w:tblLook w:val="0000" w:firstRow="0" w:lastRow="0" w:firstColumn="0" w:lastColumn="0" w:noHBand="0" w:noVBand="0"/>
      </w:tblPr>
      <w:tblGrid>
        <w:gridCol w:w="2961"/>
        <w:gridCol w:w="2961"/>
      </w:tblGrid>
      <w:tr>
        <w:trPr>
          <w:cantSplit/>
          <w:tblHeader/>
        </w:trPr>
        <w:tc>
          <w:tcPr>
            <w:tcW w:w="5922" w:type="dxa"/>
            <w:gridSpan w:val="2"/>
          </w:tcPr>
          <w:p>
            <w:pPr>
              <w:pStyle w:val="zyTableNAm"/>
              <w:jc w:val="center"/>
              <w:rPr>
                <w:b/>
                <w:bCs/>
              </w:rPr>
            </w:pPr>
            <w:r>
              <w:rPr>
                <w:b/>
                <w:bCs/>
              </w:rPr>
              <w:t>Table of major fixture</w:t>
            </w:r>
            <w:r>
              <w:rPr>
                <w:b/>
                <w:bCs/>
              </w:rPr>
              <w:noBreakHyphen/>
              <w:t>based minimum charges</w:t>
            </w:r>
            <w:r>
              <w:rPr>
                <w:b/>
                <w:bCs/>
              </w:rPr>
              <w:br/>
              <w:t>(</w:t>
            </w:r>
            <w:r>
              <w:rPr>
                <w:b/>
                <w:bCs/>
                <w:iCs/>
              </w:rPr>
              <w:t>per fixture</w:t>
            </w:r>
            <w:r>
              <w:rPr>
                <w:b/>
                <w:bCs/>
              </w:rPr>
              <w:t>)</w:t>
            </w:r>
          </w:p>
        </w:tc>
      </w:tr>
      <w:tr>
        <w:tblPrEx>
          <w:tblCellMar>
            <w:left w:w="28" w:type="dxa"/>
            <w:right w:w="28" w:type="dxa"/>
          </w:tblCellMar>
        </w:tblPrEx>
        <w:trPr>
          <w:cantSplit/>
          <w:tblHeader/>
        </w:trPr>
        <w:tc>
          <w:tcPr>
            <w:tcW w:w="2961" w:type="dxa"/>
            <w:tcBorders>
              <w:top w:val="single" w:sz="4" w:space="0" w:color="auto"/>
              <w:bottom w:val="single" w:sz="4" w:space="0" w:color="auto"/>
            </w:tcBorders>
            <w:vAlign w:val="center"/>
          </w:tcPr>
          <w:p>
            <w:pPr>
              <w:pStyle w:val="zyTableNAm"/>
              <w:jc w:val="center"/>
              <w:rPr>
                <w:b/>
                <w:bCs/>
              </w:rPr>
            </w:pPr>
            <w:r>
              <w:rPr>
                <w:b/>
                <w:bCs/>
              </w:rPr>
              <w:t>No. of fixtures</w:t>
            </w:r>
          </w:p>
        </w:tc>
        <w:tc>
          <w:tcPr>
            <w:tcW w:w="2961" w:type="dxa"/>
            <w:tcBorders>
              <w:top w:val="single" w:sz="4" w:space="0" w:color="auto"/>
              <w:bottom w:val="single" w:sz="4" w:space="0" w:color="auto"/>
            </w:tcBorders>
          </w:tcPr>
          <w:p>
            <w:pPr>
              <w:pStyle w:val="zyTableNAm"/>
              <w:jc w:val="center"/>
              <w:rPr>
                <w:b/>
                <w:bCs/>
              </w:rPr>
            </w:pPr>
            <w:r>
              <w:rPr>
                <w:b/>
                <w:bCs/>
              </w:rPr>
              <w:t>Charges</w:t>
            </w:r>
            <w:r>
              <w:rPr>
                <w:b/>
                <w:bCs/>
              </w:rPr>
              <w:br/>
              <w:t>$</w:t>
            </w:r>
          </w:p>
        </w:tc>
      </w:tr>
      <w:tr>
        <w:tblPrEx>
          <w:tblCellMar>
            <w:left w:w="28" w:type="dxa"/>
            <w:right w:w="28" w:type="dxa"/>
          </w:tblCellMar>
        </w:tblPrEx>
        <w:trPr>
          <w:cantSplit/>
        </w:trPr>
        <w:tc>
          <w:tcPr>
            <w:tcW w:w="2961" w:type="dxa"/>
          </w:tcPr>
          <w:p>
            <w:pPr>
              <w:pStyle w:val="zyTableNAm"/>
              <w:jc w:val="center"/>
            </w:pPr>
            <w:r>
              <w:t>1</w:t>
            </w:r>
          </w:p>
        </w:tc>
        <w:tc>
          <w:tcPr>
            <w:tcW w:w="2961" w:type="dxa"/>
          </w:tcPr>
          <w:p>
            <w:pPr>
              <w:pStyle w:val="zyTableNAm"/>
              <w:jc w:val="center"/>
            </w:pPr>
            <w:r>
              <w:t>658.50</w:t>
            </w:r>
          </w:p>
        </w:tc>
      </w:tr>
      <w:tr>
        <w:tblPrEx>
          <w:tblCellMar>
            <w:left w:w="28" w:type="dxa"/>
            <w:right w:w="28" w:type="dxa"/>
          </w:tblCellMar>
        </w:tblPrEx>
        <w:trPr>
          <w:cantSplit/>
        </w:trPr>
        <w:tc>
          <w:tcPr>
            <w:tcW w:w="2961" w:type="dxa"/>
          </w:tcPr>
          <w:p>
            <w:pPr>
              <w:pStyle w:val="zyTableNAm"/>
              <w:jc w:val="center"/>
            </w:pPr>
            <w:r>
              <w:t>2</w:t>
            </w:r>
          </w:p>
        </w:tc>
        <w:tc>
          <w:tcPr>
            <w:tcW w:w="2961" w:type="dxa"/>
          </w:tcPr>
          <w:p>
            <w:pPr>
              <w:pStyle w:val="zyTableNAm"/>
              <w:jc w:val="center"/>
            </w:pPr>
            <w:r>
              <w:t>281.80</w:t>
            </w:r>
          </w:p>
        </w:tc>
      </w:tr>
      <w:tr>
        <w:tblPrEx>
          <w:tblCellMar>
            <w:left w:w="28" w:type="dxa"/>
            <w:right w:w="28" w:type="dxa"/>
          </w:tblCellMar>
        </w:tblPrEx>
        <w:trPr>
          <w:cantSplit/>
        </w:trPr>
        <w:tc>
          <w:tcPr>
            <w:tcW w:w="2961" w:type="dxa"/>
          </w:tcPr>
          <w:p>
            <w:pPr>
              <w:pStyle w:val="zyTableNAm"/>
              <w:jc w:val="center"/>
            </w:pPr>
            <w:r>
              <w:t>3</w:t>
            </w:r>
          </w:p>
        </w:tc>
        <w:tc>
          <w:tcPr>
            <w:tcW w:w="2961" w:type="dxa"/>
          </w:tcPr>
          <w:p>
            <w:pPr>
              <w:pStyle w:val="zyTableNAm"/>
              <w:jc w:val="center"/>
            </w:pPr>
            <w:r>
              <w:t>376.40</w:t>
            </w:r>
          </w:p>
        </w:tc>
      </w:tr>
      <w:tr>
        <w:tblPrEx>
          <w:tblCellMar>
            <w:left w:w="28" w:type="dxa"/>
            <w:right w:w="28" w:type="dxa"/>
          </w:tblCellMar>
        </w:tblPrEx>
        <w:trPr>
          <w:cantSplit/>
        </w:trPr>
        <w:tc>
          <w:tcPr>
            <w:tcW w:w="2961" w:type="dxa"/>
            <w:tcBorders>
              <w:bottom w:val="single" w:sz="4" w:space="0" w:color="auto"/>
            </w:tcBorders>
          </w:tcPr>
          <w:p>
            <w:pPr>
              <w:pStyle w:val="zyTableNAm"/>
              <w:jc w:val="center"/>
            </w:pPr>
            <w:r>
              <w:t>4+</w:t>
            </w:r>
          </w:p>
        </w:tc>
        <w:tc>
          <w:tcPr>
            <w:tcW w:w="2961" w:type="dxa"/>
            <w:tcBorders>
              <w:bottom w:val="single" w:sz="4" w:space="0" w:color="auto"/>
            </w:tcBorders>
          </w:tcPr>
          <w:p>
            <w:pPr>
              <w:pStyle w:val="zyTableNAm"/>
              <w:jc w:val="center"/>
            </w:pPr>
            <w:r>
              <w:t>409.30</w:t>
            </w:r>
          </w:p>
        </w:tc>
      </w:tr>
    </w:tbl>
    <w:p>
      <w:pPr>
        <w:pStyle w:val="yHeading5"/>
      </w:pPr>
      <w:bookmarkStart w:id="803" w:name="_Toc265743655"/>
      <w:r>
        <w:t>37.</w:t>
      </w:r>
      <w:r>
        <w:tab/>
        <w:t>Formula for quantity charge</w:t>
      </w:r>
      <w:bookmarkEnd w:id="803"/>
    </w:p>
    <w:p>
      <w:pPr>
        <w:pStyle w:val="ySubsection"/>
        <w:rPr>
          <w:snapToGrid w:val="0"/>
        </w:rPr>
      </w:pPr>
      <w:r>
        <w:rPr>
          <w:snapToGrid w:val="0"/>
        </w:rPr>
        <w:tab/>
      </w:r>
      <w:r>
        <w:rPr>
          <w:snapToGrid w:val="0"/>
        </w:rPr>
        <w:tab/>
        <w:t xml:space="preserve">For the purposes of </w:t>
      </w:r>
      <w:r>
        <w:rPr>
          <w:spacing w:val="-1"/>
        </w:rPr>
        <w:t>Division</w:t>
      </w:r>
      <w:r>
        <w:t> 7</w:t>
      </w:r>
      <w:r>
        <w:rPr>
          <w:snapToGrid w:val="0"/>
        </w:rPr>
        <w:t>, the quantity charge (</w:t>
      </w:r>
      <w:r>
        <w:rPr>
          <w:rStyle w:val="CharDefText"/>
        </w:rPr>
        <w:t>Q</w:t>
      </w:r>
      <w:r>
        <w:rPr>
          <w:snapToGrid w:val="0"/>
        </w:rPr>
        <w:t xml:space="preserve">) is calculated in accordance with the following formula —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Indenta"/>
      </w:pPr>
      <w:r>
        <w:rPr>
          <w:b/>
        </w:rPr>
        <w:tab/>
        <w:t>F</w:t>
      </w:r>
      <w:r>
        <w:t xml:space="preserve"> =</w:t>
      </w:r>
      <w:r>
        <w:tab/>
        <w:t>the volume of water delivered to the property in the 2010/2011 year;</w:t>
      </w:r>
    </w:p>
    <w:p>
      <w:pPr>
        <w:pStyle w:val="yIndenta"/>
      </w:pPr>
      <w:r>
        <w:rPr>
          <w:b/>
        </w:rPr>
        <w:tab/>
        <w:t>G</w:t>
      </w:r>
      <w:r>
        <w:t xml:space="preserve"> =</w:t>
      </w:r>
      <w:r>
        <w:tab/>
        <w:t>the discharge factor set for the property for the 2010/2011 year;</w:t>
      </w:r>
    </w:p>
    <w:p>
      <w:pPr>
        <w:pStyle w:val="yIndenta"/>
      </w:pPr>
      <w:r>
        <w:rPr>
          <w:b/>
        </w:rPr>
        <w:tab/>
        <w:t>H</w:t>
      </w:r>
      <w:r>
        <w:t xml:space="preserve"> =</w:t>
      </w:r>
      <w:r>
        <w:tab/>
        <w:t>the discharge allowance for the 2010/2011 year calculated in accordance with item 38;</w:t>
      </w:r>
    </w:p>
    <w:p>
      <w:pPr>
        <w:pStyle w:val="yIndenta"/>
      </w:pPr>
      <w:r>
        <w:rPr>
          <w:b/>
        </w:rPr>
        <w:tab/>
        <w:t>I</w:t>
      </w:r>
      <w:r>
        <w:t xml:space="preserve"> =</w:t>
      </w:r>
      <w:r>
        <w:tab/>
        <w:t>2.420,</w:t>
      </w:r>
    </w:p>
    <w:p>
      <w:pPr>
        <w:pStyle w:val="ySubsection"/>
      </w:pPr>
      <w:r>
        <w:tab/>
      </w:r>
      <w:r>
        <w:tab/>
        <w:t xml:space="preserve">and </w:t>
      </w:r>
      <w:r>
        <w:rPr>
          <w:snapToGrid w:val="0"/>
        </w:rPr>
        <w:t>where</w:t>
      </w:r>
      <w:r>
        <w:t xml:space="preserv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Heading5"/>
      </w:pPr>
      <w:bookmarkStart w:id="804" w:name="_Toc265743656"/>
      <w:r>
        <w:t>38.</w:t>
      </w:r>
      <w:r>
        <w:tab/>
        <w:t>Discharge allowance</w:t>
      </w:r>
      <w:bookmarkEnd w:id="804"/>
    </w:p>
    <w:p>
      <w:pPr>
        <w:pStyle w:val="ySubsection"/>
        <w:rPr>
          <w:snapToGrid w:val="0"/>
        </w:rPr>
      </w:pPr>
      <w:r>
        <w:rPr>
          <w:snapToGrid w:val="0"/>
        </w:rPr>
        <w:tab/>
      </w:r>
      <w:r>
        <w:rPr>
          <w:snapToGrid w:val="0"/>
        </w:rPr>
        <w:tab/>
        <w:t xml:space="preserve">For the purposes of item 37, the discharge allowance is — </w:t>
      </w:r>
    </w:p>
    <w:p>
      <w:pPr>
        <w:pStyle w:val="yIndenta"/>
        <w:rPr>
          <w:snapToGrid w:val="0"/>
        </w:rPr>
      </w:pPr>
      <w:r>
        <w:rPr>
          <w:snapToGrid w:val="0"/>
        </w:rPr>
        <w:tab/>
        <w:t>(a)</w:t>
      </w:r>
      <w:r>
        <w:rPr>
          <w:snapToGrid w:val="0"/>
        </w:rPr>
        <w:tab/>
        <w:t xml:space="preserve">for land to which item 35 applies that is not mentioned in paragraph (d), an amount of water in kilolitres calculated in accordance with the following formula — </w:t>
      </w:r>
    </w:p>
    <w:p>
      <w:pPr>
        <w:pStyle w:val="yIndenta"/>
      </w:pPr>
      <w:r>
        <w:tab/>
      </w:r>
      <w:r>
        <w:tab/>
        <w:t xml:space="preserve">If </w:t>
      </w:r>
      <w:r>
        <w:rPr>
          <w:b/>
        </w:rPr>
        <w:t>X</w:t>
      </w:r>
      <w:r>
        <w:t xml:space="preserve"> </w:t>
      </w:r>
      <w:r>
        <w:sym w:font="Symbol" w:char="F0A3"/>
      </w:r>
      <w:r>
        <w:t xml:space="preserve"> </w:t>
      </w:r>
      <w:r>
        <w:rPr>
          <w:b/>
        </w:rPr>
        <w:t>C</w:t>
      </w:r>
      <w:r>
        <w:t xml:space="preserve">, then — </w:t>
      </w:r>
    </w:p>
    <w:p>
      <w:pPr>
        <w:pStyle w:val="yIndenta"/>
        <w:rPr>
          <w:b/>
        </w:rPr>
      </w:pPr>
      <w:r>
        <w:rPr>
          <w:b/>
        </w:rPr>
        <w:tab/>
      </w:r>
      <w:r>
        <w:rPr>
          <w:b/>
        </w:rPr>
        <w:tab/>
        <w:t>L</w:t>
      </w:r>
    </w:p>
    <w:p>
      <w:pPr>
        <w:pStyle w:val="yIndenta"/>
      </w:pPr>
      <w:r>
        <w:tab/>
      </w:r>
      <w:r>
        <w:tab/>
      </w:r>
      <w:r>
        <w:rPr>
          <w:snapToGrid w:val="0"/>
        </w:rPr>
        <w:t>or</w:t>
      </w:r>
      <w:r>
        <w:t xml:space="preserve"> if </w:t>
      </w:r>
      <w:r>
        <w:rPr>
          <w:b/>
        </w:rPr>
        <w:t>X</w:t>
      </w:r>
      <w:r>
        <w:t xml:space="preserve"> &gt; </w:t>
      </w:r>
      <w:r>
        <w:rPr>
          <w:b/>
        </w:rPr>
        <w:t>C</w:t>
      </w:r>
      <w:r>
        <w:t xml:space="preserve">, then — </w:t>
      </w:r>
    </w:p>
    <w:p>
      <w:pPr>
        <w:pStyle w:val="yIndenta"/>
      </w:pPr>
      <w:r>
        <w:rPr>
          <w:b/>
        </w:rPr>
        <w:tab/>
      </w:r>
      <w:r>
        <w:rPr>
          <w:b/>
        </w:rPr>
        <w:tab/>
        <w:t>L</w:t>
      </w:r>
      <w:r>
        <w:t xml:space="preserve"> + [(</w:t>
      </w:r>
      <w:r>
        <w:rPr>
          <w:b/>
        </w:rPr>
        <w:t>X</w:t>
      </w:r>
      <w:r>
        <w:t xml:space="preserve"> – </w:t>
      </w:r>
      <w:r>
        <w:rPr>
          <w:b/>
        </w:rPr>
        <w:t>C</w:t>
      </w:r>
      <w:r>
        <w:t xml:space="preserve">) / </w:t>
      </w:r>
      <w:r>
        <w:rPr>
          <w:b/>
        </w:rPr>
        <w:t>K</w:t>
      </w:r>
      <w:r>
        <w:t>]</w:t>
      </w:r>
    </w:p>
    <w:p>
      <w:pPr>
        <w:pStyle w:val="yIndenta"/>
      </w:pPr>
      <w:r>
        <w:tab/>
      </w:r>
      <w:r>
        <w:tab/>
        <w:t xml:space="preserve">where — </w:t>
      </w:r>
    </w:p>
    <w:p>
      <w:pPr>
        <w:pStyle w:val="yIndenti0"/>
        <w:rPr>
          <w:snapToGrid w:val="0"/>
        </w:rPr>
      </w:pPr>
      <w:r>
        <w:rPr>
          <w:b/>
        </w:rPr>
        <w:tab/>
        <w:t>X</w:t>
      </w:r>
      <w:r>
        <w:t xml:space="preserve"> =</w:t>
      </w:r>
      <w:r>
        <w:tab/>
        <w:t xml:space="preserve">the annual charge for the 2010/2011 year calculated in </w:t>
      </w:r>
      <w:r>
        <w:rPr>
          <w:snapToGrid w:val="0"/>
        </w:rPr>
        <w:t>accordance with the formula in item 36;</w:t>
      </w:r>
    </w:p>
    <w:p>
      <w:pPr>
        <w:pStyle w:val="yIndenti0"/>
      </w:pPr>
      <w:r>
        <w:rPr>
          <w:b/>
        </w:rPr>
        <w:tab/>
        <w:t>L</w:t>
      </w:r>
      <w:r>
        <w:t xml:space="preserve"> =</w:t>
      </w:r>
      <w:r>
        <w:tab/>
        <w:t>200;</w:t>
      </w:r>
    </w:p>
    <w:p>
      <w:pPr>
        <w:pStyle w:val="yIndenti0"/>
        <w:rPr>
          <w:b/>
        </w:rPr>
      </w:pPr>
      <w:r>
        <w:rPr>
          <w:b/>
        </w:rPr>
        <w:tab/>
        <w:t>C</w:t>
      </w:r>
      <w:r>
        <w:t xml:space="preserve"> =</w:t>
      </w:r>
      <w:r>
        <w:tab/>
        <w:t xml:space="preserve">the charge payable for the relevant number of major fixtures for the 2010/2011 year as set out in the Table to item 36; </w:t>
      </w:r>
    </w:p>
    <w:p>
      <w:pPr>
        <w:pStyle w:val="yIndenti0"/>
      </w:pPr>
      <w:r>
        <w:rPr>
          <w:b/>
        </w:rPr>
        <w:tab/>
        <w:t>K</w:t>
      </w:r>
      <w:r>
        <w:t xml:space="preserve"> =</w:t>
      </w:r>
      <w:r>
        <w:tab/>
        <w:t>2.420;</w:t>
      </w:r>
    </w:p>
    <w:p>
      <w:pPr>
        <w:pStyle w:val="yIndenta"/>
      </w:pPr>
      <w:r>
        <w:tab/>
      </w:r>
      <w:r>
        <w:tab/>
        <w:t>and</w:t>
      </w:r>
    </w:p>
    <w:p>
      <w:pPr>
        <w:pStyle w:val="yIndenta"/>
        <w:rPr>
          <w:snapToGrid w:val="0"/>
        </w:rPr>
      </w:pPr>
      <w:r>
        <w:rPr>
          <w:snapToGrid w:val="0"/>
        </w:rPr>
        <w:tab/>
        <w:t>(b)</w:t>
      </w:r>
      <w:r>
        <w:rPr>
          <w:snapToGrid w:val="0"/>
        </w:rPr>
        <w:tab/>
        <w:t>for a caravan park referred to in item 32,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 xml:space="preserve">where — </w:t>
      </w:r>
    </w:p>
    <w:p>
      <w:pPr>
        <w:pStyle w:val="yIndenti0"/>
      </w:pPr>
      <w:r>
        <w:rPr>
          <w:b/>
        </w:rPr>
        <w:tab/>
        <w:t>L</w:t>
      </w:r>
      <w:r>
        <w:t xml:space="preserve"> =</w:t>
      </w:r>
      <w:r>
        <w:tab/>
        <w:t>200;</w:t>
      </w:r>
    </w:p>
    <w:p>
      <w:pPr>
        <w:pStyle w:val="yIndenti0"/>
      </w:pPr>
      <w:r>
        <w:rPr>
          <w:b/>
        </w:rPr>
        <w:tab/>
        <w:t>M</w:t>
      </w:r>
      <w:r>
        <w:t xml:space="preserve"> =</w:t>
      </w:r>
      <w:r>
        <w:tab/>
        <w:t>75 kL of water for each long</w:t>
      </w:r>
      <w:r>
        <w:noBreakHyphen/>
        <w:t>term residential caravan bay;</w:t>
      </w:r>
    </w:p>
    <w:p>
      <w:pPr>
        <w:pStyle w:val="yIndenta"/>
      </w:pPr>
      <w:r>
        <w:tab/>
      </w:r>
      <w:r>
        <w:tab/>
        <w:t>and</w:t>
      </w:r>
    </w:p>
    <w:p>
      <w:pPr>
        <w:pStyle w:val="yIndenta"/>
        <w:rPr>
          <w:snapToGrid w:val="0"/>
        </w:rPr>
      </w:pPr>
      <w:r>
        <w:rPr>
          <w:snapToGrid w:val="0"/>
        </w:rPr>
        <w:tab/>
        <w:t>(c)</w:t>
      </w:r>
      <w:r>
        <w:rPr>
          <w:snapToGrid w:val="0"/>
        </w:rPr>
        <w:tab/>
        <w:t>for a nursing home referred to in item 33, 75 kL of water per bed; and</w:t>
      </w:r>
    </w:p>
    <w:p>
      <w:pPr>
        <w:pStyle w:val="yIndenta"/>
        <w:rPr>
          <w:snapToGrid w:val="0"/>
        </w:rPr>
      </w:pPr>
      <w:r>
        <w:rPr>
          <w:snapToGrid w:val="0"/>
        </w:rPr>
        <w:tab/>
        <w:t>(d)</w:t>
      </w:r>
      <w:r>
        <w:rPr>
          <w:snapToGrid w:val="0"/>
        </w:rPr>
        <w:tab/>
        <w:t>for properties served through a common metered service, 200 kL of water for each property.</w:t>
      </w:r>
    </w:p>
    <w:p>
      <w:pPr>
        <w:pStyle w:val="yFootnotesection"/>
      </w:pPr>
      <w:r>
        <w:tab/>
        <w:t>[Division 8 inserted in Gazette 25 Jun 2010 p. 2954</w:t>
      </w:r>
      <w:r>
        <w:noBreakHyphen/>
        <w:t>6.]</w:t>
      </w:r>
    </w:p>
    <w:p>
      <w:pPr>
        <w:pStyle w:val="yScheduleHeading"/>
      </w:pPr>
      <w:bookmarkStart w:id="805" w:name="_Toc265743657"/>
      <w:bookmarkStart w:id="806" w:name="_Toc233448452"/>
      <w:bookmarkStart w:id="807" w:name="_Toc233611727"/>
      <w:bookmarkStart w:id="808" w:name="_Toc234730734"/>
      <w:bookmarkStart w:id="809" w:name="_Toc234733260"/>
      <w:bookmarkStart w:id="810" w:name="_Toc235863997"/>
      <w:bookmarkStart w:id="811" w:name="_Toc235933472"/>
      <w:bookmarkStart w:id="812" w:name="_Toc237164460"/>
      <w:bookmarkStart w:id="813" w:name="_Toc237244344"/>
      <w:bookmarkStart w:id="814" w:name="_Toc237245668"/>
      <w:bookmarkStart w:id="815" w:name="_Toc237245799"/>
      <w:bookmarkStart w:id="816" w:name="_Toc237247941"/>
      <w:bookmarkStart w:id="817" w:name="_Toc237254249"/>
      <w:bookmarkStart w:id="818" w:name="_Toc237309668"/>
      <w:bookmarkStart w:id="819" w:name="_Toc202506083"/>
      <w:bookmarkStart w:id="820" w:name="_Toc202672815"/>
      <w:bookmarkStart w:id="821" w:name="_Toc202691792"/>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r>
        <w:rPr>
          <w:rStyle w:val="CharSchNo"/>
        </w:rPr>
        <w:t>Schedule 4</w:t>
      </w:r>
      <w:r>
        <w:t> — </w:t>
      </w:r>
      <w:r>
        <w:rPr>
          <w:rStyle w:val="CharSchText"/>
        </w:rPr>
        <w:t>Charges for drainage for 2010/2011</w:t>
      </w:r>
      <w:bookmarkEnd w:id="805"/>
    </w:p>
    <w:p>
      <w:pPr>
        <w:pStyle w:val="yShoulderClause"/>
      </w:pPr>
      <w:r>
        <w:t>[bl. 27]</w:t>
      </w:r>
    </w:p>
    <w:p>
      <w:pPr>
        <w:pStyle w:val="yFootnoteheading"/>
      </w:pPr>
      <w:r>
        <w:tab/>
        <w:t>[Heading inserted in Gazette 25 Jun 2010 p. 2956.]</w:t>
      </w:r>
    </w:p>
    <w:p>
      <w:pPr>
        <w:pStyle w:val="yHeading3"/>
      </w:pPr>
      <w:bookmarkStart w:id="822" w:name="_Toc265743658"/>
      <w:r>
        <w:rPr>
          <w:rStyle w:val="CharSDivNo"/>
        </w:rPr>
        <w:t>Division 1</w:t>
      </w:r>
      <w:r>
        <w:rPr>
          <w:b w:val="0"/>
        </w:rPr>
        <w:t> — </w:t>
      </w:r>
      <w:r>
        <w:rPr>
          <w:rStyle w:val="CharSDivText"/>
        </w:rPr>
        <w:t>Fixed charges</w:t>
      </w:r>
      <w:bookmarkEnd w:id="822"/>
    </w:p>
    <w:p>
      <w:pPr>
        <w:pStyle w:val="yFootnoteheading"/>
      </w:pPr>
      <w:r>
        <w:tab/>
        <w:t>[Heading inserted in Gazette 25 Jun 2010 p. 2957.]</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Heading5"/>
              <w:tabs>
                <w:tab w:val="clear" w:pos="879"/>
              </w:tabs>
              <w:ind w:left="0" w:firstLine="0"/>
            </w:pPr>
            <w:bookmarkStart w:id="823" w:name="_Toc265743659"/>
            <w:r>
              <w:t>1.</w:t>
            </w:r>
            <w:bookmarkEnd w:id="823"/>
          </w:p>
        </w:tc>
        <w:tc>
          <w:tcPr>
            <w:tcW w:w="5670" w:type="dxa"/>
            <w:gridSpan w:val="2"/>
          </w:tcPr>
          <w:p>
            <w:pPr>
              <w:pStyle w:val="yHeading5"/>
              <w:tabs>
                <w:tab w:val="clear" w:pos="879"/>
              </w:tabs>
              <w:ind w:left="0" w:firstLine="0"/>
            </w:pPr>
            <w:bookmarkStart w:id="824" w:name="_Toc265743660"/>
            <w:r>
              <w:t>Strata</w:t>
            </w:r>
            <w:r>
              <w:noBreakHyphen/>
              <w:t>titled caravan bay</w:t>
            </w:r>
            <w:bookmarkEnd w:id="824"/>
          </w:p>
        </w:tc>
      </w:tr>
      <w:tr>
        <w:trPr>
          <w:cantSplit/>
        </w:trPr>
        <w:tc>
          <w:tcPr>
            <w:tcW w:w="850" w:type="dxa"/>
          </w:tcPr>
          <w:p>
            <w:pPr>
              <w:pStyle w:val="yTableNAm"/>
            </w:pPr>
          </w:p>
        </w:tc>
        <w:tc>
          <w:tcPr>
            <w:tcW w:w="4235" w:type="dxa"/>
          </w:tcPr>
          <w:p>
            <w:pPr>
              <w:pStyle w:val="yTableNAm"/>
              <w:tabs>
                <w:tab w:val="left" w:leader="dot" w:pos="4019"/>
              </w:tabs>
            </w:pPr>
            <w:r>
              <w:t xml:space="preserve">In respect of each residential property being a single caravan bay that is a lot within the meaning of the </w:t>
            </w:r>
            <w:r>
              <w:rPr>
                <w:i/>
              </w:rPr>
              <w:t>Strata Titles Act 1985</w:t>
            </w:r>
            <w:r>
              <w:t xml:space="preserve"> </w:t>
            </w:r>
            <w:r>
              <w:tab/>
            </w:r>
          </w:p>
        </w:tc>
        <w:tc>
          <w:tcPr>
            <w:tcW w:w="1435" w:type="dxa"/>
          </w:tcPr>
          <w:p>
            <w:pPr>
              <w:pStyle w:val="yTableNAm"/>
              <w:tabs>
                <w:tab w:val="left" w:leader="dot" w:pos="4019"/>
              </w:tabs>
              <w:rPr>
                <w:sz w:val="20"/>
              </w:rPr>
            </w:pPr>
            <w:r>
              <w:br/>
            </w:r>
            <w:r>
              <w:br/>
              <w:t>$25.00</w:t>
            </w:r>
          </w:p>
        </w:tc>
      </w:tr>
      <w:tr>
        <w:trPr>
          <w:cantSplit/>
        </w:trPr>
        <w:tc>
          <w:tcPr>
            <w:tcW w:w="850" w:type="dxa"/>
          </w:tcPr>
          <w:p>
            <w:pPr>
              <w:pStyle w:val="yHeading5"/>
              <w:tabs>
                <w:tab w:val="clear" w:pos="879"/>
              </w:tabs>
              <w:ind w:left="0" w:firstLine="0"/>
            </w:pPr>
            <w:bookmarkStart w:id="825" w:name="_Toc265743661"/>
            <w:r>
              <w:t>2.</w:t>
            </w:r>
            <w:bookmarkEnd w:id="825"/>
          </w:p>
        </w:tc>
        <w:tc>
          <w:tcPr>
            <w:tcW w:w="5670" w:type="dxa"/>
            <w:gridSpan w:val="2"/>
          </w:tcPr>
          <w:p>
            <w:pPr>
              <w:pStyle w:val="yHeading5"/>
              <w:tabs>
                <w:tab w:val="clear" w:pos="879"/>
              </w:tabs>
              <w:ind w:left="0" w:firstLine="0"/>
            </w:pPr>
            <w:bookmarkStart w:id="826" w:name="_Toc265743662"/>
            <w:r>
              <w:t>Strata</w:t>
            </w:r>
            <w:r>
              <w:noBreakHyphen/>
              <w:t>titled storage unit and strata</w:t>
            </w:r>
            <w:r>
              <w:noBreakHyphen/>
              <w:t>titled parking bay</w:t>
            </w:r>
            <w:bookmarkEnd w:id="826"/>
          </w:p>
        </w:tc>
      </w:tr>
      <w:tr>
        <w:trPr>
          <w:cantSplit/>
        </w:trPr>
        <w:tc>
          <w:tcPr>
            <w:tcW w:w="850" w:type="dxa"/>
          </w:tcPr>
          <w:p>
            <w:pPr>
              <w:pStyle w:val="yTableNAm"/>
            </w:pPr>
          </w:p>
        </w:tc>
        <w:tc>
          <w:tcPr>
            <w:tcW w:w="4235" w:type="dxa"/>
          </w:tcPr>
          <w:p>
            <w:pPr>
              <w:pStyle w:val="yTableNAm"/>
              <w:tabs>
                <w:tab w:val="left" w:leader="dot" w:pos="4019"/>
              </w:tabs>
              <w:rPr>
                <w:iCs/>
              </w:rPr>
            </w:pPr>
            <w:r>
              <w:t xml:space="preserve">In respect of land comprised in a unit used for storage purposes or as a parking bay that is a lot within the meaning of the </w:t>
            </w:r>
            <w:r>
              <w:rPr>
                <w:i/>
                <w:iCs/>
              </w:rPr>
              <w:t>Strata Titles Act 1985</w:t>
            </w:r>
            <w:r>
              <w:t xml:space="preserve"> </w:t>
            </w:r>
            <w:r>
              <w:tab/>
            </w:r>
          </w:p>
        </w:tc>
        <w:tc>
          <w:tcPr>
            <w:tcW w:w="1435" w:type="dxa"/>
          </w:tcPr>
          <w:p>
            <w:pPr>
              <w:pStyle w:val="yTableNAm"/>
              <w:tabs>
                <w:tab w:val="left" w:leader="dot" w:pos="4019"/>
              </w:tabs>
            </w:pPr>
            <w:r>
              <w:br/>
            </w:r>
            <w:r>
              <w:br/>
            </w:r>
            <w:r>
              <w:br/>
              <w:t>$9.30</w:t>
            </w:r>
          </w:p>
        </w:tc>
      </w:tr>
    </w:tbl>
    <w:p>
      <w:pPr>
        <w:pStyle w:val="yFootnotesection"/>
      </w:pPr>
      <w:r>
        <w:tab/>
        <w:t>[Division 1 inserted in Gazette 25 Jun 2010 p. 2957.]</w:t>
      </w:r>
    </w:p>
    <w:p>
      <w:pPr>
        <w:pStyle w:val="yHeading3"/>
      </w:pPr>
      <w:bookmarkStart w:id="827" w:name="_Toc265743663"/>
      <w:r>
        <w:rPr>
          <w:rStyle w:val="CharSDivNo"/>
        </w:rPr>
        <w:t>Division 2</w:t>
      </w:r>
      <w:r>
        <w:rPr>
          <w:b w:val="0"/>
        </w:rPr>
        <w:t> — </w:t>
      </w:r>
      <w:r>
        <w:rPr>
          <w:rStyle w:val="CharSDivText"/>
        </w:rPr>
        <w:t>Charges by way of rate</w:t>
      </w:r>
      <w:bookmarkEnd w:id="827"/>
    </w:p>
    <w:p>
      <w:pPr>
        <w:pStyle w:val="yFootnoteheading"/>
      </w:pPr>
      <w:r>
        <w:tab/>
        <w:t>[Heading inserted in Gazette 25 Jun 2010 p. 2957.]</w:t>
      </w:r>
    </w:p>
    <w:tbl>
      <w:tblPr>
        <w:tblW w:w="0" w:type="auto"/>
        <w:tblInd w:w="534" w:type="dxa"/>
        <w:tblLook w:val="0000" w:firstRow="0" w:lastRow="0" w:firstColumn="0" w:lastColumn="0" w:noHBand="0" w:noVBand="0"/>
      </w:tblPr>
      <w:tblGrid>
        <w:gridCol w:w="850"/>
        <w:gridCol w:w="4236"/>
        <w:gridCol w:w="1434"/>
      </w:tblGrid>
      <w:tr>
        <w:trPr>
          <w:cantSplit/>
        </w:trPr>
        <w:tc>
          <w:tcPr>
            <w:tcW w:w="850" w:type="dxa"/>
          </w:tcPr>
          <w:p>
            <w:pPr>
              <w:pStyle w:val="yHeading5"/>
              <w:tabs>
                <w:tab w:val="clear" w:pos="879"/>
              </w:tabs>
              <w:ind w:left="0" w:firstLine="0"/>
            </w:pPr>
            <w:bookmarkStart w:id="828" w:name="_Toc265743664"/>
            <w:r>
              <w:t>3.</w:t>
            </w:r>
            <w:bookmarkEnd w:id="828"/>
          </w:p>
        </w:tc>
        <w:tc>
          <w:tcPr>
            <w:tcW w:w="5670" w:type="dxa"/>
            <w:gridSpan w:val="2"/>
          </w:tcPr>
          <w:p>
            <w:pPr>
              <w:pStyle w:val="yHeading5"/>
              <w:tabs>
                <w:tab w:val="clear" w:pos="879"/>
              </w:tabs>
              <w:ind w:left="0" w:firstLine="0"/>
            </w:pPr>
            <w:bookmarkStart w:id="829" w:name="_Toc265743665"/>
            <w:r>
              <w:t>Land in a drainage area as referred to in by</w:t>
            </w:r>
            <w:r>
              <w:noBreakHyphen/>
              <w:t>law 27 classified as residential or semi</w:t>
            </w:r>
            <w:r>
              <w:noBreakHyphen/>
              <w:t>rural residential</w:t>
            </w:r>
            <w:bookmarkEnd w:id="829"/>
          </w:p>
        </w:tc>
      </w:tr>
      <w:tr>
        <w:trPr>
          <w:cantSplit/>
        </w:trPr>
        <w:tc>
          <w:tcPr>
            <w:tcW w:w="850" w:type="dxa"/>
          </w:tcPr>
          <w:p>
            <w:pPr>
              <w:pStyle w:val="yTableNAm"/>
              <w:tabs>
                <w:tab w:val="left" w:leader="dot" w:pos="4019"/>
              </w:tabs>
            </w:pPr>
          </w:p>
        </w:tc>
        <w:tc>
          <w:tcPr>
            <w:tcW w:w="4236" w:type="dxa"/>
          </w:tcPr>
          <w:p>
            <w:pPr>
              <w:pStyle w:val="yTableNAm"/>
              <w:tabs>
                <w:tab w:val="left" w:leader="dot" w:pos="4019"/>
              </w:tabs>
            </w:pPr>
            <w:r>
              <w:t>In respect of all land in a drainage area as referred to in by</w:t>
            </w:r>
            <w:r>
              <w:noBreakHyphen/>
              <w:t>law 27 that is classified as residential or semi</w:t>
            </w:r>
            <w:r>
              <w:noBreakHyphen/>
              <w:t xml:space="preserve">rural residential land </w:t>
            </w:r>
            <w:r>
              <w:tab/>
            </w:r>
          </w:p>
        </w:tc>
        <w:tc>
          <w:tcPr>
            <w:tcW w:w="1434" w:type="dxa"/>
          </w:tcPr>
          <w:p>
            <w:pPr>
              <w:pStyle w:val="yTableNAm"/>
              <w:tabs>
                <w:tab w:val="left" w:leader="dot" w:pos="4019"/>
              </w:tabs>
            </w:pPr>
            <w:r>
              <w:br/>
            </w:r>
            <w:r>
              <w:br/>
              <w:t>0.791 cents/$ of GRV</w:t>
            </w:r>
          </w:p>
        </w:tc>
      </w:tr>
      <w:tr>
        <w:trPr>
          <w:cantSplit/>
        </w:trPr>
        <w:tc>
          <w:tcPr>
            <w:tcW w:w="850" w:type="dxa"/>
          </w:tcPr>
          <w:p>
            <w:pPr>
              <w:pStyle w:val="yTableNAm"/>
              <w:tabs>
                <w:tab w:val="left" w:leader="dot" w:pos="4019"/>
              </w:tabs>
            </w:pPr>
          </w:p>
        </w:tc>
        <w:tc>
          <w:tcPr>
            <w:tcW w:w="4236" w:type="dxa"/>
          </w:tcPr>
          <w:p>
            <w:pPr>
              <w:pStyle w:val="yTableNAm"/>
              <w:tabs>
                <w:tab w:val="left" w:leader="dot" w:pos="4019"/>
              </w:tabs>
            </w:pPr>
            <w:r>
              <w:t xml:space="preserve">subject to a minimum in respect of any land the subject of a separate assessment of </w:t>
            </w:r>
            <w:r>
              <w:tab/>
            </w:r>
          </w:p>
        </w:tc>
        <w:tc>
          <w:tcPr>
            <w:tcW w:w="1434" w:type="dxa"/>
          </w:tcPr>
          <w:p>
            <w:pPr>
              <w:pStyle w:val="yTableNAm"/>
              <w:tabs>
                <w:tab w:val="left" w:leader="dot" w:pos="4019"/>
              </w:tabs>
            </w:pPr>
            <w:r>
              <w:br/>
              <w:t>$75.45</w:t>
            </w:r>
          </w:p>
        </w:tc>
      </w:tr>
      <w:tr>
        <w:trPr>
          <w:cantSplit/>
        </w:trPr>
        <w:tc>
          <w:tcPr>
            <w:tcW w:w="850" w:type="dxa"/>
          </w:tcPr>
          <w:p>
            <w:pPr>
              <w:pStyle w:val="yHeading5"/>
              <w:tabs>
                <w:tab w:val="clear" w:pos="879"/>
              </w:tabs>
              <w:ind w:left="0" w:firstLine="0"/>
            </w:pPr>
            <w:bookmarkStart w:id="830" w:name="_Toc265743666"/>
            <w:r>
              <w:t>4.</w:t>
            </w:r>
            <w:bookmarkEnd w:id="830"/>
          </w:p>
        </w:tc>
        <w:tc>
          <w:tcPr>
            <w:tcW w:w="5670" w:type="dxa"/>
            <w:gridSpan w:val="2"/>
          </w:tcPr>
          <w:p>
            <w:pPr>
              <w:pStyle w:val="yHeading5"/>
              <w:tabs>
                <w:tab w:val="clear" w:pos="879"/>
              </w:tabs>
              <w:ind w:left="0" w:firstLine="0"/>
            </w:pPr>
            <w:bookmarkStart w:id="831" w:name="_Toc265743667"/>
            <w:r>
              <w:t>Land in a drainage area classified as vacant land</w:t>
            </w:r>
            <w:bookmarkEnd w:id="831"/>
          </w:p>
        </w:tc>
      </w:tr>
      <w:tr>
        <w:trPr>
          <w:cantSplit/>
        </w:trPr>
        <w:tc>
          <w:tcPr>
            <w:tcW w:w="850" w:type="dxa"/>
          </w:tcPr>
          <w:p>
            <w:pPr>
              <w:pStyle w:val="yTableNAm"/>
              <w:tabs>
                <w:tab w:val="left" w:leader="dot" w:pos="4019"/>
              </w:tabs>
            </w:pPr>
          </w:p>
        </w:tc>
        <w:tc>
          <w:tcPr>
            <w:tcW w:w="4236" w:type="dxa"/>
          </w:tcPr>
          <w:p>
            <w:pPr>
              <w:pStyle w:val="yTableNAm"/>
              <w:tabs>
                <w:tab w:val="left" w:leader="dot" w:pos="4019"/>
              </w:tabs>
            </w:pPr>
            <w:r>
              <w:t xml:space="preserve">In respect of all land in a drainage area classified as vacant land </w:t>
            </w:r>
            <w:r>
              <w:tab/>
            </w:r>
          </w:p>
        </w:tc>
        <w:tc>
          <w:tcPr>
            <w:tcW w:w="1434" w:type="dxa"/>
          </w:tcPr>
          <w:p>
            <w:pPr>
              <w:pStyle w:val="yTableNAm"/>
              <w:tabs>
                <w:tab w:val="left" w:leader="dot" w:pos="4019"/>
              </w:tabs>
            </w:pPr>
            <w:r>
              <w:br/>
              <w:t>0.633 cents/$ of GRV</w:t>
            </w:r>
          </w:p>
        </w:tc>
      </w:tr>
      <w:tr>
        <w:trPr>
          <w:cantSplit/>
        </w:trPr>
        <w:tc>
          <w:tcPr>
            <w:tcW w:w="850" w:type="dxa"/>
          </w:tcPr>
          <w:p>
            <w:pPr>
              <w:pStyle w:val="yTableNAm"/>
              <w:tabs>
                <w:tab w:val="left" w:leader="dot" w:pos="4019"/>
              </w:tabs>
            </w:pPr>
          </w:p>
        </w:tc>
        <w:tc>
          <w:tcPr>
            <w:tcW w:w="4236" w:type="dxa"/>
          </w:tcPr>
          <w:p>
            <w:pPr>
              <w:pStyle w:val="yTableNAm"/>
              <w:tabs>
                <w:tab w:val="left" w:leader="dot" w:pos="4019"/>
              </w:tabs>
            </w:pPr>
            <w:r>
              <w:t xml:space="preserve">subject to a minimum in respect of any land the subject of a separate assessment of </w:t>
            </w:r>
            <w:r>
              <w:tab/>
            </w:r>
          </w:p>
        </w:tc>
        <w:tc>
          <w:tcPr>
            <w:tcW w:w="1434" w:type="dxa"/>
          </w:tcPr>
          <w:p>
            <w:pPr>
              <w:pStyle w:val="yTableNAm"/>
              <w:tabs>
                <w:tab w:val="left" w:leader="dot" w:pos="4019"/>
              </w:tabs>
            </w:pPr>
            <w:r>
              <w:br/>
              <w:t>$75.45</w:t>
            </w:r>
          </w:p>
        </w:tc>
      </w:tr>
      <w:tr>
        <w:trPr>
          <w:cantSplit/>
        </w:trPr>
        <w:tc>
          <w:tcPr>
            <w:tcW w:w="850" w:type="dxa"/>
          </w:tcPr>
          <w:p>
            <w:pPr>
              <w:pStyle w:val="yHeading5"/>
              <w:tabs>
                <w:tab w:val="clear" w:pos="879"/>
              </w:tabs>
              <w:ind w:left="0" w:firstLine="0"/>
            </w:pPr>
            <w:bookmarkStart w:id="832" w:name="_Toc265743668"/>
            <w:r>
              <w:t>5.</w:t>
            </w:r>
            <w:bookmarkEnd w:id="832"/>
          </w:p>
        </w:tc>
        <w:tc>
          <w:tcPr>
            <w:tcW w:w="5670" w:type="dxa"/>
            <w:gridSpan w:val="2"/>
          </w:tcPr>
          <w:p>
            <w:pPr>
              <w:pStyle w:val="yHeading5"/>
              <w:tabs>
                <w:tab w:val="clear" w:pos="879"/>
              </w:tabs>
              <w:ind w:left="0" w:firstLine="0"/>
            </w:pPr>
            <w:bookmarkStart w:id="833" w:name="_Toc265743669"/>
            <w:r>
              <w:t>Land in a drainage area as referred to in by</w:t>
            </w:r>
            <w:r>
              <w:noBreakHyphen/>
              <w:t>law 27 other than land to which item 1, 2, 3 or 4 applies</w:t>
            </w:r>
            <w:bookmarkEnd w:id="833"/>
          </w:p>
        </w:tc>
      </w:tr>
      <w:tr>
        <w:trPr>
          <w:cantSplit/>
        </w:trPr>
        <w:tc>
          <w:tcPr>
            <w:tcW w:w="850" w:type="dxa"/>
          </w:tcPr>
          <w:p>
            <w:pPr>
              <w:pStyle w:val="yTableNAm"/>
              <w:tabs>
                <w:tab w:val="left" w:leader="dot" w:pos="4019"/>
              </w:tabs>
            </w:pPr>
          </w:p>
        </w:tc>
        <w:tc>
          <w:tcPr>
            <w:tcW w:w="4236" w:type="dxa"/>
          </w:tcPr>
          <w:p>
            <w:pPr>
              <w:pStyle w:val="yTableNAm"/>
              <w:tabs>
                <w:tab w:val="left" w:leader="dot" w:pos="4019"/>
              </w:tabs>
            </w:pPr>
            <w:r>
              <w:t>In respect of all land in a drainage area as referred to in by</w:t>
            </w:r>
            <w:r>
              <w:noBreakHyphen/>
              <w:t xml:space="preserve">law 27 other than land to which item 1, 2, 3 or 4 applies </w:t>
            </w:r>
            <w:r>
              <w:tab/>
            </w:r>
          </w:p>
        </w:tc>
        <w:tc>
          <w:tcPr>
            <w:tcW w:w="1434" w:type="dxa"/>
          </w:tcPr>
          <w:p>
            <w:pPr>
              <w:pStyle w:val="yTableNAm"/>
              <w:tabs>
                <w:tab w:val="left" w:leader="dot" w:pos="4019"/>
              </w:tabs>
            </w:pPr>
            <w:r>
              <w:br/>
            </w:r>
            <w:r>
              <w:br/>
              <w:t>0.349 cents/$ of GRV</w:t>
            </w:r>
          </w:p>
        </w:tc>
      </w:tr>
      <w:tr>
        <w:trPr>
          <w:cantSplit/>
        </w:trPr>
        <w:tc>
          <w:tcPr>
            <w:tcW w:w="850" w:type="dxa"/>
          </w:tcPr>
          <w:p>
            <w:pPr>
              <w:pStyle w:val="yTableNAm"/>
              <w:tabs>
                <w:tab w:val="left" w:leader="dot" w:pos="4019"/>
              </w:tabs>
            </w:pPr>
          </w:p>
        </w:tc>
        <w:tc>
          <w:tcPr>
            <w:tcW w:w="4236" w:type="dxa"/>
          </w:tcPr>
          <w:p>
            <w:pPr>
              <w:pStyle w:val="yTableNAm"/>
              <w:tabs>
                <w:tab w:val="left" w:leader="dot" w:pos="4019"/>
              </w:tabs>
            </w:pPr>
            <w:r>
              <w:t xml:space="preserve">subject to a minimum in respect of any land the subject of a separate assessment of </w:t>
            </w:r>
            <w:r>
              <w:tab/>
            </w:r>
          </w:p>
        </w:tc>
        <w:tc>
          <w:tcPr>
            <w:tcW w:w="1434" w:type="dxa"/>
          </w:tcPr>
          <w:p>
            <w:pPr>
              <w:pStyle w:val="yTableNAm"/>
              <w:tabs>
                <w:tab w:val="left" w:leader="dot" w:pos="4019"/>
              </w:tabs>
            </w:pPr>
            <w:r>
              <w:br/>
              <w:t>$75.45</w:t>
            </w:r>
          </w:p>
        </w:tc>
      </w:tr>
    </w:tbl>
    <w:p>
      <w:pPr>
        <w:pStyle w:val="yFootnotesection"/>
      </w:pPr>
      <w:r>
        <w:tab/>
        <w:t>[Division 2 inserted in Gazette 25 Jun 2010 p. 2957</w:t>
      </w:r>
      <w:r>
        <w:noBreakHyphen/>
        <w:t>8.]</w:t>
      </w:r>
    </w:p>
    <w:p>
      <w:pPr>
        <w:pStyle w:val="yScheduleHeading"/>
      </w:pPr>
      <w:bookmarkStart w:id="834" w:name="_Toc265743670"/>
      <w:bookmarkStart w:id="835" w:name="_Toc233448453"/>
      <w:bookmarkStart w:id="836" w:name="_Toc233611728"/>
      <w:bookmarkStart w:id="837" w:name="_Toc234730735"/>
      <w:bookmarkStart w:id="838" w:name="_Toc234733261"/>
      <w:bookmarkStart w:id="839" w:name="_Toc235863998"/>
      <w:bookmarkStart w:id="840" w:name="_Toc235933473"/>
      <w:bookmarkStart w:id="841" w:name="_Toc237164461"/>
      <w:bookmarkStart w:id="842" w:name="_Toc237244345"/>
      <w:bookmarkStart w:id="843" w:name="_Toc237245669"/>
      <w:bookmarkStart w:id="844" w:name="_Toc237245800"/>
      <w:bookmarkStart w:id="845" w:name="_Toc237247942"/>
      <w:bookmarkStart w:id="846" w:name="_Toc237254251"/>
      <w:bookmarkStart w:id="847" w:name="_Toc237309670"/>
      <w:bookmarkEnd w:id="806"/>
      <w:bookmarkEnd w:id="807"/>
      <w:bookmarkEnd w:id="808"/>
      <w:bookmarkEnd w:id="809"/>
      <w:bookmarkEnd w:id="810"/>
      <w:bookmarkEnd w:id="811"/>
      <w:bookmarkEnd w:id="812"/>
      <w:bookmarkEnd w:id="813"/>
      <w:bookmarkEnd w:id="814"/>
      <w:bookmarkEnd w:id="815"/>
      <w:bookmarkEnd w:id="816"/>
      <w:bookmarkEnd w:id="817"/>
      <w:bookmarkEnd w:id="818"/>
      <w:r>
        <w:rPr>
          <w:rStyle w:val="CharSchNo"/>
        </w:rPr>
        <w:t>Schedule 5</w:t>
      </w:r>
      <w:r>
        <w:t> — </w:t>
      </w:r>
      <w:r>
        <w:rPr>
          <w:rStyle w:val="CharSchText"/>
        </w:rPr>
        <w:t>Charges for irrigation for 2010/2011</w:t>
      </w:r>
      <w:bookmarkEnd w:id="834"/>
    </w:p>
    <w:p>
      <w:pPr>
        <w:pStyle w:val="yShoulderClause"/>
      </w:pPr>
      <w:r>
        <w:t>[bl. 31]</w:t>
      </w:r>
    </w:p>
    <w:p>
      <w:pPr>
        <w:pStyle w:val="yFootnoteheading"/>
      </w:pPr>
      <w:r>
        <w:tab/>
        <w:t>[Heading inserted in Gazette 25 Jun 2010 p. 2958.]</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Heading5"/>
              <w:tabs>
                <w:tab w:val="clear" w:pos="879"/>
              </w:tabs>
              <w:ind w:left="0" w:firstLine="0"/>
            </w:pPr>
            <w:bookmarkStart w:id="848" w:name="_Toc265743671"/>
            <w:bookmarkStart w:id="849" w:name="_Toc164221061"/>
            <w:r>
              <w:t>1.</w:t>
            </w:r>
            <w:bookmarkEnd w:id="848"/>
          </w:p>
        </w:tc>
        <w:tc>
          <w:tcPr>
            <w:tcW w:w="5670" w:type="dxa"/>
            <w:gridSpan w:val="2"/>
          </w:tcPr>
          <w:p>
            <w:pPr>
              <w:pStyle w:val="yHeading5"/>
              <w:tabs>
                <w:tab w:val="clear" w:pos="879"/>
              </w:tabs>
              <w:ind w:left="0" w:firstLine="0"/>
            </w:pPr>
            <w:bookmarkStart w:id="850" w:name="_Toc265743672"/>
            <w:r>
              <w:t>Ord Irrigation District</w:t>
            </w:r>
            <w:bookmarkEnd w:id="850"/>
          </w:p>
        </w:tc>
      </w:tr>
      <w:tr>
        <w:trPr>
          <w:cantSplit/>
        </w:trPr>
        <w:tc>
          <w:tcPr>
            <w:tcW w:w="850" w:type="dxa"/>
          </w:tcPr>
          <w:p>
            <w:pPr>
              <w:pStyle w:val="yTableNAm"/>
              <w:tabs>
                <w:tab w:val="left" w:leader="dot" w:pos="4019"/>
              </w:tabs>
            </w:pPr>
          </w:p>
        </w:tc>
        <w:tc>
          <w:tcPr>
            <w:tcW w:w="4235" w:type="dxa"/>
          </w:tcPr>
          <w:p>
            <w:pPr>
              <w:pStyle w:val="yTableNAm"/>
              <w:tabs>
                <w:tab w:val="left" w:leader="dot" w:pos="4019"/>
              </w:tabs>
            </w:pPr>
            <w:r>
              <w:t xml:space="preserve">Charges by way of rate for land in the Ord Irrigation District where under the </w:t>
            </w:r>
            <w:r>
              <w:rPr>
                <w:i/>
                <w:iCs/>
              </w:rPr>
              <w:t>Ord Irrigation District By</w:t>
            </w:r>
            <w:r>
              <w:rPr>
                <w:i/>
                <w:iCs/>
              </w:rPr>
              <w:noBreakHyphen/>
              <w:t>laws 1963</w:t>
            </w:r>
            <w:r>
              <w:t xml:space="preserve"> by</w:t>
            </w:r>
            <w:r>
              <w:noBreakHyphen/>
              <w:t>law 31A, the land is irrigated by pumping from works, an amount per hectare of land so irrigated of —</w:t>
            </w:r>
          </w:p>
        </w:tc>
        <w:tc>
          <w:tcPr>
            <w:tcW w:w="1435" w:type="dxa"/>
          </w:tcPr>
          <w:p>
            <w:pPr>
              <w:pStyle w:val="yTableNAm"/>
              <w:tabs>
                <w:tab w:val="left" w:leader="dot" w:pos="4019"/>
              </w:tabs>
            </w:pPr>
          </w:p>
        </w:tc>
      </w:tr>
      <w:tr>
        <w:trPr>
          <w:cantSplit/>
        </w:trPr>
        <w:tc>
          <w:tcPr>
            <w:tcW w:w="850" w:type="dxa"/>
          </w:tcPr>
          <w:p>
            <w:pPr>
              <w:pStyle w:val="yTableNAm"/>
              <w:tabs>
                <w:tab w:val="left" w:leader="dot" w:pos="4019"/>
              </w:tabs>
            </w:pPr>
          </w:p>
        </w:tc>
        <w:tc>
          <w:tcPr>
            <w:tcW w:w="4235" w:type="dxa"/>
          </w:tcPr>
          <w:p>
            <w:pPr>
              <w:pStyle w:val="yTableNAm"/>
              <w:tabs>
                <w:tab w:val="clear" w:pos="567"/>
                <w:tab w:val="left" w:pos="416"/>
                <w:tab w:val="left" w:pos="896"/>
                <w:tab w:val="left" w:leader="dot" w:pos="4584"/>
              </w:tabs>
              <w:ind w:left="896" w:hanging="896"/>
            </w:pPr>
            <w:r>
              <w:tab/>
              <w:t>(a)</w:t>
            </w:r>
            <w:r>
              <w:tab/>
              <w:t xml:space="preserve">where the supply is assured </w:t>
            </w:r>
            <w:r>
              <w:tab/>
            </w:r>
          </w:p>
        </w:tc>
        <w:tc>
          <w:tcPr>
            <w:tcW w:w="1435" w:type="dxa"/>
          </w:tcPr>
          <w:p>
            <w:pPr>
              <w:pStyle w:val="yTableNAm"/>
              <w:tabs>
                <w:tab w:val="left" w:leader="dot" w:pos="4019"/>
              </w:tabs>
            </w:pPr>
            <w:r>
              <w:t>$130.00</w:t>
            </w:r>
          </w:p>
        </w:tc>
      </w:tr>
      <w:tr>
        <w:trPr>
          <w:cantSplit/>
        </w:trPr>
        <w:tc>
          <w:tcPr>
            <w:tcW w:w="850" w:type="dxa"/>
          </w:tcPr>
          <w:p>
            <w:pPr>
              <w:pStyle w:val="yTableNAm"/>
              <w:tabs>
                <w:tab w:val="left" w:leader="dot" w:pos="4019"/>
              </w:tabs>
            </w:pPr>
          </w:p>
        </w:tc>
        <w:tc>
          <w:tcPr>
            <w:tcW w:w="4235" w:type="dxa"/>
          </w:tcPr>
          <w:p>
            <w:pPr>
              <w:pStyle w:val="yTableNAm"/>
              <w:tabs>
                <w:tab w:val="clear" w:pos="567"/>
                <w:tab w:val="left" w:pos="416"/>
                <w:tab w:val="left" w:pos="896"/>
                <w:tab w:val="left" w:leader="dot" w:pos="4584"/>
              </w:tabs>
              <w:ind w:left="896" w:hanging="896"/>
            </w:pPr>
            <w:r>
              <w:tab/>
              <w:t>(b)</w:t>
            </w:r>
            <w:r>
              <w:tab/>
              <w:t xml:space="preserve">where the supply is not assured </w:t>
            </w:r>
            <w:r>
              <w:tab/>
            </w:r>
          </w:p>
        </w:tc>
        <w:tc>
          <w:tcPr>
            <w:tcW w:w="1435" w:type="dxa"/>
          </w:tcPr>
          <w:p>
            <w:pPr>
              <w:pStyle w:val="yTableNAm"/>
              <w:tabs>
                <w:tab w:val="left" w:leader="dot" w:pos="4019"/>
              </w:tabs>
            </w:pPr>
            <w:r>
              <w:t>$98.50</w:t>
            </w:r>
          </w:p>
        </w:tc>
      </w:tr>
    </w:tbl>
    <w:bookmarkEnd w:id="849"/>
    <w:p>
      <w:pPr>
        <w:pStyle w:val="yFootnotesection"/>
      </w:pPr>
      <w:r>
        <w:tab/>
        <w:t>[Schedule 5 inserted in Gazette 25 Jun 2010 p. 2958.]</w:t>
      </w:r>
    </w:p>
    <w:p>
      <w:pPr>
        <w:pStyle w:val="yScheduleHeading"/>
        <w:outlineLvl w:val="0"/>
      </w:pPr>
      <w:bookmarkStart w:id="851" w:name="_Toc265743673"/>
      <w:r>
        <w:rPr>
          <w:rStyle w:val="CharSchNo"/>
        </w:rPr>
        <w:t>Schedule 6</w:t>
      </w:r>
      <w:r>
        <w:t xml:space="preserve"> — </w:t>
      </w:r>
      <w:r>
        <w:rPr>
          <w:rStyle w:val="CharSchText"/>
        </w:rPr>
        <w:t>Formula for calculating AGRV</w:t>
      </w:r>
      <w:bookmarkEnd w:id="555"/>
      <w:bookmarkEnd w:id="556"/>
      <w:bookmarkEnd w:id="557"/>
      <w:bookmarkEnd w:id="558"/>
      <w:bookmarkEnd w:id="559"/>
      <w:bookmarkEnd w:id="560"/>
      <w:bookmarkEnd w:id="690"/>
      <w:bookmarkEnd w:id="691"/>
      <w:bookmarkEnd w:id="692"/>
      <w:bookmarkEnd w:id="693"/>
      <w:bookmarkEnd w:id="694"/>
      <w:bookmarkEnd w:id="695"/>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819"/>
      <w:bookmarkEnd w:id="820"/>
      <w:bookmarkEnd w:id="821"/>
      <w:bookmarkEnd w:id="835"/>
      <w:bookmarkEnd w:id="836"/>
      <w:bookmarkEnd w:id="837"/>
      <w:bookmarkEnd w:id="838"/>
      <w:bookmarkEnd w:id="839"/>
      <w:bookmarkEnd w:id="840"/>
      <w:bookmarkEnd w:id="841"/>
      <w:bookmarkEnd w:id="842"/>
      <w:bookmarkEnd w:id="843"/>
      <w:bookmarkEnd w:id="844"/>
      <w:bookmarkEnd w:id="845"/>
      <w:bookmarkEnd w:id="846"/>
      <w:bookmarkEnd w:id="847"/>
      <w:bookmarkEnd w:id="851"/>
    </w:p>
    <w:p>
      <w:pPr>
        <w:pStyle w:val="yShoulderClause"/>
      </w:pPr>
      <w:r>
        <w:t>[bl. 14(2) and 24(2)]</w:t>
      </w:r>
    </w:p>
    <w:p>
      <w:pPr>
        <w:pStyle w:val="yFootnotesection"/>
      </w:pPr>
      <w:bookmarkStart w:id="852" w:name="_Toc17278766"/>
      <w:r>
        <w:tab/>
        <w:t>[Heading inserted in Gazette 29 Jun 2001 p. 3224.]</w:t>
      </w:r>
    </w:p>
    <w:p>
      <w:pPr>
        <w:pStyle w:val="yHeading5"/>
      </w:pPr>
      <w:bookmarkStart w:id="853" w:name="_Toc180204903"/>
      <w:bookmarkStart w:id="854" w:name="_Toc265743674"/>
      <w:r>
        <w:t>1.</w:t>
      </w:r>
      <w:r>
        <w:tab/>
      </w:r>
      <w:bookmarkEnd w:id="852"/>
      <w:r>
        <w:t>Term used</w:t>
      </w:r>
      <w:bookmarkEnd w:id="853"/>
      <w:r>
        <w:t>: relevant general valuation</w:t>
      </w:r>
      <w:bookmarkEnd w:id="854"/>
    </w:p>
    <w:p>
      <w:pPr>
        <w:pStyle w:val="ySubsection"/>
      </w:pPr>
      <w:r>
        <w:tab/>
      </w:r>
      <w:r>
        <w:tab/>
        <w:t>In this Schedule —</w:t>
      </w:r>
    </w:p>
    <w:p>
      <w:pPr>
        <w:pStyle w:val="yDefstart"/>
      </w:pPr>
      <w:r>
        <w:tab/>
      </w:r>
      <w:r>
        <w:rPr>
          <w:rStyle w:val="CharDefText"/>
        </w:rPr>
        <w:t>relevant general valuation</w:t>
      </w:r>
      <w:r>
        <w:t xml:space="preserve">, in relation to a charge in respect of land, means the last general valuation under the </w:t>
      </w:r>
      <w:r>
        <w:rPr>
          <w:i/>
        </w:rPr>
        <w:t>Valuation of Land Act 1978</w:t>
      </w:r>
      <w:r>
        <w:t xml:space="preserve"> pursuant to which a value was assigned to that land and that —</w:t>
      </w:r>
    </w:p>
    <w:p>
      <w:pPr>
        <w:pStyle w:val="yDefpara"/>
      </w:pPr>
      <w:r>
        <w:tab/>
        <w:t>(a)</w:t>
      </w:r>
      <w:r>
        <w:tab/>
        <w:t>was expressed by a notice under section 21 or 22 of that Act to come into force; and</w:t>
      </w:r>
    </w:p>
    <w:p>
      <w:pPr>
        <w:pStyle w:val="yDefpara"/>
      </w:pPr>
      <w:r>
        <w:tab/>
        <w:t>(b)</w:t>
      </w:r>
      <w:r>
        <w:tab/>
        <w:t>came into force for the purposes of this Act,</w:t>
      </w:r>
    </w:p>
    <w:p>
      <w:pPr>
        <w:pStyle w:val="yDefstart"/>
      </w:pPr>
      <w:r>
        <w:tab/>
        <w:t>before the commencement of the period for which the charge is to be imposed.</w:t>
      </w:r>
    </w:p>
    <w:p>
      <w:pPr>
        <w:pStyle w:val="yHeading5"/>
      </w:pPr>
      <w:bookmarkStart w:id="855" w:name="_Toc17278767"/>
      <w:bookmarkStart w:id="856" w:name="_Toc180204904"/>
      <w:bookmarkStart w:id="857" w:name="_Toc265743675"/>
      <w:r>
        <w:t>2.</w:t>
      </w:r>
      <w:r>
        <w:tab/>
        <w:t>Formula for calculating AGRV</w:t>
      </w:r>
      <w:bookmarkEnd w:id="855"/>
      <w:bookmarkEnd w:id="856"/>
      <w:bookmarkEnd w:id="857"/>
    </w:p>
    <w:p>
      <w:pPr>
        <w:pStyle w:val="ySubsection"/>
      </w:pPr>
      <w:r>
        <w:tab/>
      </w:r>
      <w:r>
        <w:tab/>
        <w:t>If the relevant general valuation was conducted in the previous year, then —</w:t>
      </w:r>
    </w:p>
    <w:p>
      <w:pPr>
        <w:pStyle w:val="ySubsection"/>
        <w:rPr>
          <w:b/>
          <w:bCs/>
        </w:rPr>
      </w:pPr>
      <w:r>
        <w:tab/>
      </w:r>
      <w:r>
        <w:tab/>
      </w:r>
      <w:r>
        <w:rPr>
          <w:b/>
          <w:bCs/>
        </w:rPr>
        <w:t xml:space="preserve">AGRV = GRV </w:t>
      </w:r>
      <w:r>
        <w:rPr>
          <w:b/>
          <w:bCs/>
        </w:rPr>
        <w:sym w:font="Symbol" w:char="F0B4"/>
      </w:r>
      <w:r>
        <w:rPr>
          <w:b/>
          <w:bCs/>
        </w:rPr>
        <w:t xml:space="preserve"> A</w:t>
      </w:r>
    </w:p>
    <w:p>
      <w:pPr>
        <w:pStyle w:val="ySubsection"/>
      </w:pPr>
      <w:r>
        <w:tab/>
      </w:r>
      <w:r>
        <w:tab/>
        <w:t>or if the relevant general valuation was conducted in any earlier year —</w:t>
      </w:r>
    </w:p>
    <w:p>
      <w:pPr>
        <w:pStyle w:val="ySubsection"/>
        <w:rPr>
          <w:b/>
          <w:bCs/>
        </w:rPr>
      </w:pPr>
      <w:r>
        <w:tab/>
      </w:r>
      <w:r>
        <w:tab/>
      </w:r>
      <w:r>
        <w:rPr>
          <w:b/>
          <w:bCs/>
        </w:rPr>
        <w:t xml:space="preserve">AGRV = GRV </w:t>
      </w:r>
      <w:r>
        <w:rPr>
          <w:b/>
          <w:bCs/>
        </w:rPr>
        <w:sym w:font="Symbol" w:char="F0B4"/>
      </w:r>
      <w:r>
        <w:rPr>
          <w:b/>
          <w:bCs/>
        </w:rPr>
        <w:t xml:space="preserve"> A </w:t>
      </w:r>
      <w:r>
        <w:rPr>
          <w:b/>
          <w:bCs/>
        </w:rPr>
        <w:sym w:font="Symbol" w:char="F0B4"/>
      </w:r>
      <w:r>
        <w:rPr>
          <w:b/>
          <w:bCs/>
        </w:rPr>
        <w:t xml:space="preserve"> B</w:t>
      </w:r>
    </w:p>
    <w:p>
      <w:pPr>
        <w:pStyle w:val="ySubsection"/>
      </w:pPr>
      <w:r>
        <w:tab/>
      </w:r>
      <w:r>
        <w:tab/>
        <w:t>where —</w:t>
      </w:r>
    </w:p>
    <w:p>
      <w:pPr>
        <w:pStyle w:val="yIndenta"/>
      </w:pPr>
      <w:r>
        <w:rPr>
          <w:b/>
        </w:rPr>
        <w:tab/>
        <w:t xml:space="preserve">A  </w:t>
      </w:r>
      <w:r>
        <w:t>=</w:t>
      </w:r>
      <w:r>
        <w:tab/>
        <w:t>1.00; and</w:t>
      </w:r>
    </w:p>
    <w:p>
      <w:pPr>
        <w:pStyle w:val="yIndenta"/>
      </w:pPr>
      <w:r>
        <w:rPr>
          <w:b/>
        </w:rPr>
        <w:tab/>
        <w:t>B</w:t>
      </w:r>
      <w:r>
        <w:t xml:space="preserve">  =</w:t>
      </w:r>
      <w:r>
        <w:tab/>
        <w:t>the product of the values of “</w:t>
      </w:r>
      <w:r>
        <w:rPr>
          <w:b/>
        </w:rPr>
        <w:t>A</w:t>
      </w:r>
      <w:r>
        <w:t>” prescribed for each year after the year in which the relevant general valuation was conducted, up to but not including the previous year as defined in by</w:t>
      </w:r>
      <w:r>
        <w:noBreakHyphen/>
        <w:t>law 2(1).</w:t>
      </w:r>
    </w:p>
    <w:p>
      <w:pPr>
        <w:pStyle w:val="yFootnotesection"/>
      </w:pPr>
      <w:r>
        <w:tab/>
        <w:t>[Schedule 6, formerly Schedule 5, inserted in Gazette 29 Jun 1999 p. 2822</w:t>
      </w:r>
      <w:r>
        <w:noBreakHyphen/>
        <w:t>3; amended in Gazette 29 Jun 2000 p. 3357; 29 Jun 2001 p. 3224.]</w:t>
      </w:r>
    </w:p>
    <w:p>
      <w:pPr>
        <w:pStyle w:val="yScheduleHeading"/>
      </w:pPr>
      <w:bookmarkStart w:id="858" w:name="_Toc265743676"/>
      <w:bookmarkStart w:id="859" w:name="_Toc233448460"/>
      <w:bookmarkStart w:id="860" w:name="_Toc233611732"/>
      <w:bookmarkStart w:id="861" w:name="_Toc234730739"/>
      <w:bookmarkStart w:id="862" w:name="_Toc234733265"/>
      <w:bookmarkStart w:id="863" w:name="_Toc235864002"/>
      <w:bookmarkStart w:id="864" w:name="_Toc235933477"/>
      <w:bookmarkStart w:id="865" w:name="_Toc237164465"/>
      <w:bookmarkStart w:id="866" w:name="_Toc237244349"/>
      <w:bookmarkStart w:id="867" w:name="_Toc237245673"/>
      <w:bookmarkStart w:id="868" w:name="_Toc237245804"/>
      <w:bookmarkStart w:id="869" w:name="_Toc237247946"/>
      <w:bookmarkStart w:id="870" w:name="_Toc237254260"/>
      <w:bookmarkStart w:id="871" w:name="_Toc237309679"/>
      <w:bookmarkStart w:id="872" w:name="_Toc139771109"/>
      <w:bookmarkStart w:id="873" w:name="_Toc139771487"/>
      <w:bookmarkStart w:id="874" w:name="_Toc151191702"/>
      <w:bookmarkStart w:id="875" w:name="_Toc151260595"/>
      <w:bookmarkStart w:id="876" w:name="_Toc164158702"/>
      <w:bookmarkStart w:id="877" w:name="_Toc164221074"/>
      <w:r>
        <w:rPr>
          <w:rStyle w:val="CharSchNo"/>
        </w:rPr>
        <w:t>Schedule 7</w:t>
      </w:r>
      <w:r>
        <w:t> — </w:t>
      </w:r>
      <w:r>
        <w:rPr>
          <w:rStyle w:val="CharSchText"/>
        </w:rPr>
        <w:t>Discounts and additional charges</w:t>
      </w:r>
      <w:bookmarkEnd w:id="858"/>
    </w:p>
    <w:p>
      <w:pPr>
        <w:pStyle w:val="yShoulderClause"/>
      </w:pPr>
      <w:r>
        <w:t>[bl. 7, 8, 8A, 9]</w:t>
      </w:r>
    </w:p>
    <w:p>
      <w:pPr>
        <w:pStyle w:val="yFootnoteheading"/>
      </w:pPr>
      <w:r>
        <w:tab/>
        <w:t>[Heading inserted in Gazette 25 Jun 2010 p. 2958.]</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Heading5"/>
              <w:tabs>
                <w:tab w:val="clear" w:pos="879"/>
              </w:tabs>
              <w:ind w:left="0" w:firstLine="0"/>
            </w:pPr>
            <w:bookmarkStart w:id="878" w:name="_Toc265743677"/>
            <w:bookmarkStart w:id="879" w:name="_Toc164221066"/>
            <w:r>
              <w:t>1.</w:t>
            </w:r>
            <w:bookmarkEnd w:id="878"/>
          </w:p>
        </w:tc>
        <w:tc>
          <w:tcPr>
            <w:tcW w:w="5670" w:type="dxa"/>
            <w:gridSpan w:val="2"/>
          </w:tcPr>
          <w:p>
            <w:pPr>
              <w:pStyle w:val="yHeading5"/>
              <w:tabs>
                <w:tab w:val="clear" w:pos="879"/>
              </w:tabs>
              <w:ind w:left="0" w:firstLine="0"/>
            </w:pPr>
            <w:bookmarkStart w:id="880" w:name="_Toc265743678"/>
            <w:r>
              <w:t>Discount</w:t>
            </w:r>
            <w:bookmarkEnd w:id="880"/>
          </w:p>
        </w:tc>
      </w:tr>
      <w:tr>
        <w:tc>
          <w:tcPr>
            <w:tcW w:w="850" w:type="dxa"/>
          </w:tcPr>
          <w:p>
            <w:pPr>
              <w:pStyle w:val="yTableNAm"/>
              <w:tabs>
                <w:tab w:val="clear" w:pos="567"/>
                <w:tab w:val="left" w:pos="416"/>
                <w:tab w:val="left" w:pos="896"/>
                <w:tab w:val="left" w:leader="dot" w:pos="4584"/>
              </w:tabs>
              <w:ind w:left="896" w:hanging="896"/>
            </w:pPr>
          </w:p>
        </w:tc>
        <w:tc>
          <w:tcPr>
            <w:tcW w:w="4235" w:type="dxa"/>
          </w:tcPr>
          <w:p>
            <w:pPr>
              <w:pStyle w:val="yTableNAm"/>
              <w:tabs>
                <w:tab w:val="clear" w:pos="567"/>
                <w:tab w:val="left" w:pos="416"/>
                <w:tab w:val="left" w:pos="896"/>
                <w:tab w:val="left" w:leader="dot" w:pos="4584"/>
              </w:tabs>
              <w:ind w:left="896" w:hanging="896"/>
            </w:pPr>
            <w:r>
              <w:t>By</w:t>
            </w:r>
            <w:r>
              <w:noBreakHyphen/>
              <w:t xml:space="preserve">law 7(4)(a)(i) </w:t>
            </w:r>
            <w:r>
              <w:tab/>
            </w:r>
          </w:p>
        </w:tc>
        <w:tc>
          <w:tcPr>
            <w:tcW w:w="1435" w:type="dxa"/>
          </w:tcPr>
          <w:p>
            <w:pPr>
              <w:pStyle w:val="yTableNAm"/>
              <w:tabs>
                <w:tab w:val="clear" w:pos="567"/>
                <w:tab w:val="left" w:pos="416"/>
                <w:tab w:val="left" w:pos="896"/>
                <w:tab w:val="left" w:leader="dot" w:pos="4584"/>
              </w:tabs>
              <w:ind w:left="896" w:hanging="896"/>
            </w:pPr>
            <w:r>
              <w:t>$1.50</w:t>
            </w:r>
          </w:p>
        </w:tc>
      </w:tr>
      <w:tr>
        <w:tc>
          <w:tcPr>
            <w:tcW w:w="850" w:type="dxa"/>
          </w:tcPr>
          <w:p>
            <w:pPr>
              <w:pStyle w:val="yHeading5"/>
              <w:tabs>
                <w:tab w:val="clear" w:pos="879"/>
              </w:tabs>
              <w:ind w:left="0" w:firstLine="0"/>
            </w:pPr>
            <w:bookmarkStart w:id="881" w:name="_Toc265743679"/>
            <w:r>
              <w:t>2.</w:t>
            </w:r>
            <w:bookmarkEnd w:id="881"/>
          </w:p>
        </w:tc>
        <w:tc>
          <w:tcPr>
            <w:tcW w:w="4235" w:type="dxa"/>
          </w:tcPr>
          <w:p>
            <w:pPr>
              <w:pStyle w:val="yHeading5"/>
              <w:tabs>
                <w:tab w:val="clear" w:pos="879"/>
              </w:tabs>
              <w:ind w:left="0" w:firstLine="0"/>
            </w:pPr>
            <w:bookmarkStart w:id="882" w:name="_Toc265743680"/>
            <w:r>
              <w:t>Additional charges</w:t>
            </w:r>
            <w:bookmarkEnd w:id="882"/>
          </w:p>
        </w:tc>
        <w:tc>
          <w:tcPr>
            <w:tcW w:w="1435" w:type="dxa"/>
          </w:tcPr>
          <w:p>
            <w:pPr>
              <w:pStyle w:val="yHeading5"/>
              <w:tabs>
                <w:tab w:val="clear" w:pos="879"/>
              </w:tabs>
              <w:ind w:left="0" w:firstLine="0"/>
            </w:pPr>
          </w:p>
        </w:tc>
      </w:tr>
      <w:tr>
        <w:tc>
          <w:tcPr>
            <w:tcW w:w="850" w:type="dxa"/>
          </w:tcPr>
          <w:p>
            <w:pPr>
              <w:pStyle w:val="yTableNAm"/>
              <w:tabs>
                <w:tab w:val="clear" w:pos="567"/>
                <w:tab w:val="left" w:pos="416"/>
                <w:tab w:val="left" w:pos="896"/>
                <w:tab w:val="left" w:leader="dot" w:pos="4584"/>
              </w:tabs>
              <w:ind w:left="896" w:hanging="896"/>
            </w:pPr>
          </w:p>
        </w:tc>
        <w:tc>
          <w:tcPr>
            <w:tcW w:w="4235" w:type="dxa"/>
          </w:tcPr>
          <w:p>
            <w:pPr>
              <w:pStyle w:val="yTableNAm"/>
              <w:tabs>
                <w:tab w:val="clear" w:pos="567"/>
                <w:tab w:val="left" w:pos="416"/>
                <w:tab w:val="left" w:pos="896"/>
                <w:tab w:val="left" w:leader="dot" w:pos="4584"/>
              </w:tabs>
              <w:ind w:left="896" w:hanging="896"/>
            </w:pPr>
            <w:r>
              <w:t>By</w:t>
            </w:r>
            <w:r>
              <w:noBreakHyphen/>
              <w:t xml:space="preserve">law 7(4)(b)(i) </w:t>
            </w:r>
            <w:r>
              <w:tab/>
            </w:r>
          </w:p>
        </w:tc>
        <w:tc>
          <w:tcPr>
            <w:tcW w:w="1435" w:type="dxa"/>
          </w:tcPr>
          <w:p>
            <w:pPr>
              <w:pStyle w:val="yTableNAm"/>
              <w:tabs>
                <w:tab w:val="clear" w:pos="567"/>
                <w:tab w:val="left" w:pos="416"/>
                <w:tab w:val="left" w:pos="896"/>
                <w:tab w:val="left" w:leader="dot" w:pos="4584"/>
              </w:tabs>
              <w:ind w:left="896" w:hanging="896"/>
            </w:pPr>
            <w:r>
              <w:t>$3.00</w:t>
            </w:r>
          </w:p>
        </w:tc>
      </w:tr>
      <w:tr>
        <w:tc>
          <w:tcPr>
            <w:tcW w:w="850" w:type="dxa"/>
          </w:tcPr>
          <w:p>
            <w:pPr>
              <w:pStyle w:val="yHeading5"/>
              <w:tabs>
                <w:tab w:val="clear" w:pos="879"/>
              </w:tabs>
              <w:ind w:left="0" w:firstLine="0"/>
              <w:rPr>
                <w:rStyle w:val="CharSClsNo"/>
              </w:rPr>
            </w:pPr>
            <w:bookmarkStart w:id="883" w:name="_Toc265743681"/>
            <w:r>
              <w:t>3.</w:t>
            </w:r>
            <w:bookmarkEnd w:id="883"/>
          </w:p>
        </w:tc>
        <w:tc>
          <w:tcPr>
            <w:tcW w:w="4235" w:type="dxa"/>
          </w:tcPr>
          <w:p>
            <w:pPr>
              <w:pStyle w:val="yHeading5"/>
              <w:tabs>
                <w:tab w:val="clear" w:pos="879"/>
              </w:tabs>
              <w:ind w:left="0" w:firstLine="0"/>
            </w:pPr>
            <w:bookmarkStart w:id="884" w:name="_Toc265743682"/>
            <w:r>
              <w:t>Rates of interest</w:t>
            </w:r>
            <w:bookmarkEnd w:id="884"/>
          </w:p>
        </w:tc>
        <w:tc>
          <w:tcPr>
            <w:tcW w:w="1435" w:type="dxa"/>
          </w:tcPr>
          <w:p>
            <w:pPr>
              <w:pStyle w:val="yHeading5"/>
              <w:tabs>
                <w:tab w:val="clear" w:pos="879"/>
              </w:tabs>
              <w:ind w:left="0" w:firstLine="0"/>
            </w:pPr>
          </w:p>
        </w:tc>
      </w:tr>
      <w:tr>
        <w:tc>
          <w:tcPr>
            <w:tcW w:w="850" w:type="dxa"/>
          </w:tcPr>
          <w:p>
            <w:pPr>
              <w:pStyle w:val="zyTableNAm"/>
            </w:pPr>
          </w:p>
        </w:tc>
        <w:tc>
          <w:tcPr>
            <w:tcW w:w="4235" w:type="dxa"/>
          </w:tcPr>
          <w:p>
            <w:pPr>
              <w:pStyle w:val="yTableNAm"/>
              <w:tabs>
                <w:tab w:val="clear" w:pos="567"/>
                <w:tab w:val="left" w:pos="416"/>
                <w:tab w:val="left" w:pos="896"/>
                <w:tab w:val="left" w:leader="dot" w:pos="4584"/>
              </w:tabs>
              <w:ind w:left="896" w:hanging="896"/>
            </w:pPr>
            <w:r>
              <w:t>By</w:t>
            </w:r>
            <w:r>
              <w:noBreakHyphen/>
              <w:t xml:space="preserve">law 7(4)(a)(ii) </w:t>
            </w:r>
            <w:r>
              <w:tab/>
            </w:r>
          </w:p>
        </w:tc>
        <w:tc>
          <w:tcPr>
            <w:tcW w:w="1435" w:type="dxa"/>
          </w:tcPr>
          <w:p>
            <w:pPr>
              <w:pStyle w:val="yTableNAm"/>
              <w:tabs>
                <w:tab w:val="clear" w:pos="567"/>
                <w:tab w:val="left" w:pos="416"/>
                <w:tab w:val="left" w:leader="dot" w:pos="4584"/>
              </w:tabs>
            </w:pPr>
            <w:r>
              <w:t>3.91% per annum</w:t>
            </w:r>
          </w:p>
        </w:tc>
      </w:tr>
      <w:tr>
        <w:tc>
          <w:tcPr>
            <w:tcW w:w="850" w:type="dxa"/>
          </w:tcPr>
          <w:p>
            <w:pPr>
              <w:pStyle w:val="yTableNAm"/>
              <w:tabs>
                <w:tab w:val="clear" w:pos="567"/>
                <w:tab w:val="left" w:pos="416"/>
                <w:tab w:val="left" w:pos="896"/>
                <w:tab w:val="left" w:leader="dot" w:pos="4584"/>
              </w:tabs>
              <w:ind w:left="896" w:hanging="896"/>
            </w:pPr>
          </w:p>
        </w:tc>
        <w:tc>
          <w:tcPr>
            <w:tcW w:w="4235" w:type="dxa"/>
          </w:tcPr>
          <w:p>
            <w:pPr>
              <w:pStyle w:val="yTableNAm"/>
              <w:tabs>
                <w:tab w:val="clear" w:pos="567"/>
                <w:tab w:val="left" w:pos="416"/>
                <w:tab w:val="left" w:pos="896"/>
                <w:tab w:val="left" w:leader="dot" w:pos="4584"/>
              </w:tabs>
              <w:ind w:left="896" w:hanging="896"/>
            </w:pPr>
            <w:r>
              <w:t>By</w:t>
            </w:r>
            <w:r>
              <w:noBreakHyphen/>
              <w:t xml:space="preserve">law 7(4)(b)(ii) </w:t>
            </w:r>
            <w:r>
              <w:tab/>
            </w:r>
          </w:p>
        </w:tc>
        <w:tc>
          <w:tcPr>
            <w:tcW w:w="1435" w:type="dxa"/>
          </w:tcPr>
          <w:p>
            <w:pPr>
              <w:pStyle w:val="yTableNAm"/>
              <w:tabs>
                <w:tab w:val="clear" w:pos="567"/>
                <w:tab w:val="left" w:pos="416"/>
                <w:tab w:val="left" w:leader="dot" w:pos="4584"/>
              </w:tabs>
            </w:pPr>
            <w:r>
              <w:t>4.91% per annum</w:t>
            </w:r>
          </w:p>
        </w:tc>
      </w:tr>
      <w:tr>
        <w:tc>
          <w:tcPr>
            <w:tcW w:w="850" w:type="dxa"/>
          </w:tcPr>
          <w:p>
            <w:pPr>
              <w:pStyle w:val="yHeading5"/>
              <w:tabs>
                <w:tab w:val="clear" w:pos="879"/>
              </w:tabs>
              <w:ind w:left="0" w:firstLine="0"/>
            </w:pPr>
            <w:bookmarkStart w:id="885" w:name="_Toc265743683"/>
            <w:r>
              <w:t>4.</w:t>
            </w:r>
            <w:bookmarkEnd w:id="885"/>
          </w:p>
        </w:tc>
        <w:tc>
          <w:tcPr>
            <w:tcW w:w="4235" w:type="dxa"/>
          </w:tcPr>
          <w:p>
            <w:pPr>
              <w:pStyle w:val="yHeading5"/>
              <w:tabs>
                <w:tab w:val="clear" w:pos="879"/>
              </w:tabs>
              <w:ind w:left="0" w:firstLine="0"/>
            </w:pPr>
            <w:bookmarkStart w:id="886" w:name="_Toc265743684"/>
            <w:r>
              <w:t>Concession (by</w:t>
            </w:r>
            <w:r>
              <w:noBreakHyphen/>
              <w:t>law 8A(2))</w:t>
            </w:r>
            <w:bookmarkEnd w:id="886"/>
          </w:p>
        </w:tc>
        <w:tc>
          <w:tcPr>
            <w:tcW w:w="1435" w:type="dxa"/>
          </w:tcPr>
          <w:p>
            <w:pPr>
              <w:pStyle w:val="yHeading5"/>
              <w:tabs>
                <w:tab w:val="clear" w:pos="879"/>
              </w:tabs>
              <w:ind w:left="0" w:firstLine="0"/>
            </w:pPr>
          </w:p>
        </w:tc>
      </w:tr>
      <w:tr>
        <w:tc>
          <w:tcPr>
            <w:tcW w:w="850" w:type="dxa"/>
          </w:tcPr>
          <w:p>
            <w:pPr>
              <w:pStyle w:val="yTableNAm"/>
              <w:tabs>
                <w:tab w:val="clear" w:pos="567"/>
                <w:tab w:val="left" w:pos="416"/>
                <w:tab w:val="left" w:pos="896"/>
                <w:tab w:val="left" w:leader="dot" w:pos="4584"/>
              </w:tabs>
              <w:ind w:left="896" w:hanging="896"/>
            </w:pPr>
          </w:p>
        </w:tc>
        <w:tc>
          <w:tcPr>
            <w:tcW w:w="4235" w:type="dxa"/>
          </w:tcPr>
          <w:p>
            <w:pPr>
              <w:pStyle w:val="yTableNAm"/>
              <w:tabs>
                <w:tab w:val="clear" w:pos="567"/>
                <w:tab w:val="left" w:pos="416"/>
                <w:tab w:val="left" w:pos="896"/>
                <w:tab w:val="left" w:leader="dot" w:pos="4584"/>
              </w:tabs>
              <w:ind w:left="896" w:hanging="896"/>
            </w:pPr>
            <w:r>
              <w:t xml:space="preserve">Charge for water supply </w:t>
            </w:r>
            <w:r>
              <w:tab/>
            </w:r>
          </w:p>
        </w:tc>
        <w:tc>
          <w:tcPr>
            <w:tcW w:w="1435" w:type="dxa"/>
          </w:tcPr>
          <w:p>
            <w:pPr>
              <w:pStyle w:val="yTableNAm"/>
              <w:tabs>
                <w:tab w:val="clear" w:pos="567"/>
                <w:tab w:val="left" w:pos="416"/>
                <w:tab w:val="left" w:pos="896"/>
                <w:tab w:val="left" w:leader="dot" w:pos="4584"/>
              </w:tabs>
              <w:ind w:left="896" w:hanging="896"/>
            </w:pPr>
            <w:r>
              <w:t>$84.05</w:t>
            </w:r>
          </w:p>
        </w:tc>
      </w:tr>
      <w:tr>
        <w:tc>
          <w:tcPr>
            <w:tcW w:w="850" w:type="dxa"/>
          </w:tcPr>
          <w:p>
            <w:pPr>
              <w:pStyle w:val="yTableNAm"/>
              <w:tabs>
                <w:tab w:val="clear" w:pos="567"/>
                <w:tab w:val="left" w:pos="416"/>
                <w:tab w:val="left" w:pos="896"/>
                <w:tab w:val="left" w:leader="dot" w:pos="4584"/>
              </w:tabs>
              <w:ind w:left="896" w:hanging="896"/>
            </w:pPr>
          </w:p>
        </w:tc>
        <w:tc>
          <w:tcPr>
            <w:tcW w:w="4235" w:type="dxa"/>
          </w:tcPr>
          <w:p>
            <w:pPr>
              <w:pStyle w:val="yTableNAm"/>
              <w:tabs>
                <w:tab w:val="clear" w:pos="567"/>
                <w:tab w:val="left" w:pos="416"/>
                <w:tab w:val="left" w:pos="896"/>
                <w:tab w:val="left" w:leader="dot" w:pos="4584"/>
              </w:tabs>
              <w:ind w:left="896" w:hanging="896"/>
            </w:pPr>
            <w:r>
              <w:t xml:space="preserve">Charge for sewerage </w:t>
            </w:r>
            <w:r>
              <w:tab/>
            </w:r>
          </w:p>
        </w:tc>
        <w:tc>
          <w:tcPr>
            <w:tcW w:w="1435" w:type="dxa"/>
          </w:tcPr>
          <w:p>
            <w:pPr>
              <w:pStyle w:val="yTableNAm"/>
              <w:tabs>
                <w:tab w:val="clear" w:pos="567"/>
                <w:tab w:val="left" w:pos="416"/>
                <w:tab w:val="left" w:pos="896"/>
                <w:tab w:val="left" w:leader="dot" w:pos="4584"/>
              </w:tabs>
              <w:ind w:left="896" w:hanging="896"/>
            </w:pPr>
            <w:r>
              <w:t>$169.55</w:t>
            </w:r>
          </w:p>
        </w:tc>
      </w:tr>
      <w:tr>
        <w:tc>
          <w:tcPr>
            <w:tcW w:w="850" w:type="dxa"/>
          </w:tcPr>
          <w:p>
            <w:pPr>
              <w:pStyle w:val="yTableNAm"/>
              <w:tabs>
                <w:tab w:val="clear" w:pos="567"/>
                <w:tab w:val="left" w:pos="416"/>
                <w:tab w:val="left" w:pos="896"/>
                <w:tab w:val="left" w:leader="dot" w:pos="4584"/>
              </w:tabs>
              <w:ind w:left="896" w:hanging="896"/>
            </w:pPr>
          </w:p>
        </w:tc>
        <w:tc>
          <w:tcPr>
            <w:tcW w:w="4235" w:type="dxa"/>
          </w:tcPr>
          <w:p>
            <w:pPr>
              <w:pStyle w:val="yTableNAm"/>
              <w:tabs>
                <w:tab w:val="clear" w:pos="567"/>
                <w:tab w:val="left" w:pos="416"/>
                <w:tab w:val="left" w:pos="896"/>
                <w:tab w:val="left" w:leader="dot" w:pos="4584"/>
              </w:tabs>
              <w:ind w:left="896" w:hanging="896"/>
            </w:pPr>
            <w:r>
              <w:t xml:space="preserve">Charge for drainage </w:t>
            </w:r>
            <w:r>
              <w:tab/>
            </w:r>
          </w:p>
        </w:tc>
        <w:tc>
          <w:tcPr>
            <w:tcW w:w="1435" w:type="dxa"/>
          </w:tcPr>
          <w:p>
            <w:pPr>
              <w:pStyle w:val="yTableNAm"/>
              <w:tabs>
                <w:tab w:val="clear" w:pos="567"/>
                <w:tab w:val="left" w:pos="416"/>
                <w:tab w:val="left" w:pos="896"/>
                <w:tab w:val="left" w:leader="dot" w:pos="4584"/>
              </w:tabs>
              <w:ind w:left="896" w:hanging="896"/>
            </w:pPr>
            <w:r>
              <w:t>$23.80</w:t>
            </w:r>
          </w:p>
        </w:tc>
      </w:tr>
      <w:tr>
        <w:tc>
          <w:tcPr>
            <w:tcW w:w="850" w:type="dxa"/>
          </w:tcPr>
          <w:p>
            <w:pPr>
              <w:pStyle w:val="yHeading5"/>
              <w:tabs>
                <w:tab w:val="clear" w:pos="879"/>
              </w:tabs>
              <w:ind w:left="0" w:firstLine="0"/>
            </w:pPr>
            <w:bookmarkStart w:id="887" w:name="_Toc265743685"/>
            <w:r>
              <w:rPr>
                <w:rStyle w:val="CharSClsNo"/>
              </w:rPr>
              <w:t>5</w:t>
            </w:r>
            <w:r>
              <w:t>.</w:t>
            </w:r>
            <w:bookmarkEnd w:id="887"/>
          </w:p>
        </w:tc>
        <w:tc>
          <w:tcPr>
            <w:tcW w:w="4235" w:type="dxa"/>
          </w:tcPr>
          <w:p>
            <w:pPr>
              <w:pStyle w:val="yHeading5"/>
              <w:tabs>
                <w:tab w:val="clear" w:pos="879"/>
              </w:tabs>
              <w:ind w:left="0" w:firstLine="0"/>
            </w:pPr>
            <w:bookmarkStart w:id="888" w:name="_Toc265743686"/>
            <w:r>
              <w:t>Interest on overdue amounts (by</w:t>
            </w:r>
            <w:r>
              <w:noBreakHyphen/>
              <w:t>law 9)</w:t>
            </w:r>
            <w:bookmarkEnd w:id="888"/>
          </w:p>
        </w:tc>
        <w:tc>
          <w:tcPr>
            <w:tcW w:w="1435" w:type="dxa"/>
          </w:tcPr>
          <w:p>
            <w:pPr>
              <w:pStyle w:val="yHeading5"/>
              <w:tabs>
                <w:tab w:val="clear" w:pos="879"/>
              </w:tabs>
              <w:ind w:left="0" w:firstLine="0"/>
            </w:pPr>
          </w:p>
        </w:tc>
      </w:tr>
      <w:tr>
        <w:tc>
          <w:tcPr>
            <w:tcW w:w="850" w:type="dxa"/>
          </w:tcPr>
          <w:p>
            <w:pPr>
              <w:pStyle w:val="yTableNAm"/>
              <w:tabs>
                <w:tab w:val="clear" w:pos="567"/>
                <w:tab w:val="left" w:pos="416"/>
                <w:tab w:val="left" w:pos="896"/>
                <w:tab w:val="left" w:leader="dot" w:pos="4584"/>
              </w:tabs>
              <w:ind w:left="896" w:hanging="896"/>
            </w:pPr>
          </w:p>
        </w:tc>
        <w:tc>
          <w:tcPr>
            <w:tcW w:w="4235" w:type="dxa"/>
          </w:tcPr>
          <w:p>
            <w:pPr>
              <w:pStyle w:val="yTableNAm"/>
              <w:tabs>
                <w:tab w:val="clear" w:pos="567"/>
                <w:tab w:val="left" w:pos="416"/>
                <w:tab w:val="left" w:pos="896"/>
                <w:tab w:val="left" w:leader="dot" w:pos="4584"/>
              </w:tabs>
              <w:ind w:left="896" w:hanging="896"/>
            </w:pPr>
            <w:r>
              <w:t>Interest on overdue amounts (by</w:t>
            </w:r>
            <w:r>
              <w:noBreakHyphen/>
              <w:t xml:space="preserve">law 9) </w:t>
            </w:r>
            <w:r>
              <w:tab/>
            </w:r>
          </w:p>
        </w:tc>
        <w:tc>
          <w:tcPr>
            <w:tcW w:w="1435" w:type="dxa"/>
          </w:tcPr>
          <w:p>
            <w:pPr>
              <w:pStyle w:val="yTableNAm"/>
              <w:tabs>
                <w:tab w:val="clear" w:pos="567"/>
                <w:tab w:val="left" w:pos="416"/>
                <w:tab w:val="left" w:leader="dot" w:pos="4584"/>
              </w:tabs>
            </w:pPr>
            <w:r>
              <w:t>13.51% per annum</w:t>
            </w:r>
          </w:p>
        </w:tc>
      </w:tr>
    </w:tbl>
    <w:bookmarkEnd w:id="879"/>
    <w:p>
      <w:pPr>
        <w:pStyle w:val="yFootnotesection"/>
      </w:pPr>
      <w:r>
        <w:tab/>
        <w:t>[Schedule 7 inserted in Gazette 25 Jun 2010 p. 2958</w:t>
      </w:r>
      <w:r>
        <w:noBreakHyphen/>
        <w:t>9.]</w:t>
      </w:r>
    </w:p>
    <w:p>
      <w:pPr>
        <w:pStyle w:val="yScheduleHeading"/>
      </w:pPr>
      <w:bookmarkStart w:id="889" w:name="_Toc265743687"/>
      <w:bookmarkEnd w:id="859"/>
      <w:bookmarkEnd w:id="860"/>
      <w:bookmarkEnd w:id="861"/>
      <w:bookmarkEnd w:id="862"/>
      <w:bookmarkEnd w:id="863"/>
      <w:bookmarkEnd w:id="864"/>
      <w:bookmarkEnd w:id="865"/>
      <w:bookmarkEnd w:id="866"/>
      <w:bookmarkEnd w:id="867"/>
      <w:bookmarkEnd w:id="868"/>
      <w:bookmarkEnd w:id="869"/>
      <w:bookmarkEnd w:id="870"/>
      <w:bookmarkEnd w:id="871"/>
      <w:r>
        <w:rPr>
          <w:rStyle w:val="CharSchNo"/>
        </w:rPr>
        <w:t>Schedule 8</w:t>
      </w:r>
      <w:r>
        <w:t> — </w:t>
      </w:r>
      <w:r>
        <w:rPr>
          <w:rStyle w:val="CharSchText"/>
        </w:rPr>
        <w:t>Water supply charges for Government trading organisations and non</w:t>
      </w:r>
      <w:r>
        <w:rPr>
          <w:rStyle w:val="CharSchText"/>
        </w:rPr>
        <w:noBreakHyphen/>
        <w:t>commercial Government property</w:t>
      </w:r>
      <w:bookmarkEnd w:id="889"/>
    </w:p>
    <w:p>
      <w:pPr>
        <w:pStyle w:val="yShoulderClause"/>
      </w:pPr>
      <w:r>
        <w:t>[bl. 8B]</w:t>
      </w:r>
    </w:p>
    <w:p>
      <w:pPr>
        <w:pStyle w:val="yFootnoteheading"/>
      </w:pPr>
      <w:r>
        <w:tab/>
        <w:t>[Heading inserted in Gazette 25 Jun 2010 p. 2959.]</w:t>
      </w:r>
    </w:p>
    <w:p>
      <w:pPr>
        <w:pStyle w:val="yHeading5"/>
      </w:pPr>
      <w:bookmarkStart w:id="890" w:name="_Toc265743688"/>
      <w:r>
        <w:t>1.</w:t>
      </w:r>
      <w:r>
        <w:tab/>
        <w:t>Annual charge (based on meter size)</w:t>
      </w:r>
      <w:bookmarkEnd w:id="890"/>
    </w:p>
    <w:tbl>
      <w:tblPr>
        <w:tblW w:w="0" w:type="auto"/>
        <w:tblInd w:w="1166" w:type="dxa"/>
        <w:tblLayout w:type="fixed"/>
        <w:tblCellMar>
          <w:left w:w="284" w:type="dxa"/>
          <w:right w:w="284" w:type="dxa"/>
        </w:tblCellMar>
        <w:tblLook w:val="0000" w:firstRow="0" w:lastRow="0" w:firstColumn="0" w:lastColumn="0" w:noHBand="0" w:noVBand="0"/>
      </w:tblPr>
      <w:tblGrid>
        <w:gridCol w:w="3087"/>
        <w:gridCol w:w="2977"/>
      </w:tblGrid>
      <w:tr>
        <w:trPr>
          <w:cantSplit/>
          <w:tblHeader/>
        </w:trPr>
        <w:tc>
          <w:tcPr>
            <w:tcW w:w="3087" w:type="dxa"/>
            <w:tcBorders>
              <w:top w:val="single" w:sz="4" w:space="0" w:color="auto"/>
              <w:bottom w:val="single" w:sz="4" w:space="0" w:color="auto"/>
            </w:tcBorders>
          </w:tcPr>
          <w:p>
            <w:pPr>
              <w:pStyle w:val="yTableNAm"/>
              <w:jc w:val="center"/>
              <w:rPr>
                <w:b/>
                <w:bCs/>
              </w:rPr>
            </w:pPr>
            <w:r>
              <w:rPr>
                <w:b/>
                <w:bCs/>
              </w:rPr>
              <w:t>Meter size</w:t>
            </w:r>
            <w:r>
              <w:rPr>
                <w:b/>
                <w:bCs/>
              </w:rPr>
              <w:br/>
              <w:t>mm</w:t>
            </w:r>
          </w:p>
        </w:tc>
        <w:tc>
          <w:tcPr>
            <w:tcW w:w="2977" w:type="dxa"/>
            <w:tcBorders>
              <w:top w:val="single" w:sz="4" w:space="0" w:color="auto"/>
              <w:bottom w:val="single" w:sz="4" w:space="0" w:color="auto"/>
            </w:tcBorders>
          </w:tcPr>
          <w:p>
            <w:pPr>
              <w:pStyle w:val="yTableNAm"/>
              <w:jc w:val="center"/>
              <w:rPr>
                <w:b/>
                <w:bCs/>
              </w:rPr>
            </w:pPr>
            <w:r>
              <w:rPr>
                <w:b/>
                <w:bCs/>
              </w:rPr>
              <w:t>Charge</w:t>
            </w:r>
            <w:r>
              <w:rPr>
                <w:b/>
                <w:bCs/>
              </w:rPr>
              <w:br/>
              <w:t>$</w:t>
            </w:r>
          </w:p>
        </w:tc>
      </w:tr>
      <w:tr>
        <w:trPr>
          <w:cantSplit/>
        </w:trPr>
        <w:tc>
          <w:tcPr>
            <w:tcW w:w="3087" w:type="dxa"/>
          </w:tcPr>
          <w:p>
            <w:pPr>
              <w:pStyle w:val="yTableNAm"/>
              <w:jc w:val="center"/>
              <w:rPr>
                <w:spacing w:val="-2"/>
              </w:rPr>
            </w:pPr>
            <w:r>
              <w:rPr>
                <w:spacing w:val="-2"/>
              </w:rPr>
              <w:t>20 or less</w:t>
            </w:r>
          </w:p>
        </w:tc>
        <w:tc>
          <w:tcPr>
            <w:tcW w:w="2977" w:type="dxa"/>
          </w:tcPr>
          <w:p>
            <w:pPr>
              <w:pStyle w:val="yTableNAm"/>
              <w:ind w:right="924"/>
              <w:jc w:val="right"/>
              <w:rPr>
                <w:spacing w:val="-2"/>
              </w:rPr>
            </w:pPr>
            <w:r>
              <w:rPr>
                <w:spacing w:val="-2"/>
              </w:rPr>
              <w:t>365.90</w:t>
            </w:r>
          </w:p>
        </w:tc>
      </w:tr>
      <w:tr>
        <w:trPr>
          <w:cantSplit/>
        </w:trPr>
        <w:tc>
          <w:tcPr>
            <w:tcW w:w="3087" w:type="dxa"/>
          </w:tcPr>
          <w:p>
            <w:pPr>
              <w:pStyle w:val="yTableNAm"/>
              <w:jc w:val="center"/>
              <w:rPr>
                <w:spacing w:val="-2"/>
              </w:rPr>
            </w:pPr>
            <w:r>
              <w:rPr>
                <w:spacing w:val="-2"/>
              </w:rPr>
              <w:t>25</w:t>
            </w:r>
          </w:p>
        </w:tc>
        <w:tc>
          <w:tcPr>
            <w:tcW w:w="2977" w:type="dxa"/>
          </w:tcPr>
          <w:p>
            <w:pPr>
              <w:pStyle w:val="yTableNAm"/>
              <w:ind w:right="924"/>
              <w:jc w:val="right"/>
              <w:rPr>
                <w:spacing w:val="-2"/>
              </w:rPr>
            </w:pPr>
            <w:r>
              <w:rPr>
                <w:spacing w:val="-2"/>
              </w:rPr>
              <w:t>571.70</w:t>
            </w:r>
          </w:p>
        </w:tc>
      </w:tr>
      <w:tr>
        <w:trPr>
          <w:cantSplit/>
        </w:trPr>
        <w:tc>
          <w:tcPr>
            <w:tcW w:w="3087" w:type="dxa"/>
          </w:tcPr>
          <w:p>
            <w:pPr>
              <w:pStyle w:val="yTableNAm"/>
              <w:jc w:val="center"/>
              <w:rPr>
                <w:spacing w:val="-2"/>
              </w:rPr>
            </w:pPr>
            <w:r>
              <w:rPr>
                <w:spacing w:val="-2"/>
              </w:rPr>
              <w:t>30</w:t>
            </w:r>
          </w:p>
        </w:tc>
        <w:tc>
          <w:tcPr>
            <w:tcW w:w="2977" w:type="dxa"/>
          </w:tcPr>
          <w:p>
            <w:pPr>
              <w:pStyle w:val="yTableNAm"/>
              <w:ind w:right="924"/>
              <w:jc w:val="right"/>
              <w:rPr>
                <w:spacing w:val="-2"/>
              </w:rPr>
            </w:pPr>
            <w:r>
              <w:rPr>
                <w:spacing w:val="-2"/>
              </w:rPr>
              <w:t>823.20</w:t>
            </w:r>
          </w:p>
        </w:tc>
      </w:tr>
      <w:tr>
        <w:trPr>
          <w:cantSplit/>
        </w:trPr>
        <w:tc>
          <w:tcPr>
            <w:tcW w:w="3087" w:type="dxa"/>
          </w:tcPr>
          <w:p>
            <w:pPr>
              <w:pStyle w:val="yTableNAm"/>
              <w:jc w:val="center"/>
              <w:rPr>
                <w:spacing w:val="-2"/>
              </w:rPr>
            </w:pPr>
            <w:r>
              <w:rPr>
                <w:spacing w:val="-2"/>
              </w:rPr>
              <w:t>40</w:t>
            </w:r>
          </w:p>
        </w:tc>
        <w:tc>
          <w:tcPr>
            <w:tcW w:w="2977" w:type="dxa"/>
          </w:tcPr>
          <w:p>
            <w:pPr>
              <w:pStyle w:val="yTableNAm"/>
              <w:ind w:right="924"/>
              <w:jc w:val="right"/>
              <w:rPr>
                <w:spacing w:val="-2"/>
              </w:rPr>
            </w:pPr>
            <w:r>
              <w:rPr>
                <w:spacing w:val="-2"/>
              </w:rPr>
              <w:t>1 463.50</w:t>
            </w:r>
          </w:p>
        </w:tc>
      </w:tr>
      <w:tr>
        <w:trPr>
          <w:cantSplit/>
        </w:trPr>
        <w:tc>
          <w:tcPr>
            <w:tcW w:w="3087" w:type="dxa"/>
          </w:tcPr>
          <w:p>
            <w:pPr>
              <w:pStyle w:val="yTableNAm"/>
              <w:jc w:val="center"/>
              <w:rPr>
                <w:spacing w:val="-2"/>
              </w:rPr>
            </w:pPr>
            <w:r>
              <w:rPr>
                <w:spacing w:val="-2"/>
              </w:rPr>
              <w:t>50</w:t>
            </w:r>
          </w:p>
        </w:tc>
        <w:tc>
          <w:tcPr>
            <w:tcW w:w="2977" w:type="dxa"/>
          </w:tcPr>
          <w:p>
            <w:pPr>
              <w:pStyle w:val="yTableNAm"/>
              <w:ind w:right="924"/>
              <w:jc w:val="right"/>
              <w:rPr>
                <w:spacing w:val="-2"/>
              </w:rPr>
            </w:pPr>
            <w:r>
              <w:rPr>
                <w:spacing w:val="-2"/>
              </w:rPr>
              <w:t>2 286.70</w:t>
            </w:r>
          </w:p>
        </w:tc>
      </w:tr>
      <w:tr>
        <w:trPr>
          <w:cantSplit/>
        </w:trPr>
        <w:tc>
          <w:tcPr>
            <w:tcW w:w="3087" w:type="dxa"/>
          </w:tcPr>
          <w:p>
            <w:pPr>
              <w:pStyle w:val="yTableNAm"/>
              <w:jc w:val="center"/>
              <w:rPr>
                <w:spacing w:val="-2"/>
              </w:rPr>
            </w:pPr>
            <w:r>
              <w:rPr>
                <w:spacing w:val="-2"/>
              </w:rPr>
              <w:t>70, 75, 80</w:t>
            </w:r>
          </w:p>
        </w:tc>
        <w:tc>
          <w:tcPr>
            <w:tcW w:w="2977" w:type="dxa"/>
          </w:tcPr>
          <w:p>
            <w:pPr>
              <w:pStyle w:val="yTableNAm"/>
              <w:ind w:right="924"/>
              <w:jc w:val="right"/>
              <w:rPr>
                <w:spacing w:val="-2"/>
              </w:rPr>
            </w:pPr>
            <w:r>
              <w:rPr>
                <w:spacing w:val="-2"/>
              </w:rPr>
              <w:t>5 853.90</w:t>
            </w:r>
          </w:p>
        </w:tc>
      </w:tr>
      <w:tr>
        <w:trPr>
          <w:cantSplit/>
        </w:trPr>
        <w:tc>
          <w:tcPr>
            <w:tcW w:w="3087" w:type="dxa"/>
          </w:tcPr>
          <w:p>
            <w:pPr>
              <w:pStyle w:val="yTableNAm"/>
              <w:jc w:val="center"/>
              <w:rPr>
                <w:spacing w:val="-2"/>
              </w:rPr>
            </w:pPr>
            <w:r>
              <w:rPr>
                <w:spacing w:val="-2"/>
              </w:rPr>
              <w:t>100</w:t>
            </w:r>
          </w:p>
        </w:tc>
        <w:tc>
          <w:tcPr>
            <w:tcW w:w="2977" w:type="dxa"/>
          </w:tcPr>
          <w:p>
            <w:pPr>
              <w:pStyle w:val="yTableNAm"/>
              <w:ind w:right="924"/>
              <w:jc w:val="right"/>
              <w:rPr>
                <w:spacing w:val="-2"/>
              </w:rPr>
            </w:pPr>
            <w:r>
              <w:rPr>
                <w:spacing w:val="-2"/>
              </w:rPr>
              <w:t>9 146.70</w:t>
            </w:r>
          </w:p>
        </w:tc>
      </w:tr>
      <w:tr>
        <w:trPr>
          <w:cantSplit/>
        </w:trPr>
        <w:tc>
          <w:tcPr>
            <w:tcW w:w="3087" w:type="dxa"/>
          </w:tcPr>
          <w:p>
            <w:pPr>
              <w:pStyle w:val="yTableNAm"/>
              <w:jc w:val="center"/>
              <w:rPr>
                <w:spacing w:val="-2"/>
              </w:rPr>
            </w:pPr>
            <w:r>
              <w:rPr>
                <w:spacing w:val="-2"/>
              </w:rPr>
              <w:t>140, 150</w:t>
            </w:r>
          </w:p>
        </w:tc>
        <w:tc>
          <w:tcPr>
            <w:tcW w:w="2977" w:type="dxa"/>
          </w:tcPr>
          <w:p>
            <w:pPr>
              <w:pStyle w:val="yTableNAm"/>
              <w:ind w:right="924"/>
              <w:jc w:val="right"/>
              <w:rPr>
                <w:spacing w:val="-2"/>
              </w:rPr>
            </w:pPr>
            <w:r>
              <w:rPr>
                <w:spacing w:val="-2"/>
              </w:rPr>
              <w:t>20 580.10</w:t>
            </w:r>
          </w:p>
        </w:tc>
      </w:tr>
      <w:tr>
        <w:trPr>
          <w:cantSplit/>
        </w:trPr>
        <w:tc>
          <w:tcPr>
            <w:tcW w:w="3087" w:type="dxa"/>
          </w:tcPr>
          <w:p>
            <w:pPr>
              <w:pStyle w:val="yTableNAm"/>
              <w:jc w:val="center"/>
              <w:rPr>
                <w:spacing w:val="-2"/>
              </w:rPr>
            </w:pPr>
            <w:r>
              <w:rPr>
                <w:spacing w:val="-2"/>
              </w:rPr>
              <w:t>200</w:t>
            </w:r>
          </w:p>
        </w:tc>
        <w:tc>
          <w:tcPr>
            <w:tcW w:w="2977" w:type="dxa"/>
          </w:tcPr>
          <w:p>
            <w:pPr>
              <w:pStyle w:val="yTableNAm"/>
              <w:ind w:right="924"/>
              <w:jc w:val="right"/>
              <w:rPr>
                <w:spacing w:val="-2"/>
              </w:rPr>
            </w:pPr>
            <w:r>
              <w:rPr>
                <w:spacing w:val="-2"/>
              </w:rPr>
              <w:t>36 586.80</w:t>
            </w:r>
          </w:p>
        </w:tc>
      </w:tr>
      <w:tr>
        <w:trPr>
          <w:cantSplit/>
        </w:trPr>
        <w:tc>
          <w:tcPr>
            <w:tcW w:w="3087" w:type="dxa"/>
          </w:tcPr>
          <w:p>
            <w:pPr>
              <w:pStyle w:val="yTableNAm"/>
              <w:jc w:val="center"/>
              <w:rPr>
                <w:spacing w:val="-2"/>
              </w:rPr>
            </w:pPr>
            <w:r>
              <w:rPr>
                <w:spacing w:val="-2"/>
              </w:rPr>
              <w:t>250</w:t>
            </w:r>
          </w:p>
        </w:tc>
        <w:tc>
          <w:tcPr>
            <w:tcW w:w="2977" w:type="dxa"/>
          </w:tcPr>
          <w:p>
            <w:pPr>
              <w:pStyle w:val="yTableNAm"/>
              <w:ind w:right="924"/>
              <w:jc w:val="right"/>
              <w:rPr>
                <w:spacing w:val="-2"/>
              </w:rPr>
            </w:pPr>
            <w:r>
              <w:rPr>
                <w:spacing w:val="-2"/>
              </w:rPr>
              <w:t>57 166.80</w:t>
            </w:r>
          </w:p>
        </w:tc>
      </w:tr>
      <w:tr>
        <w:trPr>
          <w:cantSplit/>
        </w:trPr>
        <w:tc>
          <w:tcPr>
            <w:tcW w:w="3087" w:type="dxa"/>
          </w:tcPr>
          <w:p>
            <w:pPr>
              <w:pStyle w:val="yTableNAm"/>
              <w:jc w:val="center"/>
              <w:rPr>
                <w:spacing w:val="-2"/>
              </w:rPr>
            </w:pPr>
            <w:r>
              <w:rPr>
                <w:spacing w:val="-2"/>
              </w:rPr>
              <w:t>300</w:t>
            </w:r>
          </w:p>
        </w:tc>
        <w:tc>
          <w:tcPr>
            <w:tcW w:w="2977" w:type="dxa"/>
          </w:tcPr>
          <w:p>
            <w:pPr>
              <w:pStyle w:val="yTableNAm"/>
              <w:ind w:right="924"/>
              <w:jc w:val="right"/>
              <w:rPr>
                <w:spacing w:val="-2"/>
              </w:rPr>
            </w:pPr>
            <w:r>
              <w:rPr>
                <w:spacing w:val="-2"/>
              </w:rPr>
              <w:t>82 320.20</w:t>
            </w:r>
          </w:p>
        </w:tc>
      </w:tr>
      <w:tr>
        <w:trPr>
          <w:cantSplit/>
        </w:trPr>
        <w:tc>
          <w:tcPr>
            <w:tcW w:w="3087" w:type="dxa"/>
          </w:tcPr>
          <w:p>
            <w:pPr>
              <w:pStyle w:val="yTableNAm"/>
              <w:jc w:val="center"/>
              <w:rPr>
                <w:spacing w:val="-2"/>
              </w:rPr>
            </w:pPr>
            <w:r>
              <w:rPr>
                <w:spacing w:val="-2"/>
              </w:rPr>
              <w:t>350</w:t>
            </w:r>
          </w:p>
        </w:tc>
        <w:tc>
          <w:tcPr>
            <w:tcW w:w="2977" w:type="dxa"/>
          </w:tcPr>
          <w:p>
            <w:pPr>
              <w:pStyle w:val="yTableNAm"/>
              <w:ind w:right="924"/>
              <w:jc w:val="right"/>
              <w:rPr>
                <w:spacing w:val="-2"/>
              </w:rPr>
            </w:pPr>
            <w:r>
              <w:rPr>
                <w:spacing w:val="-2"/>
              </w:rPr>
              <w:t>112 046.90</w:t>
            </w:r>
          </w:p>
        </w:tc>
      </w:tr>
      <w:tr>
        <w:tblPrEx>
          <w:tblCellMar>
            <w:left w:w="142" w:type="dxa"/>
            <w:right w:w="142" w:type="dxa"/>
          </w:tblCellMar>
        </w:tblPrEx>
        <w:trPr>
          <w:cantSplit/>
        </w:trPr>
        <w:tc>
          <w:tcPr>
            <w:tcW w:w="3087" w:type="dxa"/>
            <w:tcBorders>
              <w:bottom w:val="single" w:sz="4" w:space="0" w:color="auto"/>
            </w:tcBorders>
          </w:tcPr>
          <w:p>
            <w:pPr>
              <w:pStyle w:val="yTableNAm"/>
            </w:pPr>
            <w:r>
              <w:t xml:space="preserve">subject to a minimum charge, where property is served but not metered by the Corporation, of </w:t>
            </w:r>
          </w:p>
        </w:tc>
        <w:tc>
          <w:tcPr>
            <w:tcW w:w="2977" w:type="dxa"/>
            <w:tcBorders>
              <w:bottom w:val="single" w:sz="4" w:space="0" w:color="auto"/>
            </w:tcBorders>
          </w:tcPr>
          <w:p>
            <w:pPr>
              <w:pStyle w:val="yTableNAm"/>
              <w:ind w:right="924"/>
              <w:jc w:val="right"/>
              <w:rPr>
                <w:spacing w:val="-2"/>
              </w:rPr>
            </w:pPr>
            <w:r>
              <w:rPr>
                <w:spacing w:val="-2"/>
              </w:rPr>
              <w:br/>
            </w:r>
            <w:r>
              <w:rPr>
                <w:spacing w:val="-2"/>
              </w:rPr>
              <w:br/>
            </w:r>
            <w:r>
              <w:rPr>
                <w:spacing w:val="-2"/>
              </w:rPr>
              <w:br/>
              <w:t>365.90</w:t>
            </w:r>
          </w:p>
        </w:tc>
      </w:tr>
    </w:tbl>
    <w:p/>
    <w:tbl>
      <w:tblPr>
        <w:tblW w:w="0" w:type="auto"/>
        <w:tblInd w:w="534" w:type="dxa"/>
        <w:tblLayout w:type="fixed"/>
        <w:tblLook w:val="0000" w:firstRow="0" w:lastRow="0" w:firstColumn="0" w:lastColumn="0" w:noHBand="0" w:noVBand="0"/>
      </w:tblPr>
      <w:tblGrid>
        <w:gridCol w:w="425"/>
        <w:gridCol w:w="4678"/>
        <w:gridCol w:w="1417"/>
      </w:tblGrid>
      <w:tr>
        <w:trPr>
          <w:cantSplit/>
        </w:trPr>
        <w:tc>
          <w:tcPr>
            <w:tcW w:w="425" w:type="dxa"/>
          </w:tcPr>
          <w:p>
            <w:pPr>
              <w:pStyle w:val="yHeading5"/>
              <w:tabs>
                <w:tab w:val="clear" w:pos="879"/>
              </w:tabs>
              <w:ind w:left="0" w:firstLine="0"/>
            </w:pPr>
            <w:bookmarkStart w:id="891" w:name="_Toc265743689"/>
            <w:r>
              <w:t>2.</w:t>
            </w:r>
            <w:bookmarkEnd w:id="891"/>
          </w:p>
        </w:tc>
        <w:tc>
          <w:tcPr>
            <w:tcW w:w="6095" w:type="dxa"/>
            <w:gridSpan w:val="2"/>
          </w:tcPr>
          <w:p>
            <w:pPr>
              <w:pStyle w:val="yHeading5"/>
              <w:tabs>
                <w:tab w:val="clear" w:pos="879"/>
              </w:tabs>
              <w:ind w:left="0" w:firstLine="0"/>
            </w:pPr>
            <w:bookmarkStart w:id="892" w:name="_Toc265743690"/>
            <w:r>
              <w:t>Volume charge (c/kL)</w:t>
            </w:r>
            <w:bookmarkEnd w:id="892"/>
          </w:p>
        </w:tc>
      </w:tr>
      <w:tr>
        <w:tc>
          <w:tcPr>
            <w:tcW w:w="425" w:type="dxa"/>
          </w:tcPr>
          <w:p>
            <w:pPr>
              <w:pStyle w:val="yTableNAm"/>
            </w:pPr>
          </w:p>
        </w:tc>
        <w:tc>
          <w:tcPr>
            <w:tcW w:w="4678" w:type="dxa"/>
          </w:tcPr>
          <w:p>
            <w:pPr>
              <w:pStyle w:val="yTableNAm"/>
              <w:ind w:left="601" w:hanging="601"/>
              <w:rPr>
                <w:spacing w:val="-1"/>
              </w:rPr>
            </w:pPr>
            <w:r>
              <w:t>(1)</w:t>
            </w:r>
            <w:r>
              <w:tab/>
              <w:t>Metropolitan —</w:t>
            </w:r>
          </w:p>
        </w:tc>
        <w:tc>
          <w:tcPr>
            <w:tcW w:w="1417" w:type="dxa"/>
          </w:tcPr>
          <w:p>
            <w:pPr>
              <w:pStyle w:val="yTableNAm"/>
              <w:rPr>
                <w:spacing w:val="-2"/>
                <w:sz w:val="20"/>
              </w:rPr>
            </w:pPr>
          </w:p>
        </w:tc>
      </w:tr>
      <w:tr>
        <w:tc>
          <w:tcPr>
            <w:tcW w:w="425" w:type="dxa"/>
          </w:tcPr>
          <w:p>
            <w:pPr>
              <w:pStyle w:val="yTableNAm"/>
            </w:pPr>
          </w:p>
        </w:tc>
        <w:tc>
          <w:tcPr>
            <w:tcW w:w="4678" w:type="dxa"/>
          </w:tcPr>
          <w:p>
            <w:pPr>
              <w:pStyle w:val="yTableNAm"/>
              <w:tabs>
                <w:tab w:val="left" w:pos="1081"/>
                <w:tab w:val="left" w:leader="dot" w:pos="5103"/>
              </w:tabs>
            </w:pPr>
            <w:r>
              <w:tab/>
              <w:t>(a)</w:t>
            </w:r>
            <w:r>
              <w:tab/>
              <w:t xml:space="preserve">first 600 kL </w:t>
            </w:r>
            <w:r>
              <w:tab/>
            </w:r>
          </w:p>
        </w:tc>
        <w:tc>
          <w:tcPr>
            <w:tcW w:w="1417" w:type="dxa"/>
          </w:tcPr>
          <w:p>
            <w:pPr>
              <w:pStyle w:val="yTableNAm"/>
            </w:pPr>
            <w:r>
              <w:t>143.5 cents</w:t>
            </w:r>
          </w:p>
        </w:tc>
      </w:tr>
      <w:tr>
        <w:tc>
          <w:tcPr>
            <w:tcW w:w="425" w:type="dxa"/>
          </w:tcPr>
          <w:p>
            <w:pPr>
              <w:pStyle w:val="yTableNAm"/>
            </w:pPr>
          </w:p>
        </w:tc>
        <w:tc>
          <w:tcPr>
            <w:tcW w:w="4678" w:type="dxa"/>
          </w:tcPr>
          <w:p>
            <w:pPr>
              <w:pStyle w:val="yTableNAm"/>
              <w:tabs>
                <w:tab w:val="left" w:pos="1081"/>
                <w:tab w:val="left" w:leader="dot" w:pos="5103"/>
              </w:tabs>
            </w:pPr>
            <w:r>
              <w:tab/>
              <w:t>(b)</w:t>
            </w:r>
            <w:r>
              <w:tab/>
              <w:t xml:space="preserve">601 kL to 1 100 000 kL </w:t>
            </w:r>
            <w:r>
              <w:tab/>
            </w:r>
          </w:p>
        </w:tc>
        <w:tc>
          <w:tcPr>
            <w:tcW w:w="1417" w:type="dxa"/>
          </w:tcPr>
          <w:p>
            <w:pPr>
              <w:pStyle w:val="yTableNAm"/>
            </w:pPr>
            <w:r>
              <w:t>143.5 cents</w:t>
            </w:r>
          </w:p>
        </w:tc>
      </w:tr>
      <w:tr>
        <w:tc>
          <w:tcPr>
            <w:tcW w:w="425" w:type="dxa"/>
          </w:tcPr>
          <w:p>
            <w:pPr>
              <w:pStyle w:val="yTableNAm"/>
            </w:pPr>
          </w:p>
        </w:tc>
        <w:tc>
          <w:tcPr>
            <w:tcW w:w="4678" w:type="dxa"/>
          </w:tcPr>
          <w:p>
            <w:pPr>
              <w:pStyle w:val="yTableNAm"/>
              <w:tabs>
                <w:tab w:val="left" w:pos="1081"/>
                <w:tab w:val="left" w:leader="dot" w:pos="5103"/>
              </w:tabs>
            </w:pPr>
            <w:r>
              <w:tab/>
              <w:t>(c)</w:t>
            </w:r>
            <w:r>
              <w:tab/>
              <w:t xml:space="preserve">over 1 100 000 kL </w:t>
            </w:r>
            <w:r>
              <w:tab/>
            </w:r>
          </w:p>
        </w:tc>
        <w:tc>
          <w:tcPr>
            <w:tcW w:w="1417" w:type="dxa"/>
          </w:tcPr>
          <w:p>
            <w:pPr>
              <w:pStyle w:val="yTableNAm"/>
            </w:pPr>
            <w:r>
              <w:t>143.5 cents</w:t>
            </w:r>
          </w:p>
        </w:tc>
      </w:tr>
      <w:tr>
        <w:tc>
          <w:tcPr>
            <w:tcW w:w="425" w:type="dxa"/>
          </w:tcPr>
          <w:p>
            <w:pPr>
              <w:pStyle w:val="yTableNAm"/>
            </w:pPr>
          </w:p>
        </w:tc>
        <w:tc>
          <w:tcPr>
            <w:tcW w:w="4678" w:type="dxa"/>
          </w:tcPr>
          <w:p>
            <w:pPr>
              <w:pStyle w:val="yTableNAm"/>
              <w:ind w:left="601" w:hanging="601"/>
            </w:pPr>
            <w:r>
              <w:t>(2)</w:t>
            </w:r>
            <w:r>
              <w:tab/>
              <w:t>Country (according to the non</w:t>
            </w:r>
            <w:r>
              <w:noBreakHyphen/>
              <w:t>residential classification of the town/area in which that property is situated, as set out in Schedule 10) —</w:t>
            </w:r>
          </w:p>
        </w:tc>
        <w:tc>
          <w:tcPr>
            <w:tcW w:w="1417" w:type="dxa"/>
          </w:tcPr>
          <w:p>
            <w:pPr>
              <w:pStyle w:val="yTableNAm"/>
            </w:pPr>
          </w:p>
        </w:tc>
      </w:tr>
    </w:tbl>
    <w:p/>
    <w:tbl>
      <w:tblPr>
        <w:tblW w:w="0" w:type="auto"/>
        <w:tblInd w:w="454" w:type="dxa"/>
        <w:tblLayout w:type="fixed"/>
        <w:tblCellMar>
          <w:left w:w="28" w:type="dxa"/>
          <w:right w:w="28" w:type="dxa"/>
        </w:tblCellMar>
        <w:tblLook w:val="0000" w:firstRow="0" w:lastRow="0" w:firstColumn="0" w:lastColumn="0" w:noHBand="0" w:noVBand="0"/>
      </w:tblPr>
      <w:tblGrid>
        <w:gridCol w:w="2409"/>
        <w:gridCol w:w="2055"/>
        <w:gridCol w:w="2056"/>
      </w:tblGrid>
      <w:tr>
        <w:trPr>
          <w:cantSplit/>
          <w:trHeight w:val="217"/>
          <w:tblHeader/>
        </w:trPr>
        <w:tc>
          <w:tcPr>
            <w:tcW w:w="2409" w:type="dxa"/>
            <w:vMerge w:val="restart"/>
            <w:tcBorders>
              <w:top w:val="single" w:sz="4" w:space="0" w:color="auto"/>
            </w:tcBorders>
          </w:tcPr>
          <w:p>
            <w:pPr>
              <w:pStyle w:val="yTableNAm"/>
              <w:jc w:val="center"/>
              <w:rPr>
                <w:b/>
                <w:bCs/>
              </w:rPr>
            </w:pPr>
            <w:r>
              <w:rPr>
                <w:b/>
                <w:bCs/>
              </w:rPr>
              <w:t>Class</w:t>
            </w:r>
          </w:p>
        </w:tc>
        <w:tc>
          <w:tcPr>
            <w:tcW w:w="4111" w:type="dxa"/>
            <w:gridSpan w:val="2"/>
            <w:tcBorders>
              <w:top w:val="single" w:sz="4" w:space="0" w:color="auto"/>
            </w:tcBorders>
          </w:tcPr>
          <w:p>
            <w:pPr>
              <w:pStyle w:val="yTableNAm"/>
              <w:jc w:val="center"/>
              <w:rPr>
                <w:b/>
                <w:bCs/>
              </w:rPr>
            </w:pPr>
            <w:r>
              <w:rPr>
                <w:b/>
                <w:bCs/>
              </w:rPr>
              <w:t>Consumption (kL)</w:t>
            </w:r>
          </w:p>
        </w:tc>
      </w:tr>
      <w:tr>
        <w:trPr>
          <w:cantSplit/>
          <w:trHeight w:val="217"/>
          <w:tblHeader/>
        </w:trPr>
        <w:tc>
          <w:tcPr>
            <w:tcW w:w="2409" w:type="dxa"/>
            <w:vMerge/>
            <w:tcBorders>
              <w:bottom w:val="single" w:sz="4" w:space="0" w:color="auto"/>
            </w:tcBorders>
          </w:tcPr>
          <w:p>
            <w:pPr>
              <w:pStyle w:val="yTableNAm"/>
            </w:pPr>
          </w:p>
        </w:tc>
        <w:tc>
          <w:tcPr>
            <w:tcW w:w="2055" w:type="dxa"/>
            <w:tcBorders>
              <w:bottom w:val="single" w:sz="4" w:space="0" w:color="auto"/>
            </w:tcBorders>
          </w:tcPr>
          <w:p>
            <w:pPr>
              <w:pStyle w:val="yTableNAm"/>
              <w:jc w:val="center"/>
              <w:rPr>
                <w:b/>
                <w:bCs/>
              </w:rPr>
            </w:pPr>
            <w:r>
              <w:rPr>
                <w:b/>
                <w:bCs/>
              </w:rPr>
              <w:t>Up to 300</w:t>
            </w:r>
          </w:p>
        </w:tc>
        <w:tc>
          <w:tcPr>
            <w:tcW w:w="2056" w:type="dxa"/>
            <w:tcBorders>
              <w:bottom w:val="single" w:sz="4" w:space="0" w:color="auto"/>
            </w:tcBorders>
          </w:tcPr>
          <w:p>
            <w:pPr>
              <w:pStyle w:val="yTableNAm"/>
              <w:jc w:val="center"/>
              <w:rPr>
                <w:b/>
                <w:bCs/>
              </w:rPr>
            </w:pPr>
            <w:r>
              <w:rPr>
                <w:b/>
                <w:bCs/>
              </w:rPr>
              <w:t>Over 300</w:t>
            </w:r>
          </w:p>
        </w:tc>
      </w:tr>
      <w:tr>
        <w:tc>
          <w:tcPr>
            <w:tcW w:w="2409" w:type="dxa"/>
            <w:tcBorders>
              <w:top w:val="single" w:sz="4" w:space="0" w:color="auto"/>
            </w:tcBorders>
          </w:tcPr>
          <w:p>
            <w:pPr>
              <w:pStyle w:val="yTableNAm"/>
            </w:pPr>
            <w:r>
              <w:t>Class 1 (c/kL)</w:t>
            </w:r>
          </w:p>
        </w:tc>
        <w:tc>
          <w:tcPr>
            <w:tcW w:w="2055" w:type="dxa"/>
            <w:tcBorders>
              <w:top w:val="single" w:sz="4" w:space="0" w:color="auto"/>
            </w:tcBorders>
          </w:tcPr>
          <w:p>
            <w:pPr>
              <w:pStyle w:val="yTableNAm"/>
              <w:tabs>
                <w:tab w:val="clear" w:pos="567"/>
              </w:tabs>
              <w:jc w:val="center"/>
            </w:pPr>
            <w:r>
              <w:t>134.7</w:t>
            </w:r>
          </w:p>
        </w:tc>
        <w:tc>
          <w:tcPr>
            <w:tcW w:w="2056" w:type="dxa"/>
            <w:tcBorders>
              <w:top w:val="single" w:sz="4" w:space="0" w:color="auto"/>
            </w:tcBorders>
          </w:tcPr>
          <w:p>
            <w:pPr>
              <w:pStyle w:val="yTableNAm"/>
              <w:tabs>
                <w:tab w:val="clear" w:pos="567"/>
              </w:tabs>
              <w:jc w:val="center"/>
            </w:pPr>
            <w:r>
              <w:t>180.5</w:t>
            </w:r>
          </w:p>
        </w:tc>
      </w:tr>
      <w:tr>
        <w:tc>
          <w:tcPr>
            <w:tcW w:w="2409" w:type="dxa"/>
          </w:tcPr>
          <w:p>
            <w:pPr>
              <w:pStyle w:val="yTableNAm"/>
            </w:pPr>
            <w:r>
              <w:t>Class 2 (c/kL)</w:t>
            </w:r>
          </w:p>
        </w:tc>
        <w:tc>
          <w:tcPr>
            <w:tcW w:w="2055" w:type="dxa"/>
          </w:tcPr>
          <w:p>
            <w:pPr>
              <w:pStyle w:val="yTableNAm"/>
              <w:tabs>
                <w:tab w:val="clear" w:pos="567"/>
              </w:tabs>
              <w:jc w:val="center"/>
            </w:pPr>
            <w:r>
              <w:t>149.7</w:t>
            </w:r>
          </w:p>
        </w:tc>
        <w:tc>
          <w:tcPr>
            <w:tcW w:w="2056" w:type="dxa"/>
          </w:tcPr>
          <w:p>
            <w:pPr>
              <w:pStyle w:val="yTableNAm"/>
              <w:tabs>
                <w:tab w:val="clear" w:pos="567"/>
              </w:tabs>
              <w:jc w:val="center"/>
            </w:pPr>
            <w:r>
              <w:t>196.6</w:t>
            </w:r>
          </w:p>
        </w:tc>
      </w:tr>
      <w:tr>
        <w:tc>
          <w:tcPr>
            <w:tcW w:w="2409" w:type="dxa"/>
          </w:tcPr>
          <w:p>
            <w:pPr>
              <w:pStyle w:val="yTableNAm"/>
            </w:pPr>
            <w:r>
              <w:t>Class 3 (c/kL)</w:t>
            </w:r>
          </w:p>
        </w:tc>
        <w:tc>
          <w:tcPr>
            <w:tcW w:w="2055" w:type="dxa"/>
          </w:tcPr>
          <w:p>
            <w:pPr>
              <w:pStyle w:val="yTableNAm"/>
              <w:tabs>
                <w:tab w:val="clear" w:pos="567"/>
              </w:tabs>
              <w:jc w:val="center"/>
            </w:pPr>
            <w:r>
              <w:t>166.2</w:t>
            </w:r>
          </w:p>
        </w:tc>
        <w:tc>
          <w:tcPr>
            <w:tcW w:w="2056" w:type="dxa"/>
          </w:tcPr>
          <w:p>
            <w:pPr>
              <w:pStyle w:val="yTableNAm"/>
              <w:tabs>
                <w:tab w:val="clear" w:pos="567"/>
              </w:tabs>
              <w:jc w:val="center"/>
            </w:pPr>
            <w:r>
              <w:t>213.9</w:t>
            </w:r>
          </w:p>
        </w:tc>
      </w:tr>
      <w:tr>
        <w:tc>
          <w:tcPr>
            <w:tcW w:w="2409" w:type="dxa"/>
          </w:tcPr>
          <w:p>
            <w:pPr>
              <w:pStyle w:val="yTableNAm"/>
            </w:pPr>
            <w:r>
              <w:t>Class 4 (c/kL)</w:t>
            </w:r>
          </w:p>
        </w:tc>
        <w:tc>
          <w:tcPr>
            <w:tcW w:w="2055" w:type="dxa"/>
          </w:tcPr>
          <w:p>
            <w:pPr>
              <w:pStyle w:val="yTableNAm"/>
              <w:tabs>
                <w:tab w:val="clear" w:pos="567"/>
              </w:tabs>
              <w:jc w:val="center"/>
            </w:pPr>
            <w:r>
              <w:t>184.5</w:t>
            </w:r>
          </w:p>
        </w:tc>
        <w:tc>
          <w:tcPr>
            <w:tcW w:w="2056" w:type="dxa"/>
          </w:tcPr>
          <w:p>
            <w:pPr>
              <w:pStyle w:val="yTableNAm"/>
              <w:tabs>
                <w:tab w:val="clear" w:pos="567"/>
              </w:tabs>
              <w:jc w:val="center"/>
            </w:pPr>
            <w:r>
              <w:t>233.0</w:t>
            </w:r>
          </w:p>
        </w:tc>
      </w:tr>
      <w:tr>
        <w:tc>
          <w:tcPr>
            <w:tcW w:w="2409" w:type="dxa"/>
          </w:tcPr>
          <w:p>
            <w:pPr>
              <w:pStyle w:val="yTableNAm"/>
            </w:pPr>
            <w:r>
              <w:t>Class 5 (c/kL)</w:t>
            </w:r>
          </w:p>
        </w:tc>
        <w:tc>
          <w:tcPr>
            <w:tcW w:w="2055" w:type="dxa"/>
          </w:tcPr>
          <w:p>
            <w:pPr>
              <w:pStyle w:val="yTableNAm"/>
              <w:tabs>
                <w:tab w:val="clear" w:pos="567"/>
              </w:tabs>
              <w:jc w:val="center"/>
            </w:pPr>
            <w:r>
              <w:t>205.0</w:t>
            </w:r>
          </w:p>
        </w:tc>
        <w:tc>
          <w:tcPr>
            <w:tcW w:w="2056" w:type="dxa"/>
          </w:tcPr>
          <w:p>
            <w:pPr>
              <w:pStyle w:val="yTableNAm"/>
              <w:tabs>
                <w:tab w:val="clear" w:pos="567"/>
              </w:tabs>
              <w:jc w:val="center"/>
            </w:pPr>
            <w:r>
              <w:t>253.7</w:t>
            </w:r>
          </w:p>
        </w:tc>
      </w:tr>
      <w:tr>
        <w:tc>
          <w:tcPr>
            <w:tcW w:w="2409" w:type="dxa"/>
          </w:tcPr>
          <w:p>
            <w:pPr>
              <w:pStyle w:val="yTableNAm"/>
            </w:pPr>
            <w:r>
              <w:t>Class 6 (c/kL)</w:t>
            </w:r>
          </w:p>
        </w:tc>
        <w:tc>
          <w:tcPr>
            <w:tcW w:w="2055" w:type="dxa"/>
          </w:tcPr>
          <w:p>
            <w:pPr>
              <w:pStyle w:val="yTableNAm"/>
              <w:tabs>
                <w:tab w:val="clear" w:pos="567"/>
              </w:tabs>
              <w:jc w:val="center"/>
            </w:pPr>
            <w:r>
              <w:t>222.8</w:t>
            </w:r>
          </w:p>
        </w:tc>
        <w:tc>
          <w:tcPr>
            <w:tcW w:w="2056" w:type="dxa"/>
          </w:tcPr>
          <w:p>
            <w:pPr>
              <w:pStyle w:val="yTableNAm"/>
              <w:tabs>
                <w:tab w:val="clear" w:pos="567"/>
              </w:tabs>
              <w:jc w:val="center"/>
            </w:pPr>
            <w:r>
              <w:t>276.3</w:t>
            </w:r>
          </w:p>
        </w:tc>
      </w:tr>
      <w:tr>
        <w:tc>
          <w:tcPr>
            <w:tcW w:w="2409" w:type="dxa"/>
          </w:tcPr>
          <w:p>
            <w:pPr>
              <w:pStyle w:val="yTableNAm"/>
            </w:pPr>
            <w:r>
              <w:t>Class 7 (c/kL)</w:t>
            </w:r>
          </w:p>
        </w:tc>
        <w:tc>
          <w:tcPr>
            <w:tcW w:w="2055" w:type="dxa"/>
          </w:tcPr>
          <w:p>
            <w:pPr>
              <w:pStyle w:val="yTableNAm"/>
              <w:tabs>
                <w:tab w:val="clear" w:pos="567"/>
              </w:tabs>
              <w:jc w:val="center"/>
            </w:pPr>
            <w:r>
              <w:t>242.1</w:t>
            </w:r>
          </w:p>
        </w:tc>
        <w:tc>
          <w:tcPr>
            <w:tcW w:w="2056" w:type="dxa"/>
          </w:tcPr>
          <w:p>
            <w:pPr>
              <w:pStyle w:val="yTableNAm"/>
              <w:tabs>
                <w:tab w:val="clear" w:pos="567"/>
              </w:tabs>
              <w:jc w:val="center"/>
            </w:pPr>
            <w:r>
              <w:t>300.9</w:t>
            </w:r>
          </w:p>
        </w:tc>
      </w:tr>
      <w:tr>
        <w:tc>
          <w:tcPr>
            <w:tcW w:w="2409" w:type="dxa"/>
          </w:tcPr>
          <w:p>
            <w:pPr>
              <w:pStyle w:val="yTableNAm"/>
            </w:pPr>
            <w:r>
              <w:t>Class 8 (c/kL)</w:t>
            </w:r>
          </w:p>
        </w:tc>
        <w:tc>
          <w:tcPr>
            <w:tcW w:w="2055" w:type="dxa"/>
          </w:tcPr>
          <w:p>
            <w:pPr>
              <w:pStyle w:val="yTableNAm"/>
              <w:tabs>
                <w:tab w:val="clear" w:pos="567"/>
              </w:tabs>
              <w:jc w:val="center"/>
            </w:pPr>
            <w:r>
              <w:t>261.4</w:t>
            </w:r>
          </w:p>
        </w:tc>
        <w:tc>
          <w:tcPr>
            <w:tcW w:w="2056" w:type="dxa"/>
          </w:tcPr>
          <w:p>
            <w:pPr>
              <w:pStyle w:val="yTableNAm"/>
              <w:tabs>
                <w:tab w:val="clear" w:pos="567"/>
              </w:tabs>
              <w:jc w:val="center"/>
            </w:pPr>
            <w:r>
              <w:t>327.6</w:t>
            </w:r>
          </w:p>
        </w:tc>
      </w:tr>
      <w:tr>
        <w:tc>
          <w:tcPr>
            <w:tcW w:w="2409" w:type="dxa"/>
          </w:tcPr>
          <w:p>
            <w:pPr>
              <w:pStyle w:val="yTableNAm"/>
            </w:pPr>
            <w:r>
              <w:t>Class 9 (c/kL)</w:t>
            </w:r>
          </w:p>
        </w:tc>
        <w:tc>
          <w:tcPr>
            <w:tcW w:w="2055" w:type="dxa"/>
          </w:tcPr>
          <w:p>
            <w:pPr>
              <w:pStyle w:val="yTableNAm"/>
              <w:tabs>
                <w:tab w:val="clear" w:pos="567"/>
              </w:tabs>
              <w:jc w:val="center"/>
            </w:pPr>
            <w:r>
              <w:t>282.1</w:t>
            </w:r>
          </w:p>
        </w:tc>
        <w:tc>
          <w:tcPr>
            <w:tcW w:w="2056" w:type="dxa"/>
          </w:tcPr>
          <w:p>
            <w:pPr>
              <w:pStyle w:val="yTableNAm"/>
              <w:tabs>
                <w:tab w:val="clear" w:pos="567"/>
              </w:tabs>
              <w:jc w:val="center"/>
            </w:pPr>
            <w:r>
              <w:t>356.7</w:t>
            </w:r>
          </w:p>
        </w:tc>
      </w:tr>
      <w:tr>
        <w:tc>
          <w:tcPr>
            <w:tcW w:w="2409" w:type="dxa"/>
          </w:tcPr>
          <w:p>
            <w:pPr>
              <w:pStyle w:val="yTableNAm"/>
            </w:pPr>
            <w:r>
              <w:t>Class 10 (c/kL)</w:t>
            </w:r>
          </w:p>
        </w:tc>
        <w:tc>
          <w:tcPr>
            <w:tcW w:w="2055" w:type="dxa"/>
          </w:tcPr>
          <w:p>
            <w:pPr>
              <w:pStyle w:val="yTableNAm"/>
              <w:tabs>
                <w:tab w:val="clear" w:pos="567"/>
              </w:tabs>
              <w:jc w:val="center"/>
            </w:pPr>
            <w:r>
              <w:t>296.9</w:t>
            </w:r>
          </w:p>
        </w:tc>
        <w:tc>
          <w:tcPr>
            <w:tcW w:w="2056" w:type="dxa"/>
          </w:tcPr>
          <w:p>
            <w:pPr>
              <w:pStyle w:val="yTableNAm"/>
              <w:tabs>
                <w:tab w:val="clear" w:pos="567"/>
              </w:tabs>
              <w:jc w:val="center"/>
            </w:pPr>
            <w:r>
              <w:t>388.5</w:t>
            </w:r>
          </w:p>
        </w:tc>
      </w:tr>
      <w:tr>
        <w:tc>
          <w:tcPr>
            <w:tcW w:w="2409" w:type="dxa"/>
          </w:tcPr>
          <w:p>
            <w:pPr>
              <w:pStyle w:val="yTableNAm"/>
            </w:pPr>
            <w:r>
              <w:t>Class 11 (c/kL)</w:t>
            </w:r>
          </w:p>
        </w:tc>
        <w:tc>
          <w:tcPr>
            <w:tcW w:w="2055" w:type="dxa"/>
          </w:tcPr>
          <w:p>
            <w:pPr>
              <w:pStyle w:val="yTableNAm"/>
              <w:tabs>
                <w:tab w:val="clear" w:pos="567"/>
              </w:tabs>
              <w:jc w:val="center"/>
            </w:pPr>
            <w:r>
              <w:t>325.3</w:t>
            </w:r>
          </w:p>
        </w:tc>
        <w:tc>
          <w:tcPr>
            <w:tcW w:w="2056" w:type="dxa"/>
          </w:tcPr>
          <w:p>
            <w:pPr>
              <w:pStyle w:val="yTableNAm"/>
              <w:tabs>
                <w:tab w:val="clear" w:pos="567"/>
              </w:tabs>
              <w:jc w:val="center"/>
            </w:pPr>
            <w:r>
              <w:t>423.0</w:t>
            </w:r>
          </w:p>
        </w:tc>
      </w:tr>
      <w:tr>
        <w:tc>
          <w:tcPr>
            <w:tcW w:w="2409" w:type="dxa"/>
          </w:tcPr>
          <w:p>
            <w:pPr>
              <w:pStyle w:val="yTableNAm"/>
            </w:pPr>
            <w:r>
              <w:t>Class 12 (c/kL)</w:t>
            </w:r>
          </w:p>
        </w:tc>
        <w:tc>
          <w:tcPr>
            <w:tcW w:w="2055" w:type="dxa"/>
          </w:tcPr>
          <w:p>
            <w:pPr>
              <w:pStyle w:val="yTableNAm"/>
              <w:tabs>
                <w:tab w:val="clear" w:pos="567"/>
              </w:tabs>
              <w:jc w:val="center"/>
            </w:pPr>
            <w:r>
              <w:t>356.4</w:t>
            </w:r>
          </w:p>
        </w:tc>
        <w:tc>
          <w:tcPr>
            <w:tcW w:w="2056" w:type="dxa"/>
          </w:tcPr>
          <w:p>
            <w:pPr>
              <w:pStyle w:val="yTableNAm"/>
              <w:tabs>
                <w:tab w:val="clear" w:pos="567"/>
              </w:tabs>
              <w:jc w:val="center"/>
            </w:pPr>
            <w:r>
              <w:t>460.7</w:t>
            </w:r>
          </w:p>
        </w:tc>
      </w:tr>
      <w:tr>
        <w:tc>
          <w:tcPr>
            <w:tcW w:w="2409" w:type="dxa"/>
          </w:tcPr>
          <w:p>
            <w:pPr>
              <w:pStyle w:val="yTableNAm"/>
            </w:pPr>
            <w:r>
              <w:t>Class 13 (c/kL)</w:t>
            </w:r>
          </w:p>
        </w:tc>
        <w:tc>
          <w:tcPr>
            <w:tcW w:w="2055" w:type="dxa"/>
          </w:tcPr>
          <w:p>
            <w:pPr>
              <w:pStyle w:val="yTableNAm"/>
              <w:tabs>
                <w:tab w:val="clear" w:pos="567"/>
              </w:tabs>
              <w:jc w:val="center"/>
            </w:pPr>
            <w:r>
              <w:t>390.4</w:t>
            </w:r>
          </w:p>
        </w:tc>
        <w:tc>
          <w:tcPr>
            <w:tcW w:w="2056" w:type="dxa"/>
          </w:tcPr>
          <w:p>
            <w:pPr>
              <w:pStyle w:val="yTableNAm"/>
              <w:tabs>
                <w:tab w:val="clear" w:pos="567"/>
              </w:tabs>
              <w:jc w:val="center"/>
            </w:pPr>
            <w:r>
              <w:t>501.6</w:t>
            </w:r>
          </w:p>
        </w:tc>
      </w:tr>
      <w:tr>
        <w:tc>
          <w:tcPr>
            <w:tcW w:w="2409" w:type="dxa"/>
          </w:tcPr>
          <w:p>
            <w:pPr>
              <w:pStyle w:val="yTableNAm"/>
            </w:pPr>
            <w:r>
              <w:t>Class 14 (c/kL)</w:t>
            </w:r>
          </w:p>
        </w:tc>
        <w:tc>
          <w:tcPr>
            <w:tcW w:w="2055" w:type="dxa"/>
          </w:tcPr>
          <w:p>
            <w:pPr>
              <w:pStyle w:val="yTableNAm"/>
              <w:tabs>
                <w:tab w:val="clear" w:pos="567"/>
              </w:tabs>
              <w:jc w:val="center"/>
            </w:pPr>
            <w:r>
              <w:t>427.8</w:t>
            </w:r>
          </w:p>
        </w:tc>
        <w:tc>
          <w:tcPr>
            <w:tcW w:w="2056" w:type="dxa"/>
          </w:tcPr>
          <w:p>
            <w:pPr>
              <w:pStyle w:val="yTableNAm"/>
              <w:tabs>
                <w:tab w:val="clear" w:pos="567"/>
              </w:tabs>
              <w:jc w:val="center"/>
            </w:pPr>
            <w:r>
              <w:t>546.2</w:t>
            </w:r>
          </w:p>
        </w:tc>
      </w:tr>
      <w:tr>
        <w:tc>
          <w:tcPr>
            <w:tcW w:w="2409" w:type="dxa"/>
            <w:tcBorders>
              <w:bottom w:val="single" w:sz="4" w:space="0" w:color="auto"/>
            </w:tcBorders>
          </w:tcPr>
          <w:p>
            <w:pPr>
              <w:pStyle w:val="yTableNAm"/>
            </w:pPr>
            <w:r>
              <w:t>Class 15 (c/kL)</w:t>
            </w:r>
          </w:p>
        </w:tc>
        <w:tc>
          <w:tcPr>
            <w:tcW w:w="2055" w:type="dxa"/>
            <w:tcBorders>
              <w:bottom w:val="single" w:sz="4" w:space="0" w:color="auto"/>
            </w:tcBorders>
          </w:tcPr>
          <w:p>
            <w:pPr>
              <w:pStyle w:val="yTableNAm"/>
              <w:tabs>
                <w:tab w:val="clear" w:pos="567"/>
              </w:tabs>
              <w:jc w:val="center"/>
            </w:pPr>
            <w:r>
              <w:t>468.6</w:t>
            </w:r>
          </w:p>
        </w:tc>
        <w:tc>
          <w:tcPr>
            <w:tcW w:w="2056" w:type="dxa"/>
            <w:tcBorders>
              <w:bottom w:val="single" w:sz="4" w:space="0" w:color="auto"/>
            </w:tcBorders>
          </w:tcPr>
          <w:p>
            <w:pPr>
              <w:pStyle w:val="yTableNAm"/>
              <w:tabs>
                <w:tab w:val="clear" w:pos="567"/>
              </w:tabs>
              <w:jc w:val="center"/>
            </w:pPr>
            <w:r>
              <w:t>594.8</w:t>
            </w:r>
          </w:p>
        </w:tc>
      </w:tr>
    </w:tbl>
    <w:p>
      <w:pPr>
        <w:pStyle w:val="yFootnotesection"/>
      </w:pPr>
      <w:r>
        <w:tab/>
        <w:t>[Schedule 8 inserted in Gazette 25 Jun 2010 p. 2959</w:t>
      </w:r>
      <w:r>
        <w:noBreakHyphen/>
        <w:t>61.]</w:t>
      </w:r>
    </w:p>
    <w:p>
      <w:pPr>
        <w:tabs>
          <w:tab w:val="left" w:pos="416"/>
          <w:tab w:val="left" w:pos="697"/>
          <w:tab w:val="left" w:pos="776"/>
          <w:tab w:val="left" w:pos="840"/>
          <w:tab w:val="left" w:pos="896"/>
          <w:tab w:val="left" w:pos="1016"/>
          <w:tab w:val="left" w:pos="1057"/>
          <w:tab w:val="decimal" w:pos="1172"/>
          <w:tab w:val="right" w:pos="1212"/>
          <w:tab w:val="left" w:pos="1452"/>
          <w:tab w:val="left" w:pos="1856"/>
          <w:tab w:val="left" w:leader="dot" w:pos="4212"/>
          <w:tab w:val="right" w:leader="dot" w:pos="4253"/>
          <w:tab w:val="left" w:leader="dot" w:pos="4584"/>
          <w:tab w:val="left" w:pos="5387"/>
        </w:tabs>
        <w:spacing w:before="180"/>
        <w:ind w:left="896" w:right="116" w:hanging="896"/>
        <w:rPr>
          <w:b/>
          <w:bCs/>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yScheduleHeading"/>
      </w:pPr>
      <w:bookmarkStart w:id="893" w:name="_Toc265743691"/>
      <w:bookmarkStart w:id="894" w:name="_Toc233448465"/>
      <w:bookmarkStart w:id="895" w:name="_Toc233611735"/>
      <w:bookmarkStart w:id="896" w:name="_Toc234730742"/>
      <w:bookmarkStart w:id="897" w:name="_Toc234733268"/>
      <w:bookmarkStart w:id="898" w:name="_Toc235864005"/>
      <w:bookmarkStart w:id="899" w:name="_Toc235933480"/>
      <w:bookmarkStart w:id="900" w:name="_Toc237164468"/>
      <w:bookmarkStart w:id="901" w:name="_Toc237244352"/>
      <w:bookmarkStart w:id="902" w:name="_Toc237245676"/>
      <w:bookmarkStart w:id="903" w:name="_Toc237245807"/>
      <w:bookmarkStart w:id="904" w:name="_Toc237247949"/>
      <w:bookmarkStart w:id="905" w:name="_Toc237254264"/>
      <w:bookmarkStart w:id="906" w:name="_Toc237309683"/>
      <w:bookmarkEnd w:id="872"/>
      <w:bookmarkEnd w:id="873"/>
      <w:bookmarkEnd w:id="874"/>
      <w:bookmarkEnd w:id="875"/>
      <w:bookmarkEnd w:id="876"/>
      <w:bookmarkEnd w:id="877"/>
      <w:r>
        <w:rPr>
          <w:rStyle w:val="CharSchNo"/>
        </w:rPr>
        <w:t>Schedule 9</w:t>
      </w:r>
      <w:r>
        <w:t> — </w:t>
      </w:r>
      <w:r>
        <w:rPr>
          <w:rStyle w:val="CharSchText"/>
        </w:rPr>
        <w:t>Classification of towns/areas for the purpose of determining quantity charges in the previous year</w:t>
      </w:r>
      <w:bookmarkEnd w:id="893"/>
    </w:p>
    <w:p>
      <w:pPr>
        <w:pStyle w:val="yShoulderClause"/>
      </w:pPr>
      <w:r>
        <w:t>[bl. 17D(3)]</w:t>
      </w:r>
    </w:p>
    <w:p>
      <w:pPr>
        <w:pStyle w:val="yFootnoteheading"/>
        <w:spacing w:after="120"/>
      </w:pPr>
      <w:r>
        <w:tab/>
        <w:t>[Heading inserted in Gazette 25 Jun 2010 p. 2961.]</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0"/>
        <w:gridCol w:w="1800"/>
        <w:gridCol w:w="12"/>
        <w:gridCol w:w="1788"/>
        <w:gridCol w:w="25"/>
      </w:tblGrid>
      <w:tr>
        <w:trPr>
          <w:tblHeader/>
        </w:trPr>
        <w:tc>
          <w:tcPr>
            <w:tcW w:w="2920" w:type="dxa"/>
            <w:tcBorders>
              <w:top w:val="single" w:sz="4" w:space="0" w:color="auto"/>
              <w:left w:val="nil"/>
              <w:bottom w:val="single" w:sz="4" w:space="0" w:color="auto"/>
              <w:right w:val="nil"/>
            </w:tcBorders>
          </w:tcPr>
          <w:p>
            <w:pPr>
              <w:pStyle w:val="yTableNAm"/>
              <w:jc w:val="center"/>
              <w:rPr>
                <w:b/>
                <w:bCs/>
              </w:rPr>
            </w:pPr>
            <w:r>
              <w:rPr>
                <w:b/>
                <w:bCs/>
              </w:rPr>
              <w:t>Town/area</w:t>
            </w:r>
          </w:p>
        </w:tc>
        <w:tc>
          <w:tcPr>
            <w:tcW w:w="1812" w:type="dxa"/>
            <w:gridSpan w:val="2"/>
            <w:tcBorders>
              <w:top w:val="single" w:sz="4" w:space="0" w:color="auto"/>
              <w:left w:val="nil"/>
              <w:bottom w:val="single" w:sz="4" w:space="0" w:color="auto"/>
              <w:right w:val="nil"/>
            </w:tcBorders>
          </w:tcPr>
          <w:p>
            <w:pPr>
              <w:pStyle w:val="yTableNAm"/>
              <w:jc w:val="center"/>
              <w:rPr>
                <w:b/>
                <w:bCs/>
              </w:rPr>
            </w:pPr>
            <w:r>
              <w:rPr>
                <w:b/>
                <w:bCs/>
              </w:rPr>
              <w:t>Residential classification</w:t>
            </w:r>
          </w:p>
        </w:tc>
        <w:tc>
          <w:tcPr>
            <w:tcW w:w="1813" w:type="dxa"/>
            <w:gridSpan w:val="2"/>
            <w:tcBorders>
              <w:top w:val="single" w:sz="4" w:space="0" w:color="auto"/>
              <w:left w:val="nil"/>
              <w:bottom w:val="single" w:sz="4" w:space="0" w:color="auto"/>
              <w:right w:val="nil"/>
            </w:tcBorders>
          </w:tcPr>
          <w:p>
            <w:pPr>
              <w:pStyle w:val="yTableNAm"/>
              <w:jc w:val="center"/>
              <w:rPr>
                <w:b/>
                <w:bCs/>
              </w:rPr>
            </w:pPr>
            <w:r>
              <w:rPr>
                <w:b/>
                <w:bCs/>
              </w:rPr>
              <w:t>Non</w:t>
            </w:r>
            <w:r>
              <w:rPr>
                <w:b/>
                <w:bCs/>
              </w:rPr>
              <w:noBreakHyphen/>
              <w:t>residential classification</w:t>
            </w:r>
          </w:p>
        </w:tc>
      </w:tr>
      <w:tr>
        <w:trPr>
          <w:gridAfter w:val="1"/>
          <w:wAfter w:w="25" w:type="dxa"/>
        </w:trPr>
        <w:tc>
          <w:tcPr>
            <w:tcW w:w="2920" w:type="dxa"/>
            <w:tcBorders>
              <w:top w:val="single" w:sz="4" w:space="0" w:color="auto"/>
              <w:left w:val="nil"/>
              <w:bottom w:val="nil"/>
              <w:right w:val="nil"/>
            </w:tcBorders>
            <w:vAlign w:val="center"/>
          </w:tcPr>
          <w:p>
            <w:pPr>
              <w:pStyle w:val="yTableNAm"/>
            </w:pPr>
            <w:r>
              <w:t>Albany</w:t>
            </w:r>
          </w:p>
        </w:tc>
        <w:tc>
          <w:tcPr>
            <w:tcW w:w="1800" w:type="dxa"/>
            <w:tcBorders>
              <w:top w:val="single" w:sz="4" w:space="0" w:color="auto"/>
              <w:left w:val="nil"/>
              <w:bottom w:val="nil"/>
              <w:right w:val="nil"/>
            </w:tcBorders>
            <w:vAlign w:val="center"/>
          </w:tcPr>
          <w:p>
            <w:pPr>
              <w:pStyle w:val="yTableNAm"/>
              <w:jc w:val="center"/>
            </w:pPr>
            <w:r>
              <w:t>2</w:t>
            </w:r>
          </w:p>
        </w:tc>
        <w:tc>
          <w:tcPr>
            <w:tcW w:w="1800" w:type="dxa"/>
            <w:gridSpan w:val="2"/>
            <w:tcBorders>
              <w:top w:val="single" w:sz="4" w:space="0" w:color="auto"/>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Albany Farmlands</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Allanooka Farmlands</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Allanson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Arrino</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Arrowsmith Farmlands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Augusta</w:t>
            </w:r>
          </w:p>
        </w:tc>
        <w:tc>
          <w:tcPr>
            <w:tcW w:w="1800" w:type="dxa"/>
            <w:tcBorders>
              <w:top w:val="nil"/>
              <w:left w:val="nil"/>
              <w:bottom w:val="nil"/>
              <w:right w:val="nil"/>
            </w:tcBorders>
            <w:vAlign w:val="center"/>
          </w:tcPr>
          <w:p>
            <w:pPr>
              <w:pStyle w:val="yTableNAm"/>
              <w:jc w:val="center"/>
              <w:rPr>
                <w:spacing w:val="-2"/>
                <w:szCs w:val="12"/>
              </w:rPr>
            </w:pPr>
            <w:r>
              <w:rPr>
                <w:spacing w:val="-2"/>
                <w:szCs w:val="12"/>
              </w:rP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Australind/Eaton</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Badgingarra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Bakers Hill</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Balingup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Ballidu</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Beacon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Bencubbin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Beverley</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Bindi Bindi</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Bindoon/Chittering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Binningup</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Bodallin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Boddington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Bolgart</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Borden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Boyanup</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Boyup Brook</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Bremer Bay</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Bridgetown/Hester</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Broad Arrow</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Brookton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Broome</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Broomehill</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Bruce Rock</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Brunswick/Burekup/Roelands</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6</w:t>
            </w:r>
          </w:p>
        </w:tc>
      </w:tr>
      <w:tr>
        <w:trPr>
          <w:gridAfter w:val="1"/>
          <w:wAfter w:w="25" w:type="dxa"/>
        </w:trPr>
        <w:tc>
          <w:tcPr>
            <w:tcW w:w="2920" w:type="dxa"/>
            <w:tcBorders>
              <w:top w:val="nil"/>
              <w:left w:val="nil"/>
              <w:bottom w:val="nil"/>
              <w:right w:val="nil"/>
            </w:tcBorders>
            <w:vAlign w:val="center"/>
          </w:tcPr>
          <w:p>
            <w:pPr>
              <w:pStyle w:val="yTableNAm"/>
            </w:pPr>
            <w:r>
              <w:t>Bullaring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Bullfinch</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Bunjil</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Buntine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Burracoppin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Calingiri</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Camballin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Capel</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2</w:t>
            </w:r>
          </w:p>
        </w:tc>
      </w:tr>
      <w:tr>
        <w:trPr>
          <w:gridAfter w:val="1"/>
          <w:wAfter w:w="25" w:type="dxa"/>
        </w:trPr>
        <w:tc>
          <w:tcPr>
            <w:tcW w:w="2920" w:type="dxa"/>
            <w:tcBorders>
              <w:top w:val="nil"/>
              <w:left w:val="nil"/>
              <w:bottom w:val="nil"/>
              <w:right w:val="nil"/>
            </w:tcBorders>
            <w:vAlign w:val="center"/>
          </w:tcPr>
          <w:p>
            <w:pPr>
              <w:pStyle w:val="yTableNAm"/>
            </w:pPr>
            <w:r>
              <w:t>Carnamah</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Carnarvon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Caron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Cervantes</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Collie</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Collie Farmlands</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Condingup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Coolgardie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Coomberdale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Coorow</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Coral Bay</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N/A</w:t>
            </w:r>
          </w:p>
        </w:tc>
      </w:tr>
      <w:tr>
        <w:trPr>
          <w:gridAfter w:val="1"/>
          <w:wAfter w:w="25" w:type="dxa"/>
        </w:trPr>
        <w:tc>
          <w:tcPr>
            <w:tcW w:w="2920" w:type="dxa"/>
            <w:tcBorders>
              <w:top w:val="nil"/>
              <w:left w:val="nil"/>
              <w:bottom w:val="nil"/>
              <w:right w:val="nil"/>
            </w:tcBorders>
            <w:vAlign w:val="center"/>
          </w:tcPr>
          <w:p>
            <w:pPr>
              <w:pStyle w:val="yTableNAm"/>
            </w:pPr>
            <w:r>
              <w:t>Corrigin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Cowaramup</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Cranbrook</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Cuballing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Cue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Cunderdin</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Dalwallinu</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Dalyellup</w:t>
            </w:r>
          </w:p>
        </w:tc>
        <w:tc>
          <w:tcPr>
            <w:tcW w:w="1800" w:type="dxa"/>
            <w:tcBorders>
              <w:top w:val="nil"/>
              <w:left w:val="nil"/>
              <w:bottom w:val="nil"/>
              <w:right w:val="nil"/>
            </w:tcBorders>
            <w:vAlign w:val="center"/>
          </w:tcPr>
          <w:p>
            <w:pPr>
              <w:pStyle w:val="yTableNAm"/>
              <w:jc w:val="center"/>
              <w:rPr>
                <w:spacing w:val="-2"/>
                <w:szCs w:val="12"/>
              </w:rPr>
            </w:pPr>
            <w:r>
              <w:rPr>
                <w:spacing w:val="-2"/>
                <w:szCs w:val="12"/>
              </w:rPr>
              <w:t>1</w:t>
            </w:r>
          </w:p>
        </w:tc>
        <w:tc>
          <w:tcPr>
            <w:tcW w:w="1800" w:type="dxa"/>
            <w:gridSpan w:val="2"/>
            <w:tcBorders>
              <w:top w:val="nil"/>
              <w:left w:val="nil"/>
              <w:bottom w:val="nil"/>
              <w:right w:val="nil"/>
            </w:tcBorders>
            <w:vAlign w:val="center"/>
          </w:tcPr>
          <w:p>
            <w:pPr>
              <w:pStyle w:val="yTableNAm"/>
              <w:jc w:val="center"/>
            </w:pPr>
            <w:r>
              <w:t>4</w:t>
            </w:r>
          </w:p>
        </w:tc>
      </w:tr>
      <w:tr>
        <w:trPr>
          <w:gridAfter w:val="1"/>
          <w:wAfter w:w="25" w:type="dxa"/>
        </w:trPr>
        <w:tc>
          <w:tcPr>
            <w:tcW w:w="2920" w:type="dxa"/>
            <w:tcBorders>
              <w:top w:val="nil"/>
              <w:left w:val="nil"/>
              <w:bottom w:val="nil"/>
              <w:right w:val="nil"/>
            </w:tcBorders>
            <w:vAlign w:val="center"/>
          </w:tcPr>
          <w:p>
            <w:pPr>
              <w:pStyle w:val="yTableNAm"/>
            </w:pPr>
            <w:r>
              <w:t>Dandaragan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tcPr>
          <w:p>
            <w:pPr>
              <w:pStyle w:val="yTableNAm"/>
              <w:jc w:val="center"/>
            </w:pPr>
            <w:r>
              <w:t>11</w:t>
            </w:r>
          </w:p>
        </w:tc>
      </w:tr>
      <w:tr>
        <w:trPr>
          <w:gridAfter w:val="1"/>
          <w:wAfter w:w="25" w:type="dxa"/>
        </w:trPr>
        <w:tc>
          <w:tcPr>
            <w:tcW w:w="2920" w:type="dxa"/>
            <w:tcBorders>
              <w:top w:val="nil"/>
              <w:left w:val="nil"/>
              <w:bottom w:val="nil"/>
              <w:right w:val="nil"/>
            </w:tcBorders>
          </w:tcPr>
          <w:p>
            <w:pPr>
              <w:pStyle w:val="yTableNAm"/>
            </w:pPr>
            <w:r>
              <w:t>Dardanup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Darkan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Dathagnoorara Farmlands</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Denham (Saline)</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6</w:t>
            </w:r>
          </w:p>
        </w:tc>
      </w:tr>
      <w:tr>
        <w:trPr>
          <w:gridAfter w:val="1"/>
          <w:wAfter w:w="25" w:type="dxa"/>
        </w:trPr>
        <w:tc>
          <w:tcPr>
            <w:tcW w:w="2920" w:type="dxa"/>
            <w:tcBorders>
              <w:top w:val="nil"/>
              <w:left w:val="nil"/>
              <w:bottom w:val="nil"/>
              <w:right w:val="nil"/>
            </w:tcBorders>
            <w:vAlign w:val="center"/>
          </w:tcPr>
          <w:p>
            <w:pPr>
              <w:pStyle w:val="yTableNAm"/>
            </w:pPr>
            <w:r>
              <w:t>Denmark</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Derby</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Dongara/Denison</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Donnybrook</w:t>
            </w:r>
          </w:p>
        </w:tc>
        <w:tc>
          <w:tcPr>
            <w:tcW w:w="1800" w:type="dxa"/>
            <w:tcBorders>
              <w:top w:val="nil"/>
              <w:left w:val="nil"/>
              <w:bottom w:val="nil"/>
              <w:right w:val="nil"/>
            </w:tcBorders>
            <w:vAlign w:val="center"/>
          </w:tcPr>
          <w:p>
            <w:pPr>
              <w:pStyle w:val="yTableNAm"/>
              <w:jc w:val="center"/>
              <w:rPr>
                <w:rStyle w:val="CharacterStyle1"/>
              </w:rPr>
            </w:pPr>
            <w:r>
              <w:t>2</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Doodlakine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Dowerin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Dudinin/Harrismith/Jitarning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Dumbleyung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Dunsborough/Yallingup</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6</w:t>
            </w:r>
          </w:p>
        </w:tc>
      </w:tr>
      <w:tr>
        <w:trPr>
          <w:gridAfter w:val="1"/>
          <w:wAfter w:w="25" w:type="dxa"/>
        </w:trPr>
        <w:tc>
          <w:tcPr>
            <w:tcW w:w="2920" w:type="dxa"/>
            <w:tcBorders>
              <w:top w:val="nil"/>
              <w:left w:val="nil"/>
              <w:bottom w:val="nil"/>
              <w:right w:val="nil"/>
            </w:tcBorders>
            <w:vAlign w:val="center"/>
          </w:tcPr>
          <w:p>
            <w:pPr>
              <w:pStyle w:val="yTableNAm"/>
            </w:pPr>
            <w:r>
              <w:t>Dwellingup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Eneabba</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Eradu</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Esperance</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Exmouth</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Fitzroy Crossing</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5</w:t>
            </w:r>
          </w:p>
        </w:tc>
      </w:tr>
      <w:tr>
        <w:trPr>
          <w:gridAfter w:val="1"/>
          <w:wAfter w:w="25" w:type="dxa"/>
        </w:trPr>
        <w:tc>
          <w:tcPr>
            <w:tcW w:w="2920" w:type="dxa"/>
            <w:tcBorders>
              <w:top w:val="nil"/>
              <w:left w:val="nil"/>
              <w:bottom w:val="nil"/>
              <w:right w:val="nil"/>
            </w:tcBorders>
            <w:vAlign w:val="center"/>
          </w:tcPr>
          <w:p>
            <w:pPr>
              <w:pStyle w:val="yTableNAm"/>
            </w:pPr>
            <w:r>
              <w:t>Frankland</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Gabbadah</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Gascoyne Junction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Geraldton</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Gibson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Gingin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Gnarabup</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Gnowangerup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Goomalling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Grass Patch</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Grass Valley</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Greenbushes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Greenhead</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Guilderton</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Halls Creek</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Hamel/Waroona</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Harvey/Wokalup</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Highbury/Piesseville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Hines Hill</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Hopetoun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Horrocks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Hyden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Jerramungup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Jurien Bay</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Kalannie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Kalbarri</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Kalgoorlie/Boulder</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Kambalda</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5</w:t>
            </w:r>
          </w:p>
        </w:tc>
      </w:tr>
      <w:tr>
        <w:trPr>
          <w:gridAfter w:val="1"/>
          <w:wAfter w:w="25" w:type="dxa"/>
        </w:trPr>
        <w:tc>
          <w:tcPr>
            <w:tcW w:w="2920" w:type="dxa"/>
            <w:tcBorders>
              <w:top w:val="nil"/>
              <w:left w:val="nil"/>
              <w:bottom w:val="nil"/>
              <w:right w:val="nil"/>
            </w:tcBorders>
            <w:vAlign w:val="center"/>
          </w:tcPr>
          <w:p>
            <w:pPr>
              <w:pStyle w:val="yTableNAm"/>
            </w:pPr>
            <w:r>
              <w:t>Karakin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Karlgarin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Karratha</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Katanning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Katanning Farmlands</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Kellerberrin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Kendenup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Kendenup Farmlands</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Kirup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Kojonup/Muradup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Kondinin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Koorda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Kukerin/Moulyinning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Kulin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Kununoppin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tcPr>
          <w:p>
            <w:pPr>
              <w:pStyle w:val="yTableNAm"/>
            </w:pPr>
            <w:r>
              <w:t>Kununurra</w:t>
            </w:r>
          </w:p>
        </w:tc>
        <w:tc>
          <w:tcPr>
            <w:tcW w:w="1800" w:type="dxa"/>
            <w:tcBorders>
              <w:top w:val="nil"/>
              <w:left w:val="nil"/>
              <w:bottom w:val="nil"/>
              <w:right w:val="nil"/>
            </w:tcBorders>
          </w:tcPr>
          <w:p>
            <w:pPr>
              <w:pStyle w:val="yTableNAm"/>
              <w:jc w:val="center"/>
            </w:pPr>
            <w:r>
              <w:t>2</w:t>
            </w:r>
          </w:p>
        </w:tc>
        <w:tc>
          <w:tcPr>
            <w:tcW w:w="1800" w:type="dxa"/>
            <w:gridSpan w:val="2"/>
            <w:tcBorders>
              <w:top w:val="nil"/>
              <w:left w:val="nil"/>
              <w:bottom w:val="nil"/>
              <w:right w:val="nil"/>
            </w:tcBorders>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Lake Argyle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Lake Grace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Lake King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Lancelin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Latham</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Laverton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Ledge Point</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Leeman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Leonora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Mandurah</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Manjimup</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Marble Bar</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Margaret River</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Marvel Loch</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Meckering</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Meekatharra</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Menzies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Merredin</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Merredin Farmlands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Miling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Mingenew</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Moora</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Moorine Rock</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Morawa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Mount Barker</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Mount Magnet</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Mount Roe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Mukinbudin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Mullalyup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Mullewa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Mullewa Farmlands</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Munglinup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Muntadgin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Myalup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Nabawa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Nannup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Narembeen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Narngulu</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Narrikup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Narrogin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Narrogin Farmlands</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New Norcia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Newdegate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Newman</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Nilgen</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4</w:t>
            </w:r>
          </w:p>
        </w:tc>
      </w:tr>
      <w:tr>
        <w:trPr>
          <w:gridAfter w:val="1"/>
          <w:wAfter w:w="25" w:type="dxa"/>
        </w:trPr>
        <w:tc>
          <w:tcPr>
            <w:tcW w:w="2920" w:type="dxa"/>
            <w:tcBorders>
              <w:top w:val="nil"/>
              <w:left w:val="nil"/>
              <w:bottom w:val="nil"/>
              <w:right w:val="nil"/>
            </w:tcBorders>
            <w:vAlign w:val="center"/>
          </w:tcPr>
          <w:p>
            <w:pPr>
              <w:pStyle w:val="yTableNAm"/>
            </w:pPr>
            <w:r>
              <w:t>Norseman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North Dandalup</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Northam</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Northam Farmlands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Northampton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Northcliffe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Nullagine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Nungarin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Nyabing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Ongerup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Onslow</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Ora Banda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Park Ridge</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Pemberton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Peppermint Grove Beach</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Perenjori</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Pingaring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Pingelly</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Pingrup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Pinjarra</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2</w:t>
            </w:r>
          </w:p>
        </w:tc>
      </w:tr>
      <w:tr>
        <w:trPr>
          <w:gridAfter w:val="1"/>
          <w:wAfter w:w="25" w:type="dxa"/>
        </w:trPr>
        <w:tc>
          <w:tcPr>
            <w:tcW w:w="2920" w:type="dxa"/>
            <w:tcBorders>
              <w:top w:val="nil"/>
              <w:left w:val="nil"/>
              <w:bottom w:val="nil"/>
              <w:right w:val="nil"/>
            </w:tcBorders>
            <w:vAlign w:val="center"/>
          </w:tcPr>
          <w:p>
            <w:pPr>
              <w:pStyle w:val="yTableNAm"/>
            </w:pPr>
            <w:r>
              <w:t>Pithara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Point Samson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Popanyinning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Porongurup</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Porongurup Farmlands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Port Hedland</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Preston Beach</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Quairading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Quinninup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Ravensthorpe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Rocky Gully</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Roebourne</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Salmon Gums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Sandstone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Seabird</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South Hedland</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Southern Cross</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6</w:t>
            </w:r>
          </w:p>
        </w:tc>
      </w:tr>
      <w:tr>
        <w:trPr>
          <w:gridAfter w:val="1"/>
          <w:wAfter w:w="25" w:type="dxa"/>
        </w:trPr>
        <w:tc>
          <w:tcPr>
            <w:tcW w:w="2920" w:type="dxa"/>
            <w:tcBorders>
              <w:top w:val="nil"/>
              <w:left w:val="nil"/>
              <w:bottom w:val="nil"/>
              <w:right w:val="nil"/>
            </w:tcBorders>
            <w:vAlign w:val="center"/>
          </w:tcPr>
          <w:p>
            <w:pPr>
              <w:pStyle w:val="yTableNAm"/>
            </w:pPr>
            <w:r>
              <w:t>Tambellup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Tammin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Three Springs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Tincurrin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Toodyay</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Trayning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Varley</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Wagin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Walkaway</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Walpole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Wandering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Watheroo</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Wellstead</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Westonia</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Wickepin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Wickham</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Widgiemooltha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Williams</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Wiluna</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Wongan Hills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Woodanilling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Woodridge</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Wubin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Wundowie</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Wyalkatchem</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Wyndham</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Yalgoo</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Yarloop/Wagerup</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Yealering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Yerecoin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York</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Yuna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bl>
    <w:p>
      <w:pPr>
        <w:pStyle w:val="yFootnotesection"/>
      </w:pPr>
      <w:r>
        <w:tab/>
        <w:t>[Schedule 9 inserted in Gazette 25 Jun 2010 p. 2961</w:t>
      </w:r>
      <w:r>
        <w:noBreakHyphen/>
        <w:t>71.]</w:t>
      </w:r>
    </w:p>
    <w:p>
      <w:pPr>
        <w:pStyle w:val="yScheduleHeading"/>
      </w:pPr>
      <w:bookmarkStart w:id="907" w:name="_Toc265743692"/>
      <w:bookmarkEnd w:id="894"/>
      <w:bookmarkEnd w:id="895"/>
      <w:bookmarkEnd w:id="896"/>
      <w:bookmarkEnd w:id="897"/>
      <w:bookmarkEnd w:id="898"/>
      <w:bookmarkEnd w:id="899"/>
      <w:bookmarkEnd w:id="900"/>
      <w:bookmarkEnd w:id="901"/>
      <w:bookmarkEnd w:id="902"/>
      <w:bookmarkEnd w:id="903"/>
      <w:bookmarkEnd w:id="904"/>
      <w:bookmarkEnd w:id="905"/>
      <w:bookmarkEnd w:id="906"/>
      <w:r>
        <w:rPr>
          <w:rStyle w:val="CharSchNo"/>
        </w:rPr>
        <w:t>Schedule 10</w:t>
      </w:r>
      <w:r>
        <w:t> — </w:t>
      </w:r>
      <w:r>
        <w:rPr>
          <w:rStyle w:val="CharSchText"/>
        </w:rPr>
        <w:t>Classification of towns/areas for the purpose of determining quantity charges in the current year</w:t>
      </w:r>
      <w:bookmarkEnd w:id="907"/>
    </w:p>
    <w:p>
      <w:pPr>
        <w:pStyle w:val="yShoulderClause"/>
      </w:pPr>
      <w:r>
        <w:t>[bl. 17D(3)]</w:t>
      </w:r>
    </w:p>
    <w:p>
      <w:pPr>
        <w:pStyle w:val="yFootnoteheading"/>
        <w:spacing w:after="120"/>
      </w:pPr>
      <w:r>
        <w:tab/>
        <w:t>[Heading inserted in Gazette 25 Jun 2010 p. 2971.]</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0"/>
        <w:gridCol w:w="1800"/>
        <w:gridCol w:w="1800"/>
      </w:tblGrid>
      <w:tr>
        <w:trPr>
          <w:tblHeader/>
        </w:trPr>
        <w:tc>
          <w:tcPr>
            <w:tcW w:w="2920" w:type="dxa"/>
            <w:tcBorders>
              <w:top w:val="single" w:sz="4" w:space="0" w:color="auto"/>
              <w:left w:val="nil"/>
              <w:bottom w:val="single" w:sz="4" w:space="0" w:color="auto"/>
              <w:right w:val="nil"/>
            </w:tcBorders>
          </w:tcPr>
          <w:p>
            <w:pPr>
              <w:pStyle w:val="yTableNAm"/>
              <w:jc w:val="center"/>
              <w:rPr>
                <w:b/>
                <w:bCs/>
              </w:rPr>
            </w:pPr>
            <w:r>
              <w:rPr>
                <w:b/>
                <w:bCs/>
              </w:rPr>
              <w:t>Town/area</w:t>
            </w:r>
          </w:p>
        </w:tc>
        <w:tc>
          <w:tcPr>
            <w:tcW w:w="1800" w:type="dxa"/>
            <w:tcBorders>
              <w:top w:val="single" w:sz="4" w:space="0" w:color="auto"/>
              <w:left w:val="nil"/>
              <w:bottom w:val="single" w:sz="4" w:space="0" w:color="auto"/>
              <w:right w:val="nil"/>
            </w:tcBorders>
          </w:tcPr>
          <w:p>
            <w:pPr>
              <w:pStyle w:val="yTableNAm"/>
              <w:jc w:val="center"/>
              <w:rPr>
                <w:b/>
                <w:bCs/>
              </w:rPr>
            </w:pPr>
            <w:r>
              <w:rPr>
                <w:b/>
                <w:bCs/>
              </w:rPr>
              <w:t>Residential classification</w:t>
            </w:r>
          </w:p>
        </w:tc>
        <w:tc>
          <w:tcPr>
            <w:tcW w:w="1800" w:type="dxa"/>
            <w:tcBorders>
              <w:top w:val="single" w:sz="4" w:space="0" w:color="auto"/>
              <w:left w:val="nil"/>
              <w:bottom w:val="single" w:sz="4" w:space="0" w:color="auto"/>
              <w:right w:val="nil"/>
            </w:tcBorders>
          </w:tcPr>
          <w:p>
            <w:pPr>
              <w:pStyle w:val="yTableNAm"/>
              <w:jc w:val="center"/>
              <w:rPr>
                <w:b/>
                <w:bCs/>
              </w:rPr>
            </w:pPr>
            <w:r>
              <w:rPr>
                <w:b/>
                <w:bCs/>
              </w:rPr>
              <w:t>Non</w:t>
            </w:r>
            <w:r>
              <w:rPr>
                <w:b/>
                <w:bCs/>
              </w:rPr>
              <w:noBreakHyphen/>
              <w:t>residential classification</w:t>
            </w:r>
          </w:p>
        </w:tc>
      </w:tr>
      <w:tr>
        <w:tc>
          <w:tcPr>
            <w:tcW w:w="2920" w:type="dxa"/>
            <w:tcBorders>
              <w:top w:val="single" w:sz="4" w:space="0" w:color="auto"/>
              <w:left w:val="nil"/>
              <w:bottom w:val="nil"/>
              <w:right w:val="nil"/>
            </w:tcBorders>
            <w:vAlign w:val="center"/>
          </w:tcPr>
          <w:p>
            <w:pPr>
              <w:pStyle w:val="yTableNAm"/>
            </w:pPr>
            <w:r>
              <w:t>Albany</w:t>
            </w:r>
          </w:p>
        </w:tc>
        <w:tc>
          <w:tcPr>
            <w:tcW w:w="1800" w:type="dxa"/>
            <w:tcBorders>
              <w:top w:val="single" w:sz="4" w:space="0" w:color="auto"/>
              <w:left w:val="nil"/>
              <w:bottom w:val="nil"/>
              <w:right w:val="nil"/>
            </w:tcBorders>
            <w:vAlign w:val="center"/>
          </w:tcPr>
          <w:p>
            <w:pPr>
              <w:pStyle w:val="yTableNAm"/>
              <w:jc w:val="center"/>
            </w:pPr>
            <w:r>
              <w:t>3</w:t>
            </w:r>
          </w:p>
        </w:tc>
        <w:tc>
          <w:tcPr>
            <w:tcW w:w="1800" w:type="dxa"/>
            <w:tcBorders>
              <w:top w:val="single" w:sz="4" w:space="0" w:color="auto"/>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Albany Farmlands</w:t>
            </w:r>
          </w:p>
        </w:tc>
        <w:tc>
          <w:tcPr>
            <w:tcW w:w="1800" w:type="dxa"/>
            <w:tcBorders>
              <w:top w:val="nil"/>
              <w:left w:val="nil"/>
              <w:bottom w:val="nil"/>
              <w:right w:val="nil"/>
            </w:tcBorders>
            <w:vAlign w:val="center"/>
          </w:tcPr>
          <w:p>
            <w:pPr>
              <w:pStyle w:val="yTableNAm"/>
              <w:jc w:val="center"/>
            </w:pPr>
            <w:r>
              <w:t>3</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Allanooka Farmlands</w:t>
            </w:r>
          </w:p>
        </w:tc>
        <w:tc>
          <w:tcPr>
            <w:tcW w:w="1800" w:type="dxa"/>
            <w:tcBorders>
              <w:top w:val="nil"/>
              <w:left w:val="nil"/>
              <w:bottom w:val="nil"/>
              <w:right w:val="nil"/>
            </w:tcBorders>
            <w:vAlign w:val="center"/>
          </w:tcPr>
          <w:p>
            <w:pPr>
              <w:pStyle w:val="yTableNAm"/>
              <w:jc w:val="center"/>
            </w:pPr>
            <w:r>
              <w:t>1</w:t>
            </w:r>
          </w:p>
        </w:tc>
        <w:tc>
          <w:tcPr>
            <w:tcW w:w="1800"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Allanson</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Arrino</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Arrowsmith Farmlands</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Augusta</w:t>
            </w:r>
          </w:p>
        </w:tc>
        <w:tc>
          <w:tcPr>
            <w:tcW w:w="1800" w:type="dxa"/>
            <w:tcBorders>
              <w:top w:val="nil"/>
              <w:left w:val="nil"/>
              <w:bottom w:val="nil"/>
              <w:right w:val="nil"/>
            </w:tcBorders>
            <w:vAlign w:val="center"/>
          </w:tcPr>
          <w:p>
            <w:pPr>
              <w:pStyle w:val="yTableNAm"/>
              <w:jc w:val="center"/>
              <w:rPr>
                <w:spacing w:val="-2"/>
                <w:szCs w:val="12"/>
              </w:rPr>
            </w:pPr>
            <w:r>
              <w:rPr>
                <w:spacing w:val="-2"/>
                <w:szCs w:val="12"/>
              </w:rP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Australind/Eaton</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Badgingarra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Bakers Hill</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Balingup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Ballidu</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Beacon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Bencubbin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Beverley</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Bindi Bindi</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Bindoon/Chittering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Binningup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Bodallin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Boddington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Bolgart</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Borden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Boyanup</w:t>
            </w:r>
          </w:p>
        </w:tc>
        <w:tc>
          <w:tcPr>
            <w:tcW w:w="1800" w:type="dxa"/>
            <w:tcBorders>
              <w:top w:val="nil"/>
              <w:left w:val="nil"/>
              <w:bottom w:val="nil"/>
              <w:right w:val="nil"/>
            </w:tcBorders>
            <w:vAlign w:val="center"/>
          </w:tcPr>
          <w:p>
            <w:pPr>
              <w:pStyle w:val="yTableNAm"/>
              <w:jc w:val="center"/>
            </w:pPr>
            <w:r>
              <w:t>3</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Boyup Brook</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Bremer Bay</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Bridgetown/Hester</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Broad Arrow</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Brookton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Broome</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Broomehill</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Bruce Rock</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Brunswick/Burekup/Roelands</w:t>
            </w:r>
          </w:p>
        </w:tc>
        <w:tc>
          <w:tcPr>
            <w:tcW w:w="1800" w:type="dxa"/>
            <w:tcBorders>
              <w:top w:val="nil"/>
              <w:left w:val="nil"/>
              <w:bottom w:val="nil"/>
              <w:right w:val="nil"/>
            </w:tcBorders>
            <w:vAlign w:val="center"/>
          </w:tcPr>
          <w:p>
            <w:pPr>
              <w:pStyle w:val="yTableNAm"/>
              <w:jc w:val="center"/>
            </w:pPr>
            <w:r>
              <w:t>3</w:t>
            </w:r>
          </w:p>
        </w:tc>
        <w:tc>
          <w:tcPr>
            <w:tcW w:w="1800"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Bullaring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Bullfinch</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Bunjil</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Buntine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Burracoppin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Calingiri</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Camballin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Capel</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3</w:t>
            </w:r>
          </w:p>
        </w:tc>
      </w:tr>
      <w:tr>
        <w:tc>
          <w:tcPr>
            <w:tcW w:w="2920" w:type="dxa"/>
            <w:tcBorders>
              <w:top w:val="nil"/>
              <w:left w:val="nil"/>
              <w:bottom w:val="nil"/>
              <w:right w:val="nil"/>
            </w:tcBorders>
            <w:vAlign w:val="center"/>
          </w:tcPr>
          <w:p>
            <w:pPr>
              <w:pStyle w:val="yTableNAm"/>
            </w:pPr>
            <w:r>
              <w:t>Carnamah</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Carnarvon</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Caron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Cervantes</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Collie</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Collie Farmlands</w:t>
            </w:r>
          </w:p>
        </w:tc>
        <w:tc>
          <w:tcPr>
            <w:tcW w:w="1800" w:type="dxa"/>
            <w:tcBorders>
              <w:top w:val="nil"/>
              <w:left w:val="nil"/>
              <w:bottom w:val="nil"/>
              <w:right w:val="nil"/>
            </w:tcBorders>
            <w:vAlign w:val="center"/>
          </w:tcPr>
          <w:p>
            <w:pPr>
              <w:pStyle w:val="yTableNAm"/>
              <w:jc w:val="center"/>
            </w:pPr>
            <w:r>
              <w:t>1</w:t>
            </w:r>
          </w:p>
        </w:tc>
        <w:tc>
          <w:tcPr>
            <w:tcW w:w="1800"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Condingup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Coolgardie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Coomberdale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Coorow</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Coral Bay</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N/A</w:t>
            </w:r>
          </w:p>
        </w:tc>
      </w:tr>
      <w:tr>
        <w:tc>
          <w:tcPr>
            <w:tcW w:w="2920" w:type="dxa"/>
            <w:tcBorders>
              <w:top w:val="nil"/>
              <w:left w:val="nil"/>
              <w:bottom w:val="nil"/>
              <w:right w:val="nil"/>
            </w:tcBorders>
            <w:vAlign w:val="center"/>
          </w:tcPr>
          <w:p>
            <w:pPr>
              <w:pStyle w:val="yTableNAm"/>
            </w:pPr>
            <w:r>
              <w:t>Corrigin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Cowaramup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Cranbrook</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Cuballing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Cue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Cunderdin</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Dalwallinu</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Dalyellup</w:t>
            </w:r>
          </w:p>
        </w:tc>
        <w:tc>
          <w:tcPr>
            <w:tcW w:w="1800" w:type="dxa"/>
            <w:tcBorders>
              <w:top w:val="nil"/>
              <w:left w:val="nil"/>
              <w:bottom w:val="nil"/>
              <w:right w:val="nil"/>
            </w:tcBorders>
            <w:vAlign w:val="center"/>
          </w:tcPr>
          <w:p>
            <w:pPr>
              <w:pStyle w:val="yTableNAm"/>
              <w:jc w:val="center"/>
              <w:rPr>
                <w:spacing w:val="-2"/>
                <w:szCs w:val="12"/>
              </w:rPr>
            </w:pPr>
            <w:r>
              <w:rPr>
                <w:spacing w:val="-2"/>
                <w:szCs w:val="12"/>
              </w:rPr>
              <w:t>2</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Dandaragan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tcPr>
          <w:p>
            <w:pPr>
              <w:pStyle w:val="yTableNAm"/>
              <w:jc w:val="center"/>
            </w:pPr>
            <w:r>
              <w:t>12</w:t>
            </w:r>
          </w:p>
        </w:tc>
      </w:tr>
      <w:tr>
        <w:tc>
          <w:tcPr>
            <w:tcW w:w="2920" w:type="dxa"/>
            <w:tcBorders>
              <w:top w:val="nil"/>
              <w:left w:val="nil"/>
              <w:bottom w:val="nil"/>
              <w:right w:val="nil"/>
            </w:tcBorders>
          </w:tcPr>
          <w:p>
            <w:pPr>
              <w:pStyle w:val="yTableNAm"/>
            </w:pPr>
            <w:r>
              <w:t>Dardanup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tcPr>
          <w:p>
            <w:pPr>
              <w:pStyle w:val="yTableNAm"/>
              <w:jc w:val="center"/>
            </w:pPr>
            <w:r>
              <w:t>10</w:t>
            </w:r>
          </w:p>
        </w:tc>
      </w:tr>
      <w:tr>
        <w:tc>
          <w:tcPr>
            <w:tcW w:w="2920" w:type="dxa"/>
            <w:tcBorders>
              <w:top w:val="nil"/>
              <w:left w:val="nil"/>
              <w:bottom w:val="nil"/>
              <w:right w:val="nil"/>
            </w:tcBorders>
            <w:vAlign w:val="center"/>
          </w:tcPr>
          <w:p>
            <w:pPr>
              <w:pStyle w:val="yTableNAm"/>
            </w:pPr>
            <w:r>
              <w:t>Darkan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Dathagnoorara Farmlands</w:t>
            </w:r>
          </w:p>
        </w:tc>
        <w:tc>
          <w:tcPr>
            <w:tcW w:w="1800" w:type="dxa"/>
            <w:tcBorders>
              <w:top w:val="nil"/>
              <w:left w:val="nil"/>
              <w:bottom w:val="nil"/>
              <w:right w:val="nil"/>
            </w:tcBorders>
            <w:vAlign w:val="center"/>
          </w:tcPr>
          <w:p>
            <w:pPr>
              <w:pStyle w:val="yTableNAm"/>
              <w:jc w:val="center"/>
            </w:pPr>
            <w:r>
              <w:t>3</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Denham (Saline)</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5</w:t>
            </w:r>
          </w:p>
        </w:tc>
      </w:tr>
      <w:tr>
        <w:tc>
          <w:tcPr>
            <w:tcW w:w="2920" w:type="dxa"/>
            <w:tcBorders>
              <w:top w:val="nil"/>
              <w:left w:val="nil"/>
              <w:bottom w:val="nil"/>
              <w:right w:val="nil"/>
            </w:tcBorders>
            <w:vAlign w:val="center"/>
          </w:tcPr>
          <w:p>
            <w:pPr>
              <w:pStyle w:val="yTableNAm"/>
            </w:pPr>
            <w:r>
              <w:t>Denmark</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Derby</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Dongara/Denison</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Donnybrook</w:t>
            </w:r>
          </w:p>
        </w:tc>
        <w:tc>
          <w:tcPr>
            <w:tcW w:w="1800" w:type="dxa"/>
            <w:tcBorders>
              <w:top w:val="nil"/>
              <w:left w:val="nil"/>
              <w:bottom w:val="nil"/>
              <w:right w:val="nil"/>
            </w:tcBorders>
            <w:vAlign w:val="center"/>
          </w:tcPr>
          <w:p>
            <w:pPr>
              <w:pStyle w:val="yTableNAm"/>
              <w:jc w:val="center"/>
              <w:rPr>
                <w:rStyle w:val="CharacterStyle1"/>
              </w:rPr>
            </w:pPr>
            <w:r>
              <w:t>2</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Doodlakine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Dowerin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Dudinin/Harrismith/Jitarning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Dumbleyung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Dunsborough/Yallingup</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5</w:t>
            </w:r>
          </w:p>
        </w:tc>
      </w:tr>
      <w:tr>
        <w:tc>
          <w:tcPr>
            <w:tcW w:w="2920" w:type="dxa"/>
            <w:tcBorders>
              <w:top w:val="nil"/>
              <w:left w:val="nil"/>
              <w:bottom w:val="nil"/>
              <w:right w:val="nil"/>
            </w:tcBorders>
            <w:vAlign w:val="center"/>
          </w:tcPr>
          <w:p>
            <w:pPr>
              <w:pStyle w:val="yTableNAm"/>
            </w:pPr>
            <w:r>
              <w:t>Dwellingup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Eneabba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Eradu</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Esperance</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Exmouth</w:t>
            </w:r>
          </w:p>
        </w:tc>
        <w:tc>
          <w:tcPr>
            <w:tcW w:w="1800" w:type="dxa"/>
            <w:tcBorders>
              <w:top w:val="nil"/>
              <w:left w:val="nil"/>
              <w:bottom w:val="nil"/>
              <w:right w:val="nil"/>
            </w:tcBorders>
            <w:vAlign w:val="center"/>
          </w:tcPr>
          <w:p>
            <w:pPr>
              <w:pStyle w:val="yTableNAm"/>
              <w:jc w:val="center"/>
            </w:pPr>
            <w:r>
              <w:t>3</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Fitzroy Crossing</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Frankland</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Gabbadah</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Gascoyne Junction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Geraldton</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Gibson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Gingin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Gnarabup</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Gnowangerup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Goomalling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Grass Patch</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Grass Valley</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Greenbushes</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Greenhead</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Guilderton</w:t>
            </w:r>
          </w:p>
        </w:tc>
        <w:tc>
          <w:tcPr>
            <w:tcW w:w="1800" w:type="dxa"/>
            <w:tcBorders>
              <w:top w:val="nil"/>
              <w:left w:val="nil"/>
              <w:bottom w:val="nil"/>
              <w:right w:val="nil"/>
            </w:tcBorders>
            <w:vAlign w:val="center"/>
          </w:tcPr>
          <w:p>
            <w:pPr>
              <w:pStyle w:val="yTableNAm"/>
              <w:jc w:val="center"/>
            </w:pPr>
            <w:r>
              <w:t>3</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Halls Creek</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Hamel/Waroona</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Harvey/Wokalup</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Highbury/Piesseville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Hines Hill</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Hopetoun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Horrocks</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Hyden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Jerramungup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Jurien Bay</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Kalannie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Kalbarri</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Kalgoorlie/Boulder</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Kambalda</w:t>
            </w:r>
          </w:p>
        </w:tc>
        <w:tc>
          <w:tcPr>
            <w:tcW w:w="1800" w:type="dxa"/>
            <w:tcBorders>
              <w:top w:val="nil"/>
              <w:left w:val="nil"/>
              <w:bottom w:val="nil"/>
              <w:right w:val="nil"/>
            </w:tcBorders>
            <w:vAlign w:val="center"/>
          </w:tcPr>
          <w:p>
            <w:pPr>
              <w:pStyle w:val="yTableNAm"/>
              <w:jc w:val="center"/>
            </w:pPr>
            <w:r>
              <w:t>3</w:t>
            </w:r>
          </w:p>
        </w:tc>
        <w:tc>
          <w:tcPr>
            <w:tcW w:w="1800"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Karakin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Karlgarin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Karratha</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Katanning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Katanning Farmlands</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Kellerberrin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Kendenup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Kendenup Farmlands</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Kirup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Kojonup/Muradup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Kondinin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Koorda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Kukerin/Moulyinning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Kulin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Kununoppin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tcPr>
          <w:p>
            <w:pPr>
              <w:pStyle w:val="yTableNAm"/>
            </w:pPr>
            <w:r>
              <w:t>Kununurra</w:t>
            </w:r>
          </w:p>
        </w:tc>
        <w:tc>
          <w:tcPr>
            <w:tcW w:w="1800" w:type="dxa"/>
            <w:tcBorders>
              <w:top w:val="nil"/>
              <w:left w:val="nil"/>
              <w:bottom w:val="nil"/>
              <w:right w:val="nil"/>
            </w:tcBorders>
          </w:tcPr>
          <w:p>
            <w:pPr>
              <w:pStyle w:val="yTableNAm"/>
              <w:jc w:val="center"/>
            </w:pPr>
            <w:r>
              <w:t>2</w:t>
            </w:r>
          </w:p>
        </w:tc>
        <w:tc>
          <w:tcPr>
            <w:tcW w:w="1800" w:type="dxa"/>
            <w:tcBorders>
              <w:top w:val="nil"/>
              <w:left w:val="nil"/>
              <w:bottom w:val="nil"/>
              <w:right w:val="nil"/>
            </w:tcBorders>
          </w:tcPr>
          <w:p>
            <w:pPr>
              <w:pStyle w:val="yTableNAm"/>
              <w:jc w:val="center"/>
            </w:pPr>
            <w:r>
              <w:t>2</w:t>
            </w:r>
          </w:p>
        </w:tc>
      </w:tr>
      <w:tr>
        <w:tc>
          <w:tcPr>
            <w:tcW w:w="2920" w:type="dxa"/>
            <w:tcBorders>
              <w:top w:val="nil"/>
              <w:left w:val="nil"/>
              <w:bottom w:val="nil"/>
              <w:right w:val="nil"/>
            </w:tcBorders>
            <w:vAlign w:val="center"/>
          </w:tcPr>
          <w:p>
            <w:pPr>
              <w:pStyle w:val="yTableNAm"/>
            </w:pPr>
            <w:r>
              <w:t>Lake Argyle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Lake Grace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Lake King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Lancelin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Latham</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Laverton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Ledge Point</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Leeman</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Leonora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Mandurah</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Manjimup</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Marble Bar</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Margaret River</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Marvel Loch</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Meckering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Meekatharra</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Menzies</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Merredin</w:t>
            </w:r>
          </w:p>
        </w:tc>
        <w:tc>
          <w:tcPr>
            <w:tcW w:w="1800" w:type="dxa"/>
            <w:tcBorders>
              <w:top w:val="nil"/>
              <w:left w:val="nil"/>
              <w:bottom w:val="nil"/>
              <w:right w:val="nil"/>
            </w:tcBorders>
            <w:vAlign w:val="center"/>
          </w:tcPr>
          <w:p>
            <w:pPr>
              <w:pStyle w:val="yTableNAm"/>
              <w:jc w:val="center"/>
            </w:pPr>
            <w:r>
              <w:t>3</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Merredin Farmlands</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Miling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Mingenew</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Moora</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3</w:t>
            </w:r>
          </w:p>
        </w:tc>
      </w:tr>
      <w:tr>
        <w:tc>
          <w:tcPr>
            <w:tcW w:w="2920" w:type="dxa"/>
            <w:tcBorders>
              <w:top w:val="nil"/>
              <w:left w:val="nil"/>
              <w:bottom w:val="nil"/>
              <w:right w:val="nil"/>
            </w:tcBorders>
            <w:vAlign w:val="center"/>
          </w:tcPr>
          <w:p>
            <w:pPr>
              <w:pStyle w:val="yTableNAm"/>
            </w:pPr>
            <w:r>
              <w:t>Moorine Rock</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Morawa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Mount Barker</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Mount Magnet</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Mount Roe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Mukinbudin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Mullalyup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Mullewa</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Mullewa Farmlands</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Munglinup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Muntadgin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Myalup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Nabawa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Nannup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Narembeen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Narngulu</w:t>
            </w:r>
          </w:p>
        </w:tc>
        <w:tc>
          <w:tcPr>
            <w:tcW w:w="1800" w:type="dxa"/>
            <w:tcBorders>
              <w:top w:val="nil"/>
              <w:left w:val="nil"/>
              <w:bottom w:val="nil"/>
              <w:right w:val="nil"/>
            </w:tcBorders>
            <w:vAlign w:val="center"/>
          </w:tcPr>
          <w:p>
            <w:pPr>
              <w:pStyle w:val="yTableNAm"/>
              <w:jc w:val="center"/>
            </w:pPr>
            <w:r>
              <w:t>1</w:t>
            </w:r>
          </w:p>
        </w:tc>
        <w:tc>
          <w:tcPr>
            <w:tcW w:w="1800"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Narrikup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Narrogin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Narrogin Farmlands</w:t>
            </w:r>
          </w:p>
        </w:tc>
        <w:tc>
          <w:tcPr>
            <w:tcW w:w="1800" w:type="dxa"/>
            <w:tcBorders>
              <w:top w:val="nil"/>
              <w:left w:val="nil"/>
              <w:bottom w:val="nil"/>
              <w:right w:val="nil"/>
            </w:tcBorders>
            <w:vAlign w:val="center"/>
          </w:tcPr>
          <w:p>
            <w:pPr>
              <w:pStyle w:val="yTableNAm"/>
              <w:jc w:val="center"/>
            </w:pPr>
            <w:r>
              <w:t>3</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New Norcia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Newdegate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Newman</w:t>
            </w:r>
          </w:p>
        </w:tc>
        <w:tc>
          <w:tcPr>
            <w:tcW w:w="1800" w:type="dxa"/>
            <w:tcBorders>
              <w:top w:val="nil"/>
              <w:left w:val="nil"/>
              <w:bottom w:val="nil"/>
              <w:right w:val="nil"/>
            </w:tcBorders>
            <w:vAlign w:val="center"/>
          </w:tcPr>
          <w:p>
            <w:pPr>
              <w:pStyle w:val="yTableNAm"/>
              <w:jc w:val="center"/>
            </w:pPr>
            <w:r>
              <w:t>1</w:t>
            </w:r>
          </w:p>
        </w:tc>
        <w:tc>
          <w:tcPr>
            <w:tcW w:w="1800"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Nilgen</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5</w:t>
            </w:r>
          </w:p>
        </w:tc>
      </w:tr>
      <w:tr>
        <w:tc>
          <w:tcPr>
            <w:tcW w:w="2920" w:type="dxa"/>
            <w:tcBorders>
              <w:top w:val="nil"/>
              <w:left w:val="nil"/>
              <w:bottom w:val="nil"/>
              <w:right w:val="nil"/>
            </w:tcBorders>
            <w:vAlign w:val="center"/>
          </w:tcPr>
          <w:p>
            <w:pPr>
              <w:pStyle w:val="yTableNAm"/>
            </w:pPr>
            <w:r>
              <w:t>Norseman</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North Dandalup</w:t>
            </w:r>
          </w:p>
        </w:tc>
        <w:tc>
          <w:tcPr>
            <w:tcW w:w="1800" w:type="dxa"/>
            <w:tcBorders>
              <w:top w:val="nil"/>
              <w:left w:val="nil"/>
              <w:bottom w:val="nil"/>
              <w:right w:val="nil"/>
            </w:tcBorders>
            <w:vAlign w:val="center"/>
          </w:tcPr>
          <w:p>
            <w:pPr>
              <w:pStyle w:val="yTableNAm"/>
              <w:jc w:val="center"/>
            </w:pPr>
            <w:r>
              <w:t>3</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Northam</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Northam Farmlands</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Northampton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Northcliffe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Nullagine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Nungarin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Nyabing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Ongerup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Onslow</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Ora Banda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Park Ridge</w:t>
            </w:r>
          </w:p>
        </w:tc>
        <w:tc>
          <w:tcPr>
            <w:tcW w:w="1800" w:type="dxa"/>
            <w:tcBorders>
              <w:top w:val="nil"/>
              <w:left w:val="nil"/>
              <w:bottom w:val="nil"/>
              <w:right w:val="nil"/>
            </w:tcBorders>
            <w:vAlign w:val="center"/>
          </w:tcPr>
          <w:p>
            <w:pPr>
              <w:pStyle w:val="yTableNAm"/>
              <w:jc w:val="center"/>
            </w:pPr>
            <w:r>
              <w:t>3</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Pemberton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Peppermint Grove Beach</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Perenjori</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Pingaring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Pingelly</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Pingrup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Pinjarra</w:t>
            </w:r>
          </w:p>
        </w:tc>
        <w:tc>
          <w:tcPr>
            <w:tcW w:w="1800" w:type="dxa"/>
            <w:tcBorders>
              <w:top w:val="nil"/>
              <w:left w:val="nil"/>
              <w:bottom w:val="nil"/>
              <w:right w:val="nil"/>
            </w:tcBorders>
            <w:vAlign w:val="center"/>
          </w:tcPr>
          <w:p>
            <w:pPr>
              <w:pStyle w:val="yTableNAm"/>
              <w:jc w:val="center"/>
            </w:pPr>
            <w:r>
              <w:t>1</w:t>
            </w:r>
          </w:p>
        </w:tc>
        <w:tc>
          <w:tcPr>
            <w:tcW w:w="1800"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Pithara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Point Samson</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Popanyinning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Porongurup</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Porongurup Farmlands</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Port Hedland</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Preston Beach</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Quairading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Quinninup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Ravensthorpe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Rocky Gully</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Roebourne</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Salmon Gums</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Sandstone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Seabird</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South Hedland</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Southern Cross</w:t>
            </w:r>
          </w:p>
        </w:tc>
        <w:tc>
          <w:tcPr>
            <w:tcW w:w="1800" w:type="dxa"/>
            <w:tcBorders>
              <w:top w:val="nil"/>
              <w:left w:val="nil"/>
              <w:bottom w:val="nil"/>
              <w:right w:val="nil"/>
            </w:tcBorders>
            <w:vAlign w:val="center"/>
          </w:tcPr>
          <w:p>
            <w:pPr>
              <w:pStyle w:val="yTableNAm"/>
              <w:jc w:val="center"/>
            </w:pPr>
            <w:r>
              <w:t>3</w:t>
            </w:r>
          </w:p>
        </w:tc>
        <w:tc>
          <w:tcPr>
            <w:tcW w:w="1800" w:type="dxa"/>
            <w:tcBorders>
              <w:top w:val="nil"/>
              <w:left w:val="nil"/>
              <w:bottom w:val="nil"/>
              <w:right w:val="nil"/>
            </w:tcBorders>
            <w:vAlign w:val="center"/>
          </w:tcPr>
          <w:p>
            <w:pPr>
              <w:pStyle w:val="yTableNAm"/>
              <w:jc w:val="center"/>
            </w:pPr>
            <w:r>
              <w:t>7</w:t>
            </w:r>
          </w:p>
        </w:tc>
      </w:tr>
      <w:tr>
        <w:tc>
          <w:tcPr>
            <w:tcW w:w="2920" w:type="dxa"/>
            <w:tcBorders>
              <w:top w:val="nil"/>
              <w:left w:val="nil"/>
              <w:bottom w:val="nil"/>
              <w:right w:val="nil"/>
            </w:tcBorders>
            <w:vAlign w:val="center"/>
          </w:tcPr>
          <w:p>
            <w:pPr>
              <w:pStyle w:val="yTableNAm"/>
            </w:pPr>
            <w:r>
              <w:t>Tambellup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Tammin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Three Springs</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Tincurrin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Toodyay</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Trayning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Varley</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Wagin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Walkaway</w:t>
            </w:r>
          </w:p>
        </w:tc>
        <w:tc>
          <w:tcPr>
            <w:tcW w:w="1800" w:type="dxa"/>
            <w:tcBorders>
              <w:top w:val="nil"/>
              <w:left w:val="nil"/>
              <w:bottom w:val="nil"/>
              <w:right w:val="nil"/>
            </w:tcBorders>
            <w:vAlign w:val="center"/>
          </w:tcPr>
          <w:p>
            <w:pPr>
              <w:pStyle w:val="yTableNAm"/>
              <w:jc w:val="center"/>
            </w:pPr>
            <w:r>
              <w:t>1</w:t>
            </w:r>
          </w:p>
        </w:tc>
        <w:tc>
          <w:tcPr>
            <w:tcW w:w="1800"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Walpole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Wandering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Watheroo</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Wellstead</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Westonia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Wickepin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Wickham</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Widgiemooltha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Williams</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Wiluna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Wongan Hills</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Woodanilling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Woodridge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Wubin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Wundowie</w:t>
            </w:r>
          </w:p>
        </w:tc>
        <w:tc>
          <w:tcPr>
            <w:tcW w:w="1800" w:type="dxa"/>
            <w:tcBorders>
              <w:top w:val="nil"/>
              <w:left w:val="nil"/>
              <w:bottom w:val="nil"/>
              <w:right w:val="nil"/>
            </w:tcBorders>
            <w:vAlign w:val="center"/>
          </w:tcPr>
          <w:p>
            <w:pPr>
              <w:pStyle w:val="yTableNAm"/>
              <w:jc w:val="center"/>
            </w:pPr>
            <w:r>
              <w:t>1</w:t>
            </w:r>
          </w:p>
        </w:tc>
        <w:tc>
          <w:tcPr>
            <w:tcW w:w="1800"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Wyalkatchem</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Wyndham</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Yalgoo</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Yarloop/Wagerup</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Yealering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Yerecoin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York</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Yuna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bl>
    <w:p>
      <w:pPr>
        <w:pStyle w:val="yFootnotesection"/>
      </w:pPr>
      <w:r>
        <w:tab/>
        <w:t>[Schedule 10 inserted in Gazette 25 Jun 2010 p. 2971</w:t>
      </w:r>
      <w:r>
        <w:noBreakHyphen/>
        <w:t>81.]</w:t>
      </w:r>
    </w:p>
    <w:p>
      <w:pPr>
        <w:tabs>
          <w:tab w:val="left" w:pos="284"/>
          <w:tab w:val="left" w:pos="372"/>
          <w:tab w:val="left" w:pos="851"/>
          <w:tab w:val="right" w:pos="939"/>
          <w:tab w:val="left" w:pos="1179"/>
          <w:tab w:val="right" w:pos="1332"/>
          <w:tab w:val="left" w:pos="1418"/>
          <w:tab w:val="left" w:pos="1616"/>
        </w:tabs>
        <w:ind w:left="1179" w:hanging="1179"/>
        <w:rPr>
          <w:b/>
        </w:r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outlineLvl w:val="0"/>
      </w:pPr>
      <w:bookmarkStart w:id="908" w:name="_Toc91580567"/>
      <w:bookmarkStart w:id="909" w:name="_Toc103667252"/>
      <w:bookmarkStart w:id="910" w:name="_Toc103741771"/>
      <w:bookmarkStart w:id="911" w:name="_Toc107982014"/>
      <w:bookmarkStart w:id="912" w:name="_Toc118800181"/>
      <w:bookmarkStart w:id="913" w:name="_Toc118860189"/>
      <w:bookmarkStart w:id="914" w:name="_Toc121545689"/>
      <w:bookmarkStart w:id="915" w:name="_Toc121801212"/>
      <w:bookmarkStart w:id="916" w:name="_Toc121818325"/>
      <w:bookmarkStart w:id="917" w:name="_Toc121880935"/>
      <w:bookmarkStart w:id="918" w:name="_Toc129482006"/>
      <w:bookmarkStart w:id="919" w:name="_Toc130095375"/>
      <w:bookmarkStart w:id="920" w:name="_Toc130273439"/>
      <w:bookmarkStart w:id="921" w:name="_Toc139771111"/>
      <w:bookmarkStart w:id="922" w:name="_Toc139771489"/>
      <w:bookmarkStart w:id="923" w:name="_Toc151191704"/>
      <w:bookmarkStart w:id="924" w:name="_Toc151260597"/>
      <w:bookmarkStart w:id="925" w:name="_Toc164158704"/>
      <w:bookmarkStart w:id="926" w:name="_Toc164221076"/>
      <w:bookmarkStart w:id="927" w:name="_Toc170879152"/>
      <w:bookmarkStart w:id="928" w:name="_Toc170894789"/>
      <w:bookmarkStart w:id="929" w:name="_Toc175712755"/>
      <w:bookmarkStart w:id="930" w:name="_Toc175970696"/>
      <w:bookmarkStart w:id="931" w:name="_Toc176335415"/>
      <w:bookmarkStart w:id="932" w:name="_Toc176338990"/>
      <w:bookmarkStart w:id="933" w:name="_Toc178743015"/>
      <w:bookmarkStart w:id="934" w:name="_Toc179363438"/>
      <w:bookmarkStart w:id="935" w:name="_Toc179604507"/>
      <w:bookmarkStart w:id="936" w:name="_Toc180204700"/>
      <w:bookmarkStart w:id="937" w:name="_Toc180204916"/>
      <w:bookmarkStart w:id="938" w:name="_Toc185844661"/>
      <w:bookmarkStart w:id="939" w:name="_Toc185845281"/>
      <w:bookmarkStart w:id="940" w:name="_Toc185927246"/>
      <w:bookmarkStart w:id="941" w:name="_Toc202506108"/>
      <w:bookmarkStart w:id="942" w:name="_Toc202672840"/>
      <w:bookmarkStart w:id="943" w:name="_Toc202691800"/>
      <w:bookmarkStart w:id="944" w:name="_Toc233448466"/>
      <w:bookmarkStart w:id="945" w:name="_Toc233611736"/>
      <w:bookmarkStart w:id="946" w:name="_Toc234730743"/>
      <w:bookmarkStart w:id="947" w:name="_Toc234733269"/>
      <w:bookmarkStart w:id="948" w:name="_Toc235864006"/>
      <w:bookmarkStart w:id="949" w:name="_Toc235933481"/>
      <w:bookmarkStart w:id="950" w:name="_Toc237164469"/>
      <w:bookmarkStart w:id="951" w:name="_Toc237244353"/>
      <w:bookmarkStart w:id="952" w:name="_Toc237245677"/>
      <w:bookmarkStart w:id="953" w:name="_Toc237245808"/>
      <w:bookmarkStart w:id="954" w:name="_Toc237247950"/>
      <w:bookmarkStart w:id="955" w:name="_Toc237254265"/>
      <w:bookmarkStart w:id="956" w:name="_Toc237309684"/>
      <w:bookmarkStart w:id="957" w:name="_Toc265743693"/>
      <w:r>
        <w:t>Notes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(Charges) By-laws 1987</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958" w:name="_Toc180204917"/>
      <w:bookmarkStart w:id="959" w:name="_Toc265743694"/>
      <w:r>
        <w:t>Compilation table</w:t>
      </w:r>
      <w:bookmarkEnd w:id="958"/>
      <w:bookmarkEnd w:id="95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Water Authority (Charges) By</w:t>
            </w:r>
            <w:r>
              <w:rPr>
                <w:i/>
                <w:sz w:val="19"/>
              </w:rPr>
              <w:noBreakHyphen/>
              <w:t>laws 1987</w:t>
            </w:r>
            <w:r>
              <w:rPr>
                <w:sz w:val="19"/>
                <w:vertAlign w:val="superscript"/>
              </w:rPr>
              <w:t> 12</w:t>
            </w:r>
          </w:p>
        </w:tc>
        <w:tc>
          <w:tcPr>
            <w:tcW w:w="1276" w:type="dxa"/>
            <w:tcBorders>
              <w:top w:val="single" w:sz="8" w:space="0" w:color="auto"/>
            </w:tcBorders>
          </w:tcPr>
          <w:p>
            <w:pPr>
              <w:pStyle w:val="nTable"/>
              <w:spacing w:after="40"/>
              <w:rPr>
                <w:sz w:val="19"/>
              </w:rPr>
            </w:pPr>
            <w:r>
              <w:rPr>
                <w:sz w:val="19"/>
              </w:rPr>
              <w:t>14 Jul 1987 p. 2658</w:t>
            </w:r>
            <w:r>
              <w:rPr>
                <w:sz w:val="19"/>
              </w:rPr>
              <w:noBreakHyphen/>
              <w:t>72</w:t>
            </w:r>
            <w:r>
              <w:rPr>
                <w:sz w:val="19"/>
              </w:rPr>
              <w:br/>
              <w:t>(errata 24 Jul 1987 p. 2841)</w:t>
            </w:r>
          </w:p>
        </w:tc>
        <w:tc>
          <w:tcPr>
            <w:tcW w:w="2693" w:type="dxa"/>
            <w:tcBorders>
              <w:top w:val="single" w:sz="8" w:space="0" w:color="auto"/>
            </w:tcBorders>
          </w:tcPr>
          <w:p>
            <w:pPr>
              <w:pStyle w:val="nTable"/>
              <w:spacing w:after="40"/>
              <w:rPr>
                <w:sz w:val="19"/>
              </w:rPr>
            </w:pPr>
            <w:r>
              <w:rPr>
                <w:sz w:val="19"/>
              </w:rPr>
              <w:t>14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1987</w:t>
            </w:r>
          </w:p>
        </w:tc>
        <w:tc>
          <w:tcPr>
            <w:tcW w:w="1276" w:type="dxa"/>
          </w:tcPr>
          <w:p>
            <w:pPr>
              <w:pStyle w:val="nTable"/>
              <w:spacing w:after="40"/>
              <w:rPr>
                <w:sz w:val="19"/>
              </w:rPr>
            </w:pPr>
            <w:r>
              <w:rPr>
                <w:sz w:val="19"/>
              </w:rPr>
              <w:t>31 Jul 1987 p. 2884</w:t>
            </w:r>
          </w:p>
        </w:tc>
        <w:tc>
          <w:tcPr>
            <w:tcW w:w="2693" w:type="dxa"/>
          </w:tcPr>
          <w:p>
            <w:pPr>
              <w:pStyle w:val="nTable"/>
              <w:spacing w:after="40"/>
              <w:rPr>
                <w:sz w:val="19"/>
              </w:rPr>
            </w:pPr>
            <w:r>
              <w:rPr>
                <w:sz w:val="19"/>
              </w:rPr>
              <w:t>31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1988</w:t>
            </w:r>
          </w:p>
        </w:tc>
        <w:tc>
          <w:tcPr>
            <w:tcW w:w="1276" w:type="dxa"/>
          </w:tcPr>
          <w:p>
            <w:pPr>
              <w:pStyle w:val="nTable"/>
              <w:spacing w:after="40"/>
              <w:rPr>
                <w:sz w:val="19"/>
              </w:rPr>
            </w:pPr>
            <w:r>
              <w:rPr>
                <w:sz w:val="19"/>
              </w:rPr>
              <w:t>29 Jun 1988 p. 2112</w:t>
            </w:r>
            <w:r>
              <w:rPr>
                <w:sz w:val="19"/>
              </w:rPr>
              <w:noBreakHyphen/>
              <w:t>22</w:t>
            </w:r>
          </w:p>
        </w:tc>
        <w:tc>
          <w:tcPr>
            <w:tcW w:w="2693" w:type="dxa"/>
          </w:tcPr>
          <w:p>
            <w:pPr>
              <w:pStyle w:val="nTable"/>
              <w:spacing w:after="40"/>
              <w:rPr>
                <w:sz w:val="19"/>
              </w:rPr>
            </w:pPr>
            <w:r>
              <w:rPr>
                <w:sz w:val="19"/>
              </w:rPr>
              <w:t>29 Jun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1988</w:t>
            </w:r>
          </w:p>
        </w:tc>
        <w:tc>
          <w:tcPr>
            <w:tcW w:w="1276" w:type="dxa"/>
          </w:tcPr>
          <w:p>
            <w:pPr>
              <w:pStyle w:val="nTable"/>
              <w:spacing w:after="40"/>
              <w:rPr>
                <w:sz w:val="19"/>
              </w:rPr>
            </w:pPr>
            <w:r>
              <w:rPr>
                <w:sz w:val="19"/>
              </w:rPr>
              <w:t>4 Jul 1988 p. 2178</w:t>
            </w:r>
          </w:p>
        </w:tc>
        <w:tc>
          <w:tcPr>
            <w:tcW w:w="2693" w:type="dxa"/>
          </w:tcPr>
          <w:p>
            <w:pPr>
              <w:pStyle w:val="nTable"/>
              <w:spacing w:after="40"/>
              <w:rPr>
                <w:sz w:val="19"/>
              </w:rPr>
            </w:pPr>
            <w:r>
              <w:rPr>
                <w:sz w:val="19"/>
              </w:rPr>
              <w:t>4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1988</w:t>
            </w:r>
          </w:p>
        </w:tc>
        <w:tc>
          <w:tcPr>
            <w:tcW w:w="1276" w:type="dxa"/>
          </w:tcPr>
          <w:p>
            <w:pPr>
              <w:pStyle w:val="nTable"/>
              <w:spacing w:after="40"/>
              <w:rPr>
                <w:sz w:val="19"/>
              </w:rPr>
            </w:pPr>
            <w:r>
              <w:rPr>
                <w:sz w:val="19"/>
              </w:rPr>
              <w:t>8 Jul 1988 p. 2387</w:t>
            </w:r>
          </w:p>
        </w:tc>
        <w:tc>
          <w:tcPr>
            <w:tcW w:w="2693" w:type="dxa"/>
          </w:tcPr>
          <w:p>
            <w:pPr>
              <w:pStyle w:val="nTable"/>
              <w:spacing w:after="40"/>
              <w:rPr>
                <w:sz w:val="19"/>
              </w:rPr>
            </w:pPr>
            <w:r>
              <w:rPr>
                <w:sz w:val="19"/>
              </w:rPr>
              <w:t>8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1988</w:t>
            </w:r>
          </w:p>
        </w:tc>
        <w:tc>
          <w:tcPr>
            <w:tcW w:w="1276" w:type="dxa"/>
          </w:tcPr>
          <w:p>
            <w:pPr>
              <w:pStyle w:val="nTable"/>
              <w:spacing w:after="40"/>
              <w:rPr>
                <w:sz w:val="19"/>
              </w:rPr>
            </w:pPr>
            <w:r>
              <w:rPr>
                <w:sz w:val="19"/>
              </w:rPr>
              <w:t>14 Oct 1988 p. 4174</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1988</w:t>
            </w:r>
          </w:p>
        </w:tc>
        <w:tc>
          <w:tcPr>
            <w:tcW w:w="1276" w:type="dxa"/>
          </w:tcPr>
          <w:p>
            <w:pPr>
              <w:pStyle w:val="nTable"/>
              <w:spacing w:after="40"/>
              <w:rPr>
                <w:sz w:val="19"/>
              </w:rPr>
            </w:pPr>
            <w:r>
              <w:rPr>
                <w:sz w:val="19"/>
              </w:rPr>
              <w:t>20 Jan 1989 p. 121</w:t>
            </w:r>
          </w:p>
        </w:tc>
        <w:tc>
          <w:tcPr>
            <w:tcW w:w="2693" w:type="dxa"/>
          </w:tcPr>
          <w:p>
            <w:pPr>
              <w:pStyle w:val="nTable"/>
              <w:spacing w:after="40"/>
              <w:rPr>
                <w:sz w:val="19"/>
              </w:rPr>
            </w:pPr>
            <w:r>
              <w:rPr>
                <w:sz w:val="19"/>
              </w:rPr>
              <w:t>20 Jan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1989</w:t>
            </w:r>
          </w:p>
        </w:tc>
        <w:tc>
          <w:tcPr>
            <w:tcW w:w="1276" w:type="dxa"/>
          </w:tcPr>
          <w:p>
            <w:pPr>
              <w:pStyle w:val="nTable"/>
              <w:spacing w:after="40"/>
              <w:rPr>
                <w:sz w:val="19"/>
              </w:rPr>
            </w:pPr>
            <w:r>
              <w:rPr>
                <w:sz w:val="19"/>
              </w:rPr>
              <w:t>10 Mar 1989 p. 712</w:t>
            </w:r>
          </w:p>
        </w:tc>
        <w:tc>
          <w:tcPr>
            <w:tcW w:w="2693" w:type="dxa"/>
          </w:tcPr>
          <w:p>
            <w:pPr>
              <w:pStyle w:val="nTable"/>
              <w:spacing w:after="40"/>
              <w:rPr>
                <w:sz w:val="19"/>
              </w:rPr>
            </w:pPr>
            <w:r>
              <w:rPr>
                <w:sz w:val="19"/>
              </w:rPr>
              <w:t>10 Mar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1989</w:t>
            </w:r>
          </w:p>
        </w:tc>
        <w:tc>
          <w:tcPr>
            <w:tcW w:w="1276" w:type="dxa"/>
          </w:tcPr>
          <w:p>
            <w:pPr>
              <w:pStyle w:val="nTable"/>
              <w:spacing w:after="40"/>
              <w:rPr>
                <w:sz w:val="19"/>
              </w:rPr>
            </w:pPr>
            <w:r>
              <w:rPr>
                <w:sz w:val="19"/>
              </w:rPr>
              <w:t>23 Jun 1989 p. 1824</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3) 1989</w:t>
            </w:r>
            <w:r>
              <w:rPr>
                <w:sz w:val="19"/>
                <w:vertAlign w:val="superscript"/>
              </w:rPr>
              <w:t> 13</w:t>
            </w:r>
          </w:p>
        </w:tc>
        <w:tc>
          <w:tcPr>
            <w:tcW w:w="1276" w:type="dxa"/>
          </w:tcPr>
          <w:p>
            <w:pPr>
              <w:pStyle w:val="nTable"/>
              <w:spacing w:after="40"/>
              <w:rPr>
                <w:sz w:val="19"/>
              </w:rPr>
            </w:pPr>
            <w:r>
              <w:rPr>
                <w:sz w:val="19"/>
              </w:rPr>
              <w:t>29 Jun 1989 p. 1870</w:t>
            </w:r>
            <w:r>
              <w:rPr>
                <w:sz w:val="19"/>
              </w:rPr>
              <w:noBreakHyphen/>
              <w:t>82</w:t>
            </w:r>
            <w:r>
              <w:rPr>
                <w:sz w:val="19"/>
              </w:rPr>
              <w:br/>
              <w:t>(errata 7 Jul 1989 p. 2075)</w:t>
            </w:r>
          </w:p>
        </w:tc>
        <w:tc>
          <w:tcPr>
            <w:tcW w:w="2693" w:type="dxa"/>
          </w:tcPr>
          <w:p>
            <w:pPr>
              <w:pStyle w:val="nTable"/>
              <w:spacing w:after="40"/>
              <w:rPr>
                <w:sz w:val="19"/>
              </w:rPr>
            </w:pPr>
            <w:r>
              <w:rPr>
                <w:sz w:val="19"/>
              </w:rPr>
              <w:t>29 Jun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1989</w:t>
            </w:r>
          </w:p>
        </w:tc>
        <w:tc>
          <w:tcPr>
            <w:tcW w:w="1276" w:type="dxa"/>
          </w:tcPr>
          <w:p>
            <w:pPr>
              <w:pStyle w:val="nTable"/>
              <w:spacing w:after="40"/>
              <w:rPr>
                <w:sz w:val="19"/>
              </w:rPr>
            </w:pPr>
            <w:r>
              <w:rPr>
                <w:sz w:val="19"/>
              </w:rPr>
              <w:t>7 Jul 1989 p. 2077</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1989</w:t>
            </w:r>
          </w:p>
        </w:tc>
        <w:tc>
          <w:tcPr>
            <w:tcW w:w="1276" w:type="dxa"/>
          </w:tcPr>
          <w:p>
            <w:pPr>
              <w:pStyle w:val="nTable"/>
              <w:spacing w:after="40"/>
              <w:rPr>
                <w:sz w:val="19"/>
              </w:rPr>
            </w:pPr>
            <w:r>
              <w:rPr>
                <w:sz w:val="19"/>
              </w:rPr>
              <w:t>7 Jul 1989 p. 2078</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1989</w:t>
            </w:r>
          </w:p>
        </w:tc>
        <w:tc>
          <w:tcPr>
            <w:tcW w:w="1276" w:type="dxa"/>
          </w:tcPr>
          <w:p>
            <w:pPr>
              <w:pStyle w:val="nTable"/>
              <w:spacing w:after="40"/>
              <w:rPr>
                <w:sz w:val="19"/>
              </w:rPr>
            </w:pPr>
            <w:r>
              <w:rPr>
                <w:sz w:val="19"/>
              </w:rPr>
              <w:t>27 Oct 1989 p. 3898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1989</w:t>
            </w:r>
          </w:p>
        </w:tc>
        <w:tc>
          <w:tcPr>
            <w:tcW w:w="1276" w:type="dxa"/>
          </w:tcPr>
          <w:p>
            <w:pPr>
              <w:pStyle w:val="nTable"/>
              <w:spacing w:after="40"/>
              <w:rPr>
                <w:sz w:val="19"/>
              </w:rPr>
            </w:pPr>
            <w:r>
              <w:rPr>
                <w:sz w:val="19"/>
              </w:rPr>
              <w:t>17 Nov 1989 p. 4117</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1990</w:t>
            </w:r>
            <w:r>
              <w:rPr>
                <w:sz w:val="19"/>
                <w:vertAlign w:val="superscript"/>
              </w:rPr>
              <w:t> 14</w:t>
            </w:r>
          </w:p>
        </w:tc>
        <w:tc>
          <w:tcPr>
            <w:tcW w:w="1276" w:type="dxa"/>
          </w:tcPr>
          <w:p>
            <w:pPr>
              <w:pStyle w:val="nTable"/>
              <w:spacing w:after="40"/>
              <w:rPr>
                <w:sz w:val="19"/>
              </w:rPr>
            </w:pPr>
            <w:r>
              <w:rPr>
                <w:sz w:val="19"/>
              </w:rPr>
              <w:t>29 Jun 1990 p. 3226</w:t>
            </w:r>
            <w:r>
              <w:rPr>
                <w:sz w:val="19"/>
              </w:rPr>
              <w:noBreakHyphen/>
              <w:t>40</w:t>
            </w:r>
            <w:r>
              <w:rPr>
                <w:sz w:val="19"/>
              </w:rPr>
              <w:br/>
              <w:t>(errata 6 Jul 1990 p. 3317)</w:t>
            </w:r>
          </w:p>
        </w:tc>
        <w:tc>
          <w:tcPr>
            <w:tcW w:w="2693" w:type="dxa"/>
          </w:tcPr>
          <w:p>
            <w:pPr>
              <w:pStyle w:val="nTable"/>
              <w:spacing w:after="40"/>
              <w:rPr>
                <w:sz w:val="19"/>
              </w:rPr>
            </w:pPr>
            <w:r>
              <w:rPr>
                <w:sz w:val="19"/>
              </w:rPr>
              <w:t>29 Jun 1990</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1991</w:t>
            </w:r>
            <w:r>
              <w:rPr>
                <w:i/>
                <w:sz w:val="19"/>
                <w:vertAlign w:val="superscript"/>
              </w:rPr>
              <w:t> </w:t>
            </w:r>
            <w:r>
              <w:rPr>
                <w:sz w:val="19"/>
                <w:vertAlign w:val="superscript"/>
              </w:rPr>
              <w:t>15</w:t>
            </w:r>
          </w:p>
        </w:tc>
        <w:tc>
          <w:tcPr>
            <w:tcW w:w="1276" w:type="dxa"/>
          </w:tcPr>
          <w:p>
            <w:pPr>
              <w:pStyle w:val="nTable"/>
              <w:spacing w:after="40"/>
              <w:rPr>
                <w:sz w:val="19"/>
              </w:rPr>
            </w:pPr>
            <w:r>
              <w:rPr>
                <w:sz w:val="19"/>
              </w:rPr>
              <w:t>28 Jun 1991 p. 3267</w:t>
            </w:r>
            <w:r>
              <w:rPr>
                <w:sz w:val="19"/>
              </w:rPr>
              <w:noBreakHyphen/>
              <w:t>80</w:t>
            </w:r>
            <w:r>
              <w:rPr>
                <w:sz w:val="19"/>
              </w:rPr>
              <w:br/>
              <w:t>(errata 5 Jul 1991 p. 3379)</w:t>
            </w:r>
          </w:p>
        </w:tc>
        <w:tc>
          <w:tcPr>
            <w:tcW w:w="2693" w:type="dxa"/>
          </w:tcPr>
          <w:p>
            <w:pPr>
              <w:pStyle w:val="nTable"/>
              <w:spacing w:after="40"/>
              <w:rPr>
                <w:sz w:val="19"/>
              </w:rPr>
            </w:pPr>
            <w:r>
              <w:rPr>
                <w:sz w:val="19"/>
              </w:rPr>
              <w:t>28 Jun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1991</w:t>
            </w:r>
          </w:p>
        </w:tc>
        <w:tc>
          <w:tcPr>
            <w:tcW w:w="1276" w:type="dxa"/>
          </w:tcPr>
          <w:p>
            <w:pPr>
              <w:pStyle w:val="nTable"/>
              <w:spacing w:after="40"/>
              <w:rPr>
                <w:sz w:val="19"/>
              </w:rPr>
            </w:pPr>
            <w:r>
              <w:rPr>
                <w:sz w:val="19"/>
              </w:rPr>
              <w:t>20 Sep 1991 p. 4952</w:t>
            </w:r>
            <w:r>
              <w:rPr>
                <w:sz w:val="19"/>
              </w:rPr>
              <w:noBreakHyphen/>
              <w:t>3</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1991</w:t>
            </w:r>
          </w:p>
        </w:tc>
        <w:tc>
          <w:tcPr>
            <w:tcW w:w="1276" w:type="dxa"/>
          </w:tcPr>
          <w:p>
            <w:pPr>
              <w:pStyle w:val="nTable"/>
              <w:spacing w:after="40"/>
              <w:rPr>
                <w:sz w:val="19"/>
              </w:rPr>
            </w:pPr>
            <w:r>
              <w:rPr>
                <w:sz w:val="19"/>
              </w:rPr>
              <w:t>20 Sep 1991 p. 4954</w:t>
            </w:r>
            <w:r>
              <w:rPr>
                <w:sz w:val="19"/>
              </w:rPr>
              <w:noBreakHyphen/>
              <w:t>5</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1992</w:t>
            </w:r>
            <w:r>
              <w:rPr>
                <w:i/>
                <w:sz w:val="19"/>
                <w:vertAlign w:val="superscript"/>
              </w:rPr>
              <w:t> </w:t>
            </w:r>
            <w:r>
              <w:rPr>
                <w:sz w:val="19"/>
                <w:vertAlign w:val="superscript"/>
              </w:rPr>
              <w:t>16</w:t>
            </w:r>
          </w:p>
        </w:tc>
        <w:tc>
          <w:tcPr>
            <w:tcW w:w="1276" w:type="dxa"/>
          </w:tcPr>
          <w:p>
            <w:pPr>
              <w:pStyle w:val="nTable"/>
              <w:spacing w:after="40"/>
              <w:rPr>
                <w:sz w:val="19"/>
              </w:rPr>
            </w:pPr>
            <w:r>
              <w:rPr>
                <w:sz w:val="19"/>
              </w:rPr>
              <w:t>28 Feb 1992 p. 1024</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1992</w:t>
            </w:r>
          </w:p>
        </w:tc>
        <w:tc>
          <w:tcPr>
            <w:tcW w:w="1276" w:type="dxa"/>
          </w:tcPr>
          <w:p>
            <w:pPr>
              <w:pStyle w:val="nTable"/>
              <w:spacing w:after="40"/>
              <w:rPr>
                <w:sz w:val="19"/>
              </w:rPr>
            </w:pPr>
            <w:r>
              <w:rPr>
                <w:sz w:val="19"/>
              </w:rPr>
              <w:t>28 Feb 1992 p. 1025</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1992</w:t>
            </w:r>
          </w:p>
        </w:tc>
        <w:tc>
          <w:tcPr>
            <w:tcW w:w="1276" w:type="dxa"/>
          </w:tcPr>
          <w:p>
            <w:pPr>
              <w:pStyle w:val="nTable"/>
              <w:spacing w:after="40"/>
              <w:rPr>
                <w:sz w:val="19"/>
              </w:rPr>
            </w:pPr>
            <w:r>
              <w:rPr>
                <w:sz w:val="19"/>
              </w:rPr>
              <w:t>1 May 1992 p. 1864</w:t>
            </w:r>
          </w:p>
        </w:tc>
        <w:tc>
          <w:tcPr>
            <w:tcW w:w="2693" w:type="dxa"/>
          </w:tcPr>
          <w:p>
            <w:pPr>
              <w:pStyle w:val="nTable"/>
              <w:spacing w:after="40"/>
              <w:rPr>
                <w:sz w:val="19"/>
              </w:rPr>
            </w:pPr>
            <w:r>
              <w:rPr>
                <w:sz w:val="19"/>
              </w:rPr>
              <w:t>1 May 1992</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4) 1992</w:t>
            </w:r>
            <w:r>
              <w:rPr>
                <w:sz w:val="19"/>
                <w:vertAlign w:val="superscript"/>
              </w:rPr>
              <w:t> 17</w:t>
            </w:r>
          </w:p>
        </w:tc>
        <w:tc>
          <w:tcPr>
            <w:tcW w:w="1276" w:type="dxa"/>
          </w:tcPr>
          <w:p>
            <w:pPr>
              <w:pStyle w:val="nTable"/>
              <w:spacing w:after="40"/>
              <w:rPr>
                <w:sz w:val="19"/>
              </w:rPr>
            </w:pPr>
            <w:r>
              <w:rPr>
                <w:sz w:val="19"/>
              </w:rPr>
              <w:t>1 May 1992 p. 1865</w:t>
            </w:r>
          </w:p>
        </w:tc>
        <w:tc>
          <w:tcPr>
            <w:tcW w:w="2693" w:type="dxa"/>
          </w:tcPr>
          <w:p>
            <w:pPr>
              <w:pStyle w:val="nTable"/>
              <w:spacing w:after="40"/>
              <w:rPr>
                <w:sz w:val="19"/>
              </w:rPr>
            </w:pPr>
            <w:r>
              <w:rPr>
                <w:sz w:val="19"/>
              </w:rPr>
              <w:t>1 May 1992</w:t>
            </w:r>
          </w:p>
        </w:tc>
      </w:tr>
      <w:tr>
        <w:trPr>
          <w:cantSplit/>
        </w:trPr>
        <w:tc>
          <w:tcPr>
            <w:tcW w:w="3118" w:type="dxa"/>
          </w:tcPr>
          <w:p>
            <w:pPr>
              <w:pStyle w:val="nTable"/>
              <w:keepNext/>
              <w:keepLines/>
              <w:spacing w:after="40"/>
              <w:ind w:right="113"/>
              <w:rPr>
                <w:sz w:val="19"/>
              </w:rPr>
            </w:pPr>
            <w:r>
              <w:rPr>
                <w:i/>
                <w:sz w:val="19"/>
              </w:rPr>
              <w:t>Water Authority (Charges) Amendment By</w:t>
            </w:r>
            <w:r>
              <w:rPr>
                <w:i/>
                <w:sz w:val="19"/>
              </w:rPr>
              <w:noBreakHyphen/>
              <w:t>laws (No. 5) 1992</w:t>
            </w:r>
          </w:p>
        </w:tc>
        <w:tc>
          <w:tcPr>
            <w:tcW w:w="1276" w:type="dxa"/>
          </w:tcPr>
          <w:p>
            <w:pPr>
              <w:pStyle w:val="nTable"/>
              <w:keepNext/>
              <w:keepLines/>
              <w:spacing w:after="40"/>
              <w:rPr>
                <w:sz w:val="19"/>
              </w:rPr>
            </w:pPr>
            <w:r>
              <w:rPr>
                <w:sz w:val="19"/>
              </w:rPr>
              <w:t>26 Jun 1992 p. 2812</w:t>
            </w:r>
            <w:r>
              <w:rPr>
                <w:sz w:val="19"/>
              </w:rPr>
              <w:noBreakHyphen/>
              <w:t>31</w:t>
            </w:r>
          </w:p>
        </w:tc>
        <w:tc>
          <w:tcPr>
            <w:tcW w:w="2693" w:type="dxa"/>
          </w:tcPr>
          <w:p>
            <w:pPr>
              <w:pStyle w:val="nTable"/>
              <w:keepNext/>
              <w:keepLines/>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1992</w:t>
            </w:r>
          </w:p>
        </w:tc>
        <w:tc>
          <w:tcPr>
            <w:tcW w:w="1276" w:type="dxa"/>
          </w:tcPr>
          <w:p>
            <w:pPr>
              <w:pStyle w:val="nTable"/>
              <w:spacing w:after="40"/>
              <w:rPr>
                <w:sz w:val="19"/>
              </w:rPr>
            </w:pPr>
            <w:r>
              <w:rPr>
                <w:sz w:val="19"/>
              </w:rPr>
              <w:t>26 Jun 1992 p. 2831</w:t>
            </w:r>
            <w:r>
              <w:rPr>
                <w:sz w:val="19"/>
              </w:rPr>
              <w:noBreakHyphen/>
              <w:t>2</w:t>
            </w:r>
          </w:p>
        </w:tc>
        <w:tc>
          <w:tcPr>
            <w:tcW w:w="2693" w:type="dxa"/>
          </w:tcPr>
          <w:p>
            <w:pPr>
              <w:pStyle w:val="nTable"/>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1992</w:t>
            </w:r>
          </w:p>
        </w:tc>
        <w:tc>
          <w:tcPr>
            <w:tcW w:w="1276" w:type="dxa"/>
          </w:tcPr>
          <w:p>
            <w:pPr>
              <w:pStyle w:val="nTable"/>
              <w:spacing w:after="40"/>
              <w:rPr>
                <w:sz w:val="19"/>
              </w:rPr>
            </w:pPr>
            <w:r>
              <w:rPr>
                <w:sz w:val="19"/>
              </w:rPr>
              <w:t>6 Jul 1992 p. 3079</w:t>
            </w:r>
          </w:p>
        </w:tc>
        <w:tc>
          <w:tcPr>
            <w:tcW w:w="2693" w:type="dxa"/>
          </w:tcPr>
          <w:p>
            <w:pPr>
              <w:pStyle w:val="nTable"/>
              <w:spacing w:after="40"/>
              <w:rPr>
                <w:sz w:val="19"/>
              </w:rPr>
            </w:pPr>
            <w:r>
              <w:rPr>
                <w:sz w:val="19"/>
              </w:rPr>
              <w:t>6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1992</w:t>
            </w:r>
          </w:p>
        </w:tc>
        <w:tc>
          <w:tcPr>
            <w:tcW w:w="1276" w:type="dxa"/>
          </w:tcPr>
          <w:p>
            <w:pPr>
              <w:pStyle w:val="nTable"/>
              <w:spacing w:after="40"/>
              <w:rPr>
                <w:sz w:val="19"/>
              </w:rPr>
            </w:pPr>
            <w:r>
              <w:rPr>
                <w:sz w:val="19"/>
              </w:rPr>
              <w:t>24 Jul 1992 p. 3660</w:t>
            </w:r>
            <w:r>
              <w:rPr>
                <w:sz w:val="19"/>
              </w:rPr>
              <w:noBreakHyphen/>
              <w:t>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1992</w:t>
            </w:r>
          </w:p>
        </w:tc>
        <w:tc>
          <w:tcPr>
            <w:tcW w:w="1276" w:type="dxa"/>
          </w:tcPr>
          <w:p>
            <w:pPr>
              <w:pStyle w:val="nTable"/>
              <w:spacing w:after="40"/>
              <w:rPr>
                <w:sz w:val="19"/>
              </w:rPr>
            </w:pPr>
            <w:r>
              <w:rPr>
                <w:sz w:val="19"/>
              </w:rPr>
              <w:t>31 Dec 1992 p. 6412</w:t>
            </w:r>
            <w:r>
              <w:rPr>
                <w:sz w:val="19"/>
              </w:rPr>
              <w:noBreakHyphen/>
              <w:t>13</w:t>
            </w:r>
          </w:p>
        </w:tc>
        <w:tc>
          <w:tcPr>
            <w:tcW w:w="2693" w:type="dxa"/>
          </w:tcPr>
          <w:p>
            <w:pPr>
              <w:pStyle w:val="nTable"/>
              <w:spacing w:after="40"/>
              <w:rPr>
                <w:sz w:val="19"/>
              </w:rPr>
            </w:pPr>
            <w:r>
              <w:rPr>
                <w:sz w:val="19"/>
              </w:rPr>
              <w:t>31 Dec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1993</w:t>
            </w:r>
          </w:p>
        </w:tc>
        <w:tc>
          <w:tcPr>
            <w:tcW w:w="1276" w:type="dxa"/>
          </w:tcPr>
          <w:p>
            <w:pPr>
              <w:pStyle w:val="nTable"/>
              <w:spacing w:after="40"/>
              <w:rPr>
                <w:sz w:val="19"/>
              </w:rPr>
            </w:pPr>
            <w:r>
              <w:rPr>
                <w:sz w:val="19"/>
              </w:rPr>
              <w:t>1 Jul 1993 p. 3214</w:t>
            </w:r>
            <w:r>
              <w:rPr>
                <w:sz w:val="19"/>
              </w:rPr>
              <w:noBreakHyphen/>
              <w:t>36</w:t>
            </w:r>
          </w:p>
        </w:tc>
        <w:tc>
          <w:tcPr>
            <w:tcW w:w="2693" w:type="dxa"/>
          </w:tcPr>
          <w:p>
            <w:pPr>
              <w:pStyle w:val="nTable"/>
              <w:spacing w:after="40"/>
              <w:rPr>
                <w:sz w:val="19"/>
              </w:rPr>
            </w:pPr>
            <w:r>
              <w:rPr>
                <w:sz w:val="19"/>
              </w:rPr>
              <w:t>1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1993</w:t>
            </w:r>
          </w:p>
        </w:tc>
        <w:tc>
          <w:tcPr>
            <w:tcW w:w="1276" w:type="dxa"/>
          </w:tcPr>
          <w:p>
            <w:pPr>
              <w:pStyle w:val="nTable"/>
              <w:spacing w:after="40"/>
              <w:rPr>
                <w:sz w:val="19"/>
              </w:rPr>
            </w:pPr>
            <w:r>
              <w:rPr>
                <w:sz w:val="19"/>
              </w:rPr>
              <w:t>1 Jul 1993 p. 3236</w:t>
            </w:r>
            <w:r>
              <w:rPr>
                <w:sz w:val="19"/>
              </w:rPr>
              <w:noBreakHyphen/>
              <w:t>7</w:t>
            </w:r>
          </w:p>
        </w:tc>
        <w:tc>
          <w:tcPr>
            <w:tcW w:w="2693" w:type="dxa"/>
          </w:tcPr>
          <w:p>
            <w:pPr>
              <w:pStyle w:val="nTable"/>
              <w:spacing w:after="40"/>
              <w:rPr>
                <w:sz w:val="19"/>
              </w:rPr>
            </w:pPr>
            <w:r>
              <w:rPr>
                <w:sz w:val="19"/>
              </w:rPr>
              <w:t>1 Jul 1993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1993</w:t>
            </w:r>
          </w:p>
        </w:tc>
        <w:tc>
          <w:tcPr>
            <w:tcW w:w="1276" w:type="dxa"/>
          </w:tcPr>
          <w:p>
            <w:pPr>
              <w:pStyle w:val="nTable"/>
              <w:spacing w:after="40"/>
              <w:rPr>
                <w:sz w:val="19"/>
              </w:rPr>
            </w:pPr>
            <w:r>
              <w:rPr>
                <w:sz w:val="19"/>
              </w:rPr>
              <w:t>27 Jul 1993 p. 4096</w:t>
            </w:r>
            <w:r>
              <w:rPr>
                <w:sz w:val="19"/>
              </w:rPr>
              <w:noBreakHyphen/>
              <w:t>7</w:t>
            </w:r>
          </w:p>
        </w:tc>
        <w:tc>
          <w:tcPr>
            <w:tcW w:w="2693" w:type="dxa"/>
          </w:tcPr>
          <w:p>
            <w:pPr>
              <w:pStyle w:val="nTable"/>
              <w:spacing w:after="40"/>
              <w:rPr>
                <w:sz w:val="19"/>
              </w:rPr>
            </w:pPr>
            <w:r>
              <w:rPr>
                <w:sz w:val="19"/>
              </w:rPr>
              <w:t>27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1993</w:t>
            </w:r>
          </w:p>
        </w:tc>
        <w:tc>
          <w:tcPr>
            <w:tcW w:w="1276" w:type="dxa"/>
          </w:tcPr>
          <w:p>
            <w:pPr>
              <w:pStyle w:val="nTable"/>
              <w:spacing w:after="40"/>
              <w:rPr>
                <w:sz w:val="19"/>
              </w:rPr>
            </w:pPr>
            <w:r>
              <w:rPr>
                <w:sz w:val="19"/>
              </w:rPr>
              <w:t>28 Sep 1993 p. 5328</w:t>
            </w:r>
          </w:p>
        </w:tc>
        <w:tc>
          <w:tcPr>
            <w:tcW w:w="2693" w:type="dxa"/>
          </w:tcPr>
          <w:p>
            <w:pPr>
              <w:pStyle w:val="nTable"/>
              <w:spacing w:after="40"/>
              <w:rPr>
                <w:sz w:val="19"/>
              </w:rPr>
            </w:pPr>
            <w:r>
              <w:rPr>
                <w:sz w:val="19"/>
              </w:rPr>
              <w:t>28 Sep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1994</w:t>
            </w:r>
          </w:p>
        </w:tc>
        <w:tc>
          <w:tcPr>
            <w:tcW w:w="1276" w:type="dxa"/>
          </w:tcPr>
          <w:p>
            <w:pPr>
              <w:pStyle w:val="nTable"/>
              <w:spacing w:after="40"/>
              <w:rPr>
                <w:sz w:val="19"/>
              </w:rPr>
            </w:pPr>
            <w:r>
              <w:rPr>
                <w:sz w:val="19"/>
              </w:rPr>
              <w:t>4 Mar 1994 p. 900</w:t>
            </w:r>
            <w:r>
              <w:rPr>
                <w:sz w:val="19"/>
              </w:rPr>
              <w:noBreakHyphen/>
              <w:t>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1994</w:t>
            </w:r>
          </w:p>
        </w:tc>
        <w:tc>
          <w:tcPr>
            <w:tcW w:w="1276" w:type="dxa"/>
          </w:tcPr>
          <w:p>
            <w:pPr>
              <w:pStyle w:val="nTable"/>
              <w:spacing w:after="40"/>
              <w:rPr>
                <w:sz w:val="19"/>
              </w:rPr>
            </w:pPr>
            <w:r>
              <w:rPr>
                <w:sz w:val="19"/>
              </w:rPr>
              <w:t>4 Mar 1994 p. 901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1994</w:t>
            </w:r>
          </w:p>
        </w:tc>
        <w:tc>
          <w:tcPr>
            <w:tcW w:w="1276" w:type="dxa"/>
          </w:tcPr>
          <w:p>
            <w:pPr>
              <w:pStyle w:val="nTable"/>
              <w:spacing w:after="40"/>
              <w:rPr>
                <w:sz w:val="19"/>
              </w:rPr>
            </w:pPr>
            <w:r>
              <w:rPr>
                <w:sz w:val="19"/>
              </w:rPr>
              <w:t>4 Mar 1994 p. 902</w:t>
            </w:r>
            <w:r>
              <w:rPr>
                <w:sz w:val="19"/>
              </w:rPr>
              <w:noBreakHyphen/>
              <w:t>3</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1994</w:t>
            </w:r>
          </w:p>
        </w:tc>
        <w:tc>
          <w:tcPr>
            <w:tcW w:w="1276" w:type="dxa"/>
          </w:tcPr>
          <w:p>
            <w:pPr>
              <w:pStyle w:val="nTable"/>
              <w:spacing w:after="40"/>
              <w:rPr>
                <w:sz w:val="19"/>
              </w:rPr>
            </w:pPr>
            <w:r>
              <w:rPr>
                <w:sz w:val="19"/>
              </w:rPr>
              <w:t>4 Mar 1994 p. 904</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1994</w:t>
            </w:r>
          </w:p>
        </w:tc>
        <w:tc>
          <w:tcPr>
            <w:tcW w:w="1276" w:type="dxa"/>
          </w:tcPr>
          <w:p>
            <w:pPr>
              <w:pStyle w:val="nTable"/>
              <w:spacing w:after="40"/>
              <w:rPr>
                <w:sz w:val="19"/>
              </w:rPr>
            </w:pPr>
            <w:r>
              <w:rPr>
                <w:sz w:val="19"/>
              </w:rPr>
              <w:t>6 May 1994 p. 1934</w:t>
            </w:r>
          </w:p>
        </w:tc>
        <w:tc>
          <w:tcPr>
            <w:tcW w:w="2693" w:type="dxa"/>
          </w:tcPr>
          <w:p>
            <w:pPr>
              <w:pStyle w:val="nTable"/>
              <w:spacing w:after="40"/>
              <w:rPr>
                <w:sz w:val="19"/>
              </w:rPr>
            </w:pPr>
            <w:r>
              <w:rPr>
                <w:sz w:val="19"/>
              </w:rPr>
              <w:t>6 May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1994</w:t>
            </w:r>
          </w:p>
        </w:tc>
        <w:tc>
          <w:tcPr>
            <w:tcW w:w="1276" w:type="dxa"/>
          </w:tcPr>
          <w:p>
            <w:pPr>
              <w:pStyle w:val="nTable"/>
              <w:spacing w:after="40"/>
              <w:rPr>
                <w:sz w:val="19"/>
              </w:rPr>
            </w:pPr>
            <w:r>
              <w:rPr>
                <w:sz w:val="19"/>
              </w:rPr>
              <w:t>29 Jun 1994 p. 3171</w:t>
            </w:r>
            <w:r>
              <w:rPr>
                <w:sz w:val="19"/>
              </w:rPr>
              <w:noBreakHyphen/>
              <w:t>200</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1994</w:t>
            </w:r>
          </w:p>
        </w:tc>
        <w:tc>
          <w:tcPr>
            <w:tcW w:w="1276" w:type="dxa"/>
          </w:tcPr>
          <w:p>
            <w:pPr>
              <w:pStyle w:val="nTable"/>
              <w:spacing w:after="40"/>
              <w:rPr>
                <w:sz w:val="19"/>
              </w:rPr>
            </w:pPr>
            <w:r>
              <w:rPr>
                <w:sz w:val="19"/>
              </w:rPr>
              <w:t>16 Sep 1994 p. 4806</w:t>
            </w:r>
            <w:r>
              <w:rPr>
                <w:sz w:val="19"/>
              </w:rPr>
              <w:noBreakHyphen/>
              <w:t>7</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10) 1994</w:t>
            </w:r>
          </w:p>
        </w:tc>
        <w:tc>
          <w:tcPr>
            <w:tcW w:w="1276" w:type="dxa"/>
          </w:tcPr>
          <w:p>
            <w:pPr>
              <w:pStyle w:val="nTable"/>
              <w:spacing w:after="40"/>
              <w:rPr>
                <w:sz w:val="19"/>
              </w:rPr>
            </w:pPr>
            <w:r>
              <w:rPr>
                <w:sz w:val="19"/>
              </w:rPr>
              <w:t>28 Oct 1994 p. 5556</w:t>
            </w:r>
            <w:r>
              <w:rPr>
                <w:sz w:val="19"/>
              </w:rPr>
              <w:noBreakHyphen/>
              <w:t>7</w:t>
            </w:r>
          </w:p>
        </w:tc>
        <w:tc>
          <w:tcPr>
            <w:tcW w:w="2693" w:type="dxa"/>
          </w:tcPr>
          <w:p>
            <w:pPr>
              <w:pStyle w:val="nTable"/>
              <w:spacing w:after="40"/>
              <w:rPr>
                <w:sz w:val="19"/>
              </w:rPr>
            </w:pPr>
            <w:r>
              <w:rPr>
                <w:sz w:val="19"/>
              </w:rPr>
              <w:t>28 Oct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11) 1994</w:t>
            </w:r>
          </w:p>
        </w:tc>
        <w:tc>
          <w:tcPr>
            <w:tcW w:w="1276" w:type="dxa"/>
          </w:tcPr>
          <w:p>
            <w:pPr>
              <w:pStyle w:val="nTable"/>
              <w:spacing w:after="40"/>
              <w:rPr>
                <w:sz w:val="19"/>
              </w:rPr>
            </w:pPr>
            <w:r>
              <w:rPr>
                <w:sz w:val="19"/>
              </w:rPr>
              <w:t>30 Dec 1994 p. 7351</w:t>
            </w:r>
            <w:r>
              <w:rPr>
                <w:sz w:val="19"/>
              </w:rPr>
              <w:noBreakHyphen/>
              <w:t>3</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1995</w:t>
            </w:r>
          </w:p>
        </w:tc>
        <w:tc>
          <w:tcPr>
            <w:tcW w:w="1276" w:type="dxa"/>
          </w:tcPr>
          <w:p>
            <w:pPr>
              <w:pStyle w:val="nTable"/>
              <w:spacing w:after="40"/>
              <w:rPr>
                <w:sz w:val="19"/>
              </w:rPr>
            </w:pPr>
            <w:r>
              <w:rPr>
                <w:sz w:val="19"/>
              </w:rPr>
              <w:t>2 Jun 1995 p. 2215</w:t>
            </w:r>
          </w:p>
        </w:tc>
        <w:tc>
          <w:tcPr>
            <w:tcW w:w="2693" w:type="dxa"/>
          </w:tcPr>
          <w:p>
            <w:pPr>
              <w:pStyle w:val="nTable"/>
              <w:spacing w:after="40"/>
              <w:rPr>
                <w:sz w:val="19"/>
              </w:rPr>
            </w:pPr>
            <w:r>
              <w:rPr>
                <w:sz w:val="19"/>
              </w:rPr>
              <w:t>2 Jun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1995</w:t>
            </w:r>
          </w:p>
        </w:tc>
        <w:tc>
          <w:tcPr>
            <w:tcW w:w="1276" w:type="dxa"/>
          </w:tcPr>
          <w:p>
            <w:pPr>
              <w:pStyle w:val="nTable"/>
              <w:spacing w:after="40"/>
              <w:rPr>
                <w:sz w:val="19"/>
              </w:rPr>
            </w:pPr>
            <w:r>
              <w:rPr>
                <w:sz w:val="19"/>
              </w:rPr>
              <w:t>30 Jun 1995 p. 2735</w:t>
            </w:r>
            <w:r>
              <w:rPr>
                <w:sz w:val="19"/>
              </w:rPr>
              <w:noBreakHyphen/>
              <w:t>66</w:t>
            </w:r>
          </w:p>
        </w:tc>
        <w:tc>
          <w:tcPr>
            <w:tcW w:w="2693" w:type="dxa"/>
          </w:tcPr>
          <w:p>
            <w:pPr>
              <w:pStyle w:val="nTable"/>
              <w:spacing w:after="40"/>
              <w:rPr>
                <w:sz w:val="19"/>
              </w:rPr>
            </w:pPr>
            <w:r>
              <w:rPr>
                <w:sz w:val="19"/>
              </w:rPr>
              <w:t>1 Jul 1995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1995</w:t>
            </w:r>
          </w:p>
        </w:tc>
        <w:tc>
          <w:tcPr>
            <w:tcW w:w="1276" w:type="dxa"/>
          </w:tcPr>
          <w:p>
            <w:pPr>
              <w:pStyle w:val="nTable"/>
              <w:spacing w:after="40"/>
              <w:rPr>
                <w:sz w:val="19"/>
              </w:rPr>
            </w:pPr>
            <w:r>
              <w:rPr>
                <w:sz w:val="19"/>
              </w:rPr>
              <w:t>17 Nov 1995 p. 5344</w:t>
            </w:r>
            <w:r>
              <w:rPr>
                <w:sz w:val="19"/>
              </w:rPr>
              <w:noBreakHyphen/>
              <w:t>5</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1995</w:t>
            </w:r>
          </w:p>
        </w:tc>
        <w:tc>
          <w:tcPr>
            <w:tcW w:w="1276" w:type="dxa"/>
          </w:tcPr>
          <w:p>
            <w:pPr>
              <w:pStyle w:val="nTable"/>
              <w:spacing w:after="40"/>
              <w:rPr>
                <w:sz w:val="19"/>
              </w:rPr>
            </w:pPr>
            <w:r>
              <w:rPr>
                <w:sz w:val="19"/>
              </w:rPr>
              <w:t>17 Nov 1995 p. 5345</w:t>
            </w:r>
            <w:r>
              <w:rPr>
                <w:sz w:val="19"/>
              </w:rPr>
              <w:noBreakHyphen/>
              <w:t>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1995</w:t>
            </w:r>
          </w:p>
        </w:tc>
        <w:tc>
          <w:tcPr>
            <w:tcW w:w="1276" w:type="dxa"/>
          </w:tcPr>
          <w:p>
            <w:pPr>
              <w:pStyle w:val="nTable"/>
              <w:spacing w:after="40"/>
              <w:rPr>
                <w:sz w:val="19"/>
              </w:rPr>
            </w:pPr>
            <w:r>
              <w:rPr>
                <w:sz w:val="19"/>
              </w:rPr>
              <w:t>17 Nov 1995 p. 5346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i/>
                <w:sz w:val="19"/>
              </w:rPr>
            </w:pPr>
            <w:r>
              <w:rPr>
                <w:i/>
                <w:sz w:val="19"/>
              </w:rPr>
              <w:t>Water Agencies (Amendment and Repeal) By</w:t>
            </w:r>
            <w:r>
              <w:rPr>
                <w:i/>
                <w:sz w:val="19"/>
              </w:rPr>
              <w:noBreakHyphen/>
              <w:t xml:space="preserve">laws 1995 </w:t>
            </w:r>
            <w:r>
              <w:rPr>
                <w:sz w:val="19"/>
              </w:rPr>
              <w:t>Pt. 11</w:t>
            </w:r>
          </w:p>
        </w:tc>
        <w:tc>
          <w:tcPr>
            <w:tcW w:w="1276" w:type="dxa"/>
          </w:tcPr>
          <w:p>
            <w:pPr>
              <w:pStyle w:val="nTable"/>
              <w:spacing w:after="40"/>
              <w:ind w:right="113"/>
              <w:rPr>
                <w:sz w:val="19"/>
              </w:rPr>
            </w:pPr>
            <w:r>
              <w:rPr>
                <w:sz w:val="19"/>
              </w:rPr>
              <w:t>29 Dec 1995 p. 6305-32</w:t>
            </w:r>
          </w:p>
        </w:tc>
        <w:tc>
          <w:tcPr>
            <w:tcW w:w="2693" w:type="dxa"/>
          </w:tcPr>
          <w:p>
            <w:pPr>
              <w:pStyle w:val="nTable"/>
              <w:spacing w:after="40"/>
              <w:ind w:right="113"/>
              <w:rPr>
                <w:sz w:val="19"/>
              </w:rPr>
            </w:pPr>
            <w:r>
              <w:rPr>
                <w:sz w:val="19"/>
              </w:rPr>
              <w:t xml:space="preserve">1 Jan 1996 (see bl. 2 and </w:t>
            </w:r>
            <w:r>
              <w:rPr>
                <w:i/>
                <w:sz w:val="19"/>
              </w:rPr>
              <w:t>Gazette</w:t>
            </w:r>
            <w:r>
              <w:rPr>
                <w:sz w:val="19"/>
              </w:rPr>
              <w:t xml:space="preserve"> 29 Dec 1995 p. 6291)</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1996</w:t>
            </w:r>
          </w:p>
        </w:tc>
        <w:tc>
          <w:tcPr>
            <w:tcW w:w="1276" w:type="dxa"/>
          </w:tcPr>
          <w:p>
            <w:pPr>
              <w:pStyle w:val="nTable"/>
              <w:spacing w:after="40"/>
              <w:rPr>
                <w:sz w:val="19"/>
              </w:rPr>
            </w:pPr>
            <w:r>
              <w:rPr>
                <w:sz w:val="19"/>
              </w:rPr>
              <w:t>21 May 1996 p. 2139</w:t>
            </w:r>
          </w:p>
        </w:tc>
        <w:tc>
          <w:tcPr>
            <w:tcW w:w="2693" w:type="dxa"/>
          </w:tcPr>
          <w:p>
            <w:pPr>
              <w:pStyle w:val="nTable"/>
              <w:spacing w:after="40"/>
              <w:rPr>
                <w:sz w:val="19"/>
              </w:rPr>
            </w:pPr>
            <w:r>
              <w:rPr>
                <w:sz w:val="19"/>
              </w:rPr>
              <w:t xml:space="preserve">21 May 1996 (see bl. 2 and </w:t>
            </w:r>
            <w:r>
              <w:rPr>
                <w:i/>
                <w:sz w:val="19"/>
              </w:rPr>
              <w:t>Gazette</w:t>
            </w:r>
            <w:r>
              <w:rPr>
                <w:sz w:val="19"/>
              </w:rPr>
              <w:t xml:space="preserve"> 21 May 1996 p. 2140)</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1996</w:t>
            </w:r>
          </w:p>
        </w:tc>
        <w:tc>
          <w:tcPr>
            <w:tcW w:w="1276" w:type="dxa"/>
          </w:tcPr>
          <w:p>
            <w:pPr>
              <w:pStyle w:val="nTable"/>
              <w:keepNext/>
              <w:spacing w:after="40"/>
              <w:rPr>
                <w:sz w:val="19"/>
              </w:rPr>
            </w:pPr>
            <w:r>
              <w:rPr>
                <w:sz w:val="19"/>
              </w:rPr>
              <w:t>28 Jun 1996 p. 3103</w:t>
            </w:r>
            <w:r>
              <w:rPr>
                <w:sz w:val="19"/>
              </w:rPr>
              <w:noBreakHyphen/>
              <w:t>30</w:t>
            </w:r>
            <w:r>
              <w:rPr>
                <w:sz w:val="19"/>
              </w:rPr>
              <w:br/>
              <w:t>(correction 9 Jul 1996 p. 3281)</w:t>
            </w:r>
          </w:p>
        </w:tc>
        <w:tc>
          <w:tcPr>
            <w:tcW w:w="2693" w:type="dxa"/>
          </w:tcPr>
          <w:p>
            <w:pPr>
              <w:pStyle w:val="nTable"/>
              <w:keepNext/>
              <w:spacing w:after="40"/>
              <w:rPr>
                <w:sz w:val="19"/>
              </w:rPr>
            </w:pPr>
            <w:r>
              <w:rPr>
                <w:sz w:val="19"/>
              </w:rPr>
              <w:t>1 Jul 1996 (see bl. 2)</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1996</w:t>
            </w:r>
          </w:p>
        </w:tc>
        <w:tc>
          <w:tcPr>
            <w:tcW w:w="1276" w:type="dxa"/>
          </w:tcPr>
          <w:p>
            <w:pPr>
              <w:pStyle w:val="nTable"/>
              <w:spacing w:after="40"/>
              <w:rPr>
                <w:sz w:val="19"/>
              </w:rPr>
            </w:pPr>
            <w:r>
              <w:rPr>
                <w:sz w:val="19"/>
              </w:rPr>
              <w:t>5 Jul 1996 p. 3255</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1996</w:t>
            </w:r>
          </w:p>
        </w:tc>
        <w:tc>
          <w:tcPr>
            <w:tcW w:w="1276" w:type="dxa"/>
          </w:tcPr>
          <w:p>
            <w:pPr>
              <w:pStyle w:val="nTable"/>
              <w:spacing w:after="40"/>
              <w:rPr>
                <w:sz w:val="19"/>
              </w:rPr>
            </w:pPr>
            <w:r>
              <w:rPr>
                <w:sz w:val="19"/>
              </w:rPr>
              <w:t>19 Jul 1996 p. 3489</w:t>
            </w:r>
            <w:r>
              <w:rPr>
                <w:sz w:val="19"/>
              </w:rPr>
              <w:noBreakHyphen/>
              <w:t>90</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5) 1996</w:t>
            </w:r>
          </w:p>
        </w:tc>
        <w:tc>
          <w:tcPr>
            <w:tcW w:w="1276" w:type="dxa"/>
          </w:tcPr>
          <w:p>
            <w:pPr>
              <w:pStyle w:val="nTable"/>
              <w:spacing w:after="40"/>
              <w:rPr>
                <w:sz w:val="19"/>
              </w:rPr>
            </w:pPr>
            <w:r>
              <w:rPr>
                <w:sz w:val="19"/>
              </w:rPr>
              <w:t>23 Aug 1996 p. 4128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6) 1996</w:t>
            </w:r>
          </w:p>
        </w:tc>
        <w:tc>
          <w:tcPr>
            <w:tcW w:w="1276" w:type="dxa"/>
          </w:tcPr>
          <w:p>
            <w:pPr>
              <w:pStyle w:val="nTable"/>
              <w:spacing w:after="40"/>
              <w:rPr>
                <w:sz w:val="19"/>
              </w:rPr>
            </w:pPr>
            <w:r>
              <w:rPr>
                <w:sz w:val="19"/>
              </w:rPr>
              <w:t>13 Sep 1996 p. 4606</w:t>
            </w:r>
          </w:p>
        </w:tc>
        <w:tc>
          <w:tcPr>
            <w:tcW w:w="2693" w:type="dxa"/>
          </w:tcPr>
          <w:p>
            <w:pPr>
              <w:pStyle w:val="nTable"/>
              <w:spacing w:after="40"/>
              <w:rPr>
                <w:sz w:val="19"/>
              </w:rPr>
            </w:pPr>
            <w:r>
              <w:rPr>
                <w:sz w:val="19"/>
              </w:rPr>
              <w:t>13 Sep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7) 1996</w:t>
            </w:r>
          </w:p>
        </w:tc>
        <w:tc>
          <w:tcPr>
            <w:tcW w:w="1276" w:type="dxa"/>
          </w:tcPr>
          <w:p>
            <w:pPr>
              <w:pStyle w:val="nTable"/>
              <w:spacing w:after="40"/>
              <w:rPr>
                <w:sz w:val="19"/>
              </w:rPr>
            </w:pPr>
            <w:r>
              <w:rPr>
                <w:sz w:val="19"/>
              </w:rPr>
              <w:t>7 Jan 1997 p. 63</w:t>
            </w:r>
          </w:p>
        </w:tc>
        <w:tc>
          <w:tcPr>
            <w:tcW w:w="2693" w:type="dxa"/>
          </w:tcPr>
          <w:p>
            <w:pPr>
              <w:pStyle w:val="nTable"/>
              <w:spacing w:after="40"/>
              <w:rPr>
                <w:sz w:val="19"/>
              </w:rPr>
            </w:pPr>
            <w:r>
              <w:rPr>
                <w:sz w:val="19"/>
              </w:rPr>
              <w:t>7 Jan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1997</w:t>
            </w:r>
          </w:p>
        </w:tc>
        <w:tc>
          <w:tcPr>
            <w:tcW w:w="1276" w:type="dxa"/>
          </w:tcPr>
          <w:p>
            <w:pPr>
              <w:pStyle w:val="nTable"/>
              <w:spacing w:after="40"/>
              <w:rPr>
                <w:sz w:val="19"/>
              </w:rPr>
            </w:pPr>
            <w:r>
              <w:rPr>
                <w:sz w:val="19"/>
              </w:rPr>
              <w:t>7 Feb 1997 p. 779</w:t>
            </w:r>
          </w:p>
        </w:tc>
        <w:tc>
          <w:tcPr>
            <w:tcW w:w="2693" w:type="dxa"/>
          </w:tcPr>
          <w:p>
            <w:pPr>
              <w:pStyle w:val="nTable"/>
              <w:spacing w:after="40"/>
              <w:rPr>
                <w:sz w:val="19"/>
              </w:rPr>
            </w:pPr>
            <w:r>
              <w:rPr>
                <w:sz w:val="19"/>
              </w:rPr>
              <w:t>7 Feb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2) 1997</w:t>
            </w:r>
          </w:p>
        </w:tc>
        <w:tc>
          <w:tcPr>
            <w:tcW w:w="1276" w:type="dxa"/>
          </w:tcPr>
          <w:p>
            <w:pPr>
              <w:pStyle w:val="nTable"/>
              <w:spacing w:after="40"/>
              <w:rPr>
                <w:sz w:val="19"/>
              </w:rPr>
            </w:pPr>
            <w:r>
              <w:rPr>
                <w:sz w:val="19"/>
              </w:rPr>
              <w:t>13 May 1997 p. 2350</w:t>
            </w:r>
            <w:r>
              <w:rPr>
                <w:sz w:val="19"/>
              </w:rPr>
              <w:noBreakHyphen/>
              <w:t>3</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1997</w:t>
            </w:r>
          </w:p>
        </w:tc>
        <w:tc>
          <w:tcPr>
            <w:tcW w:w="1276" w:type="dxa"/>
          </w:tcPr>
          <w:p>
            <w:pPr>
              <w:pStyle w:val="nTable"/>
              <w:spacing w:after="40"/>
              <w:rPr>
                <w:sz w:val="19"/>
              </w:rPr>
            </w:pPr>
            <w:r>
              <w:rPr>
                <w:sz w:val="19"/>
              </w:rPr>
              <w:t>10 Jun 1997 p. 2669</w:t>
            </w:r>
            <w:r>
              <w:rPr>
                <w:sz w:val="19"/>
              </w:rPr>
              <w:noBreakHyphen/>
              <w:t>70</w:t>
            </w:r>
          </w:p>
        </w:tc>
        <w:tc>
          <w:tcPr>
            <w:tcW w:w="2693" w:type="dxa"/>
          </w:tcPr>
          <w:p>
            <w:pPr>
              <w:pStyle w:val="nTable"/>
              <w:spacing w:after="40"/>
              <w:rPr>
                <w:sz w:val="19"/>
              </w:rPr>
            </w:pPr>
            <w:r>
              <w:rPr>
                <w:sz w:val="19"/>
              </w:rPr>
              <w:t>10 Jun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1997</w:t>
            </w:r>
          </w:p>
        </w:tc>
        <w:tc>
          <w:tcPr>
            <w:tcW w:w="1276" w:type="dxa"/>
          </w:tcPr>
          <w:p>
            <w:pPr>
              <w:pStyle w:val="nTable"/>
              <w:spacing w:after="40"/>
              <w:rPr>
                <w:sz w:val="19"/>
              </w:rPr>
            </w:pPr>
            <w:r>
              <w:rPr>
                <w:sz w:val="19"/>
              </w:rPr>
              <w:t>27 Jun 1997 p. 3175</w:t>
            </w:r>
            <w:r>
              <w:rPr>
                <w:sz w:val="19"/>
              </w:rPr>
              <w:noBreakHyphen/>
              <w:t>203</w:t>
            </w:r>
          </w:p>
        </w:tc>
        <w:tc>
          <w:tcPr>
            <w:tcW w:w="2693" w:type="dxa"/>
          </w:tcPr>
          <w:p>
            <w:pPr>
              <w:pStyle w:val="nTable"/>
              <w:spacing w:after="40"/>
              <w:rPr>
                <w:sz w:val="19"/>
              </w:rPr>
            </w:pPr>
            <w:r>
              <w:rPr>
                <w:sz w:val="19"/>
              </w:rPr>
              <w:t>1 Jul 1997 (see bl. 2)</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25 Aug 1997</w:t>
            </w:r>
            <w:r>
              <w:rPr>
                <w:sz w:val="19"/>
              </w:rPr>
              <w:t xml:space="preserve"> </w:t>
            </w:r>
            <w:r>
              <w:rPr>
                <w:sz w:val="19"/>
              </w:rPr>
              <w:br/>
              <w:t>(includes amendments listed above)</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1997</w:t>
            </w:r>
            <w:r>
              <w:rPr>
                <w:i/>
                <w:sz w:val="19"/>
                <w:vertAlign w:val="superscript"/>
              </w:rPr>
              <w:t xml:space="preserve"> </w:t>
            </w:r>
            <w:r>
              <w:rPr>
                <w:sz w:val="19"/>
                <w:vertAlign w:val="superscript"/>
              </w:rPr>
              <w:t>18</w:t>
            </w:r>
          </w:p>
        </w:tc>
        <w:tc>
          <w:tcPr>
            <w:tcW w:w="1276" w:type="dxa"/>
          </w:tcPr>
          <w:p>
            <w:pPr>
              <w:pStyle w:val="nTable"/>
              <w:spacing w:after="40"/>
              <w:rPr>
                <w:sz w:val="19"/>
              </w:rPr>
            </w:pPr>
            <w:r>
              <w:rPr>
                <w:sz w:val="19"/>
              </w:rPr>
              <w:t>6 Jan 1998 p. 39</w:t>
            </w:r>
            <w:r>
              <w:rPr>
                <w:sz w:val="19"/>
              </w:rPr>
              <w:noBreakHyphen/>
              <w:t>41</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1998</w:t>
            </w:r>
          </w:p>
        </w:tc>
        <w:tc>
          <w:tcPr>
            <w:tcW w:w="1276" w:type="dxa"/>
          </w:tcPr>
          <w:p>
            <w:pPr>
              <w:pStyle w:val="nTable"/>
              <w:spacing w:after="40"/>
              <w:rPr>
                <w:sz w:val="19"/>
              </w:rPr>
            </w:pPr>
            <w:r>
              <w:rPr>
                <w:sz w:val="19"/>
              </w:rPr>
              <w:t>9 Apr 1998 p. 2035</w:t>
            </w:r>
          </w:p>
        </w:tc>
        <w:tc>
          <w:tcPr>
            <w:tcW w:w="2693" w:type="dxa"/>
          </w:tcPr>
          <w:p>
            <w:pPr>
              <w:pStyle w:val="nTable"/>
              <w:spacing w:after="40"/>
              <w:rPr>
                <w:sz w:val="19"/>
              </w:rPr>
            </w:pPr>
            <w:r>
              <w:rPr>
                <w:sz w:val="19"/>
              </w:rPr>
              <w:t>14 Apr 1998 (see bl. 2)</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1998</w:t>
            </w:r>
          </w:p>
        </w:tc>
        <w:tc>
          <w:tcPr>
            <w:tcW w:w="1276" w:type="dxa"/>
          </w:tcPr>
          <w:p>
            <w:pPr>
              <w:pStyle w:val="nTable"/>
              <w:keepNext/>
              <w:spacing w:after="40"/>
              <w:rPr>
                <w:sz w:val="19"/>
              </w:rPr>
            </w:pPr>
            <w:r>
              <w:rPr>
                <w:sz w:val="19"/>
              </w:rPr>
              <w:t>26 Jun 1998 p. 3399</w:t>
            </w:r>
            <w:r>
              <w:rPr>
                <w:sz w:val="19"/>
              </w:rPr>
              <w:noBreakHyphen/>
              <w:t>415</w:t>
            </w:r>
          </w:p>
        </w:tc>
        <w:tc>
          <w:tcPr>
            <w:tcW w:w="2693" w:type="dxa"/>
          </w:tcPr>
          <w:p>
            <w:pPr>
              <w:pStyle w:val="nTable"/>
              <w:keepNext/>
              <w:spacing w:after="40"/>
              <w:rPr>
                <w:sz w:val="19"/>
              </w:rPr>
            </w:pPr>
            <w:r>
              <w:rPr>
                <w:sz w:val="19"/>
              </w:rPr>
              <w:t xml:space="preserve">1 Jul 1998 (see bl. 2) </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1998</w:t>
            </w:r>
          </w:p>
        </w:tc>
        <w:tc>
          <w:tcPr>
            <w:tcW w:w="1276" w:type="dxa"/>
          </w:tcPr>
          <w:p>
            <w:pPr>
              <w:pStyle w:val="nTable"/>
              <w:spacing w:after="40"/>
              <w:rPr>
                <w:sz w:val="19"/>
              </w:rPr>
            </w:pPr>
            <w:r>
              <w:rPr>
                <w:sz w:val="19"/>
              </w:rPr>
              <w:t>26 Jun 1998 p. 3415</w:t>
            </w:r>
            <w:r>
              <w:rPr>
                <w:sz w:val="19"/>
              </w:rPr>
              <w:noBreakHyphen/>
              <w:t>16</w:t>
            </w:r>
          </w:p>
        </w:tc>
        <w:tc>
          <w:tcPr>
            <w:tcW w:w="2693" w:type="dxa"/>
          </w:tcPr>
          <w:p>
            <w:pPr>
              <w:pStyle w:val="nTable"/>
              <w:spacing w:after="40"/>
              <w:rPr>
                <w:sz w:val="19"/>
              </w:rPr>
            </w:pPr>
            <w:r>
              <w:rPr>
                <w:sz w:val="19"/>
              </w:rPr>
              <w:t>26 Jun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1998</w:t>
            </w:r>
          </w:p>
        </w:tc>
        <w:tc>
          <w:tcPr>
            <w:tcW w:w="1276" w:type="dxa"/>
          </w:tcPr>
          <w:p>
            <w:pPr>
              <w:pStyle w:val="nTable"/>
              <w:spacing w:after="40"/>
              <w:rPr>
                <w:sz w:val="19"/>
              </w:rPr>
            </w:pPr>
            <w:r>
              <w:rPr>
                <w:sz w:val="19"/>
              </w:rPr>
              <w:t>1 Jul 1998 p. 3561</w:t>
            </w:r>
          </w:p>
        </w:tc>
        <w:tc>
          <w:tcPr>
            <w:tcW w:w="2693" w:type="dxa"/>
          </w:tcPr>
          <w:p>
            <w:pPr>
              <w:pStyle w:val="nTable"/>
              <w:spacing w:after="40"/>
              <w:rPr>
                <w:sz w:val="19"/>
              </w:rPr>
            </w:pPr>
            <w:r>
              <w:rPr>
                <w:sz w:val="19"/>
              </w:rPr>
              <w:t xml:space="preserve">1 Jul 1998 (see bl. 2 and </w:t>
            </w:r>
            <w:r>
              <w:rPr>
                <w:i/>
                <w:sz w:val="19"/>
              </w:rPr>
              <w:t>Gazette</w:t>
            </w:r>
            <w:r>
              <w:rPr>
                <w:sz w:val="19"/>
              </w:rPr>
              <w:t xml:space="preserve"> 26 Jun 1998 p. 3399)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5) 1998</w:t>
            </w:r>
          </w:p>
        </w:tc>
        <w:tc>
          <w:tcPr>
            <w:tcW w:w="1276" w:type="dxa"/>
          </w:tcPr>
          <w:p>
            <w:pPr>
              <w:pStyle w:val="nTable"/>
              <w:spacing w:after="40"/>
              <w:rPr>
                <w:sz w:val="19"/>
              </w:rPr>
            </w:pPr>
            <w:r>
              <w:rPr>
                <w:sz w:val="19"/>
              </w:rPr>
              <w:t>30 Oct 1998 p. 6017</w:t>
            </w:r>
            <w:r>
              <w:rPr>
                <w:sz w:val="19"/>
              </w:rPr>
              <w:noBreakHyphen/>
              <w:t>18</w:t>
            </w:r>
          </w:p>
        </w:tc>
        <w:tc>
          <w:tcPr>
            <w:tcW w:w="2693" w:type="dxa"/>
          </w:tcPr>
          <w:p>
            <w:pPr>
              <w:pStyle w:val="nTable"/>
              <w:spacing w:after="40"/>
              <w:rPr>
                <w:sz w:val="19"/>
              </w:rPr>
            </w:pPr>
            <w:r>
              <w:rPr>
                <w:sz w:val="19"/>
              </w:rPr>
              <w:t>30 Oct 1998</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1999</w:t>
            </w:r>
          </w:p>
        </w:tc>
        <w:tc>
          <w:tcPr>
            <w:tcW w:w="1276" w:type="dxa"/>
          </w:tcPr>
          <w:p>
            <w:pPr>
              <w:pStyle w:val="nTable"/>
              <w:spacing w:after="40"/>
              <w:rPr>
                <w:sz w:val="19"/>
              </w:rPr>
            </w:pPr>
            <w:r>
              <w:rPr>
                <w:sz w:val="19"/>
              </w:rPr>
              <w:t>7 May 1999 p. 1859</w:t>
            </w:r>
            <w:r>
              <w:rPr>
                <w:sz w:val="19"/>
              </w:rPr>
              <w:noBreakHyphen/>
              <w:t>61</w:t>
            </w:r>
          </w:p>
        </w:tc>
        <w:tc>
          <w:tcPr>
            <w:tcW w:w="2693" w:type="dxa"/>
          </w:tcPr>
          <w:p>
            <w:pPr>
              <w:pStyle w:val="nTable"/>
              <w:spacing w:after="40"/>
              <w:rPr>
                <w:sz w:val="19"/>
              </w:rPr>
            </w:pPr>
            <w:r>
              <w:rPr>
                <w:sz w:val="19"/>
              </w:rPr>
              <w:t>7 May 1999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1999</w:t>
            </w:r>
          </w:p>
        </w:tc>
        <w:tc>
          <w:tcPr>
            <w:tcW w:w="1276" w:type="dxa"/>
          </w:tcPr>
          <w:p>
            <w:pPr>
              <w:pStyle w:val="nTable"/>
              <w:spacing w:after="40"/>
              <w:rPr>
                <w:sz w:val="19"/>
              </w:rPr>
            </w:pPr>
            <w:r>
              <w:rPr>
                <w:sz w:val="19"/>
              </w:rPr>
              <w:t>25 Jun 1999 p. 2742</w:t>
            </w:r>
          </w:p>
        </w:tc>
        <w:tc>
          <w:tcPr>
            <w:tcW w:w="2693" w:type="dxa"/>
          </w:tcPr>
          <w:p>
            <w:pPr>
              <w:pStyle w:val="nTable"/>
              <w:spacing w:after="40"/>
              <w:rPr>
                <w:sz w:val="19"/>
              </w:rPr>
            </w:pPr>
            <w:r>
              <w:rPr>
                <w:sz w:val="19"/>
              </w:rPr>
              <w:t>25 Jun 1999</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2) 1999</w:t>
            </w:r>
            <w:r>
              <w:rPr>
                <w:sz w:val="19"/>
                <w:vertAlign w:val="superscript"/>
              </w:rPr>
              <w:t> 19</w:t>
            </w:r>
          </w:p>
        </w:tc>
        <w:tc>
          <w:tcPr>
            <w:tcW w:w="1276" w:type="dxa"/>
          </w:tcPr>
          <w:p>
            <w:pPr>
              <w:pStyle w:val="nTable"/>
              <w:spacing w:after="40"/>
              <w:rPr>
                <w:sz w:val="19"/>
              </w:rPr>
            </w:pPr>
            <w:r>
              <w:rPr>
                <w:sz w:val="19"/>
              </w:rPr>
              <w:t>29 Jun 1999 p. 2789</w:t>
            </w:r>
            <w:r>
              <w:rPr>
                <w:sz w:val="19"/>
              </w:rPr>
              <w:noBreakHyphen/>
              <w:t>828</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1999</w:t>
            </w:r>
          </w:p>
        </w:tc>
        <w:tc>
          <w:tcPr>
            <w:tcW w:w="1276" w:type="dxa"/>
          </w:tcPr>
          <w:p>
            <w:pPr>
              <w:pStyle w:val="nTable"/>
              <w:spacing w:after="40"/>
              <w:rPr>
                <w:sz w:val="19"/>
              </w:rPr>
            </w:pPr>
            <w:r>
              <w:rPr>
                <w:sz w:val="19"/>
              </w:rPr>
              <w:t xml:space="preserve">1 Jul 1999 </w:t>
            </w:r>
            <w:r>
              <w:rPr>
                <w:sz w:val="19"/>
              </w:rPr>
              <w:br/>
              <w:t>p. 2907</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2000</w:t>
            </w:r>
          </w:p>
        </w:tc>
        <w:tc>
          <w:tcPr>
            <w:tcW w:w="1276" w:type="dxa"/>
          </w:tcPr>
          <w:p>
            <w:pPr>
              <w:pStyle w:val="nTable"/>
              <w:spacing w:after="40"/>
              <w:rPr>
                <w:sz w:val="19"/>
              </w:rPr>
            </w:pPr>
            <w:r>
              <w:rPr>
                <w:sz w:val="19"/>
              </w:rPr>
              <w:t>15 Feb 2000 p. 524</w:t>
            </w:r>
            <w:r>
              <w:rPr>
                <w:sz w:val="19"/>
              </w:rPr>
              <w:noBreakHyphen/>
              <w:t>5</w:t>
            </w:r>
          </w:p>
        </w:tc>
        <w:tc>
          <w:tcPr>
            <w:tcW w:w="2693" w:type="dxa"/>
          </w:tcPr>
          <w:p>
            <w:pPr>
              <w:pStyle w:val="nTable"/>
              <w:spacing w:after="40"/>
              <w:rPr>
                <w:sz w:val="19"/>
              </w:rPr>
            </w:pPr>
            <w:r>
              <w:rPr>
                <w:sz w:val="19"/>
              </w:rPr>
              <w:t>15 Feb 2000</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2000</w:t>
            </w:r>
          </w:p>
        </w:tc>
        <w:tc>
          <w:tcPr>
            <w:tcW w:w="1276" w:type="dxa"/>
          </w:tcPr>
          <w:p>
            <w:pPr>
              <w:pStyle w:val="nTable"/>
              <w:spacing w:after="40"/>
              <w:rPr>
                <w:sz w:val="19"/>
              </w:rPr>
            </w:pPr>
            <w:r>
              <w:rPr>
                <w:sz w:val="19"/>
              </w:rPr>
              <w:t>29 Jun 2000 p. 3323</w:t>
            </w:r>
            <w:r>
              <w:rPr>
                <w:sz w:val="19"/>
              </w:rPr>
              <w:noBreakHyphen/>
              <w:t>63</w:t>
            </w:r>
          </w:p>
        </w:tc>
        <w:tc>
          <w:tcPr>
            <w:tcW w:w="2693" w:type="dxa"/>
          </w:tcPr>
          <w:p>
            <w:pPr>
              <w:pStyle w:val="nTable"/>
              <w:spacing w:after="40"/>
              <w:rPr>
                <w:sz w:val="19"/>
              </w:rPr>
            </w:pPr>
            <w:r>
              <w:rPr>
                <w:sz w:val="19"/>
              </w:rPr>
              <w:t>1 Jul 2000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2001</w:t>
            </w:r>
          </w:p>
        </w:tc>
        <w:tc>
          <w:tcPr>
            <w:tcW w:w="1276" w:type="dxa"/>
          </w:tcPr>
          <w:p>
            <w:pPr>
              <w:pStyle w:val="nTable"/>
              <w:spacing w:after="40"/>
              <w:rPr>
                <w:sz w:val="19"/>
              </w:rPr>
            </w:pPr>
            <w:r>
              <w:rPr>
                <w:sz w:val="19"/>
              </w:rPr>
              <w:t>13 Feb 2001 p. 892</w:t>
            </w:r>
          </w:p>
        </w:tc>
        <w:tc>
          <w:tcPr>
            <w:tcW w:w="2693" w:type="dxa"/>
          </w:tcPr>
          <w:p>
            <w:pPr>
              <w:pStyle w:val="nTable"/>
              <w:spacing w:after="40"/>
              <w:rPr>
                <w:sz w:val="19"/>
              </w:rPr>
            </w:pPr>
            <w:r>
              <w:rPr>
                <w:sz w:val="19"/>
              </w:rPr>
              <w:t>13 Feb 2001</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16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2001</w:t>
            </w:r>
          </w:p>
        </w:tc>
        <w:tc>
          <w:tcPr>
            <w:tcW w:w="1276" w:type="dxa"/>
          </w:tcPr>
          <w:p>
            <w:pPr>
              <w:pStyle w:val="nTable"/>
              <w:spacing w:after="40"/>
              <w:rPr>
                <w:sz w:val="19"/>
              </w:rPr>
            </w:pPr>
            <w:r>
              <w:rPr>
                <w:sz w:val="19"/>
              </w:rPr>
              <w:t>29 Jun 2001 p. 3187</w:t>
            </w:r>
            <w:r>
              <w:rPr>
                <w:sz w:val="19"/>
              </w:rPr>
              <w:noBreakHyphen/>
              <w:t>229</w:t>
            </w:r>
          </w:p>
        </w:tc>
        <w:tc>
          <w:tcPr>
            <w:tcW w:w="2693" w:type="dxa"/>
          </w:tcPr>
          <w:p>
            <w:pPr>
              <w:pStyle w:val="nTable"/>
              <w:spacing w:after="40"/>
              <w:rPr>
                <w:sz w:val="19"/>
              </w:rPr>
            </w:pPr>
            <w:r>
              <w:rPr>
                <w:sz w:val="19"/>
              </w:rPr>
              <w:t>1 Jul 2001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2001</w:t>
            </w:r>
          </w:p>
        </w:tc>
        <w:tc>
          <w:tcPr>
            <w:tcW w:w="1276" w:type="dxa"/>
          </w:tcPr>
          <w:p>
            <w:pPr>
              <w:pStyle w:val="nTable"/>
              <w:spacing w:after="40"/>
              <w:rPr>
                <w:sz w:val="19"/>
              </w:rPr>
            </w:pPr>
            <w:r>
              <w:rPr>
                <w:sz w:val="19"/>
              </w:rPr>
              <w:t>7 Aug 2001 p. 4037</w:t>
            </w:r>
            <w:r>
              <w:rPr>
                <w:sz w:val="19"/>
              </w:rPr>
              <w:noBreakHyphen/>
              <w:t>8</w:t>
            </w:r>
          </w:p>
        </w:tc>
        <w:tc>
          <w:tcPr>
            <w:tcW w:w="2693" w:type="dxa"/>
          </w:tcPr>
          <w:p>
            <w:pPr>
              <w:pStyle w:val="nTable"/>
              <w:spacing w:after="40"/>
              <w:rPr>
                <w:sz w:val="19"/>
              </w:rPr>
            </w:pPr>
            <w:r>
              <w:rPr>
                <w:sz w:val="19"/>
              </w:rPr>
              <w:t>7 Aug 2001</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2001</w:t>
            </w:r>
          </w:p>
        </w:tc>
        <w:tc>
          <w:tcPr>
            <w:tcW w:w="1276" w:type="dxa"/>
          </w:tcPr>
          <w:p>
            <w:pPr>
              <w:pStyle w:val="nTable"/>
              <w:spacing w:after="40"/>
              <w:rPr>
                <w:sz w:val="19"/>
              </w:rPr>
            </w:pPr>
            <w:r>
              <w:rPr>
                <w:sz w:val="19"/>
              </w:rPr>
              <w:t>5 Oct 2001 p. 5478</w:t>
            </w:r>
            <w:r>
              <w:rPr>
                <w:sz w:val="19"/>
              </w:rPr>
              <w:noBreakHyphen/>
              <w:t>9</w:t>
            </w:r>
          </w:p>
        </w:tc>
        <w:tc>
          <w:tcPr>
            <w:tcW w:w="2693" w:type="dxa"/>
          </w:tcPr>
          <w:p>
            <w:pPr>
              <w:pStyle w:val="nTable"/>
              <w:spacing w:after="40"/>
              <w:rPr>
                <w:sz w:val="19"/>
              </w:rPr>
            </w:pPr>
            <w:r>
              <w:rPr>
                <w:sz w:val="19"/>
              </w:rPr>
              <w:t>5 Oct 2001</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2001</w:t>
            </w:r>
            <w:r>
              <w:rPr>
                <w:sz w:val="19"/>
                <w:vertAlign w:val="superscript"/>
              </w:rPr>
              <w:t> 20</w:t>
            </w:r>
          </w:p>
        </w:tc>
        <w:tc>
          <w:tcPr>
            <w:tcW w:w="1276" w:type="dxa"/>
          </w:tcPr>
          <w:p>
            <w:pPr>
              <w:pStyle w:val="nTable"/>
              <w:spacing w:after="40"/>
              <w:rPr>
                <w:sz w:val="19"/>
              </w:rPr>
            </w:pPr>
            <w:r>
              <w:rPr>
                <w:sz w:val="19"/>
              </w:rPr>
              <w:t>22 Feb 2002 p. 767</w:t>
            </w:r>
            <w:r>
              <w:rPr>
                <w:sz w:val="19"/>
              </w:rPr>
              <w:noBreakHyphen/>
              <w:t>9</w:t>
            </w:r>
          </w:p>
        </w:tc>
        <w:tc>
          <w:tcPr>
            <w:tcW w:w="2693" w:type="dxa"/>
          </w:tcPr>
          <w:p>
            <w:pPr>
              <w:pStyle w:val="nTable"/>
              <w:spacing w:after="40"/>
              <w:rPr>
                <w:sz w:val="19"/>
              </w:rPr>
            </w:pPr>
            <w:r>
              <w:rPr>
                <w:sz w:val="19"/>
              </w:rPr>
              <w:t>22 Feb 2002</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2002</w:t>
            </w:r>
            <w:r>
              <w:rPr>
                <w:sz w:val="19"/>
                <w:vertAlign w:val="superscript"/>
              </w:rPr>
              <w:t> 21</w:t>
            </w:r>
          </w:p>
        </w:tc>
        <w:tc>
          <w:tcPr>
            <w:tcW w:w="1276" w:type="dxa"/>
          </w:tcPr>
          <w:p>
            <w:pPr>
              <w:pStyle w:val="nTable"/>
              <w:spacing w:after="40"/>
              <w:rPr>
                <w:sz w:val="19"/>
              </w:rPr>
            </w:pPr>
            <w:r>
              <w:rPr>
                <w:sz w:val="19"/>
              </w:rPr>
              <w:t>1 Mar 2002 p. 869</w:t>
            </w:r>
            <w:r>
              <w:rPr>
                <w:sz w:val="19"/>
              </w:rPr>
              <w:noBreakHyphen/>
              <w:t>70</w:t>
            </w:r>
          </w:p>
        </w:tc>
        <w:tc>
          <w:tcPr>
            <w:tcW w:w="2693" w:type="dxa"/>
          </w:tcPr>
          <w:p>
            <w:pPr>
              <w:pStyle w:val="nTable"/>
              <w:spacing w:after="40"/>
              <w:rPr>
                <w:sz w:val="19"/>
              </w:rPr>
            </w:pPr>
            <w:r>
              <w:rPr>
                <w:sz w:val="19"/>
              </w:rPr>
              <w:t>1 Mar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2002</w:t>
            </w:r>
          </w:p>
        </w:tc>
        <w:tc>
          <w:tcPr>
            <w:tcW w:w="1276" w:type="dxa"/>
          </w:tcPr>
          <w:p>
            <w:pPr>
              <w:pStyle w:val="nTable"/>
              <w:spacing w:after="40"/>
              <w:rPr>
                <w:sz w:val="19"/>
              </w:rPr>
            </w:pPr>
            <w:r>
              <w:rPr>
                <w:sz w:val="19"/>
              </w:rPr>
              <w:t>1 Mar 2002 p. 870</w:t>
            </w:r>
          </w:p>
        </w:tc>
        <w:tc>
          <w:tcPr>
            <w:tcW w:w="2693" w:type="dxa"/>
          </w:tcPr>
          <w:p>
            <w:pPr>
              <w:pStyle w:val="nTable"/>
              <w:spacing w:after="40"/>
              <w:rPr>
                <w:sz w:val="19"/>
              </w:rPr>
            </w:pPr>
            <w:r>
              <w:rPr>
                <w:sz w:val="19"/>
              </w:rPr>
              <w:t xml:space="preserve">1 Mar 2002 </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2002</w:t>
            </w:r>
          </w:p>
        </w:tc>
        <w:tc>
          <w:tcPr>
            <w:tcW w:w="1276" w:type="dxa"/>
          </w:tcPr>
          <w:p>
            <w:pPr>
              <w:pStyle w:val="nTable"/>
              <w:spacing w:after="40"/>
              <w:rPr>
                <w:sz w:val="19"/>
              </w:rPr>
            </w:pPr>
            <w:r>
              <w:rPr>
                <w:sz w:val="19"/>
              </w:rPr>
              <w:t>1 Jul 2002 p. 3155</w:t>
            </w:r>
            <w:r>
              <w:rPr>
                <w:sz w:val="19"/>
              </w:rPr>
              <w:noBreakHyphen/>
              <w:t>201</w:t>
            </w:r>
          </w:p>
        </w:tc>
        <w:tc>
          <w:tcPr>
            <w:tcW w:w="2693" w:type="dxa"/>
          </w:tcPr>
          <w:p>
            <w:pPr>
              <w:pStyle w:val="nTable"/>
              <w:spacing w:after="40"/>
              <w:rPr>
                <w:sz w:val="19"/>
              </w:rPr>
            </w:pPr>
            <w:r>
              <w:rPr>
                <w:sz w:val="19"/>
              </w:rPr>
              <w:t>1 Jul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2003</w:t>
            </w:r>
          </w:p>
        </w:tc>
        <w:tc>
          <w:tcPr>
            <w:tcW w:w="1276" w:type="dxa"/>
          </w:tcPr>
          <w:p>
            <w:pPr>
              <w:pStyle w:val="nTable"/>
              <w:spacing w:after="40"/>
              <w:rPr>
                <w:sz w:val="19"/>
              </w:rPr>
            </w:pPr>
            <w:r>
              <w:rPr>
                <w:sz w:val="19"/>
              </w:rPr>
              <w:t>29 Apr 2003 p. 1293-4</w:t>
            </w:r>
          </w:p>
        </w:tc>
        <w:tc>
          <w:tcPr>
            <w:tcW w:w="2693" w:type="dxa"/>
          </w:tcPr>
          <w:p>
            <w:pPr>
              <w:pStyle w:val="nTable"/>
              <w:spacing w:after="40"/>
              <w:rPr>
                <w:sz w:val="19"/>
              </w:rPr>
            </w:pPr>
            <w:r>
              <w:rPr>
                <w:sz w:val="19"/>
              </w:rPr>
              <w:t>29 Apr 2003</w:t>
            </w:r>
          </w:p>
        </w:tc>
      </w:tr>
      <w:tr>
        <w:trPr>
          <w:cantSplit/>
        </w:trPr>
        <w:tc>
          <w:tcPr>
            <w:tcW w:w="7087" w:type="dxa"/>
            <w:gridSpan w:val="3"/>
          </w:tcPr>
          <w:p>
            <w:pPr>
              <w:pStyle w:val="nTable"/>
              <w:spacing w:after="40"/>
              <w:rPr>
                <w:sz w:val="19"/>
              </w:rPr>
            </w:pPr>
            <w:r>
              <w:rPr>
                <w:b/>
                <w:sz w:val="19"/>
              </w:rPr>
              <w:t xml:space="preserve">Reprint 3:  The </w:t>
            </w:r>
            <w:r>
              <w:rPr>
                <w:b/>
                <w:i/>
                <w:sz w:val="19"/>
              </w:rPr>
              <w:t>Water Agencies (Charges) By</w:t>
            </w:r>
            <w:r>
              <w:rPr>
                <w:b/>
                <w:bCs/>
                <w:i/>
                <w:sz w:val="19"/>
              </w:rPr>
              <w:noBreakHyphen/>
            </w:r>
            <w:r>
              <w:rPr>
                <w:b/>
                <w:i/>
                <w:sz w:val="19"/>
              </w:rPr>
              <w:t>laws 1987</w:t>
            </w:r>
            <w:r>
              <w:rPr>
                <w:b/>
                <w:sz w:val="19"/>
              </w:rPr>
              <w:t xml:space="preserve"> as at 9 May 2003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2003</w:t>
            </w:r>
          </w:p>
        </w:tc>
        <w:tc>
          <w:tcPr>
            <w:tcW w:w="1276" w:type="dxa"/>
          </w:tcPr>
          <w:p>
            <w:pPr>
              <w:pStyle w:val="nTable"/>
              <w:spacing w:after="40"/>
              <w:rPr>
                <w:sz w:val="19"/>
              </w:rPr>
            </w:pPr>
            <w:r>
              <w:rPr>
                <w:sz w:val="19"/>
              </w:rPr>
              <w:t>24 Jun 2003 p. 2273</w:t>
            </w:r>
          </w:p>
        </w:tc>
        <w:tc>
          <w:tcPr>
            <w:tcW w:w="2693" w:type="dxa"/>
          </w:tcPr>
          <w:p>
            <w:pPr>
              <w:pStyle w:val="nTable"/>
              <w:spacing w:after="40"/>
              <w:rPr>
                <w:sz w:val="19"/>
              </w:rPr>
            </w:pPr>
            <w:r>
              <w:rPr>
                <w:sz w:val="19"/>
              </w:rPr>
              <w:t>24 Jun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2003</w:t>
            </w:r>
          </w:p>
        </w:tc>
        <w:tc>
          <w:tcPr>
            <w:tcW w:w="1276" w:type="dxa"/>
          </w:tcPr>
          <w:p>
            <w:pPr>
              <w:pStyle w:val="nTable"/>
              <w:spacing w:after="40"/>
              <w:rPr>
                <w:sz w:val="19"/>
              </w:rPr>
            </w:pPr>
            <w:r>
              <w:rPr>
                <w:sz w:val="19"/>
              </w:rPr>
              <w:t>27 Jun 2003 p. 2283-340</w:t>
            </w:r>
          </w:p>
        </w:tc>
        <w:tc>
          <w:tcPr>
            <w:tcW w:w="2693" w:type="dxa"/>
          </w:tcPr>
          <w:p>
            <w:pPr>
              <w:pStyle w:val="nTable"/>
              <w:spacing w:after="40"/>
              <w:rPr>
                <w:sz w:val="19"/>
              </w:rPr>
            </w:pPr>
            <w:r>
              <w:rPr>
                <w:sz w:val="19"/>
              </w:rPr>
              <w:t>1 Jul 2003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2003</w:t>
            </w:r>
          </w:p>
        </w:tc>
        <w:tc>
          <w:tcPr>
            <w:tcW w:w="1276" w:type="dxa"/>
          </w:tcPr>
          <w:p>
            <w:pPr>
              <w:pStyle w:val="nTable"/>
              <w:spacing w:after="40"/>
              <w:rPr>
                <w:sz w:val="19"/>
              </w:rPr>
            </w:pPr>
            <w:r>
              <w:rPr>
                <w:sz w:val="19"/>
              </w:rPr>
              <w:t>9 Dec 2003 p. 5007-8</w:t>
            </w:r>
          </w:p>
        </w:tc>
        <w:tc>
          <w:tcPr>
            <w:tcW w:w="2693" w:type="dxa"/>
          </w:tcPr>
          <w:p>
            <w:pPr>
              <w:pStyle w:val="nTable"/>
              <w:spacing w:after="40"/>
              <w:rPr>
                <w:sz w:val="19"/>
              </w:rPr>
            </w:pPr>
            <w:r>
              <w:rPr>
                <w:sz w:val="19"/>
              </w:rPr>
              <w:t>9 Dec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2004</w:t>
            </w:r>
          </w:p>
        </w:tc>
        <w:tc>
          <w:tcPr>
            <w:tcW w:w="1276" w:type="dxa"/>
          </w:tcPr>
          <w:p>
            <w:pPr>
              <w:pStyle w:val="nTable"/>
              <w:spacing w:after="40"/>
              <w:rPr>
                <w:sz w:val="19"/>
              </w:rPr>
            </w:pPr>
            <w:r>
              <w:rPr>
                <w:sz w:val="19"/>
              </w:rPr>
              <w:t>29 Jun 2004 p. 2467-96</w:t>
            </w:r>
          </w:p>
        </w:tc>
        <w:tc>
          <w:tcPr>
            <w:tcW w:w="2693" w:type="dxa"/>
          </w:tcPr>
          <w:p>
            <w:pPr>
              <w:pStyle w:val="nTable"/>
              <w:spacing w:after="40"/>
              <w:rPr>
                <w:sz w:val="19"/>
              </w:rPr>
            </w:pPr>
            <w:r>
              <w:rPr>
                <w:sz w:val="19"/>
              </w:rPr>
              <w:t>1 Jul 2004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2004</w:t>
            </w:r>
          </w:p>
        </w:tc>
        <w:tc>
          <w:tcPr>
            <w:tcW w:w="1276" w:type="dxa"/>
          </w:tcPr>
          <w:p>
            <w:pPr>
              <w:pStyle w:val="nTable"/>
              <w:spacing w:after="40"/>
              <w:rPr>
                <w:sz w:val="19"/>
              </w:rPr>
            </w:pPr>
            <w:r>
              <w:rPr>
                <w:sz w:val="19"/>
              </w:rPr>
              <w:t>24 Dec 2004 p. 6157-8</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2005</w:t>
            </w:r>
          </w:p>
        </w:tc>
        <w:tc>
          <w:tcPr>
            <w:tcW w:w="1276" w:type="dxa"/>
          </w:tcPr>
          <w:p>
            <w:pPr>
              <w:pStyle w:val="nTable"/>
              <w:spacing w:after="40"/>
              <w:rPr>
                <w:sz w:val="19"/>
              </w:rPr>
            </w:pPr>
            <w:r>
              <w:rPr>
                <w:sz w:val="19"/>
              </w:rPr>
              <w:t>13 May 2005 p. 2088</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2005</w:t>
            </w:r>
          </w:p>
        </w:tc>
        <w:tc>
          <w:tcPr>
            <w:tcW w:w="1276" w:type="dxa"/>
          </w:tcPr>
          <w:p>
            <w:pPr>
              <w:pStyle w:val="nTable"/>
              <w:spacing w:after="40"/>
              <w:rPr>
                <w:sz w:val="19"/>
              </w:rPr>
            </w:pPr>
            <w:r>
              <w:rPr>
                <w:sz w:val="19"/>
              </w:rPr>
              <w:t>1 Jul 2005 p. 3008-9</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2005</w:t>
            </w:r>
          </w:p>
        </w:tc>
        <w:tc>
          <w:tcPr>
            <w:tcW w:w="1276" w:type="dxa"/>
          </w:tcPr>
          <w:p>
            <w:pPr>
              <w:pStyle w:val="nTable"/>
              <w:spacing w:after="40"/>
              <w:rPr>
                <w:sz w:val="19"/>
              </w:rPr>
            </w:pPr>
            <w:r>
              <w:rPr>
                <w:sz w:val="19"/>
              </w:rPr>
              <w:t>1 Jul 2005 p. 3031-78</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2005</w:t>
            </w:r>
          </w:p>
        </w:tc>
        <w:tc>
          <w:tcPr>
            <w:tcW w:w="1276" w:type="dxa"/>
          </w:tcPr>
          <w:p>
            <w:pPr>
              <w:pStyle w:val="nTable"/>
              <w:spacing w:after="40"/>
              <w:rPr>
                <w:sz w:val="19"/>
              </w:rPr>
            </w:pPr>
            <w:r>
              <w:rPr>
                <w:sz w:val="19"/>
              </w:rPr>
              <w:t>4 Nov 2005 p. 5321</w:t>
            </w:r>
          </w:p>
        </w:tc>
        <w:tc>
          <w:tcPr>
            <w:tcW w:w="2693" w:type="dxa"/>
          </w:tcPr>
          <w:p>
            <w:pPr>
              <w:pStyle w:val="nTable"/>
              <w:spacing w:after="40"/>
              <w:rPr>
                <w:sz w:val="19"/>
              </w:rPr>
            </w:pPr>
            <w:r>
              <w:rPr>
                <w:sz w:val="19"/>
              </w:rPr>
              <w:t>4 Nov 2005</w:t>
            </w:r>
          </w:p>
        </w:tc>
      </w:tr>
      <w:tr>
        <w:trPr>
          <w:cantSplit/>
        </w:trPr>
        <w:tc>
          <w:tcPr>
            <w:tcW w:w="7087" w:type="dxa"/>
            <w:gridSpan w:val="3"/>
          </w:tcPr>
          <w:p>
            <w:pPr>
              <w:pStyle w:val="nTable"/>
              <w:spacing w:after="40"/>
              <w:rPr>
                <w:sz w:val="19"/>
              </w:rPr>
            </w:pPr>
            <w:r>
              <w:rPr>
                <w:b/>
                <w:sz w:val="19"/>
              </w:rPr>
              <w:t xml:space="preserve">Reprint 4:  The </w:t>
            </w:r>
            <w:r>
              <w:rPr>
                <w:b/>
                <w:i/>
                <w:sz w:val="19"/>
              </w:rPr>
              <w:t>Water Agencies (Charges) By</w:t>
            </w:r>
            <w:r>
              <w:rPr>
                <w:b/>
                <w:bCs/>
                <w:i/>
                <w:sz w:val="19"/>
              </w:rPr>
              <w:noBreakHyphen/>
            </w:r>
            <w:r>
              <w:rPr>
                <w:b/>
                <w:i/>
                <w:sz w:val="19"/>
              </w:rPr>
              <w:t>laws 1987</w:t>
            </w:r>
            <w:r>
              <w:rPr>
                <w:b/>
                <w:sz w:val="19"/>
              </w:rPr>
              <w:t xml:space="preserve"> as at 31 Mar 2006 </w:t>
            </w:r>
            <w:r>
              <w:rPr>
                <w:sz w:val="19"/>
              </w:rPr>
              <w:t>(includes amendments listed above)</w:t>
            </w:r>
          </w:p>
        </w:tc>
      </w:tr>
      <w:tr>
        <w:trPr>
          <w:cantSplit/>
        </w:trPr>
        <w:tc>
          <w:tcPr>
            <w:tcW w:w="3118" w:type="dxa"/>
          </w:tcPr>
          <w:p>
            <w:pPr>
              <w:pStyle w:val="nTable"/>
              <w:spacing w:after="40"/>
              <w:ind w:right="113"/>
              <w:rPr>
                <w:sz w:val="19"/>
              </w:rPr>
            </w:pPr>
            <w:r>
              <w:rPr>
                <w:i/>
                <w:sz w:val="19"/>
              </w:rPr>
              <w:t>Electricity Corporations (Consequential Amendments) Regulations 2006</w:t>
            </w:r>
            <w:r>
              <w:rPr>
                <w:sz w:val="19"/>
              </w:rPr>
              <w:t xml:space="preserve"> r. 89</w:t>
            </w:r>
          </w:p>
        </w:tc>
        <w:tc>
          <w:tcPr>
            <w:tcW w:w="1276" w:type="dxa"/>
          </w:tcPr>
          <w:p>
            <w:pPr>
              <w:pStyle w:val="nTable"/>
              <w:spacing w:after="40"/>
              <w:rPr>
                <w:sz w:val="19"/>
              </w:rPr>
            </w:pPr>
            <w:r>
              <w:rPr>
                <w:sz w:val="19"/>
              </w:rPr>
              <w:t>31 Mar 2006 p. 1299-357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 xml:space="preserve">laws 2006 </w:t>
            </w:r>
          </w:p>
        </w:tc>
        <w:tc>
          <w:tcPr>
            <w:tcW w:w="1276" w:type="dxa"/>
          </w:tcPr>
          <w:p>
            <w:pPr>
              <w:pStyle w:val="nTable"/>
              <w:spacing w:after="40"/>
              <w:rPr>
                <w:sz w:val="19"/>
              </w:rPr>
            </w:pPr>
            <w:r>
              <w:rPr>
                <w:sz w:val="19"/>
              </w:rPr>
              <w:t>30 Jun 2006 p. 2413</w:t>
            </w:r>
            <w:r>
              <w:rPr>
                <w:sz w:val="19"/>
              </w:rPr>
              <w:noBreakHyphen/>
              <w:t>61</w:t>
            </w:r>
          </w:p>
        </w:tc>
        <w:tc>
          <w:tcPr>
            <w:tcW w:w="2693" w:type="dxa"/>
          </w:tcPr>
          <w:p>
            <w:pPr>
              <w:pStyle w:val="nTable"/>
              <w:spacing w:after="40"/>
              <w:rPr>
                <w:sz w:val="19"/>
              </w:rPr>
            </w:pPr>
            <w:r>
              <w:rPr>
                <w:sz w:val="19"/>
              </w:rPr>
              <w:t>1 Jul 2006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2006</w:t>
            </w:r>
          </w:p>
        </w:tc>
        <w:tc>
          <w:tcPr>
            <w:tcW w:w="1276" w:type="dxa"/>
          </w:tcPr>
          <w:p>
            <w:pPr>
              <w:pStyle w:val="nTable"/>
              <w:spacing w:after="40"/>
              <w:rPr>
                <w:sz w:val="19"/>
              </w:rPr>
            </w:pPr>
            <w:r>
              <w:rPr>
                <w:sz w:val="19"/>
              </w:rPr>
              <w:t>14 Nov 2006 p. 4738</w:t>
            </w:r>
          </w:p>
        </w:tc>
        <w:tc>
          <w:tcPr>
            <w:tcW w:w="2693" w:type="dxa"/>
          </w:tcPr>
          <w:p>
            <w:pPr>
              <w:pStyle w:val="nTable"/>
              <w:spacing w:after="40"/>
              <w:rPr>
                <w:sz w:val="19"/>
              </w:rPr>
            </w:pPr>
            <w:r>
              <w:rPr>
                <w:sz w:val="19"/>
              </w:rPr>
              <w:t>14 Nov 2006</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2007</w:t>
            </w:r>
          </w:p>
        </w:tc>
        <w:tc>
          <w:tcPr>
            <w:tcW w:w="1276" w:type="dxa"/>
          </w:tcPr>
          <w:p>
            <w:pPr>
              <w:pStyle w:val="nTable"/>
              <w:spacing w:after="40"/>
              <w:rPr>
                <w:sz w:val="19"/>
              </w:rPr>
            </w:pPr>
            <w:r>
              <w:rPr>
                <w:sz w:val="19"/>
              </w:rPr>
              <w:t>13 Apr 2007 p. 1686-8</w:t>
            </w:r>
          </w:p>
        </w:tc>
        <w:tc>
          <w:tcPr>
            <w:tcW w:w="2693" w:type="dxa"/>
          </w:tcPr>
          <w:p>
            <w:pPr>
              <w:pStyle w:val="nTable"/>
              <w:spacing w:after="40"/>
              <w:rPr>
                <w:sz w:val="19"/>
              </w:rPr>
            </w:pPr>
            <w:r>
              <w:rPr>
                <w:sz w:val="19"/>
              </w:rPr>
              <w:t>13 Apr 2007</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2007</w:t>
            </w:r>
          </w:p>
        </w:tc>
        <w:tc>
          <w:tcPr>
            <w:tcW w:w="1276" w:type="dxa"/>
          </w:tcPr>
          <w:p>
            <w:pPr>
              <w:pStyle w:val="nTable"/>
              <w:spacing w:after="40"/>
              <w:rPr>
                <w:sz w:val="19"/>
              </w:rPr>
            </w:pPr>
            <w:r>
              <w:rPr>
                <w:sz w:val="19"/>
              </w:rPr>
              <w:t>29 Jun 2007 p. 3245-88</w:t>
            </w:r>
          </w:p>
        </w:tc>
        <w:tc>
          <w:tcPr>
            <w:tcW w:w="2693" w:type="dxa"/>
          </w:tcPr>
          <w:p>
            <w:pPr>
              <w:pStyle w:val="nTable"/>
              <w:spacing w:after="40"/>
              <w:rPr>
                <w:sz w:val="19"/>
              </w:rPr>
            </w:pPr>
            <w:r>
              <w:rPr>
                <w:sz w:val="19"/>
              </w:rPr>
              <w:t>bl. 1 and 2: 29 Jun 2007 (see bl. 2(a));</w:t>
            </w:r>
            <w:r>
              <w:rPr>
                <w:sz w:val="19"/>
              </w:rPr>
              <w:br/>
              <w:t>By-laws other than bl. 1 and 2: 1 Jul 2007 (see bl. 2(b))</w:t>
            </w:r>
          </w:p>
        </w:tc>
      </w:tr>
      <w:tr>
        <w:trPr>
          <w:cantSplit/>
        </w:trPr>
        <w:tc>
          <w:tcPr>
            <w:tcW w:w="7087" w:type="dxa"/>
            <w:gridSpan w:val="3"/>
          </w:tcPr>
          <w:p>
            <w:pPr>
              <w:pStyle w:val="nTable"/>
              <w:spacing w:after="40"/>
              <w:rPr>
                <w:sz w:val="19"/>
              </w:rPr>
            </w:pPr>
            <w:r>
              <w:rPr>
                <w:b/>
                <w:sz w:val="19"/>
              </w:rPr>
              <w:t xml:space="preserve">Reprint 5:  The </w:t>
            </w:r>
            <w:r>
              <w:rPr>
                <w:b/>
                <w:i/>
                <w:sz w:val="19"/>
              </w:rPr>
              <w:t>Water Agencies (Charges) By</w:t>
            </w:r>
            <w:r>
              <w:rPr>
                <w:b/>
                <w:bCs/>
                <w:i/>
                <w:sz w:val="19"/>
              </w:rPr>
              <w:noBreakHyphen/>
            </w:r>
            <w:r>
              <w:rPr>
                <w:b/>
                <w:i/>
                <w:sz w:val="19"/>
              </w:rPr>
              <w:t>laws 1987</w:t>
            </w:r>
            <w:r>
              <w:rPr>
                <w:b/>
                <w:sz w:val="19"/>
              </w:rPr>
              <w:t xml:space="preserve"> as at 5 Oct 2007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2007</w:t>
            </w:r>
          </w:p>
        </w:tc>
        <w:tc>
          <w:tcPr>
            <w:tcW w:w="1276" w:type="dxa"/>
          </w:tcPr>
          <w:p>
            <w:pPr>
              <w:pStyle w:val="nTable"/>
              <w:spacing w:after="40"/>
              <w:rPr>
                <w:sz w:val="19"/>
              </w:rPr>
            </w:pPr>
            <w:r>
              <w:rPr>
                <w:sz w:val="19"/>
              </w:rPr>
              <w:t>21 Dec 2007 p. 6349</w:t>
            </w:r>
          </w:p>
        </w:tc>
        <w:tc>
          <w:tcPr>
            <w:tcW w:w="2693" w:type="dxa"/>
          </w:tcPr>
          <w:p>
            <w:pPr>
              <w:pStyle w:val="nTable"/>
              <w:spacing w:before="0" w:after="40"/>
              <w:rPr>
                <w:sz w:val="19"/>
              </w:rPr>
            </w:pPr>
            <w:r>
              <w:rPr>
                <w:sz w:val="19"/>
              </w:rPr>
              <w:t>bl. 1 and 2: 21 Dec 2007 (see bl. 2(a));</w:t>
            </w:r>
            <w:r>
              <w:rPr>
                <w:sz w:val="19"/>
              </w:rPr>
              <w:br/>
              <w:t>By-laws other than bl. 1 and 2: 22 Dec 2007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2008</w:t>
            </w:r>
          </w:p>
        </w:tc>
        <w:tc>
          <w:tcPr>
            <w:tcW w:w="1276" w:type="dxa"/>
          </w:tcPr>
          <w:p>
            <w:pPr>
              <w:pStyle w:val="nTable"/>
              <w:spacing w:after="40"/>
              <w:rPr>
                <w:sz w:val="19"/>
              </w:rPr>
            </w:pPr>
            <w:r>
              <w:rPr>
                <w:sz w:val="19"/>
              </w:rPr>
              <w:t>27 Jun 2008 p. 2981</w:t>
            </w:r>
            <w:r>
              <w:rPr>
                <w:sz w:val="19"/>
              </w:rPr>
              <w:noBreakHyphen/>
              <w:t>3048</w:t>
            </w:r>
          </w:p>
        </w:tc>
        <w:tc>
          <w:tcPr>
            <w:tcW w:w="2693" w:type="dxa"/>
          </w:tcPr>
          <w:p>
            <w:pPr>
              <w:pStyle w:val="nTable"/>
              <w:spacing w:before="0" w:after="40"/>
              <w:rPr>
                <w:sz w:val="19"/>
              </w:rPr>
            </w:pPr>
            <w:r>
              <w:rPr>
                <w:sz w:val="19"/>
              </w:rPr>
              <w:t>bl. 1 and 2: 27 Jun 2008 (see bl. 2(a));</w:t>
            </w:r>
            <w:r>
              <w:rPr>
                <w:sz w:val="19"/>
              </w:rPr>
              <w:br/>
              <w:t>By-laws other than bl. 1 and 2: 1 Jul 2008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2009</w:t>
            </w:r>
          </w:p>
        </w:tc>
        <w:tc>
          <w:tcPr>
            <w:tcW w:w="1276" w:type="dxa"/>
          </w:tcPr>
          <w:p>
            <w:pPr>
              <w:pStyle w:val="nTable"/>
              <w:spacing w:after="40"/>
              <w:rPr>
                <w:sz w:val="19"/>
              </w:rPr>
            </w:pPr>
            <w:r>
              <w:rPr>
                <w:sz w:val="19"/>
              </w:rPr>
              <w:t>19 Jun 2009 p. 2319-92</w:t>
            </w:r>
          </w:p>
        </w:tc>
        <w:tc>
          <w:tcPr>
            <w:tcW w:w="2693" w:type="dxa"/>
          </w:tcPr>
          <w:p>
            <w:pPr>
              <w:pStyle w:val="nTable"/>
              <w:spacing w:before="0" w:after="40"/>
              <w:rPr>
                <w:sz w:val="19"/>
              </w:rPr>
            </w:pPr>
            <w:r>
              <w:rPr>
                <w:sz w:val="19"/>
              </w:rPr>
              <w:t>bl. 1 and 2: 19 Jun 2009 (see bl. 2(a));</w:t>
            </w:r>
            <w:r>
              <w:rPr>
                <w:sz w:val="19"/>
              </w:rPr>
              <w:br/>
              <w:t>By-laws other than bl. 1 and 2: 1 Jul 2009 (see bl. 2(b))</w:t>
            </w:r>
          </w:p>
        </w:tc>
      </w:tr>
      <w:tr>
        <w:trPr>
          <w:cantSplit/>
        </w:trPr>
        <w:tc>
          <w:tcPr>
            <w:tcW w:w="7087" w:type="dxa"/>
            <w:gridSpan w:val="3"/>
          </w:tcPr>
          <w:p>
            <w:pPr>
              <w:pStyle w:val="nTable"/>
              <w:spacing w:before="0" w:after="40"/>
              <w:rPr>
                <w:sz w:val="19"/>
              </w:rPr>
            </w:pPr>
            <w:r>
              <w:rPr>
                <w:b/>
                <w:sz w:val="19"/>
              </w:rPr>
              <w:t xml:space="preserve">Reprint 6:  The </w:t>
            </w:r>
            <w:r>
              <w:rPr>
                <w:b/>
                <w:i/>
                <w:sz w:val="19"/>
              </w:rPr>
              <w:t>Water Agencies (Charges) By</w:t>
            </w:r>
            <w:r>
              <w:rPr>
                <w:b/>
                <w:bCs/>
                <w:i/>
                <w:sz w:val="19"/>
              </w:rPr>
              <w:noBreakHyphen/>
            </w:r>
            <w:r>
              <w:rPr>
                <w:b/>
                <w:i/>
                <w:sz w:val="19"/>
              </w:rPr>
              <w:t>laws 1987</w:t>
            </w:r>
            <w:r>
              <w:rPr>
                <w:b/>
                <w:sz w:val="19"/>
              </w:rPr>
              <w:t xml:space="preserve"> as at 7 Aug 2009 </w:t>
            </w:r>
            <w:r>
              <w:rPr>
                <w:sz w:val="19"/>
              </w:rPr>
              <w:t>(includes amendments listed above)</w:t>
            </w:r>
          </w:p>
        </w:tc>
      </w:tr>
      <w:tr>
        <w:trPr>
          <w:cantSplit/>
        </w:trPr>
        <w:tc>
          <w:tcPr>
            <w:tcW w:w="3118" w:type="dxa"/>
            <w:tcBorders>
              <w:bottom w:val="single" w:sz="4" w:space="0" w:color="auto"/>
            </w:tcBorders>
          </w:tcPr>
          <w:p>
            <w:pPr>
              <w:pStyle w:val="nTable"/>
              <w:spacing w:after="40"/>
              <w:ind w:right="113"/>
              <w:rPr>
                <w:i/>
                <w:sz w:val="19"/>
              </w:rPr>
            </w:pPr>
            <w:r>
              <w:rPr>
                <w:i/>
                <w:sz w:val="19"/>
              </w:rPr>
              <w:t>Water Agencies (Charges) Amendment By</w:t>
            </w:r>
            <w:r>
              <w:rPr>
                <w:i/>
                <w:sz w:val="19"/>
              </w:rPr>
              <w:noBreakHyphen/>
              <w:t>laws 2010</w:t>
            </w:r>
          </w:p>
        </w:tc>
        <w:tc>
          <w:tcPr>
            <w:tcW w:w="1276" w:type="dxa"/>
            <w:tcBorders>
              <w:bottom w:val="single" w:sz="4" w:space="0" w:color="auto"/>
            </w:tcBorders>
          </w:tcPr>
          <w:p>
            <w:pPr>
              <w:pStyle w:val="nTable"/>
              <w:spacing w:after="40"/>
              <w:rPr>
                <w:sz w:val="19"/>
              </w:rPr>
            </w:pPr>
            <w:r>
              <w:rPr>
                <w:sz w:val="19"/>
              </w:rPr>
              <w:t>25 Jun 2010 p. 2901</w:t>
            </w:r>
            <w:r>
              <w:rPr>
                <w:sz w:val="19"/>
              </w:rPr>
              <w:noBreakHyphen/>
              <w:t>81</w:t>
            </w:r>
          </w:p>
        </w:tc>
        <w:tc>
          <w:tcPr>
            <w:tcW w:w="2693" w:type="dxa"/>
            <w:tcBorders>
              <w:bottom w:val="single" w:sz="4" w:space="0" w:color="auto"/>
            </w:tcBorders>
          </w:tcPr>
          <w:p>
            <w:pPr>
              <w:pStyle w:val="nTable"/>
              <w:spacing w:before="0" w:after="40"/>
              <w:rPr>
                <w:sz w:val="19"/>
              </w:rPr>
            </w:pPr>
            <w:r>
              <w:rPr>
                <w:sz w:val="19"/>
              </w:rPr>
              <w:t>bl. 1 and 2: 25 Jun 2010 (see bl. 2(a));</w:t>
            </w:r>
            <w:r>
              <w:rPr>
                <w:sz w:val="19"/>
              </w:rPr>
              <w:br/>
              <w:t>By-laws other than bl. 1 and 2: 1 Jul 2010 (see bl. 2(b))</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Now established by the </w:t>
      </w:r>
      <w:r>
        <w:rPr>
          <w:i/>
          <w:snapToGrid w:val="0"/>
        </w:rPr>
        <w:t>Port Authorities Act 1999</w:t>
      </w:r>
      <w:r>
        <w:rPr>
          <w:snapToGrid w:val="0"/>
        </w:rPr>
        <w:t xml:space="preserve"> s. 4.</w:t>
      </w:r>
    </w:p>
    <w:p>
      <w:pPr>
        <w:pStyle w:val="nSubsection"/>
        <w:rPr>
          <w:snapToGrid w:val="0"/>
        </w:rPr>
      </w:pPr>
      <w:r>
        <w:rPr>
          <w:snapToGrid w:val="0"/>
          <w:vertAlign w:val="superscript"/>
        </w:rPr>
        <w:t>3</w:t>
      </w:r>
      <w:r>
        <w:rPr>
          <w:snapToGrid w:val="0"/>
        </w:rPr>
        <w:tab/>
        <w:t xml:space="preserve">Under the </w:t>
      </w:r>
      <w:r>
        <w:rPr>
          <w:i/>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Subsection"/>
        <w:spacing w:before="60"/>
        <w:rPr>
          <w:i/>
          <w:snapToGrid w:val="0"/>
        </w:rPr>
      </w:pPr>
      <w:r>
        <w:rPr>
          <w:snapToGrid w:val="0"/>
          <w:vertAlign w:val="superscript"/>
        </w:rPr>
        <w:t>4</w:t>
      </w:r>
      <w:r>
        <w:rPr>
          <w:snapToGrid w:val="0"/>
        </w:rPr>
        <w:tab/>
        <w:t xml:space="preserve">Repealed by the </w:t>
      </w:r>
      <w:r>
        <w:rPr>
          <w:i/>
          <w:snapToGrid w:val="0"/>
        </w:rPr>
        <w:t>Gas Corporation (Business Disposal) Act 1999</w:t>
      </w:r>
      <w:r>
        <w:rPr>
          <w:snapToGrid w:val="0"/>
        </w:rPr>
        <w:t>.</w:t>
      </w:r>
    </w:p>
    <w:p>
      <w:pPr>
        <w:pStyle w:val="nSubsection"/>
        <w:spacing w:before="60"/>
        <w:rPr>
          <w:snapToGrid w:val="0"/>
        </w:rPr>
      </w:pPr>
      <w:r>
        <w:rPr>
          <w:snapToGrid w:val="0"/>
          <w:vertAlign w:val="superscript"/>
        </w:rPr>
        <w:t>5</w:t>
      </w:r>
      <w:r>
        <w:rPr>
          <w:snapToGrid w:val="0"/>
        </w:rPr>
        <w:tab/>
        <w:t xml:space="preserve">Repealed by the </w:t>
      </w:r>
      <w:r>
        <w:rPr>
          <w:i/>
          <w:snapToGrid w:val="0"/>
        </w:rPr>
        <w:t>Western Australian Land Authority Act 1992</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Public Transport Authority Act 2003</w:t>
      </w:r>
      <w:r>
        <w:rPr>
          <w:snapToGrid w:val="0"/>
        </w:rPr>
        <w:t>.</w:t>
      </w:r>
    </w:p>
    <w:p>
      <w:pPr>
        <w:pStyle w:val="nSubsection"/>
        <w:spacing w:before="60"/>
        <w:rPr>
          <w:snapToGrid w:val="0"/>
        </w:rPr>
      </w:pPr>
      <w:r>
        <w:rPr>
          <w:snapToGrid w:val="0"/>
          <w:vertAlign w:val="superscript"/>
        </w:rPr>
        <w:t>7</w:t>
      </w:r>
      <w:r>
        <w:rPr>
          <w:snapToGrid w:val="0"/>
        </w:rPr>
        <w:tab/>
        <w:t xml:space="preserve">Repealed by the </w:t>
      </w:r>
      <w:r>
        <w:rPr>
          <w:i/>
          <w:snapToGrid w:val="0"/>
        </w:rPr>
        <w:t>WADC and WA Exim Corporation Repeal Act 1998</w:t>
      </w:r>
      <w:r>
        <w:rPr>
          <w:snapToGrid w:val="0"/>
        </w:rPr>
        <w:t>.</w:t>
      </w:r>
    </w:p>
    <w:p>
      <w:pPr>
        <w:pStyle w:val="nSubsection"/>
        <w:spacing w:before="60"/>
        <w:rPr>
          <w:snapToGrid w:val="0"/>
        </w:rPr>
      </w:pPr>
      <w:r>
        <w:rPr>
          <w:snapToGrid w:val="0"/>
          <w:vertAlign w:val="superscript"/>
        </w:rPr>
        <w:t>8</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9</w:t>
      </w:r>
      <w:r>
        <w:rPr>
          <w:snapToGrid w:val="0"/>
        </w:rPr>
        <w:tab/>
        <w:t xml:space="preserve">Under the </w:t>
      </w:r>
      <w:r>
        <w:rPr>
          <w:i/>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p>
    <w:p>
      <w:pPr>
        <w:pStyle w:val="nSubsection"/>
        <w:spacing w:before="60"/>
        <w:rPr>
          <w:snapToGrid w:val="0"/>
        </w:rPr>
      </w:pPr>
      <w:r>
        <w:rPr>
          <w:snapToGrid w:val="0"/>
          <w:vertAlign w:val="superscript"/>
        </w:rPr>
        <w:t>10</w:t>
      </w:r>
      <w:r>
        <w:rPr>
          <w:snapToGrid w:val="0"/>
        </w:rPr>
        <w:tab/>
        <w:t xml:space="preserve">Formerly referred to the </w:t>
      </w:r>
      <w:r>
        <w:rPr>
          <w:i/>
          <w:snapToGrid w:val="0"/>
        </w:rPr>
        <w:t>Western Australian Greyhound Racing Authority Act 1981</w:t>
      </w:r>
      <w:r>
        <w:rPr>
          <w:snapToGrid w:val="0"/>
        </w:rPr>
        <w:t xml:space="preserve"> the short title of which was changed to the </w:t>
      </w:r>
      <w:r>
        <w:rPr>
          <w:i/>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rPr>
        <w:t>Reprints Act 1984</w:t>
      </w:r>
      <w:r>
        <w:t xml:space="preserve"> s. 7(3)(gb)</w:t>
      </w:r>
      <w:r>
        <w:rPr>
          <w:snapToGrid w:val="0"/>
        </w:rPr>
        <w:t>.</w:t>
      </w:r>
    </w:p>
    <w:p>
      <w:pPr>
        <w:pStyle w:val="nSubsection"/>
        <w:rPr>
          <w:snapToGrid w:val="0"/>
        </w:rPr>
      </w:pPr>
      <w:r>
        <w:rPr>
          <w:snapToGrid w:val="0"/>
          <w:vertAlign w:val="superscript"/>
        </w:rPr>
        <w:t>11</w:t>
      </w:r>
      <w:r>
        <w:rPr>
          <w:snapToGrid w:val="0"/>
        </w:rPr>
        <w:tab/>
        <w:t xml:space="preserve">Repealed by the </w:t>
      </w:r>
      <w:r>
        <w:rPr>
          <w:i/>
          <w:color w:val="000000"/>
        </w:rPr>
        <w:t>Racing and Gambling Legislation Amendment and Repeal Act 2003</w:t>
      </w:r>
      <w:r>
        <w:rPr>
          <w:snapToGrid w:val="0"/>
        </w:rPr>
        <w:t>.</w:t>
      </w:r>
    </w:p>
    <w:p>
      <w:pPr>
        <w:pStyle w:val="nSubsection"/>
        <w:spacing w:before="60"/>
        <w:rPr>
          <w:snapToGrid w:val="0"/>
        </w:rPr>
      </w:pPr>
      <w:r>
        <w:rPr>
          <w:snapToGrid w:val="0"/>
          <w:vertAlign w:val="superscript"/>
        </w:rPr>
        <w:t>12</w:t>
      </w:r>
      <w:r>
        <w:rPr>
          <w:snapToGrid w:val="0"/>
        </w:rPr>
        <w:tab/>
        <w:t xml:space="preserve">Now known as the </w:t>
      </w:r>
      <w:r>
        <w:rPr>
          <w:i/>
          <w:snapToGrid w:val="0"/>
        </w:rPr>
        <w:t>Water Agencies (Charges) By</w:t>
      </w:r>
      <w:r>
        <w:rPr>
          <w:i/>
        </w:rPr>
        <w:noBreakHyphen/>
      </w:r>
      <w:r>
        <w:rPr>
          <w:i/>
          <w:snapToGrid w:val="0"/>
        </w:rPr>
        <w:t>laws 1987</w:t>
      </w:r>
      <w:r>
        <w:rPr>
          <w:snapToGrid w:val="0"/>
        </w:rPr>
        <w:t>; citation changed (see note under bl. 1).</w:t>
      </w:r>
    </w:p>
    <w:p>
      <w:pPr>
        <w:pStyle w:val="nSubsection"/>
        <w:rPr>
          <w:snapToGrid w:val="0"/>
        </w:rPr>
      </w:pPr>
      <w:r>
        <w:rPr>
          <w:snapToGrid w:val="0"/>
          <w:vertAlign w:val="superscript"/>
        </w:rPr>
        <w:t>13</w:t>
      </w:r>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Subsection"/>
        <w:rPr>
          <w:snapToGrid w:val="0"/>
        </w:rPr>
      </w:pPr>
      <w:r>
        <w:rPr>
          <w:snapToGrid w:val="0"/>
          <w:vertAlign w:val="superscript"/>
        </w:rPr>
        <w:t>14</w:t>
      </w:r>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Subsection"/>
      </w:pPr>
      <w:r>
        <w:rPr>
          <w:vertAlign w:val="superscript"/>
        </w:rPr>
        <w:t>15</w:t>
      </w:r>
      <w:r>
        <w:tab/>
        <w:t xml:space="preserve">The </w:t>
      </w:r>
      <w:r>
        <w:rPr>
          <w:i/>
        </w:rPr>
        <w:t>Water Authority (Charges) Amendment By</w:t>
      </w:r>
      <w:r>
        <w:rPr>
          <w:i/>
        </w:rPr>
        <w:noBreakHyphen/>
        <w:t>laws 1991</w:t>
      </w:r>
      <w:r>
        <w:t xml:space="preserve"> bl. 3 and 7 are application provisions that are of no further effect.</w:t>
      </w:r>
    </w:p>
    <w:p>
      <w:pPr>
        <w:pStyle w:val="nSubsection"/>
        <w:rPr>
          <w:snapToGrid w:val="0"/>
        </w:rPr>
      </w:pPr>
      <w:r>
        <w:rPr>
          <w:snapToGrid w:val="0"/>
          <w:vertAlign w:val="superscript"/>
        </w:rPr>
        <w:t>16</w:t>
      </w:r>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Subsection"/>
        <w:rPr>
          <w:snapToGrid w:val="0"/>
        </w:rPr>
      </w:pPr>
      <w:r>
        <w:rPr>
          <w:snapToGrid w:val="0"/>
          <w:vertAlign w:val="superscript"/>
        </w:rPr>
        <w:t>17</w:t>
      </w:r>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Subsection"/>
        <w:keepNext/>
        <w:rPr>
          <w:snapToGrid w:val="0"/>
        </w:rPr>
      </w:pPr>
      <w:r>
        <w:rPr>
          <w:snapToGrid w:val="0"/>
          <w:vertAlign w:val="superscript"/>
        </w:rPr>
        <w:t>18</w:t>
      </w:r>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Subsection"/>
      </w:pPr>
      <w:r>
        <w:rPr>
          <w:vertAlign w:val="superscript"/>
        </w:rPr>
        <w:t>19</w:t>
      </w:r>
      <w:r>
        <w:tab/>
        <w:t xml:space="preserve">The </w:t>
      </w:r>
      <w:r>
        <w:rPr>
          <w:i/>
        </w:rPr>
        <w:t>Water Agencies (Charges) Amendment By</w:t>
      </w:r>
      <w:r>
        <w:rPr>
          <w:i/>
        </w:rPr>
        <w:noBreakHyphen/>
        <w:t>laws (No. 2) 1999</w:t>
      </w:r>
      <w:r>
        <w:t xml:space="preserve"> bl. 32(2) is a transitional provision that is of no further effect.</w:t>
      </w:r>
    </w:p>
    <w:p>
      <w:pPr>
        <w:pStyle w:val="nSubsection"/>
        <w:rPr>
          <w:snapToGrid w:val="0"/>
        </w:rPr>
      </w:pPr>
      <w:r>
        <w:rPr>
          <w:vertAlign w:val="superscript"/>
        </w:rPr>
        <w:t>20</w:t>
      </w:r>
      <w:r>
        <w:tab/>
        <w:t xml:space="preserve">The </w:t>
      </w:r>
      <w:r>
        <w:rPr>
          <w:i/>
        </w:rPr>
        <w:t>Water Agencies (Charges) Amendment By</w:t>
      </w:r>
      <w:r>
        <w:rPr>
          <w:i/>
        </w:rPr>
        <w:noBreakHyphen/>
        <w:t>Laws (No. 5) 2001</w:t>
      </w:r>
      <w:r>
        <w:t xml:space="preserve"> bl. 2 and 6 are transitional and application provisions that are of no further effect.</w:t>
      </w:r>
    </w:p>
    <w:p>
      <w:pPr>
        <w:pStyle w:val="nSubsection"/>
        <w:keepNext/>
        <w:keepLines/>
      </w:pPr>
      <w:r>
        <w:rPr>
          <w:vertAlign w:val="superscript"/>
        </w:rPr>
        <w:t>21</w:t>
      </w:r>
      <w:r>
        <w:tab/>
        <w:t xml:space="preserve">The </w:t>
      </w:r>
      <w:r>
        <w:rPr>
          <w:i/>
        </w:rPr>
        <w:t>Water Agencies (Charges) Amendment By</w:t>
      </w:r>
      <w:r>
        <w:rPr>
          <w:i/>
        </w:rPr>
        <w:noBreakHyphen/>
        <w:t xml:space="preserve">laws 2002 </w:t>
      </w:r>
      <w:r>
        <w:t>bl. 3</w:t>
      </w:r>
      <w:r>
        <w:rPr>
          <w:i/>
        </w:rPr>
        <w:t xml:space="preserve"> </w:t>
      </w:r>
      <w:r>
        <w:t>reads as follows:</w:t>
      </w:r>
    </w:p>
    <w:p>
      <w:pPr>
        <w:pStyle w:val="BlankOpen"/>
      </w:pP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BlankClose"/>
        <w:rPr>
          <w:snapToGrid w:val="0"/>
        </w:rPr>
      </w:pP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nHeading2"/>
        <w:rPr>
          <w:sz w:val="28"/>
        </w:rPr>
      </w:pPr>
      <w:bookmarkStart w:id="960" w:name="_Toc235933483"/>
      <w:bookmarkStart w:id="961" w:name="_Toc237164471"/>
      <w:bookmarkStart w:id="962" w:name="_Toc237244355"/>
      <w:bookmarkStart w:id="963" w:name="_Toc237245679"/>
      <w:bookmarkStart w:id="964" w:name="_Toc237245810"/>
      <w:bookmarkStart w:id="965" w:name="_Toc237247952"/>
      <w:bookmarkStart w:id="966" w:name="_Toc237254267"/>
      <w:bookmarkStart w:id="967" w:name="_Toc237309686"/>
      <w:bookmarkStart w:id="968" w:name="_Toc265743695"/>
      <w:r>
        <w:rPr>
          <w:sz w:val="28"/>
        </w:rPr>
        <w:t>Defined Terms</w:t>
      </w:r>
      <w:bookmarkEnd w:id="960"/>
      <w:bookmarkEnd w:id="961"/>
      <w:bookmarkEnd w:id="962"/>
      <w:bookmarkEnd w:id="963"/>
      <w:bookmarkEnd w:id="964"/>
      <w:bookmarkEnd w:id="965"/>
      <w:bookmarkEnd w:id="966"/>
      <w:bookmarkEnd w:id="967"/>
      <w:bookmarkEnd w:id="9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69" w:name="DefinedTerms"/>
      <w:bookmarkEnd w:id="969"/>
      <w:r>
        <w:t>&gt;</w:t>
      </w:r>
      <w:r>
        <w:tab/>
        <w:t>2(3)</w:t>
      </w:r>
    </w:p>
    <w:p>
      <w:pPr>
        <w:pStyle w:val="DefinedTerms"/>
      </w:pPr>
      <w:r>
        <w:t>≤</w:t>
      </w:r>
      <w:r>
        <w:tab/>
        <w:t>2(3)</w:t>
      </w:r>
    </w:p>
    <w:p>
      <w:pPr>
        <w:pStyle w:val="DefinedTerms"/>
      </w:pPr>
      <w:r>
        <w:t>AGRV</w:t>
      </w:r>
      <w:r>
        <w:tab/>
        <w:t>14(2), 24(2)</w:t>
      </w:r>
    </w:p>
    <w:p>
      <w:pPr>
        <w:pStyle w:val="DefinedTerms"/>
      </w:pPr>
      <w:r>
        <w:t>caravan bay</w:t>
      </w:r>
      <w:r>
        <w:tab/>
        <w:t>2(1)</w:t>
      </w:r>
    </w:p>
    <w:p>
      <w:pPr>
        <w:pStyle w:val="DefinedTerms"/>
      </w:pPr>
      <w:r>
        <w:t>charge</w:t>
      </w:r>
      <w:r>
        <w:tab/>
        <w:t>7(1)</w:t>
      </w:r>
    </w:p>
    <w:p>
      <w:pPr>
        <w:pStyle w:val="DefinedTerms"/>
      </w:pPr>
      <w:r>
        <w:t>charitable purposes</w:t>
      </w:r>
      <w:r>
        <w:tab/>
        <w:t>4(3)</w:t>
      </w:r>
    </w:p>
    <w:p>
      <w:pPr>
        <w:pStyle w:val="DefinedTerms"/>
      </w:pPr>
      <w:r>
        <w:t>consumption year</w:t>
      </w:r>
      <w:r>
        <w:tab/>
        <w:t>2(1)</w:t>
      </w:r>
    </w:p>
    <w:p>
      <w:pPr>
        <w:pStyle w:val="DefinedTerms"/>
      </w:pPr>
      <w:r>
        <w:t>country non</w:t>
      </w:r>
      <w:r>
        <w:noBreakHyphen/>
        <w:t>residential or commercial residential property</w:t>
      </w:r>
      <w:r>
        <w:tab/>
        <w:t>21A</w:t>
      </w:r>
    </w:p>
    <w:p>
      <w:pPr>
        <w:pStyle w:val="DefinedTerms"/>
      </w:pPr>
      <w:r>
        <w:t>country sewerage area</w:t>
      </w:r>
      <w:r>
        <w:tab/>
        <w:t>2(1)</w:t>
      </w:r>
    </w:p>
    <w:p>
      <w:pPr>
        <w:pStyle w:val="DefinedTerms"/>
      </w:pPr>
      <w:r>
        <w:t>current year</w:t>
      </w:r>
      <w:r>
        <w:tab/>
        <w:t>2(1)</w:t>
      </w:r>
    </w:p>
    <w:p>
      <w:pPr>
        <w:pStyle w:val="DefinedTerms"/>
      </w:pPr>
      <w:r>
        <w:t>customer</w:t>
      </w:r>
      <w:r>
        <w:tab/>
        <w:t>33(1)</w:t>
      </w:r>
    </w:p>
    <w:p>
      <w:pPr>
        <w:pStyle w:val="DefinedTerms"/>
      </w:pPr>
      <w:r>
        <w:t>development</w:t>
      </w:r>
      <w:r>
        <w:tab/>
        <w:t>28(3)</w:t>
      </w:r>
    </w:p>
    <w:p>
      <w:pPr>
        <w:pStyle w:val="DefinedTerms"/>
      </w:pPr>
      <w:r>
        <w:t>discharge charge</w:t>
      </w:r>
      <w:r>
        <w:tab/>
        <w:t>2(1)</w:t>
      </w:r>
    </w:p>
    <w:p>
      <w:pPr>
        <w:pStyle w:val="DefinedTerms"/>
      </w:pPr>
      <w:r>
        <w:t>discharge factor</w:t>
      </w:r>
      <w:r>
        <w:tab/>
        <w:t>2(1)</w:t>
      </w:r>
    </w:p>
    <w:p>
      <w:pPr>
        <w:pStyle w:val="DefinedTerms"/>
      </w:pPr>
      <w:r>
        <w:t>discharge period</w:t>
      </w:r>
      <w:r>
        <w:tab/>
        <w:t>2(1)</w:t>
      </w:r>
    </w:p>
    <w:p>
      <w:pPr>
        <w:pStyle w:val="DefinedTerms"/>
      </w:pPr>
      <w:r>
        <w:t>discharge volume</w:t>
      </w:r>
      <w:r>
        <w:tab/>
        <w:t>2(1)</w:t>
      </w:r>
    </w:p>
    <w:p>
      <w:pPr>
        <w:pStyle w:val="DefinedTerms"/>
      </w:pPr>
      <w:r>
        <w:t>eligible pensioner</w:t>
      </w:r>
      <w:r>
        <w:tab/>
        <w:t>18(1), 18A(1), 18B(1)</w:t>
      </w:r>
    </w:p>
    <w:p>
      <w:pPr>
        <w:pStyle w:val="DefinedTerms"/>
      </w:pPr>
      <w:r>
        <w:t>formula</w:t>
      </w:r>
      <w:r>
        <w:tab/>
        <w:t>21A</w:t>
      </w:r>
    </w:p>
    <w:p>
      <w:pPr>
        <w:pStyle w:val="DefinedTerms"/>
      </w:pPr>
      <w:r>
        <w:t>Government trading organisation</w:t>
      </w:r>
      <w:r>
        <w:tab/>
        <w:t>2(1)</w:t>
      </w:r>
    </w:p>
    <w:p>
      <w:pPr>
        <w:pStyle w:val="DefinedTerms"/>
      </w:pPr>
      <w:r>
        <w:t>GRV</w:t>
      </w:r>
      <w:r>
        <w:tab/>
        <w:t>2(1)</w:t>
      </w:r>
    </w:p>
    <w:p>
      <w:pPr>
        <w:pStyle w:val="DefinedTerms"/>
      </w:pPr>
      <w:r>
        <w:t>holiday accommodation</w:t>
      </w:r>
      <w:r>
        <w:tab/>
        <w:t>2(1)</w:t>
      </w:r>
    </w:p>
    <w:p>
      <w:pPr>
        <w:pStyle w:val="DefinedTerms"/>
      </w:pPr>
      <w:r>
        <w:t>home for the aged</w:t>
      </w:r>
      <w:r>
        <w:tab/>
        <w:t>2(1)</w:t>
      </w:r>
    </w:p>
    <w:p>
      <w:pPr>
        <w:pStyle w:val="DefinedTerms"/>
      </w:pPr>
      <w:r>
        <w:t>irrigation district</w:t>
      </w:r>
      <w:r>
        <w:tab/>
        <w:t>2(1)</w:t>
      </w:r>
    </w:p>
    <w:p>
      <w:pPr>
        <w:pStyle w:val="DefinedTerms"/>
      </w:pPr>
      <w:r>
        <w:t>land</w:t>
      </w:r>
      <w:r>
        <w:tab/>
        <w:t>19A(1)</w:t>
      </w:r>
    </w:p>
    <w:p>
      <w:pPr>
        <w:pStyle w:val="DefinedTerms"/>
      </w:pPr>
      <w:r>
        <w:t>long term residential caravan bay</w:t>
      </w:r>
      <w:r>
        <w:tab/>
        <w:t>2(1)</w:t>
      </w:r>
    </w:p>
    <w:p>
      <w:pPr>
        <w:pStyle w:val="DefinedTerms"/>
      </w:pPr>
      <w:r>
        <w:t>lot</w:t>
      </w:r>
      <w:r>
        <w:tab/>
        <w:t>28(3)</w:t>
      </w:r>
    </w:p>
    <w:p>
      <w:pPr>
        <w:pStyle w:val="DefinedTerms"/>
      </w:pPr>
      <w:r>
        <w:t>major fixture</w:t>
      </w:r>
      <w:r>
        <w:tab/>
        <w:t>2(1)</w:t>
      </w:r>
    </w:p>
    <w:p>
      <w:pPr>
        <w:pStyle w:val="DefinedTerms"/>
      </w:pPr>
      <w:r>
        <w:t>metropolitan area</w:t>
      </w:r>
      <w:r>
        <w:tab/>
        <w:t>2(1)</w:t>
      </w:r>
    </w:p>
    <w:p>
      <w:pPr>
        <w:pStyle w:val="DefinedTerms"/>
      </w:pPr>
      <w:r>
        <w:t>metropolitan non</w:t>
      </w:r>
      <w:r>
        <w:noBreakHyphen/>
        <w:t>residential property</w:t>
      </w:r>
      <w:r>
        <w:tab/>
        <w:t>21A</w:t>
      </w:r>
    </w:p>
    <w:p>
      <w:pPr>
        <w:pStyle w:val="DefinedTerms"/>
      </w:pPr>
      <w:r>
        <w:t>non</w:t>
      </w:r>
      <w:r>
        <w:noBreakHyphen/>
        <w:t>commercial Government property</w:t>
      </w:r>
      <w:r>
        <w:tab/>
        <w:t>2(1)</w:t>
      </w:r>
    </w:p>
    <w:p>
      <w:pPr>
        <w:pStyle w:val="DefinedTerms"/>
      </w:pPr>
      <w:r>
        <w:t>option A</w:t>
      </w:r>
      <w:r>
        <w:tab/>
        <w:t>33(2)(a)</w:t>
      </w:r>
    </w:p>
    <w:p>
      <w:pPr>
        <w:pStyle w:val="DefinedTerms"/>
      </w:pPr>
      <w:r>
        <w:t>option B</w:t>
      </w:r>
      <w:r>
        <w:tab/>
        <w:t>33(2)(b)</w:t>
      </w:r>
    </w:p>
    <w:p>
      <w:pPr>
        <w:pStyle w:val="DefinedTerms"/>
      </w:pPr>
      <w:r>
        <w:t>P</w:t>
      </w:r>
      <w:r>
        <w:tab/>
        <w:t>Sch. 3 cl. 18 and 36</w:t>
      </w:r>
    </w:p>
    <w:p>
      <w:pPr>
        <w:pStyle w:val="DefinedTerms"/>
      </w:pPr>
      <w:r>
        <w:t>previous year</w:t>
      </w:r>
      <w:r>
        <w:tab/>
        <w:t>2(1)</w:t>
      </w:r>
    </w:p>
    <w:p>
      <w:pPr>
        <w:pStyle w:val="DefinedTerms"/>
      </w:pPr>
      <w:r>
        <w:t>Q</w:t>
      </w:r>
      <w:r>
        <w:tab/>
        <w:t>Sch. 3 cl. 19 and 37</w:t>
      </w:r>
    </w:p>
    <w:p>
      <w:pPr>
        <w:pStyle w:val="DefinedTerms"/>
      </w:pPr>
      <w:r>
        <w:t>quantity charge</w:t>
      </w:r>
      <w:r>
        <w:tab/>
        <w:t>2(1)</w:t>
      </w:r>
    </w:p>
    <w:p>
      <w:pPr>
        <w:pStyle w:val="DefinedTerms"/>
      </w:pPr>
      <w:r>
        <w:t>R</w:t>
      </w:r>
      <w:r>
        <w:tab/>
        <w:t>Sch. 3 cl. 35</w:t>
      </w:r>
    </w:p>
    <w:p>
      <w:pPr>
        <w:pStyle w:val="DefinedTerms"/>
      </w:pPr>
      <w:r>
        <w:t>registered</w:t>
      </w:r>
      <w:r>
        <w:tab/>
        <w:t>18B(1)</w:t>
      </w:r>
    </w:p>
    <w:p>
      <w:pPr>
        <w:pStyle w:val="DefinedTerms"/>
      </w:pPr>
      <w:r>
        <w:t>relevant general valuation</w:t>
      </w:r>
      <w:r>
        <w:tab/>
        <w:t>Sch. 6 cl. 1</w:t>
      </w:r>
    </w:p>
    <w:p>
      <w:pPr>
        <w:pStyle w:val="DefinedTerms"/>
      </w:pPr>
      <w:r>
        <w:t>residence</w:t>
      </w:r>
      <w:r>
        <w:tab/>
        <w:t>2(1)</w:t>
      </w:r>
    </w:p>
    <w:p>
      <w:pPr>
        <w:pStyle w:val="DefinedTerms"/>
      </w:pPr>
      <w:r>
        <w:t>residential property</w:t>
      </w:r>
      <w:r>
        <w:tab/>
        <w:t>2(1)</w:t>
      </w:r>
    </w:p>
    <w:p>
      <w:pPr>
        <w:pStyle w:val="DefinedTerms"/>
      </w:pPr>
      <w:r>
        <w:t>retirement village</w:t>
      </w:r>
      <w:r>
        <w:tab/>
        <w:t>8A(3)</w:t>
      </w:r>
    </w:p>
    <w:p>
      <w:pPr>
        <w:pStyle w:val="DefinedTerms"/>
      </w:pPr>
      <w:r>
        <w:t>rural land</w:t>
      </w:r>
      <w:r>
        <w:tab/>
        <w:t>28(3)</w:t>
      </w:r>
    </w:p>
    <w:p>
      <w:pPr>
        <w:pStyle w:val="DefinedTerms"/>
      </w:pPr>
      <w:r>
        <w:t>single capital infrastructure charge</w:t>
      </w:r>
      <w:r>
        <w:tab/>
        <w:t>2(1)</w:t>
      </w:r>
    </w:p>
    <w:p>
      <w:pPr>
        <w:pStyle w:val="DefinedTerms"/>
      </w:pPr>
      <w:r>
        <w:t>site</w:t>
      </w:r>
      <w:r>
        <w:tab/>
        <w:t>2(1)</w:t>
      </w:r>
    </w:p>
    <w:p>
      <w:pPr>
        <w:pStyle w:val="DefinedTerms"/>
      </w:pPr>
      <w:r>
        <w:t>Table</w:t>
      </w:r>
      <w:r>
        <w:tab/>
        <w:t>21A</w:t>
      </w:r>
    </w:p>
    <w:p>
      <w:pPr>
        <w:pStyle w:val="DefinedTerms"/>
      </w:pPr>
      <w:r>
        <w:t>UV</w:t>
      </w:r>
      <w:r>
        <w:tab/>
        <w:t>2(1)</w:t>
      </w:r>
    </w:p>
    <w:p>
      <w:pPr>
        <w:pStyle w:val="DefinedTerms"/>
      </w:pPr>
      <w:r>
        <w:t>water supply</w:t>
      </w:r>
      <w:r>
        <w:tab/>
        <w:t>2(1)</w:t>
      </w:r>
    </w:p>
    <w:p>
      <w:pPr>
        <w:pStyle w:val="DefinedTerms"/>
      </w:pPr>
      <w:r>
        <w:t>water supply connection</w:t>
      </w:r>
      <w:r>
        <w:tab/>
        <w:t>12(1)</w:t>
      </w:r>
    </w:p>
    <w:p>
      <w:pPr>
        <w:pStyle w:val="DefinedTerms"/>
      </w:pPr>
      <w:r>
        <w:t>year</w:t>
      </w:r>
      <w:r>
        <w:tab/>
        <w:t>2(1)</w:t>
      </w: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bookmarkStart w:id="970" w:name="UpToHere"/>
      <w:bookmarkEnd w:id="970"/>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632"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CharPartText </w:instrText>
          </w:r>
          <w:r>
            <w:fldChar w:fldCharType="end"/>
          </w:r>
        </w:p>
      </w:tc>
    </w:tr>
    <w:tr>
      <w:tc>
        <w:tcPr>
          <w:tcW w:w="1632"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ActNameRight"/>
          </w:pPr>
          <w:fldSimple w:instr=" Styleref &quot;Name of Act/Reg&quot; ">
            <w:r>
              <w:rPr>
                <w:noProof/>
              </w:rPr>
              <w:t>Water Agencies (Charges) By-laws 1987</w:t>
            </w:r>
          </w:fldSimple>
        </w:p>
      </w:tc>
    </w:tr>
    <w:tr>
      <w:tc>
        <w:tcPr>
          <w:tcW w:w="5742" w:type="dxa"/>
        </w:tcPr>
        <w:p>
          <w:pPr>
            <w:pStyle w:val="HeaderTextRight"/>
          </w:pPr>
          <w:r>
            <w:fldChar w:fldCharType="begin"/>
          </w:r>
          <w:r>
            <w:instrText xml:space="preserve"> styleref CharPartText </w:instrText>
          </w:r>
          <w:r>
            <w:fldChar w:fldCharType="end"/>
          </w:r>
        </w:p>
      </w:tc>
      <w:tc>
        <w:tcPr>
          <w:tcW w:w="1560"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60"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302" w:type="dxa"/>
          <w:gridSpan w:val="2"/>
        </w:tcPr>
        <w:p>
          <w:pPr>
            <w:pStyle w:val="HeaderSectionRigh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Fixed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fldSimple w:instr=" styleref CharSDivText ">
            <w:r>
              <w:rPr>
                <w:noProof/>
              </w:rPr>
              <w:t>Fixed charges</w:t>
            </w:r>
          </w:fldSimple>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57" w:type="dxa"/>
        </w:tcPr>
        <w:p>
          <w:pPr>
            <w:pStyle w:val="HeaderNumberRight"/>
            <w:ind w:right="3"/>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pPr>
          <w:fldSimple w:instr=" styleref CharSchText ">
            <w:r>
              <w:rPr>
                <w:noProof/>
              </w:rPr>
              <w:t>Water supply charges for Government trading organisations and non-commercial Government property</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Charges by way of rate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fldSimple w:instr=" styleref CharSchText ">
            <w:r>
              <w:rPr>
                <w:noProof/>
              </w:rPr>
              <w:t>Water supply charges for Government trading organisations and non-commercial Government property</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vAlign w:val="bottom"/>
        </w:tcPr>
        <w:p>
          <w:pPr>
            <w:pStyle w:val="HeaderTextRight"/>
          </w:pPr>
          <w:fldSimple w:instr=" styleref CharSDivText ">
            <w:r>
              <w:rPr>
                <w:noProof/>
              </w:rPr>
              <w:t>Charges by way of rate</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963D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8708E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54ADD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AEE6271A"/>
    <w:lvl w:ilvl="0">
      <w:start w:val="1"/>
      <w:numFmt w:val="decimal"/>
      <w:pStyle w:val="ListNumber2"/>
      <w:lvlText w:val="%1."/>
      <w:lvlJc w:val="left"/>
      <w:pPr>
        <w:tabs>
          <w:tab w:val="num" w:pos="643"/>
        </w:tabs>
        <w:ind w:left="643" w:hanging="360"/>
      </w:pPr>
    </w:lvl>
  </w:abstractNum>
  <w:abstractNum w:abstractNumId="4">
    <w:nsid w:val="FFFFFF80"/>
    <w:multiLevelType w:val="singleLevel"/>
    <w:tmpl w:val="7E26D5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F5E65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366BA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FE09F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7222FD0"/>
    <w:lvl w:ilvl="0">
      <w:start w:val="1"/>
      <w:numFmt w:val="decimal"/>
      <w:pStyle w:val="ListNumber"/>
      <w:lvlText w:val="%1."/>
      <w:lvlJc w:val="left"/>
      <w:pPr>
        <w:tabs>
          <w:tab w:val="num" w:pos="360"/>
        </w:tabs>
        <w:ind w:left="360" w:hanging="360"/>
      </w:pPr>
    </w:lvl>
  </w:abstractNum>
  <w:abstractNum w:abstractNumId="9">
    <w:nsid w:val="FFFFFF89"/>
    <w:multiLevelType w:val="singleLevel"/>
    <w:tmpl w:val="5B8091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1AC67F4"/>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676B68"/>
    <w:multiLevelType w:val="multilevel"/>
    <w:tmpl w:val="6BF65D2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BDC6F2F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Grammatical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tyle2">
    <w:name w:val="Style 2"/>
    <w:pPr>
      <w:widowControl w:val="0"/>
      <w:autoSpaceDE w:val="0"/>
      <w:autoSpaceDN w:val="0"/>
      <w:adjustRightInd w:val="0"/>
    </w:pPr>
    <w:rPr>
      <w:sz w:val="14"/>
      <w:szCs w:val="14"/>
      <w:lang w:val="en-US" w:eastAsia="en-US"/>
    </w:rPr>
  </w:style>
  <w:style w:type="paragraph" w:customStyle="1" w:styleId="Style1">
    <w:name w:val="Style 1"/>
    <w:pPr>
      <w:widowControl w:val="0"/>
      <w:autoSpaceDE w:val="0"/>
      <w:autoSpaceDN w:val="0"/>
      <w:adjustRightInd w:val="0"/>
    </w:pPr>
    <w:rPr>
      <w:lang w:val="en-US" w:eastAsia="en-US"/>
    </w:rPr>
  </w:style>
  <w:style w:type="character" w:customStyle="1" w:styleId="CharacterStyle1">
    <w:name w:val="Character Style 1"/>
    <w:rPr>
      <w:sz w:val="14"/>
      <w:szCs w:val="1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tyle2">
    <w:name w:val="Style 2"/>
    <w:pPr>
      <w:widowControl w:val="0"/>
      <w:autoSpaceDE w:val="0"/>
      <w:autoSpaceDN w:val="0"/>
      <w:adjustRightInd w:val="0"/>
    </w:pPr>
    <w:rPr>
      <w:sz w:val="14"/>
      <w:szCs w:val="14"/>
      <w:lang w:val="en-US" w:eastAsia="en-US"/>
    </w:rPr>
  </w:style>
  <w:style w:type="paragraph" w:customStyle="1" w:styleId="Style1">
    <w:name w:val="Style 1"/>
    <w:pPr>
      <w:widowControl w:val="0"/>
      <w:autoSpaceDE w:val="0"/>
      <w:autoSpaceDN w:val="0"/>
      <w:adjustRightInd w:val="0"/>
    </w:pPr>
    <w:rPr>
      <w:lang w:val="en-US" w:eastAsia="en-US"/>
    </w:rPr>
  </w:style>
  <w:style w:type="character" w:customStyle="1" w:styleId="CharacterStyle1">
    <w:name w:val="Character Style 1"/>
    <w:rPr>
      <w:sz w:val="14"/>
      <w:szCs w:val="1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image" Target="media/image3.wmf"/><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152</Pages>
  <Words>29892</Words>
  <Characters>138103</Characters>
  <Application>Microsoft Office Word</Application>
  <DocSecurity>0</DocSecurity>
  <Lines>8123</Lines>
  <Paragraphs>5792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162203</CharactersWithSpaces>
  <SharedDoc>false</SharedDoc>
  <HLinks>
    <vt:vector size="6" baseType="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1987 - 06-b0-02</dc:title>
  <dc:subject/>
  <dc:creator/>
  <cp:keywords/>
  <dc:description/>
  <cp:lastModifiedBy>svcMRProcess</cp:lastModifiedBy>
  <cp:revision>4</cp:revision>
  <cp:lastPrinted>2009-08-27T02:26:00Z</cp:lastPrinted>
  <dcterms:created xsi:type="dcterms:W3CDTF">2020-02-29T14:19:00Z</dcterms:created>
  <dcterms:modified xsi:type="dcterms:W3CDTF">2020-02-29T14:19:00Z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4852</vt:i4>
  </property>
  <property fmtid="{D5CDD505-2E9C-101B-9397-08002B2CF9AE}" pid="6" name="ReprintNo">
    <vt:lpwstr>6</vt:lpwstr>
  </property>
  <property fmtid="{D5CDD505-2E9C-101B-9397-08002B2CF9AE}" pid="7" name="AsAtDate">
    <vt:lpwstr>01 Jul 2010</vt:lpwstr>
  </property>
  <property fmtid="{D5CDD505-2E9C-101B-9397-08002B2CF9AE}" pid="8" name="Suffix">
    <vt:lpwstr>06-b0-02</vt:lpwstr>
  </property>
</Properties>
</file>