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_Toc266971746 \h </w:instrText>
      </w:r>
      <w:r>
        <w:fldChar w:fldCharType="separate"/>
      </w:r>
      <w:r>
        <w:t>1</w:t>
      </w:r>
      <w:r>
        <w:fldChar w:fldCharType="end"/>
      </w:r>
    </w:p>
    <w:p>
      <w:pPr>
        <w:pStyle w:val="TOC8"/>
        <w:rPr>
          <w:sz w:val="24"/>
          <w:szCs w:val="24"/>
        </w:rPr>
      </w:pPr>
      <w:r>
        <w:rPr>
          <w:szCs w:val="24"/>
        </w:rPr>
        <w:t>1A.</w:t>
      </w:r>
      <w:r>
        <w:rPr>
          <w:szCs w:val="24"/>
        </w:rPr>
        <w:tab/>
        <w:t>Terms used</w:t>
      </w:r>
      <w:r>
        <w:tab/>
      </w:r>
      <w:r>
        <w:fldChar w:fldCharType="begin"/>
      </w:r>
      <w:r>
        <w:instrText xml:space="preserve"> PAGEREF _Toc266971747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Compensation may be determined by Magistrates Court</w:t>
      </w:r>
      <w:r>
        <w:tab/>
      </w:r>
      <w:r>
        <w:fldChar w:fldCharType="begin"/>
      </w:r>
      <w:r>
        <w:instrText xml:space="preserve"> PAGEREF _Toc266971748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fees, rates and sums</w:t>
      </w:r>
      <w:r>
        <w:tab/>
      </w:r>
      <w:r>
        <w:fldChar w:fldCharType="begin"/>
      </w:r>
      <w:r>
        <w:instrText xml:space="preserve"> PAGEREF _Toc266971749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 of instrument of transfer</w:t>
      </w:r>
      <w:r>
        <w:tab/>
      </w:r>
      <w:r>
        <w:fldChar w:fldCharType="begin"/>
      </w:r>
      <w:r>
        <w:instrText xml:space="preserve"> PAGEREF _Toc266971750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Instrument under section 75(4)(b) of Act</w:t>
      </w:r>
      <w:r>
        <w:tab/>
      </w:r>
      <w:r>
        <w:fldChar w:fldCharType="begin"/>
      </w:r>
      <w:r>
        <w:instrText xml:space="preserve"> PAGEREF _Toc266971751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Royalty value — deductible imposts</w:t>
      </w:r>
      <w:r>
        <w:tab/>
      </w:r>
      <w:r>
        <w:fldChar w:fldCharType="begin"/>
      </w:r>
      <w:r>
        <w:instrText xml:space="preserve"> PAGEREF _Toc266971752 \h </w:instrText>
      </w:r>
      <w:r>
        <w:fldChar w:fldCharType="separate"/>
      </w:r>
      <w:r>
        <w:t>6</w:t>
      </w:r>
      <w:r>
        <w:fldChar w:fldCharType="end"/>
      </w:r>
    </w:p>
    <w:p>
      <w:pPr>
        <w:pStyle w:val="TOC8"/>
        <w:rPr>
          <w:sz w:val="24"/>
          <w:szCs w:val="24"/>
        </w:rPr>
      </w:pPr>
      <w:r>
        <w:rPr>
          <w:szCs w:val="24"/>
        </w:rPr>
        <w:t>9.</w:t>
      </w:r>
      <w:r>
        <w:rPr>
          <w:szCs w:val="24"/>
        </w:rPr>
        <w:tab/>
        <w:t>Application of Geocentric Datum of Australia</w:t>
      </w:r>
      <w:r>
        <w:tab/>
      </w:r>
      <w:r>
        <w:fldChar w:fldCharType="begin"/>
      </w:r>
      <w:r>
        <w:instrText xml:space="preserve"> PAGEREF _Toc266971753 \h </w:instrText>
      </w:r>
      <w:r>
        <w:fldChar w:fldCharType="separate"/>
      </w:r>
      <w:r>
        <w:t>7</w:t>
      </w:r>
      <w:r>
        <w:fldChar w:fldCharType="end"/>
      </w:r>
    </w:p>
    <w:p>
      <w:pPr>
        <w:pStyle w:val="TOC8"/>
        <w:rPr>
          <w:sz w:val="24"/>
          <w:szCs w:val="24"/>
        </w:rPr>
      </w:pPr>
      <w:r>
        <w:rPr>
          <w:szCs w:val="24"/>
        </w:rPr>
        <w:t>10.</w:t>
      </w:r>
      <w:r>
        <w:rPr>
          <w:szCs w:val="24"/>
        </w:rPr>
        <w:tab/>
        <w:t>Application of GDA to certain instruments</w:t>
      </w:r>
      <w:r>
        <w:tab/>
      </w:r>
      <w:r>
        <w:fldChar w:fldCharType="begin"/>
      </w:r>
      <w:r>
        <w:instrText xml:space="preserve"> PAGEREF _Toc266971754 \h </w:instrText>
      </w:r>
      <w:r>
        <w:fldChar w:fldCharType="separate"/>
      </w:r>
      <w:r>
        <w:t>8</w:t>
      </w:r>
      <w:r>
        <w:fldChar w:fldCharType="end"/>
      </w:r>
    </w:p>
    <w:p>
      <w:pPr>
        <w:pStyle w:val="TOC8"/>
        <w:rPr>
          <w:sz w:val="24"/>
          <w:szCs w:val="24"/>
        </w:rPr>
      </w:pPr>
      <w:r>
        <w:rPr>
          <w:szCs w:val="24"/>
        </w:rPr>
        <w:t>11.</w:t>
      </w:r>
      <w:r>
        <w:rPr>
          <w:szCs w:val="24"/>
        </w:rPr>
        <w:tab/>
        <w:t>Application of Australian Geodetic Datum</w:t>
      </w:r>
      <w:r>
        <w:tab/>
      </w:r>
      <w:r>
        <w:fldChar w:fldCharType="begin"/>
      </w:r>
      <w:r>
        <w:instrText xml:space="preserve"> PAGEREF _Toc266971755 \h </w:instrText>
      </w:r>
      <w:r>
        <w:fldChar w:fldCharType="separate"/>
      </w:r>
      <w:r>
        <w:t>9</w:t>
      </w:r>
      <w:r>
        <w:fldChar w:fldCharType="end"/>
      </w:r>
    </w:p>
    <w:p>
      <w:pPr>
        <w:pStyle w:val="TOC2"/>
        <w:tabs>
          <w:tab w:val="right" w:leader="dot" w:pos="7086"/>
        </w:tabs>
        <w:rPr>
          <w:b w:val="0"/>
          <w:sz w:val="24"/>
          <w:szCs w:val="24"/>
        </w:rPr>
      </w:pPr>
      <w:r>
        <w:rPr>
          <w:szCs w:val="28"/>
        </w:rPr>
        <w:t>Schedule 1 — Prescribed fees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_Toc266971759 \h </w:instrText>
      </w:r>
      <w:r>
        <w:fldChar w:fldCharType="separate"/>
      </w:r>
      <w:r>
        <w:t>14</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266971746"/>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266971747"/>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266971748"/>
      <w:r>
        <w:rPr>
          <w:rStyle w:val="CharSectno"/>
        </w:rPr>
        <w:t>2</w:t>
      </w:r>
      <w:r>
        <w:rPr>
          <w:snapToGrid w:val="0"/>
        </w:rPr>
        <w:t>.</w:t>
      </w:r>
      <w:r>
        <w:rPr>
          <w:snapToGrid w:val="0"/>
        </w:rPr>
        <w:tab/>
        <w:t>Compensation may be determined by Magistrates Court</w:t>
      </w:r>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266971749"/>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$40.00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$40.00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$40.00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$40.00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$80.00</w:t>
      </w:r>
      <w:r>
        <w:rPr>
          <w:snapToGrid w:val="0"/>
        </w:rPr>
        <w:t>.</w:t>
      </w:r>
    </w:p>
    <w:p>
      <w:pPr>
        <w:pStyle w:val="Subsection"/>
        <w:rPr>
          <w:snapToGrid w:val="0"/>
        </w:rPr>
      </w:pPr>
      <w:r>
        <w:rPr>
          <w:snapToGrid w:val="0"/>
        </w:rPr>
        <w:tab/>
        <w:t>(7)</w:t>
      </w:r>
      <w:r>
        <w:rPr>
          <w:snapToGrid w:val="0"/>
        </w:rPr>
        <w:tab/>
        <w:t>For the purposes of section 137A of the Act, the prescribed rate is a rate of</w:t>
      </w:r>
      <w:r>
        <w:t xml:space="preserve"> $9 598.00.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$23 455.00.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9 Feb 2010 p. 271; 11 May 2010 p. 1817; 16 Jul 2010 p. 3358.]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266971750"/>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266971751"/>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266971752"/>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266971753"/>
      <w:r>
        <w:rPr>
          <w:rStyle w:val="CharSectno"/>
        </w:rPr>
        <w:t>9</w:t>
      </w:r>
      <w:r>
        <w:t>.</w:t>
      </w:r>
      <w:r>
        <w:tab/>
        <w:t>Application of Geocentric Datum of Australia</w:t>
      </w:r>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266971754"/>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266971755"/>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66971756"/>
      <w:bookmarkStart w:id="52" w:name="_Toc512934878"/>
      <w:bookmarkStart w:id="53" w:name="_Toc514656905"/>
      <w:bookmarkStart w:id="54" w:name="_Toc514657427"/>
      <w:bookmarkStart w:id="55" w:name="_Toc34197691"/>
      <w:bookmarkStart w:id="56" w:name="_Toc233710475"/>
      <w:bookmarkStart w:id="57" w:name="_Toc233710536"/>
      <w:bookmarkStart w:id="58" w:name="_Toc236215151"/>
      <w:bookmarkStart w:id="59" w:name="_Toc236215345"/>
      <w:bookmarkStart w:id="60" w:name="_Toc236634260"/>
      <w:bookmarkStart w:id="61" w:name="_Toc238010421"/>
      <w:bookmarkStart w:id="62" w:name="_Toc253405066"/>
      <w:bookmarkStart w:id="63" w:name="_Toc253405122"/>
      <w:bookmarkStart w:id="64" w:name="_Toc261269947"/>
      <w:r>
        <w:rPr>
          <w:rStyle w:val="CharSchNo"/>
        </w:rPr>
        <w:t>Schedule 1</w:t>
      </w:r>
      <w:r>
        <w:t> — </w:t>
      </w:r>
      <w:r>
        <w:rPr>
          <w:rStyle w:val="CharSchText"/>
        </w:rPr>
        <w:t>Prescribed fees</w:t>
      </w:r>
      <w:bookmarkEnd w:id="51"/>
    </w:p>
    <w:p>
      <w:pPr>
        <w:pStyle w:val="yShoulderClause"/>
      </w:pPr>
      <w:r>
        <w:t>[r. 3(1)]</w:t>
      </w:r>
    </w:p>
    <w:p>
      <w:pPr>
        <w:pStyle w:val="yFootnoteheading"/>
        <w:spacing w:after="120"/>
      </w:pPr>
      <w:r>
        <w:tab/>
        <w:t>[Heading inserted in Gazette 16 Jul 2010 p. 3358.]</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bCs/>
              </w:rPr>
            </w:pPr>
            <w:r>
              <w:rPr>
                <w:b/>
                <w:bCs/>
              </w:rPr>
              <w:t>Column 1</w:t>
            </w:r>
            <w:r>
              <w:rPr>
                <w:b/>
                <w:bCs/>
              </w:rPr>
              <w:br/>
              <w:t>Item</w:t>
            </w:r>
          </w:p>
        </w:tc>
        <w:tc>
          <w:tcPr>
            <w:tcW w:w="2126" w:type="dxa"/>
          </w:tcPr>
          <w:p>
            <w:pPr>
              <w:pStyle w:val="yTableNAm"/>
              <w:jc w:val="center"/>
              <w:rPr>
                <w:b/>
                <w:bCs/>
              </w:rPr>
            </w:pPr>
            <w:r>
              <w:rPr>
                <w:b/>
                <w:bCs/>
              </w:rPr>
              <w:t>Column 2</w:t>
            </w:r>
            <w:r>
              <w:rPr>
                <w:b/>
                <w:bCs/>
              </w:rPr>
              <w:br/>
              <w:t>Provision of Act</w:t>
            </w:r>
          </w:p>
        </w:tc>
        <w:tc>
          <w:tcPr>
            <w:tcW w:w="2835" w:type="dxa"/>
          </w:tcPr>
          <w:p>
            <w:pPr>
              <w:pStyle w:val="yTableNAm"/>
              <w:tabs>
                <w:tab w:val="clear" w:pos="567"/>
              </w:tabs>
              <w:jc w:val="center"/>
              <w:rPr>
                <w:b/>
                <w:bCs/>
              </w:rPr>
            </w:pPr>
            <w:r>
              <w:rPr>
                <w:b/>
                <w:bCs/>
              </w:rPr>
              <w:t>Column 3</w:t>
            </w:r>
            <w:r>
              <w:rPr>
                <w:b/>
                <w:bCs/>
              </w:rPr>
              <w:br/>
              <w:t>Amount of prescribed fee</w:t>
            </w:r>
            <w:r>
              <w:rPr>
                <w:b/>
                <w:bCs/>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tabs>
                <w:tab w:val="clear" w:pos="567"/>
                <w:tab w:val="decimal" w:pos="1061"/>
              </w:tabs>
            </w:pPr>
            <w:r>
              <w:t>4 788.00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tabs>
                <w:tab w:val="clear" w:pos="567"/>
                <w:tab w:val="decimal" w:pos="1061"/>
              </w:tabs>
            </w:pPr>
            <w:r>
              <w:t>4 788.00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tabs>
                <w:tab w:val="clear" w:pos="567"/>
                <w:tab w:val="decimal" w:pos="1450"/>
              </w:tabs>
            </w:pPr>
            <w:r>
              <w:t>958.00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tabs>
                <w:tab w:val="clear" w:pos="567"/>
                <w:tab w:val="decimal" w:pos="1061"/>
              </w:tabs>
            </w:pPr>
            <w:r>
              <w:t>1 916.00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tabs>
                <w:tab w:val="clear" w:pos="567"/>
                <w:tab w:val="decimal" w:pos="1061"/>
              </w:tabs>
            </w:pPr>
            <w:r>
              <w:t>4 788.00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tabs>
                <w:tab w:val="clear" w:pos="567"/>
                <w:tab w:val="decimal" w:pos="1061"/>
              </w:tabs>
            </w:pPr>
            <w:r>
              <w:t>1 916.00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tabs>
                <w:tab w:val="clear" w:pos="567"/>
                <w:tab w:val="decimal" w:pos="1061"/>
              </w:tabs>
            </w:pPr>
            <w:r>
              <w:t>1 916.00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tabs>
                <w:tab w:val="clear" w:pos="567"/>
                <w:tab w:val="decimal" w:pos="1061"/>
              </w:tabs>
            </w:pPr>
            <w:r>
              <w:t>1 916.00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tabs>
                <w:tab w:val="clear" w:pos="567"/>
                <w:tab w:val="decimal" w:pos="1061"/>
              </w:tabs>
            </w:pPr>
            <w:r>
              <w:t>1 916.00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tabs>
                <w:tab w:val="clear" w:pos="567"/>
                <w:tab w:val="decimal" w:pos="1061"/>
              </w:tabs>
            </w:pPr>
            <w:r>
              <w:t>4 788.00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tabs>
                <w:tab w:val="clear" w:pos="567"/>
                <w:tab w:val="decimal" w:pos="1450"/>
              </w:tabs>
            </w:pPr>
            <w:r>
              <w:t>958.00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tabs>
                <w:tab w:val="clear" w:pos="567"/>
                <w:tab w:val="decimal" w:pos="1061"/>
              </w:tabs>
            </w:pPr>
            <w:r>
              <w:t>1 916.00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tabs>
                <w:tab w:val="clear" w:pos="567"/>
                <w:tab w:val="decimal" w:pos="1450"/>
              </w:tabs>
            </w:pPr>
            <w:r>
              <w:t>95.00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tabs>
                <w:tab w:val="clear" w:pos="567"/>
                <w:tab w:val="decimal" w:pos="1450"/>
              </w:tabs>
            </w:pPr>
            <w:r>
              <w:t>95.00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tabs>
                <w:tab w:val="clear" w:pos="567"/>
                <w:tab w:val="decimal" w:pos="1450"/>
              </w:tabs>
            </w:pPr>
            <w:r>
              <w:t>20.00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tabs>
                <w:tab w:val="clear" w:pos="567"/>
                <w:tab w:val="decimal" w:pos="1450"/>
              </w:tabs>
            </w:pPr>
            <w:r>
              <w:t>48.00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tabs>
                <w:tab w:val="clear" w:pos="567"/>
                <w:tab w:val="decimal" w:pos="1450"/>
              </w:tabs>
            </w:pPr>
            <w:r>
              <w:t>958.00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tabs>
                <w:tab w:val="clear" w:pos="567"/>
                <w:tab w:val="decimal" w:pos="1061"/>
              </w:tabs>
            </w:pPr>
            <w:r>
              <w:t>1 674.00</w:t>
            </w:r>
          </w:p>
        </w:tc>
      </w:tr>
    </w:tbl>
    <w:p>
      <w:pPr>
        <w:pStyle w:val="yFootnotesection"/>
      </w:pPr>
      <w:r>
        <w:tab/>
        <w:t>[Schedule 1 inserted in Gazette 16 Jul 2010 p. 3358-9.]</w:t>
      </w:r>
    </w:p>
    <w:p>
      <w:pPr>
        <w:pStyle w:val="yScheduleHeading"/>
      </w:pPr>
      <w:bookmarkStart w:id="65" w:name="_Toc266971757"/>
      <w:r>
        <w:rPr>
          <w:rStyle w:val="CharSchNo"/>
        </w:rPr>
        <w:t>Schedule 2</w:t>
      </w:r>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66" w:name="_Toc512934879"/>
      <w:bookmarkStart w:id="67"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66"/>
      <w:bookmarkEnd w:id="67"/>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68" w:name="_Toc233710476"/>
      <w:bookmarkStart w:id="69" w:name="_Toc233710537"/>
      <w:bookmarkStart w:id="70" w:name="_Toc236215152"/>
      <w:bookmarkStart w:id="71" w:name="_Toc236215346"/>
      <w:bookmarkStart w:id="72" w:name="_Toc236634261"/>
      <w:bookmarkStart w:id="73" w:name="_Toc238010422"/>
      <w:bookmarkStart w:id="74" w:name="_Toc253405067"/>
      <w:bookmarkStart w:id="75" w:name="_Toc253405123"/>
      <w:bookmarkStart w:id="76" w:name="_Toc261269948"/>
      <w:bookmarkStart w:id="77" w:name="_Toc266971758"/>
      <w:r>
        <w:t>Notes</w:t>
      </w:r>
      <w:bookmarkEnd w:id="68"/>
      <w:bookmarkEnd w:id="69"/>
      <w:bookmarkEnd w:id="70"/>
      <w:bookmarkEnd w:id="71"/>
      <w:bookmarkEnd w:id="72"/>
      <w:bookmarkEnd w:id="73"/>
      <w:bookmarkEnd w:id="74"/>
      <w:bookmarkEnd w:id="75"/>
      <w:bookmarkEnd w:id="76"/>
      <w:bookmarkEnd w:id="7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8" w:name="_Toc266971759"/>
      <w:r>
        <w:rPr>
          <w:snapToGrid w:val="0"/>
        </w:rPr>
        <w:t>Compilation table</w:t>
      </w:r>
      <w:bookmarkEnd w:id="78"/>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trPr>
        <w:tc>
          <w:tcPr>
            <w:tcW w:w="3118" w:type="dxa"/>
            <w:gridSpan w:val="2"/>
            <w:tcBorders>
              <w:bottom w:val="single" w:sz="4" w:space="0" w:color="auto"/>
            </w:tcBorders>
          </w:tcPr>
          <w:p>
            <w:pPr>
              <w:pStyle w:val="nTable"/>
              <w:spacing w:after="40"/>
              <w:ind w:right="113"/>
              <w:rPr>
                <w:i/>
                <w:sz w:val="19"/>
              </w:rPr>
            </w:pPr>
            <w:r>
              <w:rPr>
                <w:i/>
                <w:sz w:val="19"/>
              </w:rPr>
              <w:t>Petroleum and Geothermal Energy Resources Amendment Regulations (No. 3) 2010</w:t>
            </w:r>
            <w:bookmarkStart w:id="79" w:name="UpToHere"/>
            <w:bookmarkEnd w:id="79"/>
          </w:p>
        </w:tc>
        <w:tc>
          <w:tcPr>
            <w:tcW w:w="1276" w:type="dxa"/>
            <w:tcBorders>
              <w:bottom w:val="single" w:sz="4" w:space="0" w:color="auto"/>
            </w:tcBorders>
          </w:tcPr>
          <w:p>
            <w:pPr>
              <w:pStyle w:val="nTable"/>
              <w:spacing w:after="40"/>
              <w:ind w:left="57"/>
              <w:rPr>
                <w:sz w:val="19"/>
              </w:rPr>
            </w:pPr>
            <w:r>
              <w:rPr>
                <w:sz w:val="19"/>
              </w:rPr>
              <w:t>16 Jul 2010 p. 3357-9</w:t>
            </w:r>
          </w:p>
        </w:tc>
        <w:tc>
          <w:tcPr>
            <w:tcW w:w="2693" w:type="dxa"/>
            <w:tcBorders>
              <w:bottom w:val="single" w:sz="4" w:space="0" w:color="auto"/>
            </w:tcBorders>
          </w:tcPr>
          <w:p>
            <w:pPr>
              <w:pStyle w:val="nTable"/>
              <w:spacing w:after="40"/>
              <w:ind w:left="68"/>
              <w:rPr>
                <w:snapToGrid w:val="0"/>
                <w:spacing w:val="-2"/>
                <w:sz w:val="19"/>
                <w:lang w:val="en-US"/>
              </w:rPr>
            </w:pPr>
            <w:r>
              <w:rPr>
                <w:snapToGrid w:val="0"/>
                <w:spacing w:val="-2"/>
                <w:sz w:val="19"/>
                <w:lang w:val="en-US"/>
              </w:rPr>
              <w:t>r. 1 and 2: 16 Jul 2010 (see r. 2(a));</w:t>
            </w:r>
            <w:r>
              <w:rPr>
                <w:snapToGrid w:val="0"/>
                <w:spacing w:val="-2"/>
                <w:sz w:val="19"/>
                <w:lang w:val="en-US"/>
              </w:rPr>
              <w:br/>
              <w:t>Regulations other than r. 1 and 2: 17 Jul 2010 (see r. 2(b)(ii))</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80" w:name="_Toc236215348"/>
      <w:bookmarkStart w:id="81" w:name="_Toc236634263"/>
      <w:bookmarkStart w:id="82" w:name="_Toc238010424"/>
      <w:bookmarkStart w:id="83" w:name="_Toc253405069"/>
      <w:bookmarkStart w:id="84" w:name="_Toc253405125"/>
      <w:bookmarkStart w:id="85" w:name="_Toc261269950"/>
      <w:bookmarkStart w:id="86" w:name="_Toc266971760"/>
      <w:r>
        <w:rPr>
          <w:sz w:val="28"/>
        </w:rPr>
        <w:t>Defined Terms</w:t>
      </w:r>
      <w:bookmarkEnd w:id="80"/>
      <w:bookmarkEnd w:id="81"/>
      <w:bookmarkEnd w:id="82"/>
      <w:bookmarkEnd w:id="83"/>
      <w:bookmarkEnd w:id="84"/>
      <w:bookmarkEnd w:id="85"/>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7" w:name="DefinedTerms"/>
      <w:bookmarkEnd w:id="87"/>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49"/>
    <w:docVar w:name="WAFER_20151208155549" w:val="RemoveTrackChanges"/>
    <w:docVar w:name="WAFER_20151208155549_GUID" w:val="7418fe95-ebff-4586-9565-528ab0bcd3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3451</Words>
  <Characters>16980</Characters>
  <Application>Microsoft Office Word</Application>
  <DocSecurity>0</DocSecurity>
  <Lines>606</Lines>
  <Paragraphs>392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20039</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1987 - 02-d0-02</dc:title>
  <dc:subject/>
  <dc:creator/>
  <cp:keywords/>
  <dc:description/>
  <cp:lastModifiedBy>svcMRProcess</cp:lastModifiedBy>
  <cp:revision>4</cp:revision>
  <cp:lastPrinted>2009-08-17T03:02:00Z</cp:lastPrinted>
  <dcterms:created xsi:type="dcterms:W3CDTF">2020-02-27T13:24:00Z</dcterms:created>
  <dcterms:modified xsi:type="dcterms:W3CDTF">2020-02-27T13:24:00Z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20100717</vt:lpwstr>
  </property>
  <property fmtid="{D5CDD505-2E9C-101B-9397-08002B2CF9AE}" pid="4" name="DocumentType">
    <vt:lpwstr>Reg</vt:lpwstr>
  </property>
  <property fmtid="{D5CDD505-2E9C-101B-9397-08002B2CF9AE}" pid="5" name="AsAtDate">
    <vt:lpwstr>17 Jul 2010</vt:lpwstr>
  </property>
  <property fmtid="{D5CDD505-2E9C-101B-9397-08002B2CF9AE}" pid="6" name="Suffix">
    <vt:lpwstr>02-d0-02</vt:lpwstr>
  </property>
  <property fmtid="{D5CDD505-2E9C-101B-9397-08002B2CF9AE}" pid="7" name="ReprintNo">
    <vt:lpwstr>2</vt:lpwstr>
  </property>
  <property fmtid="{D5CDD505-2E9C-101B-9397-08002B2CF9AE}" pid="8" name="OwlsUID">
    <vt:i4>4690</vt:i4>
  </property>
</Properties>
</file>