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Anzac Day Act 1960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Anzac Day Act 1960</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_Toc267651642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_Toc267651643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Race meetings on Anzac Day</w:t>
      </w:r>
      <w:r>
        <w:tab/>
      </w:r>
      <w:r>
        <w:fldChar w:fldCharType="begin"/>
      </w:r>
      <w:r>
        <w:instrText xml:space="preserve"> PAGEREF _Toc267651644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Proceeds of race meetings on Anzac Day to be paid to Trust</w:t>
      </w:r>
      <w:r>
        <w:tab/>
      </w:r>
      <w:r>
        <w:fldChar w:fldCharType="begin"/>
      </w:r>
      <w:r>
        <w:instrText xml:space="preserve"> PAGEREF _Toc267651645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Sports on Anzac Day</w:t>
      </w:r>
      <w:r>
        <w:tab/>
      </w:r>
      <w:r>
        <w:fldChar w:fldCharType="begin"/>
      </w:r>
      <w:r>
        <w:instrText xml:space="preserve"> PAGEREF _Toc267651646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Proceeds of sports on Anzac Day to be paid to Trust</w:t>
      </w:r>
      <w:r>
        <w:tab/>
      </w:r>
      <w:r>
        <w:fldChar w:fldCharType="begin"/>
      </w:r>
      <w:r>
        <w:instrText xml:space="preserve"> PAGEREF _Toc267651647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Establishment of Anzac Day Trust Account</w:t>
      </w:r>
      <w:r>
        <w:tab/>
      </w:r>
      <w:r>
        <w:fldChar w:fldCharType="begin"/>
      </w:r>
      <w:r>
        <w:instrText xml:space="preserve"> PAGEREF _Toc267651648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The Anzac Day Trust constituted</w:t>
      </w:r>
      <w:r>
        <w:tab/>
      </w:r>
      <w:r>
        <w:fldChar w:fldCharType="begin"/>
      </w:r>
      <w:r>
        <w:instrText xml:space="preserve"> PAGEREF _Toc267651649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Trust to be a body corporate</w:t>
      </w:r>
      <w:r>
        <w:tab/>
      </w:r>
      <w:r>
        <w:fldChar w:fldCharType="begin"/>
      </w:r>
      <w:r>
        <w:instrText xml:space="preserve"> PAGEREF _Toc267651650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Eligibility of Trustees</w:t>
      </w:r>
      <w:r>
        <w:tab/>
      </w:r>
      <w:r>
        <w:fldChar w:fldCharType="begin"/>
      </w:r>
      <w:r>
        <w:instrText xml:space="preserve"> PAGEREF _Toc267651651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Tenure of offices of Trustees</w:t>
      </w:r>
      <w:r>
        <w:tab/>
      </w:r>
      <w:r>
        <w:fldChar w:fldCharType="begin"/>
      </w:r>
      <w:r>
        <w:instrText xml:space="preserve"> PAGEREF _Toc267651652 \h </w:instrText>
      </w:r>
      <w:r>
        <w:fldChar w:fldCharType="separate"/>
      </w:r>
      <w:r>
        <w:t>10</w:t>
      </w:r>
      <w:r>
        <w:fldChar w:fldCharType="end"/>
      </w:r>
    </w:p>
    <w:p>
      <w:pPr>
        <w:pStyle w:val="TOC8"/>
        <w:rPr>
          <w:sz w:val="24"/>
          <w:szCs w:val="24"/>
        </w:rPr>
      </w:pPr>
      <w:r>
        <w:rPr>
          <w:szCs w:val="24"/>
        </w:rPr>
        <w:t>14A</w:t>
      </w:r>
      <w:r>
        <w:rPr>
          <w:snapToGrid w:val="0"/>
          <w:szCs w:val="24"/>
        </w:rPr>
        <w:t>.</w:t>
      </w:r>
      <w:r>
        <w:rPr>
          <w:snapToGrid w:val="0"/>
          <w:szCs w:val="24"/>
        </w:rPr>
        <w:tab/>
        <w:t>Recovery of proceeds</w:t>
      </w:r>
      <w:r>
        <w:tab/>
      </w:r>
      <w:r>
        <w:fldChar w:fldCharType="begin"/>
      </w:r>
      <w:r>
        <w:instrText xml:space="preserve"> PAGEREF _Toc267651653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 xml:space="preserve">Application of the </w:t>
      </w:r>
      <w:r>
        <w:rPr>
          <w:i/>
          <w:szCs w:val="24"/>
        </w:rPr>
        <w:t>Financial Management Act 2006</w:t>
      </w:r>
      <w:r>
        <w:rPr>
          <w:szCs w:val="24"/>
        </w:rPr>
        <w:t xml:space="preserve"> and </w:t>
      </w:r>
      <w:r>
        <w:rPr>
          <w:i/>
          <w:szCs w:val="24"/>
        </w:rPr>
        <w:t>Auditor General Act 2006</w:t>
      </w:r>
      <w:r>
        <w:tab/>
      </w:r>
      <w:r>
        <w:fldChar w:fldCharType="begin"/>
      </w:r>
      <w:r>
        <w:instrText xml:space="preserve"> PAGEREF _Toc267651654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Authentication of documents</w:t>
      </w:r>
      <w:r>
        <w:tab/>
      </w:r>
      <w:r>
        <w:fldChar w:fldCharType="begin"/>
      </w:r>
      <w:r>
        <w:instrText xml:space="preserve"> PAGEREF _Toc267651655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_Toc267651656 \h </w:instrText>
      </w:r>
      <w:r>
        <w:fldChar w:fldCharType="separate"/>
      </w:r>
      <w:r>
        <w:t>11</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_Toc267651658 \h </w:instrText>
      </w:r>
      <w:r>
        <w:fldChar w:fldCharType="separate"/>
      </w:r>
      <w:r>
        <w:t>12</w:t>
      </w:r>
      <w:r>
        <w:fldChar w:fldCharType="end"/>
      </w:r>
    </w:p>
    <w:p>
      <w:pPr>
        <w:pStyle w:val="TOC8"/>
        <w:rPr>
          <w:sz w:val="24"/>
        </w:rPr>
      </w:pPr>
      <w:r>
        <w:tab/>
        <w:t>Provisions that have not come into operation</w:t>
      </w:r>
      <w:r>
        <w:tab/>
      </w:r>
      <w:r>
        <w:fldChar w:fldCharType="begin"/>
      </w:r>
      <w:r>
        <w:instrText xml:space="preserve"> PAGEREF _Toc267651659 \h </w:instrText>
      </w:r>
      <w:r>
        <w:fldChar w:fldCharType="separate"/>
      </w:r>
      <w:r>
        <w:t>13</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Anzac Day Act 1960 </w:t>
      </w:r>
    </w:p>
    <w:p>
      <w:pPr>
        <w:pStyle w:val="LongTitle"/>
        <w:spacing w:after="160"/>
        <w:rPr>
          <w:snapToGrid w:val="0"/>
        </w:rPr>
      </w:pPr>
      <w:r>
        <w:rPr>
          <w:snapToGrid w:val="0"/>
        </w:rPr>
        <w:t xml:space="preserve">An Act to amend and consolidate the law relating to the observance of Anzac Day as a public holiday; to establish an Anzac Day Trust Account; and for other and incidental purposes. </w:t>
      </w:r>
    </w:p>
    <w:p>
      <w:pPr>
        <w:pStyle w:val="Footnotelongtitle"/>
      </w:pPr>
      <w:bookmarkStart w:id="2" w:name="_Toc411397699"/>
      <w:bookmarkStart w:id="3" w:name="_Toc8013405"/>
      <w:bookmarkStart w:id="4" w:name="_Toc131325007"/>
      <w:r>
        <w:tab/>
        <w:t>[Long title amended by No. 77 of 2006 s. 17.]</w:t>
      </w:r>
    </w:p>
    <w:p>
      <w:pPr>
        <w:pStyle w:val="Heading5"/>
        <w:rPr>
          <w:snapToGrid w:val="0"/>
        </w:rPr>
      </w:pPr>
      <w:bookmarkStart w:id="5" w:name="_Toc267651642"/>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pPr>
        <w:pStyle w:val="Ednotesection"/>
        <w:rPr>
          <w:rStyle w:val="CharSectno"/>
        </w:rPr>
      </w:pPr>
      <w:bookmarkStart w:id="6" w:name="_Toc411397701"/>
      <w:bookmarkStart w:id="7" w:name="_Toc8013407"/>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8" w:name="_Toc131325008"/>
      <w:bookmarkStart w:id="9" w:name="_Toc267651643"/>
      <w:r>
        <w:rPr>
          <w:rStyle w:val="CharSectno"/>
        </w:rPr>
        <w:t>3</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Anzac Day</w:t>
      </w:r>
      <w:r>
        <w:t xml:space="preserve"> means 25 April in each year;</w:t>
      </w:r>
    </w:p>
    <w:p>
      <w:pPr>
        <w:pStyle w:val="Defstart"/>
      </w:pPr>
      <w:r>
        <w:tab/>
      </w:r>
      <w:r>
        <w:rPr>
          <w:rStyle w:val="CharDefText"/>
        </w:rPr>
        <w:t>dependant</w:t>
      </w:r>
      <w:r>
        <w:t>,</w:t>
      </w:r>
      <w:r>
        <w:rPr>
          <w:b/>
        </w:rPr>
        <w:t xml:space="preserve"> </w:t>
      </w:r>
      <w:r>
        <w:t>in relation to a deceased person, includes a person who, immediately before the death of the person, was a spouse, de facto partner or child of the person;</w:t>
      </w:r>
    </w:p>
    <w:p>
      <w:pPr>
        <w:pStyle w:val="Defstart"/>
      </w:pPr>
      <w:r>
        <w:rPr>
          <w:b/>
        </w:rPr>
        <w:tab/>
      </w:r>
      <w:r>
        <w:rPr>
          <w:rStyle w:val="CharDefText"/>
        </w:rPr>
        <w:t>race meeting</w:t>
      </w:r>
      <w:r>
        <w:t xml:space="preserve"> means a meeting of persons for the purpose of holding or conducting horse racing, trotting racing, or greyhound racing;</w:t>
      </w:r>
    </w:p>
    <w:p>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pPr>
        <w:pStyle w:val="Defstart"/>
      </w:pPr>
      <w:r>
        <w:rPr>
          <w:b/>
        </w:rPr>
        <w:tab/>
      </w:r>
      <w:r>
        <w:rPr>
          <w:rStyle w:val="CharDefText"/>
        </w:rPr>
        <w:t>sports</w:t>
      </w:r>
      <w:r>
        <w:t xml:space="preserve"> means motor car races, motor cycle races, bicycle races, or foot races, or cricket matches, football matches, soccer matches, hockey 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t>
      </w:r>
    </w:p>
    <w:p>
      <w:pPr>
        <w:pStyle w:val="Defstart"/>
      </w:pPr>
      <w:r>
        <w:rPr>
          <w:b/>
        </w:rPr>
        <w:tab/>
      </w:r>
      <w:r>
        <w:rPr>
          <w:rStyle w:val="CharDefText"/>
        </w:rPr>
        <w:t>Trust</w:t>
      </w:r>
      <w:r>
        <w:t xml:space="preserve"> means the body corporate constituted under this Act as The Anzac Day Trust;</w:t>
      </w:r>
    </w:p>
    <w:p>
      <w:pPr>
        <w:pStyle w:val="Defstart"/>
      </w:pPr>
      <w:r>
        <w:rPr>
          <w:b/>
        </w:rPr>
        <w:tab/>
      </w:r>
      <w:r>
        <w:rPr>
          <w:rStyle w:val="CharDefText"/>
        </w:rPr>
        <w:t>Trustee</w:t>
      </w:r>
      <w:r>
        <w:t xml:space="preserve"> means a person occupying the office of Trustee of the Trust, including the office of chairman.</w:t>
      </w:r>
    </w:p>
    <w:p>
      <w:pPr>
        <w:pStyle w:val="Footnotesection"/>
      </w:pPr>
      <w:r>
        <w:tab/>
        <w:t xml:space="preserve">[Section 3 amended by No. 14 of 1964 s. 2; No. 9 of 1975 s. 2; No. 28 of 2003 s. 12.] </w:t>
      </w:r>
    </w:p>
    <w:p>
      <w:pPr>
        <w:pStyle w:val="Heading5"/>
        <w:rPr>
          <w:snapToGrid w:val="0"/>
        </w:rPr>
      </w:pPr>
      <w:bookmarkStart w:id="10" w:name="_Toc411397702"/>
      <w:bookmarkStart w:id="11" w:name="_Toc8013408"/>
      <w:bookmarkStart w:id="12" w:name="_Toc131325009"/>
      <w:bookmarkStart w:id="13" w:name="_Toc267651644"/>
      <w:r>
        <w:rPr>
          <w:rStyle w:val="CharSectno"/>
        </w:rPr>
        <w:t>4</w:t>
      </w:r>
      <w:r>
        <w:rPr>
          <w:snapToGrid w:val="0"/>
        </w:rPr>
        <w:t>.</w:t>
      </w:r>
      <w:r>
        <w:rPr>
          <w:snapToGrid w:val="0"/>
        </w:rPr>
        <w:tab/>
        <w:t>Race meetings on Anzac Day</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deleted]</w:t>
      </w:r>
    </w:p>
    <w:p>
      <w:pPr>
        <w:pStyle w:val="Subsection"/>
        <w:rPr>
          <w:snapToGrid w:val="0"/>
        </w:rPr>
      </w:pPr>
      <w:r>
        <w:rPr>
          <w:snapToGrid w:val="0"/>
        </w:rPr>
        <w:tab/>
        <w:t>(4)</w:t>
      </w:r>
      <w:r>
        <w:rPr>
          <w:snapToGrid w:val="0"/>
        </w:rPr>
        <w:tab/>
        <w:t>If any race meeting is held on Anzac Day in any year in contravention of the provisions of this section, the person or racing club by or on behalf of whom or which the race meeting was held, and each member of the managing body or committee of that racing club, commits an offence and is liable to a penalty not exceeding $400.</w:t>
      </w:r>
    </w:p>
    <w:p>
      <w:pPr>
        <w:pStyle w:val="Footnotesection"/>
      </w:pPr>
      <w:r>
        <w:tab/>
        <w:t xml:space="preserve">[Section 4 amended by No. 113 of 1965 s. 8(1); No. 9 of 1975 s. 3; No. 35 of 2003 s. 73(2) and (3); No. 62 of 2003 s. 4.] </w:t>
      </w:r>
    </w:p>
    <w:p>
      <w:pPr>
        <w:pStyle w:val="Heading5"/>
        <w:rPr>
          <w:snapToGrid w:val="0"/>
        </w:rPr>
      </w:pPr>
      <w:bookmarkStart w:id="14" w:name="_Toc411397703"/>
      <w:bookmarkStart w:id="15" w:name="_Toc8013409"/>
      <w:bookmarkStart w:id="16" w:name="_Toc131325010"/>
      <w:bookmarkStart w:id="17" w:name="_Toc267651645"/>
      <w:r>
        <w:rPr>
          <w:rStyle w:val="CharSectno"/>
        </w:rPr>
        <w:t>5</w:t>
      </w:r>
      <w:r>
        <w:rPr>
          <w:snapToGrid w:val="0"/>
        </w:rPr>
        <w:t>.</w:t>
      </w:r>
      <w:r>
        <w:rPr>
          <w:snapToGrid w:val="0"/>
        </w:rPr>
        <w:tab/>
        <w:t>Proceeds of race meetings on Anzac Day to be paid to Trust</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person or racing club by or on behalf of whom or which a race meeting is held or conducted on Anzac Day shall within one month after that race meeting is held or conducted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or conducting of that race meeting and the return shall be verified by a statutory declaration made by that person or by the secretary or treasurer of that racing club; and</w:t>
      </w:r>
    </w:p>
    <w:p>
      <w:pPr>
        <w:pStyle w:val="Indenta"/>
        <w:rPr>
          <w:snapToGrid w:val="0"/>
        </w:rPr>
      </w:pPr>
      <w:r>
        <w:rPr>
          <w:snapToGrid w:val="0"/>
        </w:rPr>
        <w:tab/>
        <w:t>(b)</w:t>
      </w:r>
      <w:r>
        <w:rPr>
          <w:snapToGrid w:val="0"/>
        </w:rPr>
        <w:tab/>
        <w:t>pay to the Trust — </w:t>
      </w:r>
    </w:p>
    <w:p>
      <w:pPr>
        <w:pStyle w:val="Indenti"/>
        <w:rPr>
          <w:snapToGrid w:val="0"/>
        </w:rPr>
      </w:pPr>
      <w:r>
        <w:rPr>
          <w:snapToGrid w:val="0"/>
        </w:rPr>
        <w:tab/>
        <w:t>(i)</w:t>
      </w:r>
      <w:r>
        <w:rPr>
          <w:snapToGrid w:val="0"/>
        </w:rPr>
        <w:tab/>
        <w:t>in the case of a race meeting held in the metropolitan region, the whole of the net proceeds derived from that race meeting; or</w:t>
      </w:r>
    </w:p>
    <w:p>
      <w:pPr>
        <w:pStyle w:val="Indenti"/>
        <w:rPr>
          <w:snapToGrid w:val="0"/>
        </w:rPr>
      </w:pPr>
      <w:r>
        <w:rPr>
          <w:snapToGrid w:val="0"/>
        </w:rPr>
        <w:tab/>
        <w:t>(ii)</w:t>
      </w:r>
      <w:r>
        <w:rPr>
          <w:snapToGrid w:val="0"/>
        </w:rPr>
        <w:tab/>
        <w:t>in the case of a race meeting held outside the metropolitan region, 60% of the net proceeds derived from that race meeting.</w:t>
      </w:r>
    </w:p>
    <w:p>
      <w:pPr>
        <w:pStyle w:val="Subsection"/>
        <w:rPr>
          <w:snapToGrid w:val="0"/>
        </w:rPr>
      </w:pPr>
      <w:r>
        <w:rPr>
          <w:snapToGrid w:val="0"/>
        </w:rPr>
        <w:tab/>
        <w:t>(2)</w:t>
      </w:r>
      <w:r>
        <w:rPr>
          <w:snapToGrid w:val="0"/>
        </w:rPr>
        <w:tab/>
        <w:t>If the person or racing club by or on behalf of whom or which a race meeting is held on Anzac Day fails to furnish the return required under the provisions of subsection (1), or to pay to the Trust the net proceeds derived from the race meeting in accordance with that subsection, that person or racing club, and each member of the managing body or committee of that racing club, commits an offence and is liable to a penalty not exceeding $400.</w:t>
      </w:r>
    </w:p>
    <w:p>
      <w:pPr>
        <w:pStyle w:val="Subsection"/>
      </w:pPr>
      <w:r>
        <w:tab/>
        <w:t>(3)</w:t>
      </w:r>
      <w:r>
        <w:tab/>
        <w:t xml:space="preserve">In this section — </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Subsection"/>
        <w:rPr>
          <w:snapToGrid w:val="0"/>
        </w:rPr>
      </w:pPr>
      <w:r>
        <w:rPr>
          <w:snapToGrid w:val="0"/>
        </w:rPr>
        <w:tab/>
        <w:t>(4)</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5 amended by No. 14 of 1964 s. 3; No. 113 of 1965 s. 8(1); No. 1 of 1976 s. 2; No. 35 of 2003 s. 73(4); No. 38 of 2005 s. 15.] </w:t>
      </w:r>
    </w:p>
    <w:p>
      <w:pPr>
        <w:pStyle w:val="Heading5"/>
        <w:rPr>
          <w:snapToGrid w:val="0"/>
        </w:rPr>
      </w:pPr>
      <w:bookmarkStart w:id="18" w:name="_Toc411397704"/>
      <w:bookmarkStart w:id="19" w:name="_Toc8013410"/>
      <w:bookmarkStart w:id="20" w:name="_Toc131325011"/>
      <w:bookmarkStart w:id="21" w:name="_Toc267651646"/>
      <w:r>
        <w:rPr>
          <w:rStyle w:val="CharSectno"/>
        </w:rPr>
        <w:t>6</w:t>
      </w:r>
      <w:r>
        <w:rPr>
          <w:snapToGrid w:val="0"/>
        </w:rPr>
        <w:t>.</w:t>
      </w:r>
      <w:r>
        <w:rPr>
          <w:snapToGrid w:val="0"/>
        </w:rPr>
        <w:tab/>
        <w:t>Sports on Anzac Day</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Notwithstanding anything in any Act or in any regulation, local law or by</w:t>
      </w:r>
      <w:r>
        <w:rPr>
          <w:snapToGrid w:val="0"/>
        </w:rPr>
        <w:noBreakHyphen/>
        <w:t>law, no sports shall be held on Anzac Day in any year except in compliance with the provisions of this section.</w:t>
      </w:r>
    </w:p>
    <w:p>
      <w:pPr>
        <w:pStyle w:val="Subsection"/>
        <w:rPr>
          <w:snapToGrid w:val="0"/>
        </w:rPr>
      </w:pPr>
      <w:r>
        <w:rPr>
          <w:snapToGrid w:val="0"/>
        </w:rPr>
        <w:tab/>
        <w:t>(2)</w:t>
      </w:r>
      <w:r>
        <w:rPr>
          <w:snapToGrid w:val="0"/>
        </w:rPr>
        <w:tab/>
        <w:t>No race, match, game, exercise, pastime, contest or other event at any sports held on Anzac Day shall commence before the hour of 1 p.m.</w:t>
      </w:r>
    </w:p>
    <w:p>
      <w:pPr>
        <w:pStyle w:val="Subsection"/>
        <w:rPr>
          <w:snapToGrid w:val="0"/>
        </w:rPr>
      </w:pPr>
      <w:r>
        <w:rPr>
          <w:snapToGrid w:val="0"/>
        </w:rPr>
        <w:tab/>
        <w:t>(3)</w:t>
      </w:r>
      <w:r>
        <w:rPr>
          <w:snapToGrid w:val="0"/>
        </w:rPr>
        <w:tab/>
        <w:t>Nothing in this section shall affect the operation of any Act or law relating to Sunday, but otherwise this section shall have effect notwithstanding anything in any Act, regulation, local law or by</w:t>
      </w:r>
      <w:r>
        <w:rPr>
          <w:snapToGrid w:val="0"/>
        </w:rPr>
        <w:noBreakHyphen/>
        <w:t>law.</w:t>
      </w:r>
    </w:p>
    <w:p>
      <w:pPr>
        <w:pStyle w:val="Subsection"/>
        <w:rPr>
          <w:snapToGrid w:val="0"/>
        </w:rPr>
      </w:pPr>
      <w:r>
        <w:rPr>
          <w:snapToGrid w:val="0"/>
        </w:rPr>
        <w:tab/>
        <w:t>(4)</w:t>
      </w:r>
      <w:r>
        <w:rPr>
          <w:snapToGrid w:val="0"/>
        </w:rPr>
        <w:tab/>
        <w:t>If any sports are held on Anzac Day in any year in contravention of this section, the person, club, association or body by or on behalf of whom or which those sports were so held, and each member of the managing body or committee of that club, association or body, commits an offence and is liable to a penalty not exceeding $400.</w:t>
      </w:r>
    </w:p>
    <w:p>
      <w:pPr>
        <w:pStyle w:val="Footnotesection"/>
      </w:pPr>
      <w:r>
        <w:tab/>
        <w:t xml:space="preserve">[Section 6 amended by No. 113 of 1965 s. 8(1); No. 14 of 1996 s. 4.] </w:t>
      </w:r>
    </w:p>
    <w:p>
      <w:pPr>
        <w:pStyle w:val="Heading5"/>
        <w:rPr>
          <w:snapToGrid w:val="0"/>
        </w:rPr>
      </w:pPr>
      <w:bookmarkStart w:id="22" w:name="_Toc411397705"/>
      <w:bookmarkStart w:id="23" w:name="_Toc8013411"/>
      <w:bookmarkStart w:id="24" w:name="_Toc131325012"/>
      <w:bookmarkStart w:id="25" w:name="_Toc267651647"/>
      <w:r>
        <w:rPr>
          <w:rStyle w:val="CharSectno"/>
        </w:rPr>
        <w:t>7</w:t>
      </w:r>
      <w:r>
        <w:rPr>
          <w:snapToGrid w:val="0"/>
        </w:rPr>
        <w:t>.</w:t>
      </w:r>
      <w:r>
        <w:rPr>
          <w:snapToGrid w:val="0"/>
        </w:rPr>
        <w:tab/>
        <w:t>Proceeds of sports on Anzac Day to be paid to Trust</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person, club, association or body by or on behalf of whom or which any sports are held on Anzac Day shall within one month after the holding of the sports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of those sports, and the return shall be verified by a statutory declaration made by that person or by the secretary, treasurer or other responsible official of that club, association or body; and</w:t>
      </w:r>
    </w:p>
    <w:p>
      <w:pPr>
        <w:pStyle w:val="Indenta"/>
        <w:rPr>
          <w:snapToGrid w:val="0"/>
        </w:rPr>
      </w:pPr>
      <w:r>
        <w:rPr>
          <w:snapToGrid w:val="0"/>
        </w:rPr>
        <w:tab/>
        <w:t>(b)</w:t>
      </w:r>
      <w:r>
        <w:rPr>
          <w:snapToGrid w:val="0"/>
        </w:rPr>
        <w:tab/>
        <w:t>pay to the Trust 60% of the net proceeds derived from the holding of those sports.</w:t>
      </w:r>
    </w:p>
    <w:p>
      <w:pPr>
        <w:pStyle w:val="Subsection"/>
        <w:rPr>
          <w:snapToGrid w:val="0"/>
        </w:rPr>
      </w:pPr>
      <w:r>
        <w:rPr>
          <w:snapToGrid w:val="0"/>
        </w:rPr>
        <w:tab/>
        <w:t>(2)</w:t>
      </w:r>
      <w:r>
        <w:rPr>
          <w:snapToGrid w:val="0"/>
        </w:rPr>
        <w:tab/>
        <w:t>If the person, club, association or body by or on behalf of whom or which sports are held on Anzac Day fails to furnish the return required under subsection (1), or to pay to the Trust the net proceeds derived from the holding of those sports in accordance with that subsection, that person, club, association or body, and each member of its managing body or committee, commits an offence and is liable to a penalty not exceeding $400, but no such member is liable if it is shown that such failure occurred without his knowledge or approval.</w:t>
      </w:r>
    </w:p>
    <w:p>
      <w:pPr>
        <w:pStyle w:val="Subsection"/>
        <w:keepNext/>
        <w:rPr>
          <w:snapToGrid w:val="0"/>
        </w:rPr>
      </w:pPr>
      <w:r>
        <w:rPr>
          <w:snapToGrid w:val="0"/>
        </w:rPr>
        <w:tab/>
        <w:t>(3)</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7 amended by No. 113 of 1965 s. 8(1); No. 1 of 1976 s. 3.]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t xml:space="preserve">Deleted by No. 34 of 1985 s. 9.] </w:t>
      </w:r>
    </w:p>
    <w:p>
      <w:pPr>
        <w:pStyle w:val="Heading5"/>
        <w:rPr>
          <w:snapToGrid w:val="0"/>
        </w:rPr>
      </w:pPr>
      <w:bookmarkStart w:id="26" w:name="_Toc411397707"/>
      <w:bookmarkStart w:id="27" w:name="_Toc8013413"/>
      <w:bookmarkStart w:id="28" w:name="_Toc131325013"/>
      <w:bookmarkStart w:id="29" w:name="_Toc267651648"/>
      <w:r>
        <w:rPr>
          <w:rStyle w:val="CharSectno"/>
        </w:rPr>
        <w:t>10</w:t>
      </w:r>
      <w:r>
        <w:rPr>
          <w:snapToGrid w:val="0"/>
        </w:rPr>
        <w:t>.</w:t>
      </w:r>
      <w:r>
        <w:rPr>
          <w:snapToGrid w:val="0"/>
        </w:rPr>
        <w:tab/>
        <w:t xml:space="preserve">Establishment of Anzac Day Trust </w:t>
      </w:r>
      <w:bookmarkEnd w:id="26"/>
      <w:bookmarkEnd w:id="27"/>
      <w:bookmarkEnd w:id="28"/>
      <w:r>
        <w:rPr>
          <w:snapToGrid w:val="0"/>
        </w:rPr>
        <w:t>Account</w:t>
      </w:r>
      <w:bookmarkEnd w:id="29"/>
    </w:p>
    <w:p>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pPr>
        <w:pStyle w:val="Subsection"/>
        <w:keepNext/>
        <w:rPr>
          <w:snapToGrid w:val="0"/>
        </w:rPr>
      </w:pPr>
      <w:r>
        <w:rPr>
          <w:snapToGrid w:val="0"/>
        </w:rPr>
        <w:tab/>
        <w:t>(2)</w:t>
      </w:r>
      <w:r>
        <w:rPr>
          <w:snapToGrid w:val="0"/>
        </w:rPr>
        <w:tab/>
        <w:t>There shall be credited to the Account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w:t>
      </w:r>
    </w:p>
    <w:p>
      <w:pPr>
        <w:pStyle w:val="Indenta"/>
        <w:rPr>
          <w:snapToGrid w:val="0"/>
        </w:rPr>
      </w:pPr>
      <w:r>
        <w:rPr>
          <w:snapToGrid w:val="0"/>
        </w:rPr>
        <w:tab/>
        <w:t>(c)</w:t>
      </w:r>
      <w:r>
        <w:rPr>
          <w:snapToGrid w:val="0"/>
        </w:rPr>
        <w:tab/>
        <w:t xml:space="preserve">all moneys paid to the Trust pursuant to the provisions of section 7; </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rPr>
          <w:snapToGrid w:val="0"/>
        </w:rPr>
      </w:pPr>
      <w:r>
        <w:rPr>
          <w:snapToGrid w:val="0"/>
        </w:rPr>
        <w:tab/>
        <w:t>(3)</w:t>
      </w:r>
      <w:r>
        <w:rPr>
          <w:snapToGrid w:val="0"/>
        </w:rPr>
        <w:tab/>
        <w:t>The moneys standing to the credit of the Account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t>
      </w:r>
      <w:r>
        <w:rPr>
          <w:snapToGrid w:val="0"/>
        </w:rPr>
        <w:noBreakHyphen/>
        <w:t>servicemen and ex</w:t>
      </w:r>
      <w:r>
        <w:rPr>
          <w:snapToGrid w:val="0"/>
        </w:rPr>
        <w:noBreakHyphen/>
        <w:t xml:space="preserve">servicewomen and their maintenance in such homes and of the welfare of </w:t>
      </w:r>
      <w:r>
        <w:t>dependants of deceased ex</w:t>
      </w:r>
      <w:r>
        <w:noBreakHyphen/>
        <w:t>servicemen or deceased ex</w:t>
      </w:r>
      <w:r>
        <w:noBreakHyphen/>
        <w:t>servicewomen</w:t>
      </w:r>
      <w:r>
        <w:rPr>
          <w:snapToGrid w:val="0"/>
        </w:rPr>
        <w:t>, and among institutions, organisations and associations the object or one of the objects of which is the financial assistance and relief, or the amelioration of conditions, of persons — </w:t>
      </w:r>
    </w:p>
    <w:p>
      <w:pPr>
        <w:pStyle w:val="Indenta"/>
        <w:rPr>
          <w:snapToGrid w:val="0"/>
        </w:rPr>
      </w:pPr>
      <w:r>
        <w:rPr>
          <w:snapToGrid w:val="0"/>
        </w:rPr>
        <w:tab/>
        <w:t>(a)</w:t>
      </w:r>
      <w:r>
        <w:rPr>
          <w:snapToGrid w:val="0"/>
        </w:rPr>
        <w:tab/>
        <w:t>who were members of the naval, military or air forces of Her Majesty or of the Commonwealth; or</w:t>
      </w:r>
    </w:p>
    <w:p>
      <w:pPr>
        <w:pStyle w:val="Indenta"/>
        <w:keepNext/>
        <w:keepLines/>
        <w:rPr>
          <w:snapToGrid w:val="0"/>
        </w:rPr>
      </w:pPr>
      <w:r>
        <w:rPr>
          <w:snapToGrid w:val="0"/>
        </w:rPr>
        <w:tab/>
        <w:t>(b)</w:t>
      </w:r>
      <w:r>
        <w:rPr>
          <w:snapToGrid w:val="0"/>
        </w:rPr>
        <w:tab/>
        <w:t>now resident in the State who were members of any naval, military or air forces of any foreign power allied or associated with Her Majesty or with the Commonwealth,</w:t>
      </w:r>
    </w:p>
    <w:p>
      <w:pPr>
        <w:pStyle w:val="Subsection"/>
        <w:rPr>
          <w:snapToGrid w:val="0"/>
        </w:rPr>
      </w:pPr>
      <w:r>
        <w:rPr>
          <w:snapToGrid w:val="0"/>
        </w:rPr>
        <w:tab/>
      </w:r>
      <w:r>
        <w:rPr>
          <w:snapToGrid w:val="0"/>
        </w:rPr>
        <w:tab/>
        <w: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 xml:space="preserve">[Section 10 amended by No. 14 of 1964 s. 4; No. 2 of 1970 s. 2; No. 49 of 1996 s. 64; No. 28 of 2003 s. 13; No. 62 of 2003 s. 5; No. 28 of 2006 s. 409; No. 77 of 2006 s. 17.] </w:t>
      </w:r>
    </w:p>
    <w:p>
      <w:pPr>
        <w:pStyle w:val="Heading5"/>
        <w:rPr>
          <w:snapToGrid w:val="0"/>
        </w:rPr>
      </w:pPr>
      <w:bookmarkStart w:id="30" w:name="_Toc411397708"/>
      <w:bookmarkStart w:id="31" w:name="_Toc8013414"/>
      <w:bookmarkStart w:id="32" w:name="_Toc131325014"/>
      <w:bookmarkStart w:id="33" w:name="_Toc267651649"/>
      <w:r>
        <w:rPr>
          <w:rStyle w:val="CharSectno"/>
        </w:rPr>
        <w:t>11</w:t>
      </w:r>
      <w:r>
        <w:rPr>
          <w:snapToGrid w:val="0"/>
        </w:rPr>
        <w:t>.</w:t>
      </w:r>
      <w:r>
        <w:rPr>
          <w:snapToGrid w:val="0"/>
        </w:rPr>
        <w:tab/>
        <w:t>The Anzac Day Trust constituted</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rPr>
          <w:snapToGrid w:val="0"/>
        </w:rPr>
      </w:pPr>
      <w:r>
        <w:rPr>
          <w:snapToGrid w:val="0"/>
        </w:rPr>
        <w:tab/>
        <w:t>(2)</w:t>
      </w:r>
      <w:r>
        <w:rPr>
          <w:snapToGrid w:val="0"/>
        </w:rPr>
        <w:tab/>
        <w:t>The Trust shall consist of 4 Trustees (including the chairman) to be appointed from time to time by the Governor.</w:t>
      </w:r>
    </w:p>
    <w:p>
      <w:pPr>
        <w:pStyle w:val="Subsection"/>
        <w:rPr>
          <w:snapToGrid w:val="0"/>
        </w:rPr>
      </w:pPr>
      <w:r>
        <w:rPr>
          <w:snapToGrid w:val="0"/>
        </w:rPr>
        <w:tab/>
        <w:t>(3)</w:t>
      </w:r>
      <w:r>
        <w:rPr>
          <w:snapToGrid w:val="0"/>
        </w:rPr>
        <w:tab/>
        <w:t>Of the 4 Trustees — </w:t>
      </w:r>
    </w:p>
    <w:p>
      <w:pPr>
        <w:pStyle w:val="Indenta"/>
        <w:rPr>
          <w:snapToGrid w:val="0"/>
        </w:rPr>
      </w:pPr>
      <w:r>
        <w:rPr>
          <w:snapToGrid w:val="0"/>
        </w:rPr>
        <w:tab/>
        <w:t>(a)</w:t>
      </w:r>
      <w:r>
        <w:rPr>
          <w:snapToGrid w:val="0"/>
        </w:rPr>
        <w:tab/>
        <w:t>one shall be a person nominated by the Treasurer as the representative of the Treasury and he shall be chairman;</w:t>
      </w:r>
    </w:p>
    <w:p>
      <w:pPr>
        <w:pStyle w:val="Indenta"/>
        <w:rPr>
          <w:snapToGrid w:val="0"/>
        </w:rPr>
      </w:pPr>
      <w:r>
        <w:rPr>
          <w:snapToGrid w:val="0"/>
        </w:rPr>
        <w:tab/>
        <w:t>(b)</w:t>
      </w:r>
      <w:r>
        <w:rPr>
          <w:snapToGrid w:val="0"/>
        </w:rPr>
        <w:tab/>
        <w:t xml:space="preserve">one shall be a person nominated in accordance with the provisions of subsection (4) by the Treasurer as the representative of The </w:t>
      </w:r>
      <w:r>
        <w:t>Returned and Services</w:t>
      </w:r>
      <w:r>
        <w:rPr>
          <w:snapToGrid w:val="0"/>
        </w:rPr>
        <w:t xml:space="preserve"> League of Australia WA Branch Incorporated;</w:t>
      </w:r>
    </w:p>
    <w:p>
      <w:pPr>
        <w:pStyle w:val="Indenta"/>
        <w:rPr>
          <w:snapToGrid w:val="0"/>
        </w:rPr>
      </w:pPr>
      <w:r>
        <w:rPr>
          <w:snapToGrid w:val="0"/>
        </w:rPr>
        <w:tab/>
        <w:t>(c)</w:t>
      </w:r>
      <w:r>
        <w:rPr>
          <w:snapToGrid w:val="0"/>
        </w:rPr>
        <w:tab/>
        <w:t>one shall be a person nominated in accordance with the provisions of subsection (4) by the Treasurer as the representative of Perth Legacy Incorporated; and</w:t>
      </w:r>
    </w:p>
    <w:p>
      <w:pPr>
        <w:pStyle w:val="Indenta"/>
        <w:rPr>
          <w:snapToGrid w:val="0"/>
        </w:rPr>
      </w:pPr>
      <w:r>
        <w:rPr>
          <w:snapToGrid w:val="0"/>
        </w:rPr>
        <w:tab/>
        <w:t>(d)</w:t>
      </w:r>
      <w:r>
        <w:rPr>
          <w:snapToGrid w:val="0"/>
        </w:rPr>
        <w:tab/>
        <w:t>one shall be a person nominated in accordance with the provisions of subsection (5) by the Treasurer as the representative of those societies, bodies or associations of ex</w:t>
      </w:r>
      <w:r>
        <w:rPr>
          <w:snapToGrid w:val="0"/>
        </w:rPr>
        <w:noBreakHyphen/>
        <w:t>servicemen or ex</w:t>
      </w:r>
      <w:r>
        <w:rPr>
          <w:snapToGrid w:val="0"/>
        </w:rPr>
        <w:noBreakHyphen/>
        <w:t xml:space="preserve">servicewomen or the dependants of either, which are the holders of licences under the provisions of the </w:t>
      </w:r>
      <w:r>
        <w:rPr>
          <w:i/>
          <w:snapToGrid w:val="0"/>
        </w:rPr>
        <w:t>Charitable Collections Act 1946</w:t>
      </w:r>
      <w:r>
        <w:rPr>
          <w:snapToGrid w:val="0"/>
        </w:rPr>
        <w:t>.</w:t>
      </w:r>
    </w:p>
    <w:p>
      <w:pPr>
        <w:pStyle w:val="Subsection"/>
        <w:keepLines/>
        <w:rPr>
          <w:snapToGrid w:val="0"/>
        </w:rPr>
      </w:pPr>
      <w:r>
        <w:rPr>
          <w:snapToGrid w:val="0"/>
        </w:rPr>
        <w:tab/>
        <w:t>(4)(a)</w:t>
      </w:r>
      <w:r>
        <w:rPr>
          <w:snapToGrid w:val="0"/>
        </w:rPr>
        <w:tab/>
        <w:t>Where the Treasurer intends to nominate a Trustee mentioned in paragraph (b) or in paragraph (c) of subsection (3), he shall before making the nomination give written notice of that intention — </w:t>
      </w:r>
    </w:p>
    <w:p>
      <w:pPr>
        <w:pStyle w:val="Indenta"/>
        <w:rPr>
          <w:snapToGrid w:val="0"/>
        </w:rPr>
      </w:pPr>
      <w:r>
        <w:rPr>
          <w:snapToGrid w:val="0"/>
        </w:rPr>
        <w:tab/>
        <w:t>(i)</w:t>
      </w:r>
      <w:r>
        <w:rPr>
          <w:snapToGrid w:val="0"/>
        </w:rPr>
        <w:tab/>
        <w:t>in the case of the Trustee mentioned in that paragraph (b), to the State President of the body referred to in that paragraph; or</w:t>
      </w:r>
    </w:p>
    <w:p>
      <w:pPr>
        <w:pStyle w:val="Indenta"/>
        <w:rPr>
          <w:snapToGrid w:val="0"/>
        </w:rPr>
      </w:pPr>
      <w:r>
        <w:rPr>
          <w:snapToGrid w:val="0"/>
        </w:rPr>
        <w:tab/>
        <w:t>(ii)</w:t>
      </w:r>
      <w:r>
        <w:rPr>
          <w:snapToGrid w:val="0"/>
        </w:rPr>
        <w:tab/>
        <w:t>in the case of the Trustee mentioned in that paragraph (c), to the President of the body referred to in that paragraph.</w:t>
      </w:r>
    </w:p>
    <w:p>
      <w:pPr>
        <w:pStyle w:val="Subsection"/>
        <w:rPr>
          <w:snapToGrid w:val="0"/>
        </w:rPr>
      </w:pPr>
      <w:r>
        <w:rPr>
          <w:snapToGrid w:val="0"/>
        </w:rPr>
        <w:tab/>
        <w:t>(b)</w:t>
      </w:r>
      <w:r>
        <w:rPr>
          <w:snapToGrid w:val="0"/>
        </w:rPr>
        <w:tab/>
        <w:t>If within one month of the giving of the notice referred to in this section the State President, or, as the case may be,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t>
      </w:r>
    </w:p>
    <w:p>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panel required to be submitted under this subsection, or has received the panel but none of the persons named is eligible to hold office as a Trustee, the Treasurer shall nominate such person as he thinks fit.</w:t>
      </w:r>
    </w:p>
    <w:p>
      <w:pPr>
        <w:pStyle w:val="Subsection"/>
        <w:rPr>
          <w:snapToGrid w:val="0"/>
        </w:rPr>
      </w:pPr>
      <w:r>
        <w:rPr>
          <w:snapToGrid w:val="0"/>
        </w:rPr>
        <w:tab/>
        <w:t>(5)(a)</w:t>
      </w:r>
      <w:r>
        <w:rPr>
          <w:snapToGrid w:val="0"/>
        </w:rPr>
        <w:tab/>
        <w:t>Where the Treasurer intends to nominate a Trustee mentioned in paragraph (d) of subsection (3), he shall before making the nomination give written notice of that intention to the President of each of the bodies referred to in that paragraph.</w:t>
      </w:r>
    </w:p>
    <w:p>
      <w:pPr>
        <w:pStyle w:val="Subsection"/>
        <w:rPr>
          <w:snapToGrid w:val="0"/>
        </w:rPr>
      </w:pPr>
      <w:r>
        <w:rPr>
          <w:snapToGrid w:val="0"/>
        </w:rPr>
        <w:tab/>
        <w:t>(b)</w:t>
      </w:r>
      <w:r>
        <w:rPr>
          <w:snapToGrid w:val="0"/>
        </w:rPr>
        <w:tab/>
        <w:t>If within one month of the giving of the notice referred to in this section, 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t>
      </w:r>
    </w:p>
    <w:p>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names required to be submitted under this subsection, or has received the names but none of the persons named is eligible to hold office as a Trustee, the Treasurer shall nominate such person as he thinks fit.</w:t>
      </w:r>
    </w:p>
    <w:p>
      <w:pPr>
        <w:pStyle w:val="Subsection"/>
        <w:rPr>
          <w:snapToGrid w:val="0"/>
        </w:rPr>
      </w:pPr>
      <w:r>
        <w:rPr>
          <w:snapToGrid w:val="0"/>
        </w:rPr>
        <w:tab/>
        <w:t>(6)</w:t>
      </w:r>
      <w:r>
        <w:rPr>
          <w:snapToGrid w:val="0"/>
        </w:rPr>
        <w:tab/>
        <w:t>Any 3 Trustees shall form a quorum.</w:t>
      </w:r>
    </w:p>
    <w:p>
      <w:pPr>
        <w:pStyle w:val="Footnotesection"/>
      </w:pPr>
      <w:r>
        <w:tab/>
        <w:t xml:space="preserve">[Section 11 amended by No. 14 of 1964 s. 5; No. 62 of 2003 s. 6.] </w:t>
      </w:r>
    </w:p>
    <w:p>
      <w:pPr>
        <w:pStyle w:val="Heading5"/>
        <w:rPr>
          <w:snapToGrid w:val="0"/>
        </w:rPr>
      </w:pPr>
      <w:bookmarkStart w:id="34" w:name="_Toc411397709"/>
      <w:bookmarkStart w:id="35" w:name="_Toc8013415"/>
      <w:bookmarkStart w:id="36" w:name="_Toc131325015"/>
      <w:bookmarkStart w:id="37" w:name="_Toc267651650"/>
      <w:r>
        <w:rPr>
          <w:rStyle w:val="CharSectno"/>
        </w:rPr>
        <w:t>12</w:t>
      </w:r>
      <w:r>
        <w:rPr>
          <w:snapToGrid w:val="0"/>
        </w:rPr>
        <w:t>.</w:t>
      </w:r>
      <w:r>
        <w:rPr>
          <w:snapToGrid w:val="0"/>
        </w:rPr>
        <w:tab/>
        <w:t>Trust to be a body corporate</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rPr>
          <w:snapToGrid w:val="0"/>
        </w:rPr>
      </w:pPr>
      <w:bookmarkStart w:id="38" w:name="_Toc411397710"/>
      <w:bookmarkStart w:id="39" w:name="_Toc8013416"/>
      <w:bookmarkStart w:id="40" w:name="_Toc131325016"/>
      <w:bookmarkStart w:id="41" w:name="_Toc267651651"/>
      <w:r>
        <w:rPr>
          <w:rStyle w:val="CharSectno"/>
        </w:rPr>
        <w:t>13</w:t>
      </w:r>
      <w:r>
        <w:rPr>
          <w:snapToGrid w:val="0"/>
        </w:rPr>
        <w:t>.</w:t>
      </w:r>
      <w:r>
        <w:rPr>
          <w:snapToGrid w:val="0"/>
        </w:rPr>
        <w:tab/>
        <w:t>Eligibility of Trustees</w:t>
      </w:r>
      <w:bookmarkEnd w:id="38"/>
      <w:bookmarkEnd w:id="39"/>
      <w:bookmarkEnd w:id="40"/>
      <w:bookmarkEnd w:id="41"/>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pPr>
      <w:r>
        <w:tab/>
        <w:t>(a)</w:t>
      </w:r>
      <w:r>
        <w:tab/>
        <w:t xml:space="preserve">if the person is, or has at any time within the previous 6 years been, according to the </w:t>
      </w:r>
      <w:r>
        <w:rPr>
          <w:i/>
        </w:rPr>
        <w:t>Interpretation Act 1984</w:t>
      </w:r>
      <w:r>
        <w:t xml:space="preserve"> section 13D, a bankrupt or a person whose affairs are under insolvency laws; or</w:t>
      </w:r>
    </w:p>
    <w:p>
      <w:pPr>
        <w:pStyle w:val="Indenta"/>
      </w:pPr>
      <w:r>
        <w:tab/>
        <w:t>(b)</w:t>
      </w:r>
      <w:r>
        <w:tab/>
        <w:t xml:space="preserve">if at any time that was within the previous 6 years and was before this section was amended by the </w:t>
      </w:r>
      <w:r>
        <w:rPr>
          <w:i/>
          <w:iCs/>
          <w:snapToGrid w:val="0"/>
        </w:rPr>
        <w:t>Acts Amendment (Bankruptcy) Act 2009</w:t>
      </w:r>
      <w:r>
        <w:t xml:space="preserve"> section 10 the person was ineligible under paragraph (b) of this section as in force before the amendment; or</w:t>
      </w:r>
    </w:p>
    <w:p>
      <w:pPr>
        <w:pStyle w:val="Indenta"/>
        <w:rPr>
          <w:snapToGrid w:val="0"/>
        </w:rPr>
      </w:pPr>
      <w:r>
        <w:rPr>
          <w:snapToGrid w:val="0"/>
        </w:rPr>
        <w:tab/>
        <w:t>(c)</w:t>
      </w:r>
      <w:r>
        <w:rPr>
          <w:snapToGrid w:val="0"/>
        </w:rPr>
        <w:tab/>
        <w:t>if through mental or physical infirmity or illness he would, if appointed, be unable satisfactorily to carry out the duties of office; or</w:t>
      </w:r>
    </w:p>
    <w:p>
      <w:pPr>
        <w:pStyle w:val="Indenta"/>
        <w:rPr>
          <w:snapToGrid w:val="0"/>
        </w:rPr>
      </w:pPr>
      <w:r>
        <w:rPr>
          <w:snapToGrid w:val="0"/>
        </w:rPr>
        <w:tab/>
        <w:t>(d)</w:t>
      </w:r>
      <w:r>
        <w:rPr>
          <w:snapToGrid w:val="0"/>
        </w:rPr>
        <w:tab/>
        <w:t>if he has been convicted of an indictable offence, or other offence which in the opinion of the Governor is of so serious a nature as to render him unsuitable for appointment.</w:t>
      </w:r>
    </w:p>
    <w:p>
      <w:pPr>
        <w:pStyle w:val="Footnotesection"/>
      </w:pPr>
      <w:r>
        <w:tab/>
        <w:t>[Section 13 amended by No. 18 of 2009 s. 10(2).]</w:t>
      </w:r>
    </w:p>
    <w:p>
      <w:pPr>
        <w:pStyle w:val="Heading5"/>
        <w:rPr>
          <w:snapToGrid w:val="0"/>
        </w:rPr>
      </w:pPr>
      <w:bookmarkStart w:id="42" w:name="_Toc411397711"/>
      <w:bookmarkStart w:id="43" w:name="_Toc8013417"/>
      <w:bookmarkStart w:id="44" w:name="_Toc131325017"/>
      <w:bookmarkStart w:id="45" w:name="_Toc267651652"/>
      <w:r>
        <w:rPr>
          <w:rStyle w:val="CharSectno"/>
        </w:rPr>
        <w:t>14</w:t>
      </w:r>
      <w:r>
        <w:rPr>
          <w:snapToGrid w:val="0"/>
        </w:rPr>
        <w:t>.</w:t>
      </w:r>
      <w:r>
        <w:rPr>
          <w:snapToGrid w:val="0"/>
        </w:rPr>
        <w:tab/>
        <w:t>Tenure of offices of Trustees</w:t>
      </w:r>
      <w:bookmarkEnd w:id="42"/>
      <w:bookmarkEnd w:id="43"/>
      <w:bookmarkEnd w:id="44"/>
      <w:bookmarkEnd w:id="45"/>
      <w:r>
        <w:rPr>
          <w:snapToGrid w:val="0"/>
        </w:rPr>
        <w:t xml:space="preserve"> </w:t>
      </w:r>
    </w:p>
    <w:p>
      <w:pPr>
        <w:pStyle w:val="Subsection"/>
        <w:spacing w:before="180"/>
        <w:rPr>
          <w:snapToGrid w:val="0"/>
        </w:rPr>
      </w:pPr>
      <w:r>
        <w:rPr>
          <w:snapToGrid w:val="0"/>
        </w:rPr>
        <w:tab/>
        <w:t>(1)</w:t>
      </w:r>
      <w:r>
        <w:rPr>
          <w:snapToGrid w:val="0"/>
        </w:rPr>
        <w:tab/>
        <w:t>Subject to this Act every Trustee shall hold office for a period of 3 years from the date of his appointment, unless he dies, resigns or is removed from office, in any of which events a successor shall be appointed by the Governor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 xml:space="preserve">The Governor may at any time accept the resignation of any Trustee and may remove any Trustee from office who </w:t>
      </w:r>
      <w:r>
        <w:t>would be ineligible under section 13(a) or (b) for appointment</w:t>
      </w:r>
      <w:r>
        <w:rPr>
          <w:snapToGrid w:val="0"/>
        </w:rPr>
        <w:t xml:space="preserve"> or commits an indictable offence, or has, in the opinion of the Governor, become unfit or unsuitable to continue as a Trustee because of mental or physical infirmity or illness, or of neglect of duty as a Trustee, or of misbehaviour whether in his capacity as a Trustee or otherwise.</w:t>
      </w:r>
    </w:p>
    <w:p>
      <w:pPr>
        <w:pStyle w:val="Footnotesection"/>
      </w:pPr>
      <w:r>
        <w:tab/>
        <w:t>[Section 14 amended by No. 18 of 2009 s. 10(3).]</w:t>
      </w:r>
    </w:p>
    <w:p>
      <w:pPr>
        <w:pStyle w:val="Heading5"/>
        <w:spacing w:before="240"/>
        <w:rPr>
          <w:snapToGrid w:val="0"/>
        </w:rPr>
      </w:pPr>
      <w:bookmarkStart w:id="46" w:name="_Toc411397712"/>
      <w:bookmarkStart w:id="47" w:name="_Toc8013418"/>
      <w:bookmarkStart w:id="48" w:name="_Toc131325018"/>
      <w:bookmarkStart w:id="49" w:name="_Toc267651653"/>
      <w:r>
        <w:rPr>
          <w:rStyle w:val="CharSectno"/>
        </w:rPr>
        <w:t>14A</w:t>
      </w:r>
      <w:r>
        <w:rPr>
          <w:snapToGrid w:val="0"/>
        </w:rPr>
        <w:t>.</w:t>
      </w:r>
      <w:r>
        <w:rPr>
          <w:snapToGrid w:val="0"/>
        </w:rPr>
        <w:tab/>
        <w:t>Recovery of proceeds</w:t>
      </w:r>
      <w:bookmarkEnd w:id="46"/>
      <w:bookmarkEnd w:id="47"/>
      <w:bookmarkEnd w:id="48"/>
      <w:bookmarkEnd w:id="49"/>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by No. 14 of 1964 s. 6.] </w:t>
      </w:r>
    </w:p>
    <w:p>
      <w:pPr>
        <w:pStyle w:val="Heading5"/>
        <w:spacing w:before="240"/>
        <w:rPr>
          <w:snapToGrid w:val="0"/>
        </w:rPr>
      </w:pPr>
      <w:bookmarkStart w:id="50" w:name="_Toc411397713"/>
      <w:bookmarkStart w:id="51" w:name="_Toc8013419"/>
      <w:bookmarkStart w:id="52" w:name="_Toc131325019"/>
      <w:bookmarkStart w:id="53" w:name="_Toc267651654"/>
      <w:r>
        <w:rPr>
          <w:rStyle w:val="CharSectno"/>
        </w:rPr>
        <w:t>15</w:t>
      </w:r>
      <w:r>
        <w:rPr>
          <w:snapToGrid w:val="0"/>
        </w:rPr>
        <w:t>.</w:t>
      </w:r>
      <w:r>
        <w:rPr>
          <w:snapToGrid w:val="0"/>
        </w:rPr>
        <w:tab/>
        <w:t xml:space="preserve">Application of the </w:t>
      </w:r>
      <w:bookmarkEnd w:id="50"/>
      <w:bookmarkEnd w:id="51"/>
      <w:bookmarkEnd w:id="52"/>
      <w:r>
        <w:rPr>
          <w:i/>
        </w:rPr>
        <w:t>Financial Management Act 2006</w:t>
      </w:r>
      <w:r>
        <w:t xml:space="preserve"> and </w:t>
      </w:r>
      <w:r>
        <w:rPr>
          <w:i/>
        </w:rPr>
        <w:t>Auditor General Act 2006</w:t>
      </w:r>
      <w:bookmarkEnd w:id="53"/>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Trust shall end on 31 December.</w:t>
      </w:r>
    </w:p>
    <w:p>
      <w:pPr>
        <w:pStyle w:val="Footnotesection"/>
        <w:ind w:left="890" w:hanging="890"/>
      </w:pPr>
      <w:r>
        <w:tab/>
        <w:t xml:space="preserve">[Section 15 inserted by No. 98 of 1985 s. 3 (as amended by No. 4 of 1986 s. 3); No. 77 of 2006 s. 17.] </w:t>
      </w:r>
    </w:p>
    <w:p>
      <w:pPr>
        <w:pStyle w:val="Heading5"/>
        <w:spacing w:before="240"/>
        <w:rPr>
          <w:snapToGrid w:val="0"/>
        </w:rPr>
      </w:pPr>
      <w:bookmarkStart w:id="54" w:name="_Toc411397714"/>
      <w:bookmarkStart w:id="55" w:name="_Toc8013420"/>
      <w:bookmarkStart w:id="56" w:name="_Toc131325020"/>
      <w:bookmarkStart w:id="57" w:name="_Toc267651655"/>
      <w:r>
        <w:rPr>
          <w:rStyle w:val="CharSectno"/>
        </w:rPr>
        <w:t>16</w:t>
      </w:r>
      <w:r>
        <w:rPr>
          <w:snapToGrid w:val="0"/>
        </w:rPr>
        <w:t>.</w:t>
      </w:r>
      <w:r>
        <w:rPr>
          <w:snapToGrid w:val="0"/>
        </w:rPr>
        <w:tab/>
        <w:t>Authentication of documents</w:t>
      </w:r>
      <w:bookmarkEnd w:id="54"/>
      <w:bookmarkEnd w:id="55"/>
      <w:bookmarkEnd w:id="56"/>
      <w:bookmarkEnd w:id="57"/>
      <w:r>
        <w:rPr>
          <w:snapToGrid w:val="0"/>
        </w:rPr>
        <w:t xml:space="preserve"> </w:t>
      </w:r>
    </w:p>
    <w:p>
      <w:pPr>
        <w:pStyle w:val="Subsection"/>
        <w:spacing w:before="180"/>
        <w:rPr>
          <w:snapToGrid w:val="0"/>
        </w:rPr>
      </w:pPr>
      <w:r>
        <w:rPr>
          <w:snapToGrid w:val="0"/>
        </w:rPr>
        <w:tab/>
      </w:r>
      <w:r>
        <w:rPr>
          <w:snapToGrid w:val="0"/>
        </w:rPr>
        <w:tab/>
        <w:t>Every notice, order, summons or other document requiring authentication by the Trust shall be sufficiently authenticated without the seal of the Trust if signed by the chairman.</w:t>
      </w:r>
    </w:p>
    <w:p>
      <w:pPr>
        <w:pStyle w:val="Heading5"/>
        <w:spacing w:before="240"/>
        <w:rPr>
          <w:snapToGrid w:val="0"/>
        </w:rPr>
      </w:pPr>
      <w:bookmarkStart w:id="58" w:name="_Toc411397715"/>
      <w:bookmarkStart w:id="59" w:name="_Toc8013421"/>
      <w:bookmarkStart w:id="60" w:name="_Toc131325021"/>
      <w:bookmarkStart w:id="61" w:name="_Toc267651656"/>
      <w:r>
        <w:rPr>
          <w:rStyle w:val="CharSectno"/>
        </w:rPr>
        <w:t>17</w:t>
      </w:r>
      <w:r>
        <w:rPr>
          <w:snapToGrid w:val="0"/>
        </w:rPr>
        <w:t>.</w:t>
      </w:r>
      <w:r>
        <w:rPr>
          <w:snapToGrid w:val="0"/>
        </w:rPr>
        <w:tab/>
        <w:t>Regulations</w:t>
      </w:r>
      <w:bookmarkEnd w:id="58"/>
      <w:bookmarkEnd w:id="59"/>
      <w:bookmarkEnd w:id="60"/>
      <w:bookmarkEnd w:id="61"/>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rPr>
          <w:snapToGrid w:val="0"/>
        </w:rPr>
      </w:pPr>
      <w:r>
        <w:rPr>
          <w:snapToGrid w:val="0"/>
        </w:rPr>
        <w:tab/>
        <w:t>(2)</w:t>
      </w:r>
      <w:r>
        <w:rPr>
          <w:snapToGrid w:val="0"/>
        </w:rPr>
        <w:tab/>
        <w:t>Such regulations may prescribe a penalty not exceeding $100 for the breach or omission of any duty imposed by those regulations.</w:t>
      </w:r>
    </w:p>
    <w:p>
      <w:pPr>
        <w:pStyle w:val="Footnotesection"/>
      </w:pPr>
      <w:r>
        <w:tab/>
        <w:t xml:space="preserve">[Section 17 amended by No. 113 of 1965 s. 8(1); No. 2 of 1970 s. 3.] </w:t>
      </w:r>
    </w:p>
    <w:p>
      <w:pPr>
        <w:pStyle w:val="yEdnoteschedule"/>
        <w:spacing w:before="480"/>
      </w:pPr>
      <w:r>
        <w:t>[The Schedule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2" w:name="_Toc122430298"/>
      <w:bookmarkStart w:id="63" w:name="_Toc122948757"/>
      <w:bookmarkStart w:id="64" w:name="_Toc131325022"/>
      <w:bookmarkStart w:id="65" w:name="_Toc139346779"/>
      <w:bookmarkStart w:id="66" w:name="_Toc139346804"/>
      <w:bookmarkStart w:id="67" w:name="_Toc139700561"/>
      <w:bookmarkStart w:id="68" w:name="_Toc142727857"/>
      <w:bookmarkStart w:id="69" w:name="_Toc142728019"/>
      <w:bookmarkStart w:id="70" w:name="_Toc143061019"/>
      <w:bookmarkStart w:id="71" w:name="_Toc145319086"/>
      <w:bookmarkStart w:id="72" w:name="_Toc157833408"/>
      <w:bookmarkStart w:id="73" w:name="_Toc241047453"/>
      <w:bookmarkStart w:id="74" w:name="_Toc267651657"/>
      <w:r>
        <w:t>Notes</w:t>
      </w:r>
      <w:bookmarkEnd w:id="62"/>
      <w:bookmarkEnd w:id="63"/>
      <w:bookmarkEnd w:id="64"/>
      <w:bookmarkEnd w:id="65"/>
      <w:bookmarkEnd w:id="66"/>
      <w:bookmarkEnd w:id="67"/>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Anzac Day Act 1960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5" w:name="_Toc267651658"/>
      <w:r>
        <w:rPr>
          <w:snapToGrid w:val="0"/>
        </w:rPr>
        <w:t>Compilation table</w:t>
      </w:r>
      <w:bookmarkEnd w:id="7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Anzac Day Act 1960</w:t>
            </w:r>
          </w:p>
        </w:tc>
        <w:tc>
          <w:tcPr>
            <w:tcW w:w="1134" w:type="dxa"/>
            <w:tcBorders>
              <w:top w:val="single" w:sz="8" w:space="0" w:color="auto"/>
            </w:tcBorders>
          </w:tcPr>
          <w:p>
            <w:pPr>
              <w:pStyle w:val="nTable"/>
              <w:spacing w:after="40"/>
              <w:rPr>
                <w:sz w:val="19"/>
              </w:rPr>
            </w:pPr>
            <w:r>
              <w:rPr>
                <w:sz w:val="19"/>
              </w:rPr>
              <w:t>73 of 1960 (9 Eliz. II No. 73)</w:t>
            </w:r>
          </w:p>
        </w:tc>
        <w:tc>
          <w:tcPr>
            <w:tcW w:w="1134" w:type="dxa"/>
            <w:tcBorders>
              <w:top w:val="single" w:sz="8" w:space="0" w:color="auto"/>
            </w:tcBorders>
          </w:tcPr>
          <w:p>
            <w:pPr>
              <w:pStyle w:val="nTable"/>
              <w:spacing w:after="40"/>
              <w:rPr>
                <w:sz w:val="19"/>
              </w:rPr>
            </w:pPr>
            <w:r>
              <w:rPr>
                <w:sz w:val="19"/>
              </w:rPr>
              <w:t>12 Dec 1960</w:t>
            </w:r>
          </w:p>
        </w:tc>
        <w:tc>
          <w:tcPr>
            <w:tcW w:w="2552" w:type="dxa"/>
            <w:tcBorders>
              <w:top w:val="single" w:sz="8" w:space="0" w:color="auto"/>
            </w:tcBorders>
          </w:tcPr>
          <w:p>
            <w:pPr>
              <w:pStyle w:val="nTable"/>
              <w:spacing w:after="40"/>
              <w:rPr>
                <w:sz w:val="19"/>
              </w:rPr>
            </w:pPr>
            <w:r>
              <w:rPr>
                <w:sz w:val="19"/>
              </w:rPr>
              <w:t>12 Dec 1960</w:t>
            </w:r>
          </w:p>
        </w:tc>
      </w:tr>
      <w:tr>
        <w:trPr>
          <w:cantSplit/>
        </w:trPr>
        <w:tc>
          <w:tcPr>
            <w:tcW w:w="2269" w:type="dxa"/>
          </w:tcPr>
          <w:p>
            <w:pPr>
              <w:pStyle w:val="nTable"/>
              <w:spacing w:after="40"/>
              <w:ind w:right="113"/>
              <w:rPr>
                <w:sz w:val="19"/>
              </w:rPr>
            </w:pPr>
            <w:r>
              <w:rPr>
                <w:i/>
                <w:sz w:val="19"/>
              </w:rPr>
              <w:t>Anzac Day Act Amendment Act 1964</w:t>
            </w:r>
          </w:p>
        </w:tc>
        <w:tc>
          <w:tcPr>
            <w:tcW w:w="1134" w:type="dxa"/>
          </w:tcPr>
          <w:p>
            <w:pPr>
              <w:pStyle w:val="nTable"/>
              <w:spacing w:after="40"/>
              <w:rPr>
                <w:sz w:val="19"/>
              </w:rPr>
            </w:pPr>
            <w:r>
              <w:rPr>
                <w:sz w:val="19"/>
              </w:rPr>
              <w:t>14 of 1964 (13 Eliz. II No. 14)</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9"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9" w:type="dxa"/>
          </w:tcPr>
          <w:p>
            <w:pPr>
              <w:pStyle w:val="nTable"/>
              <w:spacing w:after="40"/>
              <w:ind w:right="113"/>
              <w:rPr>
                <w:sz w:val="19"/>
              </w:rPr>
            </w:pPr>
            <w:r>
              <w:rPr>
                <w:i/>
                <w:sz w:val="19"/>
              </w:rPr>
              <w:t>Anzac Day Act Amendment Act 1970</w:t>
            </w:r>
          </w:p>
        </w:tc>
        <w:tc>
          <w:tcPr>
            <w:tcW w:w="1134" w:type="dxa"/>
          </w:tcPr>
          <w:p>
            <w:pPr>
              <w:pStyle w:val="nTable"/>
              <w:spacing w:after="40"/>
              <w:rPr>
                <w:sz w:val="19"/>
              </w:rPr>
            </w:pPr>
            <w:r>
              <w:rPr>
                <w:sz w:val="19"/>
              </w:rPr>
              <w:t>2 of 1970</w:t>
            </w:r>
          </w:p>
        </w:tc>
        <w:tc>
          <w:tcPr>
            <w:tcW w:w="1134" w:type="dxa"/>
          </w:tcPr>
          <w:p>
            <w:pPr>
              <w:pStyle w:val="nTable"/>
              <w:spacing w:after="40"/>
              <w:rPr>
                <w:sz w:val="19"/>
              </w:rPr>
            </w:pPr>
            <w:r>
              <w:rPr>
                <w:sz w:val="19"/>
              </w:rPr>
              <w:t>29 Apr 1970</w:t>
            </w:r>
          </w:p>
        </w:tc>
        <w:tc>
          <w:tcPr>
            <w:tcW w:w="2552" w:type="dxa"/>
          </w:tcPr>
          <w:p>
            <w:pPr>
              <w:pStyle w:val="nTable"/>
              <w:spacing w:after="40"/>
              <w:rPr>
                <w:sz w:val="19"/>
              </w:rPr>
            </w:pPr>
            <w:r>
              <w:rPr>
                <w:sz w:val="19"/>
              </w:rPr>
              <w:t>29 Apr 1970</w:t>
            </w:r>
          </w:p>
        </w:tc>
      </w:tr>
      <w:tr>
        <w:trPr>
          <w:cantSplit/>
        </w:trPr>
        <w:tc>
          <w:tcPr>
            <w:tcW w:w="7089" w:type="dxa"/>
            <w:gridSpan w:val="4"/>
          </w:tcPr>
          <w:p>
            <w:pPr>
              <w:pStyle w:val="nTable"/>
              <w:spacing w:after="40"/>
              <w:rPr>
                <w:sz w:val="19"/>
              </w:rPr>
            </w:pPr>
            <w:r>
              <w:rPr>
                <w:b/>
                <w:sz w:val="19"/>
              </w:rPr>
              <w:t xml:space="preserve">Reprint of the </w:t>
            </w:r>
            <w:r>
              <w:rPr>
                <w:b/>
                <w:i/>
                <w:sz w:val="19"/>
              </w:rPr>
              <w:t>Anzac Day Act 1960</w:t>
            </w:r>
            <w:r>
              <w:rPr>
                <w:b/>
                <w:sz w:val="19"/>
              </w:rPr>
              <w:t xml:space="preserve"> approved 21 May 1970 (not in a Volume)</w:t>
            </w:r>
            <w:r>
              <w:rPr>
                <w:b/>
                <w:sz w:val="19"/>
              </w:rPr>
              <w:br/>
            </w:r>
            <w:r>
              <w:rPr>
                <w:sz w:val="19"/>
              </w:rPr>
              <w:t>(includes amendments listed above)</w:t>
            </w:r>
          </w:p>
        </w:tc>
      </w:tr>
      <w:tr>
        <w:trPr>
          <w:cantSplit/>
        </w:trPr>
        <w:tc>
          <w:tcPr>
            <w:tcW w:w="2269" w:type="dxa"/>
          </w:tcPr>
          <w:p>
            <w:pPr>
              <w:pStyle w:val="nTable"/>
              <w:spacing w:after="40"/>
              <w:ind w:right="113"/>
              <w:rPr>
                <w:sz w:val="19"/>
              </w:rPr>
            </w:pPr>
            <w:r>
              <w:rPr>
                <w:i/>
                <w:sz w:val="19"/>
              </w:rPr>
              <w:t>Anzac Day Act Amendment Act 1975</w:t>
            </w:r>
          </w:p>
        </w:tc>
        <w:tc>
          <w:tcPr>
            <w:tcW w:w="1134" w:type="dxa"/>
          </w:tcPr>
          <w:p>
            <w:pPr>
              <w:pStyle w:val="nTable"/>
              <w:spacing w:after="40"/>
              <w:rPr>
                <w:sz w:val="19"/>
              </w:rPr>
            </w:pPr>
            <w:r>
              <w:rPr>
                <w:sz w:val="19"/>
              </w:rPr>
              <w:t>9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cantSplit/>
        </w:trPr>
        <w:tc>
          <w:tcPr>
            <w:tcW w:w="2269" w:type="dxa"/>
          </w:tcPr>
          <w:p>
            <w:pPr>
              <w:pStyle w:val="nTable"/>
              <w:spacing w:after="40"/>
              <w:ind w:right="113"/>
              <w:rPr>
                <w:sz w:val="19"/>
              </w:rPr>
            </w:pPr>
            <w:r>
              <w:rPr>
                <w:i/>
                <w:sz w:val="19"/>
              </w:rPr>
              <w:t>Anzac Day Act Amendment Act 1976</w:t>
            </w:r>
          </w:p>
        </w:tc>
        <w:tc>
          <w:tcPr>
            <w:tcW w:w="1134" w:type="dxa"/>
          </w:tcPr>
          <w:p>
            <w:pPr>
              <w:pStyle w:val="nTable"/>
              <w:spacing w:after="40"/>
              <w:rPr>
                <w:sz w:val="19"/>
              </w:rPr>
            </w:pPr>
            <w:r>
              <w:rPr>
                <w:sz w:val="19"/>
              </w:rPr>
              <w:t>1 of 1976</w:t>
            </w:r>
          </w:p>
        </w:tc>
        <w:tc>
          <w:tcPr>
            <w:tcW w:w="1134" w:type="dxa"/>
          </w:tcPr>
          <w:p>
            <w:pPr>
              <w:pStyle w:val="nTable"/>
              <w:spacing w:after="40"/>
              <w:rPr>
                <w:sz w:val="19"/>
              </w:rPr>
            </w:pPr>
            <w:r>
              <w:rPr>
                <w:sz w:val="19"/>
              </w:rPr>
              <w:t>12 Apr 1976</w:t>
            </w:r>
          </w:p>
        </w:tc>
        <w:tc>
          <w:tcPr>
            <w:tcW w:w="2552" w:type="dxa"/>
          </w:tcPr>
          <w:p>
            <w:pPr>
              <w:pStyle w:val="nTable"/>
              <w:spacing w:after="40"/>
              <w:rPr>
                <w:sz w:val="19"/>
              </w:rPr>
            </w:pPr>
            <w:r>
              <w:rPr>
                <w:sz w:val="19"/>
              </w:rPr>
              <w:t>12 Apr 1976</w:t>
            </w:r>
          </w:p>
        </w:tc>
      </w:tr>
      <w:tr>
        <w:trPr>
          <w:cantSplit/>
        </w:trPr>
        <w:tc>
          <w:tcPr>
            <w:tcW w:w="2269" w:type="dxa"/>
          </w:tcPr>
          <w:p>
            <w:pPr>
              <w:pStyle w:val="nTable"/>
              <w:spacing w:after="40"/>
              <w:ind w:right="113"/>
              <w:rPr>
                <w:sz w:val="19"/>
              </w:rPr>
            </w:pPr>
            <w:r>
              <w:rPr>
                <w:i/>
                <w:sz w:val="19"/>
              </w:rPr>
              <w:t>Acts Amendment (Betting Control) Act 1985</w:t>
            </w:r>
            <w:r>
              <w:rPr>
                <w:sz w:val="19"/>
              </w:rPr>
              <w:t xml:space="preserve"> Pt. III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r>
              <w:rPr>
                <w:sz w:val="19"/>
              </w:rPr>
              <w:br/>
              <w:t>(as amended by No. 4 of 1986 s. 3)</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 </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9" w:type="dxa"/>
            <w:gridSpan w:val="4"/>
          </w:tcPr>
          <w:p>
            <w:pPr>
              <w:pStyle w:val="nTable"/>
              <w:spacing w:after="40"/>
              <w:rPr>
                <w:sz w:val="19"/>
              </w:rPr>
            </w:pPr>
            <w:r>
              <w:rPr>
                <w:b/>
                <w:sz w:val="19"/>
              </w:rPr>
              <w:t xml:space="preserve">Reprint of the </w:t>
            </w:r>
            <w:r>
              <w:rPr>
                <w:b/>
                <w:i/>
                <w:sz w:val="19"/>
              </w:rPr>
              <w:t>Anzac Day Act 1960</w:t>
            </w:r>
            <w:r>
              <w:rPr>
                <w:b/>
                <w:sz w:val="19"/>
              </w:rPr>
              <w:t xml:space="preserve"> as at 24 May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Acts Amendment (Equality of Status) Act 2003</w:t>
            </w:r>
            <w:r>
              <w:rPr>
                <w:sz w:val="19"/>
              </w:rPr>
              <w:t xml:space="preserve"> Pt. 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9" w:type="dxa"/>
          </w:tcPr>
          <w:p>
            <w:pPr>
              <w:pStyle w:val="nTable"/>
              <w:spacing w:after="40"/>
              <w:ind w:right="113"/>
              <w:rPr>
                <w:i/>
                <w:sz w:val="19"/>
              </w:rPr>
            </w:pPr>
            <w:r>
              <w:rPr>
                <w:i/>
                <w:sz w:val="19"/>
              </w:rPr>
              <w:t>Racing and Gambling Legislation Amendment and Repeal Act 2003</w:t>
            </w:r>
            <w:r>
              <w:rPr>
                <w:sz w:val="19"/>
              </w:rPr>
              <w:t xml:space="preserve"> s. 73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9" w:type="dxa"/>
          </w:tcPr>
          <w:p>
            <w:pPr>
              <w:pStyle w:val="nTable"/>
              <w:spacing w:after="40"/>
              <w:ind w:right="113"/>
              <w:rPr>
                <w:i/>
                <w:sz w:val="19"/>
              </w:rPr>
            </w:pPr>
            <w:r>
              <w:rPr>
                <w:i/>
                <w:sz w:val="19"/>
              </w:rPr>
              <w:t>Anzac Day Amendment Act 2003</w:t>
            </w:r>
          </w:p>
        </w:tc>
        <w:tc>
          <w:tcPr>
            <w:tcW w:w="1134" w:type="dxa"/>
          </w:tcPr>
          <w:p>
            <w:pPr>
              <w:pStyle w:val="nTable"/>
              <w:spacing w:after="40"/>
              <w:rPr>
                <w:sz w:val="19"/>
              </w:rPr>
            </w:pPr>
            <w:r>
              <w:rPr>
                <w:sz w:val="19"/>
              </w:rPr>
              <w:t>62 of 2003</w:t>
            </w:r>
          </w:p>
        </w:tc>
        <w:tc>
          <w:tcPr>
            <w:tcW w:w="1134" w:type="dxa"/>
          </w:tcPr>
          <w:p>
            <w:pPr>
              <w:pStyle w:val="nTable"/>
              <w:spacing w:after="40"/>
              <w:rPr>
                <w:sz w:val="19"/>
              </w:rPr>
            </w:pPr>
            <w:r>
              <w:rPr>
                <w:sz w:val="19"/>
              </w:rPr>
              <w:t>26 Nov 2003</w:t>
            </w:r>
          </w:p>
        </w:tc>
        <w:tc>
          <w:tcPr>
            <w:tcW w:w="2552" w:type="dxa"/>
          </w:tcPr>
          <w:p>
            <w:pPr>
              <w:pStyle w:val="nTable"/>
              <w:spacing w:after="40"/>
              <w:rPr>
                <w:sz w:val="19"/>
              </w:rPr>
            </w:pPr>
            <w:r>
              <w:rPr>
                <w:sz w:val="19"/>
              </w:rPr>
              <w:t>26 Nov 2003 (see s. 2)</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17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9" w:type="dxa"/>
            <w:gridSpan w:val="4"/>
          </w:tcPr>
          <w:p>
            <w:pPr>
              <w:pStyle w:val="nTable"/>
              <w:spacing w:after="40"/>
              <w:rPr>
                <w:sz w:val="19"/>
              </w:rPr>
            </w:pPr>
            <w:r>
              <w:rPr>
                <w:b/>
                <w:sz w:val="19"/>
              </w:rPr>
              <w:t xml:space="preserve">Reprint 3:  The </w:t>
            </w:r>
            <w:r>
              <w:rPr>
                <w:b/>
                <w:i/>
                <w:sz w:val="19"/>
              </w:rPr>
              <w:t>Anzac Day Act 1960</w:t>
            </w:r>
            <w:r>
              <w:rPr>
                <w:b/>
                <w:sz w:val="19"/>
              </w:rPr>
              <w:t xml:space="preserve"> as at 15 Sep 2006</w:t>
            </w:r>
            <w:r>
              <w:rPr>
                <w:sz w:val="19"/>
              </w:rPr>
              <w:t xml:space="preserve"> (includes amendments listed above)</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 w:name="_Toc7405065"/>
      <w:bookmarkStart w:id="77" w:name="_Toc267651659"/>
      <w:r>
        <w:t>Provisions that have not come into operation</w:t>
      </w:r>
      <w:bookmarkEnd w:id="76"/>
      <w:bookmarkEnd w:id="7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78" w:name="_Toc233107854"/>
      <w:bookmarkStart w:id="79" w:name="_Toc255473747"/>
      <w:bookmarkStart w:id="80" w:name="_Toc265583802"/>
      <w:r>
        <w:rPr>
          <w:rStyle w:val="CharSectno"/>
        </w:rPr>
        <w:t>51</w:t>
      </w:r>
      <w:r>
        <w:t>.</w:t>
      </w:r>
      <w:r>
        <w:tab/>
        <w:t>Various written laws amended</w:t>
      </w:r>
      <w:bookmarkEnd w:id="78"/>
      <w:bookmarkEnd w:id="79"/>
      <w:bookmarkEnd w:id="80"/>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
                <w:iCs/>
              </w:rPr>
            </w:pPr>
            <w:r>
              <w:rPr>
                <w:b/>
                <w:bCs/>
              </w:rPr>
              <w:t>6.</w:t>
            </w:r>
            <w:r>
              <w:rPr>
                <w:b/>
                <w:bCs/>
              </w:rPr>
              <w:tab/>
            </w:r>
            <w:r>
              <w:rPr>
                <w:b/>
                <w:bCs/>
                <w:i/>
                <w:snapToGrid w:val="0"/>
              </w:rPr>
              <w:t>Anzac Day Act 1960</w:t>
            </w:r>
          </w:p>
        </w:tc>
      </w:tr>
      <w:tr>
        <w:trPr>
          <w:jc w:val="center"/>
        </w:trPr>
        <w:tc>
          <w:tcPr>
            <w:tcW w:w="1702" w:type="dxa"/>
          </w:tcPr>
          <w:p>
            <w:pPr>
              <w:pStyle w:val="TableAm"/>
            </w:pPr>
            <w:r>
              <w:t>s. 11(3)(b) and (c)</w:t>
            </w:r>
          </w:p>
        </w:tc>
        <w:tc>
          <w:tcPr>
            <w:tcW w:w="2551" w:type="dxa"/>
          </w:tcPr>
          <w:p>
            <w:pPr>
              <w:pStyle w:val="TableAm"/>
            </w:pPr>
            <w:r>
              <w:t>subsection (4)</w:t>
            </w:r>
          </w:p>
        </w:tc>
        <w:tc>
          <w:tcPr>
            <w:tcW w:w="2551" w:type="dxa"/>
          </w:tcPr>
          <w:p>
            <w:pPr>
              <w:pStyle w:val="TableAm"/>
            </w:pPr>
            <w:r>
              <w:t>subsections (4A) to (4C)</w:t>
            </w:r>
          </w:p>
        </w:tc>
      </w:tr>
      <w:tr>
        <w:trPr>
          <w:jc w:val="center"/>
        </w:trPr>
        <w:tc>
          <w:tcPr>
            <w:tcW w:w="1702" w:type="dxa"/>
          </w:tcPr>
          <w:p>
            <w:pPr>
              <w:pStyle w:val="TableAm"/>
            </w:pPr>
            <w:r>
              <w:t>s. 11(3)(d)</w:t>
            </w:r>
          </w:p>
        </w:tc>
        <w:tc>
          <w:tcPr>
            <w:tcW w:w="2551" w:type="dxa"/>
          </w:tcPr>
          <w:p>
            <w:pPr>
              <w:pStyle w:val="TableAm"/>
            </w:pPr>
            <w:r>
              <w:t>subsection (5)</w:t>
            </w:r>
          </w:p>
        </w:tc>
        <w:tc>
          <w:tcPr>
            <w:tcW w:w="2551" w:type="dxa"/>
          </w:tcPr>
          <w:p>
            <w:pPr>
              <w:pStyle w:val="TableAm"/>
            </w:pPr>
            <w:r>
              <w:t>subsections (5A) to (5C)</w:t>
            </w:r>
          </w:p>
        </w:tc>
      </w:tr>
      <w:tr>
        <w:trPr>
          <w:jc w:val="center"/>
        </w:trPr>
        <w:tc>
          <w:tcPr>
            <w:tcW w:w="1702" w:type="dxa"/>
          </w:tcPr>
          <w:p>
            <w:pPr>
              <w:pStyle w:val="TableAm"/>
            </w:pPr>
            <w:r>
              <w:t>s. 11(4)</w:t>
            </w:r>
          </w:p>
        </w:tc>
        <w:tc>
          <w:tcPr>
            <w:tcW w:w="2551" w:type="dxa"/>
          </w:tcPr>
          <w:p>
            <w:pPr>
              <w:pStyle w:val="TableAm"/>
              <w:tabs>
                <w:tab w:val="left" w:pos="567"/>
              </w:tabs>
              <w:rPr>
                <w:snapToGrid w:val="0"/>
              </w:rPr>
            </w:pPr>
            <w:r>
              <w:rPr>
                <w:snapToGrid w:val="0"/>
              </w:rPr>
              <w:t>(4)(a)</w:t>
            </w:r>
            <w:r>
              <w:rPr>
                <w:snapToGrid w:val="0"/>
              </w:rPr>
              <w:tab/>
              <w:t>Where</w:t>
            </w:r>
          </w:p>
          <w:p>
            <w:pPr>
              <w:pStyle w:val="TableAm"/>
              <w:tabs>
                <w:tab w:val="left" w:pos="567"/>
              </w:tabs>
              <w:rPr>
                <w:snapToGrid w:val="0"/>
              </w:rPr>
            </w:pPr>
            <w:r>
              <w:rPr>
                <w:snapToGrid w:val="0"/>
              </w:rPr>
              <w:t>(i)</w:t>
            </w:r>
            <w:r>
              <w:rPr>
                <w:snapToGrid w:val="0"/>
              </w:rPr>
              <w:tab/>
              <w:t>in the</w:t>
            </w:r>
          </w:p>
          <w:p>
            <w:pPr>
              <w:pStyle w:val="TableAm"/>
              <w:tabs>
                <w:tab w:val="left" w:pos="567"/>
              </w:tabs>
              <w:rPr>
                <w:snapToGrid w:val="0"/>
              </w:rPr>
            </w:pPr>
            <w:r>
              <w:rPr>
                <w:snapToGrid w:val="0"/>
              </w:rPr>
              <w:t>(ii)</w:t>
            </w:r>
            <w:r>
              <w:rPr>
                <w:snapToGrid w:val="0"/>
              </w:rPr>
              <w:tab/>
              <w:t>in the</w:t>
            </w:r>
          </w:p>
          <w:p>
            <w:pPr>
              <w:pStyle w:val="TableAm"/>
              <w:tabs>
                <w:tab w:val="left" w:pos="567"/>
              </w:tabs>
              <w:rPr>
                <w:snapToGrid w:val="0"/>
              </w:rPr>
            </w:pPr>
            <w:r>
              <w:rPr>
                <w:snapToGrid w:val="0"/>
              </w:rPr>
              <w:t>(b)</w:t>
            </w:r>
            <w:r>
              <w:rPr>
                <w:snapToGrid w:val="0"/>
              </w:rPr>
              <w:tab/>
              <w:t>If within</w:t>
            </w:r>
          </w:p>
          <w:p>
            <w:pPr>
              <w:pStyle w:val="TableAm"/>
              <w:tabs>
                <w:tab w:val="left" w:pos="567"/>
              </w:tabs>
              <w:rPr>
                <w:snapToGrid w:val="0"/>
              </w:rPr>
            </w:pPr>
            <w:r>
              <w:rPr>
                <w:snapToGrid w:val="0"/>
              </w:rPr>
              <w:t>in this section</w:t>
            </w:r>
          </w:p>
          <w:p>
            <w:pPr>
              <w:pStyle w:val="TableAm"/>
              <w:tabs>
                <w:tab w:val="left" w:pos="567"/>
              </w:tabs>
              <w:rPr>
                <w:snapToGrid w:val="0"/>
              </w:rPr>
            </w:pPr>
            <w:r>
              <w:rPr>
                <w:snapToGrid w:val="0"/>
              </w:rPr>
              <w:t>(c)</w:t>
            </w:r>
            <w:r>
              <w:rPr>
                <w:snapToGrid w:val="0"/>
              </w:rPr>
              <w:tab/>
              <w:t>If at</w:t>
            </w:r>
          </w:p>
          <w:p>
            <w:pPr>
              <w:pStyle w:val="TableAm"/>
              <w:tabs>
                <w:tab w:val="left" w:pos="567"/>
              </w:tabs>
              <w:rPr>
                <w:snapToGrid w:val="0"/>
              </w:rPr>
            </w:pPr>
            <w:r>
              <w:rPr>
                <w:snapToGrid w:val="0"/>
              </w:rPr>
              <w:t>one month,</w:t>
            </w:r>
            <w:r>
              <w:rPr>
                <w:snapToGrid w:val="0"/>
              </w:rPr>
              <w:br/>
            </w:r>
          </w:p>
          <w:p>
            <w:pPr>
              <w:pStyle w:val="TableAm"/>
              <w:tabs>
                <w:tab w:val="left" w:pos="567"/>
              </w:tabs>
            </w:pPr>
            <w:r>
              <w:rPr>
                <w:snapToGrid w:val="0"/>
              </w:rPr>
              <w:t>this subsection,</w:t>
            </w:r>
          </w:p>
        </w:tc>
        <w:tc>
          <w:tcPr>
            <w:tcW w:w="2551" w:type="dxa"/>
          </w:tcPr>
          <w:p>
            <w:pPr>
              <w:pStyle w:val="TableAm"/>
              <w:rPr>
                <w:snapToGrid w:val="0"/>
              </w:rPr>
            </w:pPr>
            <w:r>
              <w:rPr>
                <w:snapToGrid w:val="0"/>
              </w:rPr>
              <w:t>(4A)</w:t>
            </w:r>
            <w:r>
              <w:rPr>
                <w:snapToGrid w:val="0"/>
              </w:rPr>
              <w:tab/>
              <w:t>Where</w:t>
            </w:r>
          </w:p>
          <w:p>
            <w:pPr>
              <w:pStyle w:val="TableAm"/>
              <w:rPr>
                <w:snapToGrid w:val="0"/>
              </w:rPr>
            </w:pPr>
            <w:r>
              <w:rPr>
                <w:snapToGrid w:val="0"/>
              </w:rPr>
              <w:t>(a)</w:t>
            </w:r>
            <w:r>
              <w:rPr>
                <w:snapToGrid w:val="0"/>
              </w:rPr>
              <w:tab/>
              <w:t>in the</w:t>
            </w:r>
          </w:p>
          <w:p>
            <w:pPr>
              <w:pStyle w:val="TableAm"/>
              <w:rPr>
                <w:snapToGrid w:val="0"/>
              </w:rPr>
            </w:pPr>
            <w:r>
              <w:rPr>
                <w:snapToGrid w:val="0"/>
              </w:rPr>
              <w:t>(b)</w:t>
            </w:r>
            <w:r>
              <w:rPr>
                <w:snapToGrid w:val="0"/>
              </w:rPr>
              <w:tab/>
              <w:t>in the</w:t>
            </w:r>
          </w:p>
          <w:p>
            <w:pPr>
              <w:pStyle w:val="TableAm"/>
              <w:rPr>
                <w:snapToGrid w:val="0"/>
              </w:rPr>
            </w:pPr>
            <w:r>
              <w:rPr>
                <w:snapToGrid w:val="0"/>
              </w:rPr>
              <w:t>(4B)</w:t>
            </w:r>
            <w:r>
              <w:rPr>
                <w:snapToGrid w:val="0"/>
              </w:rPr>
              <w:tab/>
              <w:t>If within</w:t>
            </w:r>
          </w:p>
          <w:p>
            <w:pPr>
              <w:pStyle w:val="TableAm"/>
            </w:pPr>
            <w:r>
              <w:t>in subsection (4A)</w:t>
            </w:r>
          </w:p>
          <w:p>
            <w:pPr>
              <w:pStyle w:val="TableAm"/>
              <w:rPr>
                <w:snapToGrid w:val="0"/>
              </w:rPr>
            </w:pPr>
            <w:r>
              <w:rPr>
                <w:snapToGrid w:val="0"/>
              </w:rPr>
              <w:t>(4C)</w:t>
            </w:r>
            <w:r>
              <w:rPr>
                <w:snapToGrid w:val="0"/>
              </w:rPr>
              <w:tab/>
              <w:t>If at</w:t>
            </w:r>
          </w:p>
          <w:p>
            <w:pPr>
              <w:pStyle w:val="TableAm"/>
            </w:pPr>
            <w:r>
              <w:t>one month referred to in subsection (4B),</w:t>
            </w:r>
          </w:p>
          <w:p>
            <w:pPr>
              <w:pStyle w:val="TableAm"/>
            </w:pPr>
            <w:r>
              <w:t>subsection (4B),</w:t>
            </w:r>
          </w:p>
        </w:tc>
      </w:tr>
      <w:tr>
        <w:trPr>
          <w:jc w:val="center"/>
        </w:trPr>
        <w:tc>
          <w:tcPr>
            <w:tcW w:w="1702" w:type="dxa"/>
          </w:tcPr>
          <w:p>
            <w:pPr>
              <w:pStyle w:val="TableAm"/>
            </w:pPr>
            <w:r>
              <w:t>s. 11(5)</w:t>
            </w:r>
          </w:p>
        </w:tc>
        <w:tc>
          <w:tcPr>
            <w:tcW w:w="2551" w:type="dxa"/>
          </w:tcPr>
          <w:p>
            <w:pPr>
              <w:pStyle w:val="TableAm"/>
              <w:rPr>
                <w:snapToGrid w:val="0"/>
              </w:rPr>
            </w:pPr>
            <w:r>
              <w:rPr>
                <w:snapToGrid w:val="0"/>
              </w:rPr>
              <w:t>(5)(a)</w:t>
            </w:r>
            <w:r>
              <w:rPr>
                <w:snapToGrid w:val="0"/>
              </w:rPr>
              <w:tab/>
              <w:t>Where</w:t>
            </w:r>
          </w:p>
          <w:p>
            <w:pPr>
              <w:pStyle w:val="TableAm"/>
              <w:rPr>
                <w:snapToGrid w:val="0"/>
              </w:rPr>
            </w:pPr>
            <w:r>
              <w:rPr>
                <w:snapToGrid w:val="0"/>
              </w:rPr>
              <w:t>(b)</w:t>
            </w:r>
            <w:r>
              <w:rPr>
                <w:snapToGrid w:val="0"/>
              </w:rPr>
              <w:tab/>
              <w:t>If within</w:t>
            </w:r>
          </w:p>
          <w:p>
            <w:pPr>
              <w:pStyle w:val="TableAm"/>
              <w:rPr>
                <w:snapToGrid w:val="0"/>
              </w:rPr>
            </w:pPr>
            <w:r>
              <w:rPr>
                <w:snapToGrid w:val="0"/>
              </w:rPr>
              <w:t>in this section,</w:t>
            </w:r>
          </w:p>
          <w:p>
            <w:pPr>
              <w:pStyle w:val="TableAm"/>
              <w:rPr>
                <w:snapToGrid w:val="0"/>
              </w:rPr>
            </w:pPr>
            <w:r>
              <w:rPr>
                <w:snapToGrid w:val="0"/>
              </w:rPr>
              <w:t>(c)</w:t>
            </w:r>
            <w:r>
              <w:rPr>
                <w:snapToGrid w:val="0"/>
              </w:rPr>
              <w:tab/>
              <w:t>If at</w:t>
            </w:r>
          </w:p>
          <w:p>
            <w:pPr>
              <w:pStyle w:val="TableAm"/>
              <w:rPr>
                <w:snapToGrid w:val="0"/>
              </w:rPr>
            </w:pPr>
            <w:r>
              <w:rPr>
                <w:snapToGrid w:val="0"/>
              </w:rPr>
              <w:t>one month,</w:t>
            </w:r>
            <w:r>
              <w:rPr>
                <w:snapToGrid w:val="0"/>
              </w:rPr>
              <w:br/>
            </w:r>
          </w:p>
          <w:p>
            <w:pPr>
              <w:pStyle w:val="TableAm"/>
            </w:pPr>
            <w:r>
              <w:rPr>
                <w:snapToGrid w:val="0"/>
              </w:rPr>
              <w:t>this subsection,</w:t>
            </w:r>
          </w:p>
        </w:tc>
        <w:tc>
          <w:tcPr>
            <w:tcW w:w="2551" w:type="dxa"/>
          </w:tcPr>
          <w:p>
            <w:pPr>
              <w:pStyle w:val="TableAm"/>
              <w:rPr>
                <w:snapToGrid w:val="0"/>
              </w:rPr>
            </w:pPr>
            <w:r>
              <w:rPr>
                <w:snapToGrid w:val="0"/>
              </w:rPr>
              <w:t>(5A)</w:t>
            </w:r>
            <w:r>
              <w:rPr>
                <w:snapToGrid w:val="0"/>
              </w:rPr>
              <w:tab/>
              <w:t>Where</w:t>
            </w:r>
          </w:p>
          <w:p>
            <w:pPr>
              <w:pStyle w:val="TableAm"/>
              <w:rPr>
                <w:snapToGrid w:val="0"/>
              </w:rPr>
            </w:pPr>
            <w:r>
              <w:rPr>
                <w:snapToGrid w:val="0"/>
              </w:rPr>
              <w:t>(5B)</w:t>
            </w:r>
            <w:r>
              <w:rPr>
                <w:snapToGrid w:val="0"/>
              </w:rPr>
              <w:tab/>
              <w:t>If within</w:t>
            </w:r>
          </w:p>
          <w:p>
            <w:pPr>
              <w:pStyle w:val="TableAm"/>
            </w:pPr>
            <w:r>
              <w:t>in subsection (5A),</w:t>
            </w:r>
          </w:p>
          <w:p>
            <w:pPr>
              <w:pStyle w:val="TableAm"/>
              <w:rPr>
                <w:snapToGrid w:val="0"/>
              </w:rPr>
            </w:pPr>
            <w:r>
              <w:rPr>
                <w:snapToGrid w:val="0"/>
              </w:rPr>
              <w:t>(5C)</w:t>
            </w:r>
            <w:r>
              <w:rPr>
                <w:snapToGrid w:val="0"/>
              </w:rPr>
              <w:tab/>
              <w:t>If at</w:t>
            </w:r>
          </w:p>
          <w:p>
            <w:pPr>
              <w:pStyle w:val="TableAm"/>
              <w:rPr>
                <w:snapToGrid w:val="0"/>
              </w:rPr>
            </w:pPr>
            <w:r>
              <w:rPr>
                <w:snapToGrid w:val="0"/>
              </w:rPr>
              <w:t xml:space="preserve">one month </w:t>
            </w:r>
            <w:r>
              <w:t>referred to in subsection (5A)</w:t>
            </w:r>
            <w:r>
              <w:rPr>
                <w:snapToGrid w:val="0"/>
              </w:rPr>
              <w:t>,</w:t>
            </w:r>
          </w:p>
          <w:p>
            <w:pPr>
              <w:pStyle w:val="TableAm"/>
            </w:pPr>
            <w:r>
              <w:t>subsection (5B),</w:t>
            </w: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Anzac Day Act 1960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Anzac Day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Anzac Day Act 1960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Anzac Day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Anzac Day Act 1960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Anzac Day Act 1960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516"/>
    <w:docVar w:name="WAFER_20151204144516" w:val="RemoveTrackChanges"/>
    <w:docVar w:name="WAFER_20151204144516_GUID" w:val="52c2b210-8bdf-4852-872b-0548eceec4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4245</Words>
  <Characters>18852</Characters>
  <Application>Microsoft Office Word</Application>
  <DocSecurity>0</DocSecurity>
  <Lines>589</Lines>
  <Paragraphs>334</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22763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1960 - 03-d0-02</dc:title>
  <dc:subject/>
  <dc:creator/>
  <cp:keywords/>
  <dc:description/>
  <cp:lastModifiedBy>svcMRProcess</cp:lastModifiedBy>
  <cp:revision>4</cp:revision>
  <cp:lastPrinted>2006-09-06T07:23:00Z</cp:lastPrinted>
  <dcterms:created xsi:type="dcterms:W3CDTF">2015-12-04T16:47:00Z</dcterms:created>
  <dcterms:modified xsi:type="dcterms:W3CDTF">2015-12-04T16:47:00Z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49</vt:i4>
  </property>
  <property fmtid="{D5CDD505-2E9C-101B-9397-08002B2CF9AE}" pid="6" name="AsAtDate">
    <vt:lpwstr>28 Jun 2010</vt:lpwstr>
  </property>
  <property fmtid="{D5CDD505-2E9C-101B-9397-08002B2CF9AE}" pid="7" name="Suffix">
    <vt:lpwstr>03-d0-02</vt:lpwstr>
  </property>
</Properties>
</file>