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Collie Coal (Griffin) Agreement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Collie Coal (Griffin) Agreement Act 1979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_Toc267913459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_Toc267913460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_Toc267913461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_Toc267913464 \h </w:instrText>
      </w:r>
      <w:r>
        <w:fldChar w:fldCharType="separate"/>
      </w:r>
      <w:r>
        <w:t>35</w:t>
      </w:r>
      <w:r>
        <w:fldChar w:fldCharType="end"/>
      </w:r>
    </w:p>
    <w:p>
      <w:pPr>
        <w:pStyle w:val="TOC8"/>
        <w:rPr>
          <w:sz w:val="24"/>
          <w:szCs w:val="24"/>
        </w:rPr>
      </w:pPr>
      <w:r>
        <w:rPr>
          <w:szCs w:val="24"/>
        </w:rPr>
        <w:t>Provisions that have not come into operation</w:t>
      </w:r>
      <w:r>
        <w:tab/>
      </w:r>
      <w:r>
        <w:fldChar w:fldCharType="begin"/>
      </w:r>
      <w:r>
        <w:instrText xml:space="preserve"> PAGEREF _Toc267913465 \h </w:instrText>
      </w:r>
      <w:r>
        <w:fldChar w:fldCharType="separate"/>
      </w:r>
      <w:r>
        <w:t>35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1" w:name="_Toc409840816"/>
      <w:bookmarkStart w:id="2" w:name="_Toc25728722"/>
      <w:bookmarkStart w:id="3" w:name="_Toc26791345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rPr>
          <w:snapToGrid w:val="0"/>
        </w:rPr>
      </w:pPr>
      <w:bookmarkStart w:id="4" w:name="_Toc409840817"/>
      <w:bookmarkStart w:id="5" w:name="_Toc25728723"/>
      <w:bookmarkStart w:id="6" w:name="_Toc26791346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that agreement as altered from time to time in accordance with its provisions.</w:t>
      </w:r>
    </w:p>
    <w:p>
      <w:pPr>
        <w:pStyle w:val="Heading5"/>
        <w:rPr>
          <w:snapToGrid w:val="0"/>
        </w:rPr>
      </w:pPr>
      <w:bookmarkStart w:id="7" w:name="_Toc409840818"/>
      <w:bookmarkStart w:id="8" w:name="_Toc25728724"/>
      <w:bookmarkStart w:id="9" w:name="_Toc267913461"/>
      <w:r>
        <w:rPr>
          <w:rStyle w:val="CharSectno"/>
        </w:rPr>
        <w:t>3</w:t>
      </w:r>
      <w:r>
        <w:rPr>
          <w:snapToGrid w:val="0"/>
        </w:rPr>
        <w:t>.</w:t>
      </w:r>
      <w:r>
        <w:rPr>
          <w:snapToGrid w:val="0"/>
        </w:rPr>
        <w:tab/>
        <w:t>Ratification of the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 w:name="_Toc25728725"/>
      <w:bookmarkStart w:id="11" w:name="_Toc267913462"/>
      <w:r>
        <w:rPr>
          <w:rStyle w:val="CharSchNo"/>
        </w:rPr>
        <w:t>Schedule</w:t>
      </w:r>
      <w:bookmarkEnd w:id="10"/>
      <w:bookmarkEnd w:id="11"/>
    </w:p>
    <w:p>
      <w:pPr>
        <w:pStyle w:val="yShoulderClause"/>
        <w:rPr>
          <w:snapToGrid w:val="0"/>
        </w:rPr>
      </w:pPr>
      <w:r>
        <w:rPr>
          <w:snapToGrid w:val="0"/>
        </w:rPr>
        <w:t>[S. 2]</w:t>
      </w:r>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2</w:t>
      </w:r>
    </w:p>
    <w:p>
      <w:pPr>
        <w:pStyle w:val="yMiscellaneousBody"/>
        <w:tabs>
          <w:tab w:val="left" w:pos="567"/>
        </w:tabs>
      </w:pPr>
      <w:r>
        <w:t>1.</w:t>
      </w:r>
      <w:r>
        <w:tab/>
        <w:t>In this Agreement subject to the context —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“Company’s Coal Mining Leases” means such of the coal mining leases referred to in Schedule “A” hereof together with such of the coal mining leases granted to the Company pursuant to Clause 21 as the Company holds from time to time during the currency of this Agreement;</w:t>
      </w:r>
    </w:p>
    <w:p>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2</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2</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2</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2</w:t>
      </w:r>
    </w:p>
    <w:p>
      <w:pPr>
        <w:pStyle w:val="yMiscellaneousBody"/>
      </w:pPr>
      <w:r>
        <w:t>7.</w:t>
      </w:r>
      <w:r>
        <w:tab/>
        <w:t>(1)</w:t>
      </w:r>
      <w:r>
        <w:tab/>
        <w:t>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t xml:space="preserve">Order of proposals </w:t>
      </w:r>
      <w:r>
        <w:rPr>
          <w:b/>
          <w:vertAlign w:val="superscript"/>
        </w:rPr>
        <w:t>2</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2</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2</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2</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2</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rPr>
          <w:b/>
        </w:rPr>
      </w:pPr>
      <w:r>
        <w:rPr>
          <w:b/>
        </w:rPr>
        <w:t xml:space="preserve">Minister’s decision subject to arbitration </w:t>
      </w:r>
      <w:r>
        <w:rPr>
          <w:b/>
          <w:vertAlign w:val="superscript"/>
        </w:rPr>
        <w:t>2</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2</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2</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2</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2</w:t>
      </w:r>
    </w:p>
    <w:p>
      <w:pPr>
        <w:pStyle w:val="yMiscellaneousBody"/>
      </w:pPr>
      <w:r>
        <w:t xml:space="preserve">9. </w:t>
      </w:r>
      <w:r>
        <w:tab/>
        <w:t>(1)</w:t>
      </w:r>
      <w:r>
        <w:tab/>
        <w:t>The Company shall submit to the Minister detailed proposals for the exploration and development of the coal resource contained in the 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2</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2</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rPr>
          <w:b/>
        </w:rPr>
      </w:pPr>
      <w:r>
        <w:rPr>
          <w:b/>
        </w:rPr>
        <w:t xml:space="preserve">Reports </w:t>
      </w:r>
      <w:r>
        <w:rPr>
          <w:b/>
          <w:vertAlign w:val="superscript"/>
        </w:rPr>
        <w:t>2</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2</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2</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2</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2</w:t>
      </w:r>
    </w:p>
    <w:p>
      <w:pPr>
        <w:pStyle w:val="yMiscellaneousBody"/>
      </w:pPr>
      <w:r>
        <w:t>14.</w:t>
      </w:r>
      <w:r>
        <w:tab/>
        <w:t>During the currency of this Agreement the Company shall from the commencement of year 1 and thereafter at 5 yearly intervals furnish to the 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2</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2</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t xml:space="preserve">Spillage of coal </w:t>
      </w:r>
      <w:r>
        <w:rPr>
          <w:b/>
          <w:vertAlign w:val="superscript"/>
        </w:rPr>
        <w:t>2</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2</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2</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2</w:t>
      </w:r>
    </w:p>
    <w:p>
      <w:pPr>
        <w:pStyle w:val="yMiscellaneousBody"/>
        <w:rPr>
          <w:b/>
        </w:rPr>
      </w:pPr>
      <w:r>
        <w:rPr>
          <w:b/>
        </w:rPr>
        <w:t xml:space="preserve">Loading facilities </w:t>
      </w:r>
      <w:r>
        <w:rPr>
          <w:b/>
          <w:vertAlign w:val="superscript"/>
        </w:rPr>
        <w:t>2</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2</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2</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t xml:space="preserve">Mining </w:t>
      </w:r>
      <w:r>
        <w:rPr>
          <w:b/>
          <w:vertAlign w:val="superscript"/>
        </w:rPr>
        <w:t>2</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2</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2</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2</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rPr>
          <w:b/>
        </w:rPr>
      </w:pPr>
      <w:r>
        <w:rPr>
          <w:b/>
        </w:rPr>
        <w:t xml:space="preserve">Non-interference with Muja power station water supply and transmission lines </w:t>
      </w:r>
      <w:r>
        <w:rPr>
          <w:b/>
          <w:vertAlign w:val="superscript"/>
        </w:rPr>
        <w:t>2</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2</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2</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rPr>
          <w:b/>
        </w:rPr>
      </w:pPr>
      <w:r>
        <w:rPr>
          <w:b/>
        </w:rPr>
        <w:t xml:space="preserve">Forests </w:t>
      </w:r>
      <w:r>
        <w:rPr>
          <w:b/>
          <w:vertAlign w:val="superscript"/>
        </w:rPr>
        <w:t>2</w:t>
      </w:r>
    </w:p>
    <w:p>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2</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2</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t xml:space="preserve">Term of coal mining leases granted under this Clause </w:t>
      </w:r>
      <w:r>
        <w:rPr>
          <w:b/>
          <w:vertAlign w:val="superscript"/>
        </w:rPr>
        <w:t>2</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2</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2</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2</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2</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2</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2</w:t>
      </w:r>
    </w:p>
    <w:p>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2</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2</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2</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t xml:space="preserve">Leases, licences, permits and easements </w:t>
      </w:r>
      <w:r>
        <w:rPr>
          <w:b/>
          <w:vertAlign w:val="superscript"/>
        </w:rPr>
        <w:t>2</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2</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2</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t xml:space="preserve">Agreements with other parties </w:t>
      </w:r>
      <w:r>
        <w:rPr>
          <w:b/>
          <w:vertAlign w:val="superscript"/>
        </w:rPr>
        <w:t>2</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2</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2</w:t>
      </w:r>
    </w:p>
    <w:p>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2</w:t>
      </w:r>
    </w:p>
    <w:p>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2</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2</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2</w:t>
      </w:r>
    </w:p>
    <w:p>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2</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2</w:t>
      </w:r>
    </w:p>
    <w:p>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2</w:t>
      </w:r>
    </w:p>
    <w:p>
      <w:pPr>
        <w:pStyle w:val="yMiscellaneousBody"/>
      </w:pPr>
      <w:r>
        <w:t>32.</w:t>
      </w:r>
      <w:r>
        <w:tab/>
        <w:t>(1)</w:t>
      </w:r>
      <w:r>
        <w:tab/>
        <w:t>Subject to the provisions of this Clause the Company may at any time — </w:t>
      </w:r>
    </w:p>
    <w:p>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2</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2</w:t>
      </w:r>
    </w:p>
    <w:p>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2</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2</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2</w:t>
      </w:r>
    </w:p>
    <w:p>
      <w:pPr>
        <w:pStyle w:val="yMiscellaneousBody"/>
      </w:pPr>
      <w:r>
        <w:t>37.</w:t>
      </w:r>
      <w:r>
        <w:tab/>
        <w:t>(1)</w:t>
      </w:r>
      <w:r>
        <w:tab/>
        <w:t>Upon the cessation or determination of this Agreement — </w:t>
      </w:r>
    </w:p>
    <w:p>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t xml:space="preserve">Environmental protection </w:t>
      </w:r>
      <w:r>
        <w:rPr>
          <w:b/>
          <w:vertAlign w:val="superscript"/>
        </w:rPr>
        <w:t>2</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2</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2</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t xml:space="preserve">Stamp duty exemption </w:t>
      </w:r>
      <w:r>
        <w:rPr>
          <w:b/>
          <w:vertAlign w:val="superscript"/>
        </w:rPr>
        <w:t>2</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2</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2</w:t>
      </w:r>
    </w:p>
    <w:p>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2</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2</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rPr>
          <w:b/>
        </w:rPr>
      </w:pPr>
      <w:r>
        <w:rPr>
          <w:b/>
        </w:rPr>
        <w:t xml:space="preserve">State Energy Commission contract </w:t>
      </w:r>
      <w:r>
        <w:rPr>
          <w:b/>
          <w:vertAlign w:val="superscript"/>
        </w:rPr>
        <w:t>2</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2</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2</w:t>
      </w:r>
    </w:p>
    <w:p>
      <w:pPr>
        <w:pStyle w:val="yMiscellaneousBody"/>
      </w:pPr>
      <w:r>
        <w:t>48.</w:t>
      </w:r>
      <w:r>
        <w:tab/>
        <w:t>This Agreement shall be interpreted according to the law for the time being in force in the said State.</w:t>
      </w:r>
    </w:p>
    <w:p>
      <w:pPr>
        <w:pStyle w:val="yMiscellaneousBody"/>
        <w:jc w:val="center"/>
      </w:pPr>
      <w:r>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pPr>
            <w:r>
              <w:t>THE COMMON SEAL of THE GRIFFIN COAL MINING COMPANY LIMITED was hereunto affixed by authority of the Board of Directors, and in the presence of:</w:t>
            </w:r>
          </w:p>
        </w:tc>
        <w:tc>
          <w:tcPr>
            <w:tcW w:w="709"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268" w:type="dxa"/>
          </w:tcPr>
          <w:p>
            <w:pPr>
              <w:pStyle w:val="yMiscellaneousBody"/>
            </w:pPr>
          </w:p>
          <w:p>
            <w:pPr>
              <w:pStyle w:val="yMiscellaneousBody"/>
            </w:pPr>
            <w:r>
              <w:t>(C.S.)</w:t>
            </w:r>
          </w:p>
        </w:tc>
      </w:tr>
    </w:tbl>
    <w:p>
      <w:pPr>
        <w:pStyle w:val="yMiscellaneousBody"/>
      </w:pPr>
      <w:r>
        <w:t>Director.  STOWE.</w:t>
      </w:r>
    </w:p>
    <w:p>
      <w:pPr>
        <w:pStyle w:val="yMiscellaneousBody"/>
      </w:pPr>
      <w:r>
        <w:t>Secretary.  D. JESSUP.</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 w:name="_Toc267913463"/>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Collie Coal (Griffin) Agreement Act 1979</w:t>
      </w:r>
      <w:r>
        <w:rPr>
          <w:snapToGrid w:val="0"/>
        </w:rPr>
        <w:t xml:space="preserve"> and includes the amendments made by the other written laws referred to in the following table.  The table also contains information about any reprint.</w:t>
      </w:r>
    </w:p>
    <w:p>
      <w:pPr>
        <w:pStyle w:val="nHeading3"/>
        <w:outlineLvl w:val="9"/>
        <w:rPr>
          <w:snapToGrid w:val="0"/>
        </w:rPr>
      </w:pPr>
      <w:bookmarkStart w:id="13" w:name="_Toc25728726"/>
      <w:bookmarkStart w:id="14" w:name="_Toc267913464"/>
      <w:r>
        <w:rPr>
          <w:snapToGrid w:val="0"/>
        </w:rPr>
        <w:t>Compilation table</w:t>
      </w:r>
      <w:bookmarkEnd w:id="13"/>
      <w:bookmarkEnd w:id="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before="80"/>
              <w:rPr>
                <w:sz w:val="19"/>
              </w:rPr>
            </w:pPr>
            <w:r>
              <w:rPr>
                <w:i/>
                <w:sz w:val="19"/>
              </w:rPr>
              <w:t>Collie Coal (Griffin) Agreement Act 1979</w:t>
            </w:r>
          </w:p>
        </w:tc>
        <w:tc>
          <w:tcPr>
            <w:tcW w:w="1134" w:type="dxa"/>
            <w:tcBorders>
              <w:top w:val="nil"/>
              <w:bottom w:val="nil"/>
            </w:tcBorders>
          </w:tcPr>
          <w:p>
            <w:pPr>
              <w:pStyle w:val="nTable"/>
              <w:spacing w:before="80"/>
              <w:rPr>
                <w:sz w:val="19"/>
              </w:rPr>
            </w:pPr>
            <w:r>
              <w:rPr>
                <w:sz w:val="19"/>
              </w:rPr>
              <w:t>82 of 1979</w:t>
            </w:r>
          </w:p>
        </w:tc>
        <w:tc>
          <w:tcPr>
            <w:tcW w:w="1134" w:type="dxa"/>
            <w:tcBorders>
              <w:top w:val="nil"/>
              <w:bottom w:val="nil"/>
            </w:tcBorders>
          </w:tcPr>
          <w:p>
            <w:pPr>
              <w:pStyle w:val="nTable"/>
              <w:spacing w:before="80"/>
              <w:rPr>
                <w:sz w:val="19"/>
              </w:rPr>
            </w:pPr>
            <w:r>
              <w:rPr>
                <w:sz w:val="19"/>
              </w:rPr>
              <w:t>11 Dec 1979</w:t>
            </w:r>
          </w:p>
        </w:tc>
        <w:tc>
          <w:tcPr>
            <w:tcW w:w="2551" w:type="dxa"/>
            <w:tcBorders>
              <w:top w:val="nil"/>
              <w:bottom w:val="nil"/>
            </w:tcBorders>
          </w:tcPr>
          <w:p>
            <w:pPr>
              <w:pStyle w:val="nTable"/>
              <w:spacing w:before="80"/>
              <w:rPr>
                <w:sz w:val="19"/>
              </w:rPr>
            </w:pPr>
            <w:r>
              <w:rPr>
                <w:sz w:val="19"/>
              </w:rPr>
              <w:t>11 Dec 1979</w:t>
            </w:r>
          </w:p>
        </w:tc>
      </w:tr>
      <w:tr>
        <w:trPr>
          <w:cantSplit/>
        </w:trPr>
        <w:tc>
          <w:tcPr>
            <w:tcW w:w="7087" w:type="dxa"/>
            <w:gridSpan w:val="4"/>
            <w:tcBorders>
              <w:top w:val="nil"/>
            </w:tcBorders>
          </w:tcPr>
          <w:p>
            <w:pPr>
              <w:pStyle w:val="nTable"/>
              <w:spacing w:before="80"/>
              <w:rPr>
                <w:b/>
                <w:sz w:val="19"/>
              </w:rPr>
            </w:pPr>
            <w:r>
              <w:rPr>
                <w:b/>
                <w:sz w:val="19"/>
              </w:rPr>
              <w:t xml:space="preserve">Reprint of the </w:t>
            </w:r>
            <w:r>
              <w:rPr>
                <w:b/>
                <w:i/>
                <w:sz w:val="19"/>
              </w:rPr>
              <w:t>Collie Coal (Griffin) Agreement Act 1979</w:t>
            </w:r>
            <w:r>
              <w:rPr>
                <w:b/>
                <w:sz w:val="19"/>
              </w:rPr>
              <w:t xml:space="preserve"> as at 8 Nov 2002</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 w:name="_Toc7405065"/>
      <w:bookmarkStart w:id="16" w:name="_Toc267913465"/>
      <w:r>
        <w:t>Provisions that have not come into operation</w:t>
      </w:r>
      <w:bookmarkEnd w:id="15"/>
      <w:bookmarkEnd w:id="1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7" w:name="_Toc233107675"/>
      <w:bookmarkStart w:id="18" w:name="_Toc255473698"/>
      <w:bookmarkStart w:id="19" w:name="_Toc265583753"/>
      <w:r>
        <w:rPr>
          <w:rStyle w:val="CharSectno"/>
          <w:rFonts w:eastAsia="MS Mincho"/>
        </w:rPr>
        <w:t>4</w:t>
      </w:r>
      <w:r>
        <w:rPr>
          <w:rFonts w:eastAsia="MS Mincho"/>
        </w:rPr>
        <w:t>.</w:t>
      </w:r>
      <w:r>
        <w:rPr>
          <w:rFonts w:eastAsia="MS Mincho"/>
        </w:rPr>
        <w:tab/>
        <w:t>Schedule headings reformatted</w:t>
      </w:r>
      <w:bookmarkEnd w:id="17"/>
      <w:bookmarkEnd w:id="18"/>
      <w:bookmarkEnd w:id="1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Collie Coal (Griffin) Agreement Act 1979</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Collie Coal (Griffin)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Collie Coal (Griffin) Agreement Act 1979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Collie Coal (Griffin) Agreement Act 1979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 Coal (Griffin) Agreement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 Coal (Griffin) Agreement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E410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42C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D68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0E96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04C4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E33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68AC8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60C3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EC7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B9A0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E084C2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84C06E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subs">
    <w:name w:val="nsubs"/>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subs">
    <w:name w:val="nsubs"/>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12474</Words>
  <Characters>60998</Characters>
  <Application>Microsoft Office Word</Application>
  <DocSecurity>0</DocSecurity>
  <Lines>1244</Lines>
  <Paragraphs>459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1979 - 01-b0-01</dc:title>
  <dc:subject/>
  <dc:creator/>
  <cp:keywords/>
  <dc:description/>
  <cp:lastModifiedBy>svcMRProcess</cp:lastModifiedBy>
  <cp:revision>4</cp:revision>
  <cp:lastPrinted>2002-11-06T08:08:00Z</cp:lastPrinted>
  <dcterms:created xsi:type="dcterms:W3CDTF">2020-02-14T03:58:00Z</dcterms:created>
  <dcterms:modified xsi:type="dcterms:W3CDTF">2020-02-14T03:58:00Z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