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Construction Industry Portable Paid Long Service Leave Act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Construction Industry Portable Paid Long Service Leave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_Toc267647257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_Toc267647258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_Toc267647259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_Toc267647260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Construction Industry Long Service Leave Payments Board established</w:t>
      </w:r>
      <w:r>
        <w:tab/>
      </w:r>
      <w:r>
        <w:fldChar w:fldCharType="begin"/>
      </w:r>
      <w:r>
        <w:instrText xml:space="preserve"> PAGEREF _Toc267647262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Membership of Board</w:t>
      </w:r>
      <w:r>
        <w:tab/>
      </w:r>
      <w:r>
        <w:fldChar w:fldCharType="begin"/>
      </w:r>
      <w:r>
        <w:instrText xml:space="preserve"> PAGEREF _Toc267647263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_Toc267647264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Vacation of office</w:t>
      </w:r>
      <w:r>
        <w:tab/>
      </w:r>
      <w:r>
        <w:fldChar w:fldCharType="begin"/>
      </w:r>
      <w:r>
        <w:instrText xml:space="preserve"> PAGEREF _Toc267647265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Fees and allowances</w:t>
      </w:r>
      <w:r>
        <w:tab/>
      </w:r>
      <w:r>
        <w:fldChar w:fldCharType="begin"/>
      </w:r>
      <w:r>
        <w:instrText xml:space="preserve"> PAGEREF _Toc267647266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Meetings of Board and disclosure of interest</w:t>
      </w:r>
      <w:r>
        <w:tab/>
      </w:r>
      <w:r>
        <w:fldChar w:fldCharType="begin"/>
      </w:r>
      <w:r>
        <w:instrText xml:space="preserve"> PAGEREF _Toc267647267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Minister may require Board to give information</w:t>
      </w:r>
      <w:r>
        <w:tab/>
      </w:r>
      <w:r>
        <w:fldChar w:fldCharType="begin"/>
      </w:r>
      <w:r>
        <w:instrText xml:space="preserve"> PAGEREF _Toc267647268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Indemnity</w:t>
      </w:r>
      <w:r>
        <w:tab/>
      </w:r>
      <w:r>
        <w:fldChar w:fldCharType="begin"/>
      </w:r>
      <w:r>
        <w:instrText xml:space="preserve"> PAGEREF _Toc267647269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Staff</w:t>
      </w:r>
      <w:r>
        <w:tab/>
      </w:r>
      <w:r>
        <w:fldChar w:fldCharType="begin"/>
      </w:r>
      <w:r>
        <w:instrText xml:space="preserve"> PAGEREF _Toc267647270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Functions of Board</w:t>
      </w:r>
      <w:r>
        <w:tab/>
      </w:r>
      <w:r>
        <w:fldChar w:fldCharType="begin"/>
      </w:r>
      <w:r>
        <w:instrText xml:space="preserve"> PAGEREF _Toc267647271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Funds of Board</w:t>
      </w:r>
      <w:r>
        <w:tab/>
      </w:r>
      <w:r>
        <w:fldChar w:fldCharType="begin"/>
      </w:r>
      <w:r>
        <w:instrText xml:space="preserve"> PAGEREF _Toc267647272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Power to borrow and guarantee</w:t>
      </w:r>
      <w:r>
        <w:tab/>
      </w:r>
      <w:r>
        <w:fldChar w:fldCharType="begin"/>
      </w:r>
      <w:r>
        <w:instrText xml:space="preserve"> PAGEREF _Toc267647273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Notification of certain contracts to be given to Minister</w:t>
      </w:r>
      <w:r>
        <w:tab/>
      </w:r>
      <w:r>
        <w:fldChar w:fldCharType="begin"/>
      </w:r>
      <w:r>
        <w:instrText xml:space="preserve"> PAGEREF _Toc267647274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_Toc267647275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Investigations by actuary</w:t>
      </w:r>
      <w:r>
        <w:tab/>
      </w:r>
      <w:r>
        <w:fldChar w:fldCharType="begin"/>
      </w:r>
      <w:r>
        <w:instrText xml:space="preserve"> PAGEREF _Toc267647276 \h </w:instrText>
      </w:r>
      <w:r>
        <w:fldChar w:fldCharType="separate"/>
      </w:r>
      <w:r>
        <w:t>14</w:t>
      </w:r>
      <w:r>
        <w:fldChar w:fldCharType="end"/>
      </w:r>
    </w:p>
    <w:p>
      <w:pPr>
        <w:pStyle w:val="TOC2"/>
        <w:tabs>
          <w:tab w:val="right" w:leader="dot" w:pos="7086"/>
        </w:tabs>
        <w:rPr>
          <w:b w:val="0"/>
          <w:sz w:val="24"/>
          <w:szCs w:val="24"/>
        </w:rPr>
      </w:pPr>
      <w:r>
        <w:rPr>
          <w:szCs w:val="30"/>
        </w:rPr>
        <w:t>Part III — Entitlement to long service leave and pay</w:t>
      </w:r>
    </w:p>
    <w:p>
      <w:pPr>
        <w:pStyle w:val="TOC8"/>
        <w:rPr>
          <w:sz w:val="24"/>
          <w:szCs w:val="24"/>
        </w:rPr>
      </w:pPr>
      <w:r>
        <w:rPr>
          <w:szCs w:val="24"/>
        </w:rPr>
        <w:t>21</w:t>
      </w:r>
      <w:r>
        <w:rPr>
          <w:snapToGrid w:val="0"/>
          <w:szCs w:val="24"/>
        </w:rPr>
        <w:t>.</w:t>
      </w:r>
      <w:r>
        <w:rPr>
          <w:snapToGrid w:val="0"/>
          <w:szCs w:val="24"/>
        </w:rPr>
        <w:tab/>
        <w:t>Entitlement to paid long service leave and pay</w:t>
      </w:r>
      <w:r>
        <w:tab/>
      </w:r>
      <w:r>
        <w:fldChar w:fldCharType="begin"/>
      </w:r>
      <w:r>
        <w:instrText xml:space="preserve"> PAGEREF _Toc267647278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Lump sum payments</w:t>
      </w:r>
      <w:r>
        <w:tab/>
      </w:r>
      <w:r>
        <w:fldChar w:fldCharType="begin"/>
      </w:r>
      <w:r>
        <w:instrText xml:space="preserve"> PAGEREF _Toc267647279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Cessation of continuous service entitlement</w:t>
      </w:r>
      <w:r>
        <w:tab/>
      </w:r>
      <w:r>
        <w:fldChar w:fldCharType="begin"/>
      </w:r>
      <w:r>
        <w:instrText xml:space="preserve"> PAGEREF _Toc267647280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Taking of leave</w:t>
      </w:r>
      <w:r>
        <w:tab/>
      </w:r>
      <w:r>
        <w:fldChar w:fldCharType="begin"/>
      </w:r>
      <w:r>
        <w:instrText xml:space="preserve"> PAGEREF _Toc267647281 \h </w:instrText>
      </w:r>
      <w:r>
        <w:fldChar w:fldCharType="separate"/>
      </w:r>
      <w:r>
        <w:t>18</w:t>
      </w:r>
      <w:r>
        <w:fldChar w:fldCharType="end"/>
      </w:r>
    </w:p>
    <w:p>
      <w:pPr>
        <w:pStyle w:val="TOC8"/>
        <w:rPr>
          <w:sz w:val="24"/>
          <w:szCs w:val="24"/>
        </w:rPr>
      </w:pPr>
      <w:r>
        <w:rPr>
          <w:szCs w:val="24"/>
        </w:rPr>
        <w:t>24A</w:t>
      </w:r>
      <w:r>
        <w:rPr>
          <w:snapToGrid w:val="0"/>
          <w:szCs w:val="24"/>
        </w:rPr>
        <w:t xml:space="preserve">. </w:t>
      </w:r>
      <w:r>
        <w:rPr>
          <w:snapToGrid w:val="0"/>
          <w:szCs w:val="24"/>
        </w:rPr>
        <w:tab/>
        <w:t>Proportional leave in advance after 7 years service</w:t>
      </w:r>
      <w:r>
        <w:tab/>
      </w:r>
      <w:r>
        <w:fldChar w:fldCharType="begin"/>
      </w:r>
      <w:r>
        <w:instrText xml:space="preserve"> PAGEREF _Toc267647282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Payment when due</w:t>
      </w:r>
      <w:r>
        <w:tab/>
      </w:r>
      <w:r>
        <w:fldChar w:fldCharType="begin"/>
      </w:r>
      <w:r>
        <w:instrText xml:space="preserve"> PAGEREF _Toc267647283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Prohibition on other employment</w:t>
      </w:r>
      <w:r>
        <w:tab/>
      </w:r>
      <w:r>
        <w:fldChar w:fldCharType="begin"/>
      </w:r>
      <w:r>
        <w:instrText xml:space="preserve"> PAGEREF _Toc267647284 \h </w:instrText>
      </w:r>
      <w:r>
        <w:fldChar w:fldCharType="separate"/>
      </w:r>
      <w:r>
        <w:t>20</w:t>
      </w:r>
      <w:r>
        <w:fldChar w:fldCharType="end"/>
      </w:r>
    </w:p>
    <w:p>
      <w:pPr>
        <w:pStyle w:val="TOC8"/>
        <w:rPr>
          <w:sz w:val="24"/>
          <w:szCs w:val="24"/>
        </w:rPr>
      </w:pPr>
      <w:r>
        <w:rPr>
          <w:szCs w:val="24"/>
        </w:rPr>
        <w:t>29.</w:t>
      </w:r>
      <w:r>
        <w:rPr>
          <w:szCs w:val="24"/>
        </w:rPr>
        <w:tab/>
        <w:t>Public holidays</w:t>
      </w:r>
      <w:r>
        <w:tab/>
      </w:r>
      <w:r>
        <w:fldChar w:fldCharType="begin"/>
      </w:r>
      <w:r>
        <w:instrText xml:space="preserve"> PAGEREF _Toc267647285 \h </w:instrText>
      </w:r>
      <w:r>
        <w:fldChar w:fldCharType="separate"/>
      </w:r>
      <w:r>
        <w:t>21</w:t>
      </w:r>
      <w:r>
        <w:fldChar w:fldCharType="end"/>
      </w:r>
    </w:p>
    <w:p>
      <w:pPr>
        <w:pStyle w:val="TOC8"/>
        <w:rPr>
          <w:sz w:val="24"/>
          <w:szCs w:val="24"/>
        </w:rPr>
      </w:pPr>
      <w:r>
        <w:rPr>
          <w:szCs w:val="24"/>
        </w:rPr>
        <w:t>29A</w:t>
      </w:r>
      <w:r>
        <w:rPr>
          <w:snapToGrid w:val="0"/>
          <w:szCs w:val="24"/>
        </w:rPr>
        <w:t xml:space="preserve">. </w:t>
      </w:r>
      <w:r>
        <w:rPr>
          <w:snapToGrid w:val="0"/>
          <w:szCs w:val="24"/>
        </w:rPr>
        <w:tab/>
        <w:t>Reciprocal arrangements</w:t>
      </w:r>
      <w:r>
        <w:tab/>
      </w:r>
      <w:r>
        <w:fldChar w:fldCharType="begin"/>
      </w:r>
      <w:r>
        <w:instrText xml:space="preserve"> PAGEREF _Toc267647286 \h </w:instrText>
      </w:r>
      <w:r>
        <w:fldChar w:fldCharType="separate"/>
      </w:r>
      <w:r>
        <w:t>21</w:t>
      </w:r>
      <w:r>
        <w:fldChar w:fldCharType="end"/>
      </w:r>
    </w:p>
    <w:p>
      <w:pPr>
        <w:pStyle w:val="TOC2"/>
        <w:tabs>
          <w:tab w:val="right" w:leader="dot" w:pos="7086"/>
        </w:tabs>
        <w:rPr>
          <w:b w:val="0"/>
          <w:sz w:val="24"/>
          <w:szCs w:val="24"/>
        </w:rPr>
      </w:pPr>
      <w:r>
        <w:rPr>
          <w:szCs w:val="30"/>
        </w:rPr>
        <w:t>Part IV — Registration</w:t>
      </w:r>
    </w:p>
    <w:p>
      <w:pPr>
        <w:pStyle w:val="TOC8"/>
        <w:rPr>
          <w:sz w:val="24"/>
          <w:szCs w:val="24"/>
        </w:rPr>
      </w:pPr>
      <w:r>
        <w:rPr>
          <w:szCs w:val="24"/>
        </w:rPr>
        <w:t>30</w:t>
      </w:r>
      <w:r>
        <w:rPr>
          <w:snapToGrid w:val="0"/>
          <w:szCs w:val="24"/>
        </w:rPr>
        <w:t>.</w:t>
      </w:r>
      <w:r>
        <w:rPr>
          <w:snapToGrid w:val="0"/>
          <w:szCs w:val="24"/>
        </w:rPr>
        <w:tab/>
        <w:t>Registration of employers and employees</w:t>
      </w:r>
      <w:r>
        <w:tab/>
      </w:r>
      <w:r>
        <w:fldChar w:fldCharType="begin"/>
      </w:r>
      <w:r>
        <w:instrText xml:space="preserve"> PAGEREF _Toc267647288 \h </w:instrText>
      </w:r>
      <w:r>
        <w:fldChar w:fldCharType="separate"/>
      </w:r>
      <w:r>
        <w:t>23</w:t>
      </w:r>
      <w:r>
        <w:fldChar w:fldCharType="end"/>
      </w:r>
    </w:p>
    <w:p>
      <w:pPr>
        <w:pStyle w:val="TOC8"/>
        <w:rPr>
          <w:sz w:val="24"/>
          <w:szCs w:val="24"/>
        </w:rPr>
      </w:pPr>
      <w:r>
        <w:rPr>
          <w:szCs w:val="24"/>
        </w:rPr>
        <w:t>31</w:t>
      </w:r>
      <w:r>
        <w:rPr>
          <w:snapToGrid w:val="0"/>
          <w:szCs w:val="24"/>
        </w:rPr>
        <w:t>.</w:t>
      </w:r>
      <w:r>
        <w:rPr>
          <w:snapToGrid w:val="0"/>
          <w:szCs w:val="24"/>
        </w:rPr>
        <w:tab/>
        <w:t>Return to be made by employer</w:t>
      </w:r>
      <w:r>
        <w:tab/>
      </w:r>
      <w:r>
        <w:fldChar w:fldCharType="begin"/>
      </w:r>
      <w:r>
        <w:instrText xml:space="preserve"> PAGEREF _Toc267647289 \h </w:instrText>
      </w:r>
      <w:r>
        <w:fldChar w:fldCharType="separate"/>
      </w:r>
      <w:r>
        <w:t>24</w:t>
      </w:r>
      <w:r>
        <w:fldChar w:fldCharType="end"/>
      </w:r>
    </w:p>
    <w:p>
      <w:pPr>
        <w:pStyle w:val="TOC8"/>
        <w:rPr>
          <w:sz w:val="24"/>
          <w:szCs w:val="24"/>
        </w:rPr>
      </w:pPr>
      <w:r>
        <w:rPr>
          <w:szCs w:val="24"/>
        </w:rPr>
        <w:t>32</w:t>
      </w:r>
      <w:r>
        <w:rPr>
          <w:snapToGrid w:val="0"/>
          <w:szCs w:val="24"/>
        </w:rPr>
        <w:t>.</w:t>
      </w:r>
      <w:r>
        <w:rPr>
          <w:snapToGrid w:val="0"/>
          <w:szCs w:val="24"/>
        </w:rPr>
        <w:tab/>
        <w:t>Employer to maintain record of employees</w:t>
      </w:r>
      <w:r>
        <w:tab/>
      </w:r>
      <w:r>
        <w:fldChar w:fldCharType="begin"/>
      </w:r>
      <w:r>
        <w:instrText xml:space="preserve"> PAGEREF _Toc267647290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Exempt employer</w:t>
      </w:r>
      <w:r>
        <w:tab/>
      </w:r>
      <w:r>
        <w:fldChar w:fldCharType="begin"/>
      </w:r>
      <w:r>
        <w:instrText xml:space="preserve"> PAGEREF _Toc267647291 \h </w:instrText>
      </w:r>
      <w:r>
        <w:fldChar w:fldCharType="separate"/>
      </w:r>
      <w:r>
        <w:t>25</w:t>
      </w:r>
      <w:r>
        <w:fldChar w:fldCharType="end"/>
      </w:r>
    </w:p>
    <w:p>
      <w:pPr>
        <w:pStyle w:val="TOC8"/>
        <w:rPr>
          <w:sz w:val="24"/>
          <w:szCs w:val="24"/>
        </w:rPr>
      </w:pPr>
      <w:r>
        <w:rPr>
          <w:szCs w:val="24"/>
        </w:rPr>
        <w:t>34</w:t>
      </w:r>
      <w:r>
        <w:rPr>
          <w:snapToGrid w:val="0"/>
          <w:szCs w:val="24"/>
        </w:rPr>
        <w:t>.</w:t>
      </w:r>
      <w:r>
        <w:rPr>
          <w:snapToGrid w:val="0"/>
          <w:szCs w:val="24"/>
        </w:rPr>
        <w:tab/>
        <w:t>Contribution by employer and assessment by Board</w:t>
      </w:r>
      <w:r>
        <w:tab/>
      </w:r>
      <w:r>
        <w:fldChar w:fldCharType="begin"/>
      </w:r>
      <w:r>
        <w:instrText xml:space="preserve"> PAGEREF _Toc267647292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Register of employers and register of employees</w:t>
      </w:r>
      <w:r>
        <w:tab/>
      </w:r>
      <w:r>
        <w:fldChar w:fldCharType="begin"/>
      </w:r>
      <w:r>
        <w:instrText xml:space="preserve"> PAGEREF _Toc267647293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Employer leaving Western Australia</w:t>
      </w:r>
      <w:r>
        <w:tab/>
      </w:r>
      <w:r>
        <w:fldChar w:fldCharType="begin"/>
      </w:r>
      <w:r>
        <w:instrText xml:space="preserve"> PAGEREF _Toc267647294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Recovery of long service leave contribution</w:t>
      </w:r>
      <w:r>
        <w:tab/>
      </w:r>
      <w:r>
        <w:fldChar w:fldCharType="begin"/>
      </w:r>
      <w:r>
        <w:instrText xml:space="preserve"> PAGEREF _Toc267647295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Liquidator to give notice</w:t>
      </w:r>
      <w:r>
        <w:tab/>
      </w:r>
      <w:r>
        <w:fldChar w:fldCharType="begin"/>
      </w:r>
      <w:r>
        <w:instrText xml:space="preserve"> PAGEREF _Toc267647296 \h </w:instrText>
      </w:r>
      <w:r>
        <w:fldChar w:fldCharType="separate"/>
      </w:r>
      <w:r>
        <w:t>27</w:t>
      </w:r>
      <w:r>
        <w:fldChar w:fldCharType="end"/>
      </w:r>
    </w:p>
    <w:p>
      <w:pPr>
        <w:pStyle w:val="TOC8"/>
        <w:rPr>
          <w:sz w:val="24"/>
          <w:szCs w:val="24"/>
        </w:rPr>
      </w:pPr>
      <w:r>
        <w:rPr>
          <w:szCs w:val="24"/>
        </w:rPr>
        <w:t>39</w:t>
      </w:r>
      <w:r>
        <w:rPr>
          <w:snapToGrid w:val="0"/>
          <w:szCs w:val="24"/>
        </w:rPr>
        <w:t>.</w:t>
      </w:r>
      <w:r>
        <w:rPr>
          <w:snapToGrid w:val="0"/>
          <w:szCs w:val="24"/>
        </w:rPr>
        <w:tab/>
        <w:t>Agent for absentee principal winding up business</w:t>
      </w:r>
      <w:r>
        <w:tab/>
      </w:r>
      <w:r>
        <w:fldChar w:fldCharType="begin"/>
      </w:r>
      <w:r>
        <w:instrText xml:space="preserve"> PAGEREF _Toc267647297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Where long service leave charges are not paid during lifetime</w:t>
      </w:r>
      <w:r>
        <w:tab/>
      </w:r>
      <w:r>
        <w:fldChar w:fldCharType="begin"/>
      </w:r>
      <w:r>
        <w:instrText xml:space="preserve"> PAGEREF _Toc267647298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Provisions for payment of long service leave charges by executors or administrators</w:t>
      </w:r>
      <w:r>
        <w:tab/>
      </w:r>
      <w:r>
        <w:fldChar w:fldCharType="begin"/>
      </w:r>
      <w:r>
        <w:instrText xml:space="preserve"> PAGEREF _Toc267647299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Contributions by joint employers</w:t>
      </w:r>
      <w:r>
        <w:tab/>
      </w:r>
      <w:r>
        <w:fldChar w:fldCharType="begin"/>
      </w:r>
      <w:r>
        <w:instrText xml:space="preserve"> PAGEREF _Toc267647300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Payment of penalties no relief from contributions</w:t>
      </w:r>
      <w:r>
        <w:tab/>
      </w:r>
      <w:r>
        <w:fldChar w:fldCharType="begin"/>
      </w:r>
      <w:r>
        <w:instrText xml:space="preserve"> PAGEREF _Toc267647301 \h </w:instrText>
      </w:r>
      <w:r>
        <w:fldChar w:fldCharType="separate"/>
      </w:r>
      <w:r>
        <w:t>32</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44</w:t>
      </w:r>
      <w:r>
        <w:rPr>
          <w:snapToGrid w:val="0"/>
          <w:szCs w:val="24"/>
        </w:rPr>
        <w:t>.</w:t>
      </w:r>
      <w:r>
        <w:rPr>
          <w:snapToGrid w:val="0"/>
          <w:szCs w:val="24"/>
        </w:rPr>
        <w:tab/>
        <w:t>Inspectors</w:t>
      </w:r>
      <w:r>
        <w:tab/>
      </w:r>
      <w:r>
        <w:fldChar w:fldCharType="begin"/>
      </w:r>
      <w:r>
        <w:instrText xml:space="preserve"> PAGEREF _Toc267647303 \h </w:instrText>
      </w:r>
      <w:r>
        <w:fldChar w:fldCharType="separate"/>
      </w:r>
      <w:r>
        <w:t>33</w:t>
      </w:r>
      <w:r>
        <w:fldChar w:fldCharType="end"/>
      </w:r>
    </w:p>
    <w:p>
      <w:pPr>
        <w:pStyle w:val="TOC8"/>
        <w:rPr>
          <w:sz w:val="24"/>
          <w:szCs w:val="24"/>
        </w:rPr>
      </w:pPr>
      <w:r>
        <w:rPr>
          <w:szCs w:val="24"/>
        </w:rPr>
        <w:t>45</w:t>
      </w:r>
      <w:r>
        <w:rPr>
          <w:snapToGrid w:val="0"/>
          <w:szCs w:val="24"/>
        </w:rPr>
        <w:t>.</w:t>
      </w:r>
      <w:r>
        <w:rPr>
          <w:snapToGrid w:val="0"/>
          <w:szCs w:val="24"/>
        </w:rPr>
        <w:tab/>
        <w:t>Power to obtain information and evidence</w:t>
      </w:r>
      <w:r>
        <w:tab/>
      </w:r>
      <w:r>
        <w:fldChar w:fldCharType="begin"/>
      </w:r>
      <w:r>
        <w:instrText xml:space="preserve"> PAGEREF _Toc267647304 \h </w:instrText>
      </w:r>
      <w:r>
        <w:fldChar w:fldCharType="separate"/>
      </w:r>
      <w:r>
        <w:t>33</w:t>
      </w:r>
      <w:r>
        <w:fldChar w:fldCharType="end"/>
      </w:r>
    </w:p>
    <w:p>
      <w:pPr>
        <w:pStyle w:val="TOC8"/>
        <w:rPr>
          <w:sz w:val="24"/>
          <w:szCs w:val="24"/>
        </w:rPr>
      </w:pPr>
      <w:r>
        <w:rPr>
          <w:szCs w:val="24"/>
        </w:rPr>
        <w:t>46</w:t>
      </w:r>
      <w:r>
        <w:rPr>
          <w:snapToGrid w:val="0"/>
          <w:szCs w:val="24"/>
        </w:rPr>
        <w:t>.</w:t>
      </w:r>
      <w:r>
        <w:rPr>
          <w:snapToGrid w:val="0"/>
          <w:szCs w:val="24"/>
        </w:rPr>
        <w:tab/>
        <w:t>Access to books etc.</w:t>
      </w:r>
      <w:r>
        <w:tab/>
      </w:r>
      <w:r>
        <w:fldChar w:fldCharType="begin"/>
      </w:r>
      <w:r>
        <w:instrText xml:space="preserve"> PAGEREF _Toc267647305 \h </w:instrText>
      </w:r>
      <w:r>
        <w:fldChar w:fldCharType="separate"/>
      </w:r>
      <w:r>
        <w:t>33</w:t>
      </w:r>
      <w:r>
        <w:fldChar w:fldCharType="end"/>
      </w:r>
    </w:p>
    <w:p>
      <w:pPr>
        <w:pStyle w:val="TOC8"/>
        <w:rPr>
          <w:sz w:val="24"/>
          <w:szCs w:val="24"/>
        </w:rPr>
      </w:pPr>
      <w:r>
        <w:rPr>
          <w:szCs w:val="24"/>
        </w:rPr>
        <w:t>47</w:t>
      </w:r>
      <w:r>
        <w:rPr>
          <w:snapToGrid w:val="0"/>
          <w:szCs w:val="24"/>
        </w:rPr>
        <w:t>.</w:t>
      </w:r>
      <w:r>
        <w:rPr>
          <w:snapToGrid w:val="0"/>
          <w:szCs w:val="24"/>
        </w:rPr>
        <w:tab/>
        <w:t>Proceedings for offences against this Act</w:t>
      </w:r>
      <w:r>
        <w:tab/>
      </w:r>
      <w:r>
        <w:fldChar w:fldCharType="begin"/>
      </w:r>
      <w:r>
        <w:instrText xml:space="preserve"> PAGEREF _Toc267647306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Institution of proceedings</w:t>
      </w:r>
      <w:r>
        <w:tab/>
      </w:r>
      <w:r>
        <w:fldChar w:fldCharType="begin"/>
      </w:r>
      <w:r>
        <w:instrText xml:space="preserve"> PAGEREF _Toc267647307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Evidence</w:t>
      </w:r>
      <w:r>
        <w:tab/>
      </w:r>
      <w:r>
        <w:fldChar w:fldCharType="begin"/>
      </w:r>
      <w:r>
        <w:instrText xml:space="preserve"> PAGEREF _Toc267647308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Appeals</w:t>
      </w:r>
      <w:r>
        <w:tab/>
      </w:r>
      <w:r>
        <w:fldChar w:fldCharType="begin"/>
      </w:r>
      <w:r>
        <w:instrText xml:space="preserve"> PAGEREF _Toc267647309 \h </w:instrText>
      </w:r>
      <w:r>
        <w:fldChar w:fldCharType="separate"/>
      </w:r>
      <w:r>
        <w:t>36</w:t>
      </w:r>
      <w:r>
        <w:fldChar w:fldCharType="end"/>
      </w:r>
    </w:p>
    <w:p>
      <w:pPr>
        <w:pStyle w:val="TOC8"/>
        <w:rPr>
          <w:sz w:val="24"/>
          <w:szCs w:val="24"/>
        </w:rPr>
      </w:pPr>
      <w:r>
        <w:rPr>
          <w:szCs w:val="24"/>
        </w:rPr>
        <w:t>51</w:t>
      </w:r>
      <w:r>
        <w:rPr>
          <w:snapToGrid w:val="0"/>
          <w:szCs w:val="24"/>
        </w:rPr>
        <w:t>.</w:t>
      </w:r>
      <w:r>
        <w:rPr>
          <w:snapToGrid w:val="0"/>
          <w:szCs w:val="24"/>
        </w:rPr>
        <w:tab/>
        <w:t>Employee accumulating continuous service in more than one capacity</w:t>
      </w:r>
      <w:r>
        <w:tab/>
      </w:r>
      <w:r>
        <w:fldChar w:fldCharType="begin"/>
      </w:r>
      <w:r>
        <w:instrText xml:space="preserve"> PAGEREF _Toc267647310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Obstructing an inspector or other persons</w:t>
      </w:r>
      <w:r>
        <w:tab/>
      </w:r>
      <w:r>
        <w:fldChar w:fldCharType="begin"/>
      </w:r>
      <w:r>
        <w:instrText xml:space="preserve"> PAGEREF _Toc267647311 \h </w:instrText>
      </w:r>
      <w:r>
        <w:fldChar w:fldCharType="separate"/>
      </w:r>
      <w:r>
        <w:t>37</w:t>
      </w:r>
      <w:r>
        <w:fldChar w:fldCharType="end"/>
      </w:r>
    </w:p>
    <w:p>
      <w:pPr>
        <w:pStyle w:val="TOC8"/>
        <w:rPr>
          <w:sz w:val="24"/>
          <w:szCs w:val="24"/>
        </w:rPr>
      </w:pPr>
      <w:r>
        <w:rPr>
          <w:szCs w:val="24"/>
        </w:rPr>
        <w:t>53</w:t>
      </w:r>
      <w:r>
        <w:rPr>
          <w:snapToGrid w:val="0"/>
          <w:szCs w:val="24"/>
        </w:rPr>
        <w:t>.</w:t>
      </w:r>
      <w:r>
        <w:rPr>
          <w:snapToGrid w:val="0"/>
          <w:szCs w:val="24"/>
        </w:rPr>
        <w:tab/>
        <w:t>Protection of persons giving information under this Act</w:t>
      </w:r>
      <w:r>
        <w:tab/>
      </w:r>
      <w:r>
        <w:fldChar w:fldCharType="begin"/>
      </w:r>
      <w:r>
        <w:instrText xml:space="preserve"> PAGEREF _Toc267647312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Secrecy</w:t>
      </w:r>
      <w:r>
        <w:tab/>
      </w:r>
      <w:r>
        <w:fldChar w:fldCharType="begin"/>
      </w:r>
      <w:r>
        <w:instrText xml:space="preserve"> PAGEREF _Toc267647313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Effect of other awards or agreements</w:t>
      </w:r>
      <w:r>
        <w:tab/>
      </w:r>
      <w:r>
        <w:fldChar w:fldCharType="begin"/>
      </w:r>
      <w:r>
        <w:instrText xml:space="preserve"> PAGEREF _Toc267647314 \h </w:instrText>
      </w:r>
      <w:r>
        <w:fldChar w:fldCharType="separate"/>
      </w:r>
      <w:r>
        <w:t>38</w:t>
      </w:r>
      <w:r>
        <w:fldChar w:fldCharType="end"/>
      </w:r>
    </w:p>
    <w:p>
      <w:pPr>
        <w:pStyle w:val="TOC8"/>
        <w:rPr>
          <w:sz w:val="24"/>
          <w:szCs w:val="24"/>
        </w:rPr>
      </w:pPr>
      <w:r>
        <w:rPr>
          <w:szCs w:val="24"/>
        </w:rPr>
        <w:t>56.</w:t>
      </w:r>
      <w:r>
        <w:rPr>
          <w:szCs w:val="24"/>
        </w:rPr>
        <w:tab/>
        <w:t>Transitional provisions</w:t>
      </w:r>
      <w:r>
        <w:tab/>
      </w:r>
      <w:r>
        <w:fldChar w:fldCharType="begin"/>
      </w:r>
      <w:r>
        <w:instrText xml:space="preserve"> PAGEREF _Toc267647315 \h </w:instrText>
      </w:r>
      <w:r>
        <w:fldChar w:fldCharType="separate"/>
      </w:r>
      <w:r>
        <w:t>38</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_Toc267647316 \h </w:instrText>
      </w:r>
      <w:r>
        <w:fldChar w:fldCharType="separate"/>
      </w:r>
      <w:r>
        <w:t>39</w:t>
      </w:r>
      <w:r>
        <w:fldChar w:fldCharType="end"/>
      </w:r>
    </w:p>
    <w:p>
      <w:pPr>
        <w:pStyle w:val="TOC2"/>
        <w:tabs>
          <w:tab w:val="right" w:leader="dot" w:pos="7086"/>
        </w:tabs>
        <w:rPr>
          <w:b w:val="0"/>
          <w:sz w:val="24"/>
          <w:szCs w:val="24"/>
        </w:rPr>
      </w:pPr>
      <w:r>
        <w:rPr>
          <w:szCs w:val="28"/>
        </w:rPr>
        <w:t>Schedule</w:t>
      </w:r>
      <w:r>
        <w:rPr>
          <w:b w:val="0"/>
          <w:bCs/>
          <w:szCs w:val="28"/>
        </w:rPr>
        <w:t xml:space="preserve"> — </w:t>
      </w:r>
      <w:r>
        <w:rPr>
          <w:szCs w:val="28"/>
        </w:rPr>
        <w:t>Transitional provisions</w:t>
      </w:r>
    </w:p>
    <w:p>
      <w:pPr>
        <w:pStyle w:val="TOC2"/>
        <w:tabs>
          <w:tab w:val="right" w:leader="dot" w:pos="7086"/>
        </w:tabs>
        <w:rPr>
          <w:b w:val="0"/>
          <w:sz w:val="24"/>
          <w:szCs w:val="24"/>
        </w:rPr>
      </w:pPr>
      <w:r>
        <w:rPr>
          <w:sz w:val="24"/>
          <w:szCs w:val="28"/>
        </w:rPr>
        <w:t>Division 1</w:t>
      </w:r>
      <w:r>
        <w:rPr>
          <w:szCs w:val="28"/>
        </w:rPr>
        <w:t> — </w:t>
      </w:r>
      <w:r>
        <w:rPr>
          <w:sz w:val="24"/>
          <w:szCs w:val="28"/>
        </w:rPr>
        <w:t>The appointed day</w:t>
      </w:r>
    </w:p>
    <w:p>
      <w:pPr>
        <w:pStyle w:val="TOC8"/>
        <w:rPr>
          <w:sz w:val="24"/>
          <w:szCs w:val="24"/>
        </w:rPr>
      </w:pPr>
      <w:r>
        <w:rPr>
          <w:szCs w:val="22"/>
        </w:rPr>
        <w:t>1.</w:t>
      </w:r>
      <w:r>
        <w:rPr>
          <w:szCs w:val="22"/>
        </w:rPr>
        <w:tab/>
        <w:t>Employees’ service before application for registration</w:t>
      </w:r>
      <w:r>
        <w:tab/>
      </w:r>
      <w:r>
        <w:fldChar w:fldCharType="begin"/>
      </w:r>
      <w:r>
        <w:instrText xml:space="preserve"> PAGEREF _Toc267647319 \h </w:instrText>
      </w:r>
      <w:r>
        <w:fldChar w:fldCharType="separate"/>
      </w:r>
      <w:r>
        <w:t>40</w:t>
      </w:r>
      <w:r>
        <w:fldChar w:fldCharType="end"/>
      </w:r>
    </w:p>
    <w:p>
      <w:pPr>
        <w:pStyle w:val="TOC8"/>
        <w:rPr>
          <w:sz w:val="24"/>
          <w:szCs w:val="24"/>
        </w:rPr>
      </w:pPr>
      <w:r>
        <w:rPr>
          <w:szCs w:val="22"/>
        </w:rPr>
        <w:t>2.</w:t>
      </w:r>
      <w:r>
        <w:rPr>
          <w:szCs w:val="22"/>
        </w:rPr>
        <w:tab/>
        <w:t>Employees to pay Board contributions for some employees</w:t>
      </w:r>
      <w:r>
        <w:tab/>
      </w:r>
      <w:r>
        <w:fldChar w:fldCharType="begin"/>
      </w:r>
      <w:r>
        <w:instrText xml:space="preserve"> PAGEREF _Toc267647320 \h </w:instrText>
      </w:r>
      <w:r>
        <w:fldChar w:fldCharType="separate"/>
      </w:r>
      <w:r>
        <w:t>40</w:t>
      </w:r>
      <w:r>
        <w:fldChar w:fldCharType="end"/>
      </w:r>
    </w:p>
    <w:p>
      <w:pPr>
        <w:pStyle w:val="TOC4"/>
        <w:tabs>
          <w:tab w:val="right" w:leader="dot" w:pos="7086"/>
        </w:tabs>
        <w:rPr>
          <w:b w:val="0"/>
          <w:sz w:val="24"/>
          <w:szCs w:val="24"/>
        </w:rPr>
      </w:pPr>
      <w:r>
        <w:rPr>
          <w:szCs w:val="24"/>
        </w:rPr>
        <w:t>Division 2</w:t>
      </w:r>
      <w:r>
        <w:rPr>
          <w:sz w:val="28"/>
          <w:szCs w:val="24"/>
        </w:rPr>
        <w:t> — </w:t>
      </w:r>
      <w:r>
        <w:rPr>
          <w:snapToGrid w:val="0"/>
          <w:szCs w:val="24"/>
        </w:rPr>
        <w:t xml:space="preserve">The </w:t>
      </w:r>
      <w:r>
        <w:rPr>
          <w:i/>
          <w:iCs/>
          <w:snapToGrid w:val="0"/>
          <w:szCs w:val="24"/>
        </w:rPr>
        <w:t>Labour Relations Legislation Amendment Act 2006</w:t>
      </w:r>
    </w:p>
    <w:p>
      <w:pPr>
        <w:pStyle w:val="TOC8"/>
        <w:rPr>
          <w:sz w:val="24"/>
          <w:szCs w:val="24"/>
        </w:rPr>
      </w:pPr>
      <w:r>
        <w:rPr>
          <w:szCs w:val="22"/>
        </w:rPr>
        <w:t>3.</w:t>
      </w:r>
      <w:r>
        <w:rPr>
          <w:szCs w:val="22"/>
        </w:rPr>
        <w:tab/>
        <w:t>Service prior to commencement day</w:t>
      </w:r>
      <w:r>
        <w:tab/>
      </w:r>
      <w:r>
        <w:fldChar w:fldCharType="begin"/>
      </w:r>
      <w:r>
        <w:instrText xml:space="preserve"> PAGEREF _Toc267647322 \h </w:instrText>
      </w:r>
      <w:r>
        <w:fldChar w:fldCharType="separate"/>
      </w:r>
      <w:r>
        <w:t>40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_Toc267647324 \h </w:instrText>
      </w:r>
      <w:r>
        <w:fldChar w:fldCharType="separate"/>
      </w:r>
      <w:r>
        <w:t>42</w:t>
      </w:r>
      <w:r>
        <w:fldChar w:fldCharType="end"/>
      </w:r>
    </w:p>
    <w:p>
      <w:pPr>
        <w:pStyle w:val="TOC8"/>
        <w:rPr>
          <w:sz w:val="24"/>
        </w:rPr>
      </w:pPr>
      <w:r>
        <w:tab/>
        <w:t>Provisions that have not come into operation</w:t>
      </w:r>
      <w:r>
        <w:tab/>
      </w:r>
      <w:r>
        <w:fldChar w:fldCharType="begin"/>
      </w:r>
      <w:r>
        <w:instrText xml:space="preserve"> PAGEREF _Toc267647325 \h </w:instrText>
      </w:r>
      <w:r>
        <w:fldChar w:fldCharType="separate"/>
      </w:r>
      <w:r>
        <w:t>43</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400" w:after="1400"/>
      </w:pPr>
      <w:r>
        <w:t>Construction Industry Portable Paid Long Service Leave Act 1985</w:t>
      </w:r>
    </w:p>
    <w:p>
      <w:pPr>
        <w:pStyle w:val="LongTitle"/>
        <w:rPr>
          <w:snapToGrid w:val="0"/>
        </w:rPr>
      </w:pPr>
      <w:r>
        <w:rPr>
          <w:snapToGrid w:val="0"/>
        </w:rPr>
        <w:t>An Act to make provision for paid long service leave to employees engaged in the construction industry and for incidental and other purposes.</w:t>
      </w:r>
    </w:p>
    <w:p>
      <w:pPr>
        <w:pStyle w:val="Heading2"/>
      </w:pPr>
      <w:bookmarkStart w:id="2" w:name="_Toc95729722"/>
      <w:bookmarkStart w:id="3" w:name="_Toc95729787"/>
      <w:bookmarkStart w:id="4" w:name="_Toc95730139"/>
      <w:bookmarkStart w:id="5" w:name="_Toc95730213"/>
      <w:bookmarkStart w:id="6" w:name="_Toc97003700"/>
      <w:bookmarkStart w:id="7" w:name="_Toc102810419"/>
      <w:bookmarkStart w:id="8" w:name="_Toc116956518"/>
      <w:bookmarkStart w:id="9" w:name="_Toc116956582"/>
      <w:bookmarkStart w:id="10" w:name="_Toc116960847"/>
      <w:bookmarkStart w:id="11" w:name="_Toc118525482"/>
      <w:bookmarkStart w:id="12" w:name="_Toc118525788"/>
      <w:bookmarkStart w:id="13" w:name="_Toc120001164"/>
      <w:bookmarkStart w:id="14" w:name="_Toc139864250"/>
      <w:bookmarkStart w:id="15" w:name="_Toc140029704"/>
      <w:bookmarkStart w:id="16" w:name="_Toc140029772"/>
      <w:bookmarkStart w:id="17" w:name="_Toc147305011"/>
      <w:bookmarkStart w:id="18" w:name="_Toc147313786"/>
      <w:bookmarkStart w:id="19" w:name="_Toc147630393"/>
      <w:bookmarkStart w:id="20" w:name="_Toc147630767"/>
      <w:bookmarkStart w:id="21" w:name="_Toc147631912"/>
      <w:bookmarkStart w:id="22" w:name="_Toc147631981"/>
      <w:bookmarkStart w:id="23" w:name="_Toc157844269"/>
      <w:bookmarkStart w:id="24" w:name="_Toc241051477"/>
      <w:bookmarkStart w:id="25" w:name="_Toc259540293"/>
      <w:bookmarkStart w:id="26" w:name="_Toc259540448"/>
      <w:bookmarkStart w:id="27" w:name="_Toc260209976"/>
      <w:bookmarkStart w:id="28" w:name="_Toc261875535"/>
      <w:bookmarkStart w:id="29" w:name="_Toc262222427"/>
      <w:bookmarkStart w:id="30" w:name="_Toc263414917"/>
      <w:bookmarkStart w:id="31" w:name="_Toc263415601"/>
      <w:bookmarkStart w:id="32" w:name="_Toc26764725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95730140"/>
      <w:bookmarkStart w:id="34" w:name="_Toc147630768"/>
      <w:bookmarkStart w:id="35" w:name="_Toc267647257"/>
      <w:r>
        <w:rPr>
          <w:rStyle w:val="CharSectno"/>
        </w:rPr>
        <w:t>1</w:t>
      </w:r>
      <w:r>
        <w:rPr>
          <w:snapToGrid w:val="0"/>
        </w:rPr>
        <w:t>.</w:t>
      </w:r>
      <w:r>
        <w:rPr>
          <w:snapToGrid w:val="0"/>
        </w:rPr>
        <w:tab/>
        <w:t>Short title</w:t>
      </w:r>
      <w:bookmarkEnd w:id="33"/>
      <w:bookmarkEnd w:id="34"/>
      <w:bookmarkEnd w:id="35"/>
    </w:p>
    <w:p>
      <w:pPr>
        <w:pStyle w:val="Subsection"/>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rPr>
          <w:snapToGrid w:val="0"/>
        </w:rPr>
      </w:pPr>
      <w:bookmarkStart w:id="36" w:name="_Toc95730141"/>
      <w:bookmarkStart w:id="37" w:name="_Toc147630769"/>
      <w:bookmarkStart w:id="38" w:name="_Toc267647258"/>
      <w:r>
        <w:rPr>
          <w:rStyle w:val="CharSectno"/>
        </w:rPr>
        <w:t>2</w:t>
      </w:r>
      <w:r>
        <w:rPr>
          <w:snapToGrid w:val="0"/>
        </w:rPr>
        <w:t>.</w:t>
      </w:r>
      <w:r>
        <w:rPr>
          <w:snapToGrid w:val="0"/>
        </w:rPr>
        <w:tab/>
        <w:t>Commencement</w:t>
      </w:r>
      <w:bookmarkEnd w:id="36"/>
      <w:bookmarkEnd w:id="37"/>
      <w:bookmarkEnd w:id="38"/>
    </w:p>
    <w:p>
      <w:pPr>
        <w:pStyle w:val="Subsection"/>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rPr>
          <w:snapToGrid w:val="0"/>
        </w:rPr>
      </w:pPr>
      <w:bookmarkStart w:id="39" w:name="_Toc95730142"/>
      <w:bookmarkStart w:id="40" w:name="_Toc147630770"/>
      <w:bookmarkStart w:id="41" w:name="_Toc267647259"/>
      <w:r>
        <w:rPr>
          <w:rStyle w:val="CharSectno"/>
        </w:rPr>
        <w:t>3</w:t>
      </w:r>
      <w:r>
        <w:rPr>
          <w:snapToGrid w:val="0"/>
        </w:rPr>
        <w:t>.</w:t>
      </w:r>
      <w:r>
        <w:rPr>
          <w:snapToGrid w:val="0"/>
        </w:rPr>
        <w:tab/>
      </w:r>
      <w:bookmarkEnd w:id="39"/>
      <w:bookmarkEnd w:id="40"/>
      <w:r>
        <w:rPr>
          <w:snapToGrid w:val="0"/>
        </w:rPr>
        <w:t>Terms used</w:t>
      </w:r>
      <w:bookmarkEnd w:id="4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day</w:t>
      </w:r>
      <w:r>
        <w:t xml:space="preserve"> means the day fixed by the Minister under subsection (2);</w:t>
      </w:r>
    </w:p>
    <w:p>
      <w:pPr>
        <w:pStyle w:val="Defstart"/>
      </w:pPr>
      <w:r>
        <w:rPr>
          <w:b/>
        </w:rPr>
        <w:tab/>
      </w:r>
      <w:r>
        <w:rPr>
          <w:rStyle w:val="CharDefText"/>
        </w:rPr>
        <w:t>award</w:t>
      </w:r>
      <w:r>
        <w:t xml:space="preserve"> means any award or agreement made under the </w:t>
      </w:r>
      <w:r>
        <w:rPr>
          <w:i/>
        </w:rPr>
        <w:t>Industrial Relations Act 1979</w:t>
      </w:r>
      <w:r>
        <w:t xml:space="preserve">, or an award or agreement in force under the </w:t>
      </w:r>
      <w:r>
        <w:rPr>
          <w:i/>
          <w:iCs/>
        </w:rPr>
        <w:t xml:space="preserve">Workplace Relations Act 1996 </w:t>
      </w:r>
      <w:r>
        <w:t>of the Commonwealth;</w:t>
      </w:r>
    </w:p>
    <w:p>
      <w:pPr>
        <w:pStyle w:val="Defstart"/>
      </w:pPr>
      <w:r>
        <w:rPr>
          <w:b/>
        </w:rPr>
        <w:tab/>
      </w:r>
      <w:r>
        <w:rPr>
          <w:rStyle w:val="CharDefText"/>
        </w:rPr>
        <w:t>Board</w:t>
      </w:r>
      <w:r>
        <w:t xml:space="preserve"> means the Construction Industry Long Service Leave Payments Board established under section 5;</w:t>
      </w:r>
    </w:p>
    <w:p>
      <w:pPr>
        <w:pStyle w:val="Defstart"/>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pPr>
      <w:r>
        <w:rPr>
          <w:b/>
        </w:rPr>
        <w:tab/>
      </w:r>
      <w:r>
        <w:rPr>
          <w:rStyle w:val="CharDefText"/>
        </w:rPr>
        <w:t>construction industry</w:t>
      </w:r>
      <w:r>
        <w:t xml:space="preserve"> means the industry —</w:t>
      </w:r>
    </w:p>
    <w:p>
      <w:pPr>
        <w:pStyle w:val="Defpara"/>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rPr>
          <w:snapToGrid w:val="0"/>
        </w:rPr>
      </w:pPr>
      <w:r>
        <w:rPr>
          <w:snapToGrid w:val="0"/>
        </w:rPr>
        <w:tab/>
        <w:t>(i)</w:t>
      </w:r>
      <w:r>
        <w:rPr>
          <w:snapToGrid w:val="0"/>
        </w:rPr>
        <w:tab/>
        <w:t>buildings;</w:t>
      </w:r>
    </w:p>
    <w:p>
      <w:pPr>
        <w:pStyle w:val="Defsubpara"/>
        <w:keepLines w:val="0"/>
        <w:rPr>
          <w:snapToGrid w:val="0"/>
        </w:rPr>
      </w:pPr>
      <w:r>
        <w:rPr>
          <w:snapToGrid w:val="0"/>
        </w:rPr>
        <w:tab/>
        <w:t>(ii)</w:t>
      </w:r>
      <w:r>
        <w:rPr>
          <w:snapToGrid w:val="0"/>
        </w:rPr>
        <w:tab/>
        <w:t>roads, railways, airfields or other works for the passage of persons, animals or vehicles;</w:t>
      </w:r>
    </w:p>
    <w:p>
      <w:pPr>
        <w:pStyle w:val="Defsubpara"/>
        <w:keepLines w:val="0"/>
        <w:rPr>
          <w:snapToGrid w:val="0"/>
        </w:rPr>
      </w:pPr>
      <w:r>
        <w:rPr>
          <w:snapToGrid w:val="0"/>
        </w:rPr>
        <w:tab/>
        <w:t>(iii)</w:t>
      </w:r>
      <w:r>
        <w:rPr>
          <w:snapToGrid w:val="0"/>
        </w:rPr>
        <w:tab/>
        <w:t>breakwaters, docks, jetties, piers, wharves or works for the improvement or alteration of any harbour, river or watercourse for the purposes of navigation;</w:t>
      </w:r>
    </w:p>
    <w:p>
      <w:pPr>
        <w:pStyle w:val="Defsubpara"/>
        <w:keepLines w:val="0"/>
        <w:rPr>
          <w:snapToGrid w:val="0"/>
        </w:rPr>
      </w:pPr>
      <w:r>
        <w:rPr>
          <w:snapToGrid w:val="0"/>
        </w:rPr>
        <w:tab/>
        <w:t>(iv)</w:t>
      </w:r>
      <w:r>
        <w:rPr>
          <w:snapToGrid w:val="0"/>
        </w:rPr>
        <w:tab/>
        <w:t>works for the storage or supply of water or for the irrigation of land;</w:t>
      </w:r>
    </w:p>
    <w:p>
      <w:pPr>
        <w:pStyle w:val="Defsubpara"/>
        <w:keepLines w:val="0"/>
        <w:rPr>
          <w:snapToGrid w:val="0"/>
        </w:rPr>
      </w:pPr>
      <w:r>
        <w:rPr>
          <w:snapToGrid w:val="0"/>
        </w:rPr>
        <w:tab/>
        <w:t>(v)</w:t>
      </w:r>
      <w:r>
        <w:rPr>
          <w:snapToGrid w:val="0"/>
        </w:rPr>
        <w:tab/>
        <w:t>works for the conveyance, treatment or disposal of sewage or of the effluent from any premises;</w:t>
      </w:r>
    </w:p>
    <w:p>
      <w:pPr>
        <w:pStyle w:val="Defsubpara"/>
        <w:keepLines w:val="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w:t>
      </w:r>
    </w:p>
    <w:p>
      <w:pPr>
        <w:pStyle w:val="Defsubpara"/>
        <w:keepLines w:val="0"/>
        <w:rPr>
          <w:snapToGrid w:val="0"/>
        </w:rPr>
      </w:pPr>
      <w:r>
        <w:rPr>
          <w:snapToGrid w:val="0"/>
        </w:rPr>
        <w:tab/>
        <w:t>(vii)</w:t>
      </w:r>
      <w:r>
        <w:rPr>
          <w:snapToGrid w:val="0"/>
        </w:rPr>
        <w:tab/>
        <w:t>bridges, viaducts, aqueducts or tunnels;</w:t>
      </w:r>
    </w:p>
    <w:p>
      <w:pPr>
        <w:pStyle w:val="Defsubpara"/>
        <w:keepLines w:val="0"/>
        <w:rPr>
          <w:snapToGrid w:val="0"/>
        </w:rPr>
      </w:pPr>
      <w:r>
        <w:rPr>
          <w:snapToGrid w:val="0"/>
        </w:rPr>
        <w:tab/>
        <w:t>(viii)</w:t>
      </w:r>
      <w:r>
        <w:rPr>
          <w:snapToGrid w:val="0"/>
        </w:rPr>
        <w:tab/>
        <w:t>chimney stacks, cooling towers, drilling rigs, gas</w:t>
      </w:r>
      <w:r>
        <w:rPr>
          <w:snapToGrid w:val="0"/>
        </w:rPr>
        <w:noBreakHyphen/>
        <w:t>holders or silos;</w:t>
      </w:r>
    </w:p>
    <w:p>
      <w:pPr>
        <w:pStyle w:val="Defsubpara"/>
        <w:keepLines w:val="0"/>
        <w:rPr>
          <w:snapToGrid w:val="0"/>
        </w:rPr>
      </w:pPr>
      <w:r>
        <w:rPr>
          <w:snapToGrid w:val="0"/>
        </w:rPr>
        <w:tab/>
        <w:t>(ix)</w:t>
      </w:r>
      <w:r>
        <w:rPr>
          <w:snapToGrid w:val="0"/>
        </w:rPr>
        <w:tab/>
        <w:t>pipelines;</w:t>
      </w:r>
    </w:p>
    <w:p>
      <w:pPr>
        <w:pStyle w:val="Defsubpara"/>
        <w:keepLines w:val="0"/>
        <w:rPr>
          <w:snapToGrid w:val="0"/>
        </w:rPr>
      </w:pPr>
      <w:r>
        <w:rPr>
          <w:snapToGrid w:val="0"/>
        </w:rPr>
        <w:tab/>
        <w:t>(x)</w:t>
      </w:r>
      <w:r>
        <w:rPr>
          <w:snapToGrid w:val="0"/>
        </w:rPr>
        <w:tab/>
        <w:t>navigational lights, beacons or markers;</w:t>
      </w:r>
    </w:p>
    <w:p>
      <w:pPr>
        <w:pStyle w:val="Defsubpara"/>
        <w:keepLines w:val="0"/>
        <w:rPr>
          <w:snapToGrid w:val="0"/>
        </w:rPr>
      </w:pPr>
      <w:r>
        <w:rPr>
          <w:snapToGrid w:val="0"/>
        </w:rPr>
        <w:tab/>
        <w:t>(xi)</w:t>
      </w:r>
      <w:r>
        <w:rPr>
          <w:snapToGrid w:val="0"/>
        </w:rPr>
        <w:tab/>
        <w:t>works for the drainage of land;</w:t>
      </w:r>
    </w:p>
    <w:p>
      <w:pPr>
        <w:pStyle w:val="Defsubpara"/>
        <w:keepLines w:val="0"/>
        <w:rPr>
          <w:snapToGrid w:val="0"/>
        </w:rPr>
      </w:pPr>
      <w:r>
        <w:rPr>
          <w:snapToGrid w:val="0"/>
        </w:rPr>
        <w:tab/>
        <w:t>(xii)</w:t>
      </w:r>
      <w:r>
        <w:rPr>
          <w:snapToGrid w:val="0"/>
        </w:rPr>
        <w:tab/>
        <w:t>works for the storage of liquids (other than water) or gases;</w:t>
      </w:r>
    </w:p>
    <w:p>
      <w:pPr>
        <w:pStyle w:val="Defsubpara"/>
        <w:keepLines w:val="0"/>
        <w:rPr>
          <w:snapToGrid w:val="0"/>
        </w:rPr>
      </w:pPr>
      <w:r>
        <w:rPr>
          <w:snapToGrid w:val="0"/>
        </w:rPr>
        <w:tab/>
        <w:t>(xiii)</w:t>
      </w:r>
      <w:r>
        <w:rPr>
          <w:snapToGrid w:val="0"/>
        </w:rPr>
        <w:tab/>
        <w:t>works for the generation, supply or transmission of electric power;</w:t>
      </w:r>
    </w:p>
    <w:p>
      <w:pPr>
        <w:pStyle w:val="Defsubpara"/>
        <w:keepLines w:val="0"/>
        <w:rPr>
          <w:snapToGrid w:val="0"/>
        </w:rPr>
      </w:pPr>
      <w:r>
        <w:rPr>
          <w:snapToGrid w:val="0"/>
        </w:rPr>
        <w:tab/>
        <w:t>(xiv)</w:t>
      </w:r>
      <w:r>
        <w:rPr>
          <w:snapToGrid w:val="0"/>
        </w:rPr>
        <w:tab/>
        <w:t>works for the transmission of wireless or telegraphic communications;</w:t>
      </w:r>
    </w:p>
    <w:p>
      <w:pPr>
        <w:pStyle w:val="Defsubpara"/>
        <w:keepLines w:val="0"/>
        <w:rPr>
          <w:snapToGrid w:val="0"/>
        </w:rPr>
      </w:pPr>
      <w:r>
        <w:rPr>
          <w:snapToGrid w:val="0"/>
        </w:rPr>
        <w:tab/>
        <w:t>(xv)</w:t>
      </w:r>
      <w:r>
        <w:rPr>
          <w:snapToGrid w:val="0"/>
        </w:rPr>
        <w:tab/>
        <w:t>pile driving works;</w:t>
      </w:r>
    </w:p>
    <w:p>
      <w:pPr>
        <w:pStyle w:val="Defsubpara"/>
        <w:keepLines w:val="0"/>
        <w:rPr>
          <w:snapToGrid w:val="0"/>
        </w:rPr>
      </w:pPr>
      <w:r>
        <w:rPr>
          <w:snapToGrid w:val="0"/>
        </w:rPr>
        <w:tab/>
        <w:t>(xvi)</w:t>
      </w:r>
      <w:r>
        <w:rPr>
          <w:snapToGrid w:val="0"/>
        </w:rPr>
        <w:tab/>
        <w:t>structures, fixtures or works for the use on any buildings or works of a kind referred to in subparagraphs (i) to (xv);</w:t>
      </w:r>
    </w:p>
    <w:p>
      <w:pPr>
        <w:pStyle w:val="Defsubpara"/>
        <w:keepLines w:val="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pPr>
      <w:r>
        <w:tab/>
        <w:t>but does not include —</w:t>
      </w:r>
    </w:p>
    <w:p>
      <w:pPr>
        <w:pStyle w:val="Defpara"/>
      </w:pPr>
      <w:r>
        <w:tab/>
        <w:t>(d)</w:t>
      </w:r>
      <w:r>
        <w:tab/>
        <w:t>the carrying out of any work on ships;</w:t>
      </w:r>
    </w:p>
    <w:p>
      <w:pPr>
        <w:pStyle w:val="Defpara"/>
      </w:pPr>
      <w:r>
        <w:tab/>
        <w:t>(e)</w:t>
      </w:r>
      <w:r>
        <w:tab/>
        <w:t>the maintenance of or repairs or minor alterations to lifts or escalators; or</w:t>
      </w:r>
    </w:p>
    <w:p>
      <w:pPr>
        <w:pStyle w:val="Defpara"/>
      </w:pPr>
      <w:r>
        <w:tab/>
        <w:t>(f)</w:t>
      </w:r>
      <w:r>
        <w:tab/>
        <w:t>the carrying out of maintenance or repairs of a routine or minor nature by employees for an employer who is not substantially engaged in the industry described in this interpretation;</w:t>
      </w:r>
    </w:p>
    <w:p>
      <w:pPr>
        <w:pStyle w:val="Defstart"/>
      </w:pPr>
      <w:r>
        <w:rPr>
          <w:b/>
        </w:rPr>
        <w:tab/>
      </w:r>
      <w:r>
        <w:rPr>
          <w:rStyle w:val="CharDefText"/>
        </w:rPr>
        <w:t>day of service</w:t>
      </w:r>
      <w:r>
        <w:t xml:space="preserve"> means any day on which an employee is entitled to receive ordinary pay and includes any day on which the employee in question is —</w:t>
      </w:r>
    </w:p>
    <w:p>
      <w:pPr>
        <w:pStyle w:val="Defpara"/>
      </w:pPr>
      <w:r>
        <w:tab/>
        <w:t>(a)</w:t>
      </w:r>
      <w:r>
        <w:tab/>
        <w:t>on long service leave under this Act;</w:t>
      </w:r>
    </w:p>
    <w:p>
      <w:pPr>
        <w:pStyle w:val="Defpara"/>
      </w:pPr>
      <w:r>
        <w:tab/>
        <w:t>(b)</w:t>
      </w:r>
      <w:r>
        <w:tab/>
        <w:t>on annual leave in excess of 4 weeks in any period of 12 months;</w:t>
      </w:r>
    </w:p>
    <w:p>
      <w:pPr>
        <w:pStyle w:val="Defpara"/>
      </w:pPr>
      <w:r>
        <w:tab/>
        <w:t>(c)</w:t>
      </w:r>
      <w:r>
        <w:tab/>
        <w:t>on paid sick leave;</w:t>
      </w:r>
    </w:p>
    <w:p>
      <w:pPr>
        <w:pStyle w:val="Defstart"/>
      </w:pPr>
      <w:r>
        <w:rPr>
          <w:b/>
        </w:rPr>
        <w:tab/>
      </w:r>
      <w:r>
        <w:rPr>
          <w:rStyle w:val="CharDefText"/>
        </w:rPr>
        <w:t>employee</w:t>
      </w:r>
      <w:r>
        <w:t xml:space="preserve"> means a person who is employed under contract of service or apprenticeship in a classification of work referred to in a prescribed award relating to the construction industry that is a prescribed classification;</w:t>
      </w:r>
    </w:p>
    <w:p>
      <w:pPr>
        <w:pStyle w:val="Defstart"/>
      </w:pPr>
      <w:r>
        <w:rPr>
          <w:b/>
        </w:rPr>
        <w:tab/>
      </w:r>
      <w:r>
        <w:rPr>
          <w:rStyle w:val="CharDefText"/>
        </w:rPr>
        <w:t>employees register</w:t>
      </w:r>
      <w:r>
        <w:t xml:space="preserve"> means the register of employees established and maintained under Part IV;</w:t>
      </w:r>
    </w:p>
    <w:p>
      <w:pPr>
        <w:pStyle w:val="Defstart"/>
      </w:pPr>
      <w:r>
        <w:rPr>
          <w:b/>
        </w:rPr>
        <w:tab/>
      </w:r>
      <w:r>
        <w:rPr>
          <w:rStyle w:val="CharDefText"/>
        </w:rPr>
        <w:t>employer</w:t>
      </w:r>
      <w:r>
        <w:t xml:space="preserve"> means a natural person or firm or body corporate, as the case may be, who or which engages persons as employees in the construction industry but does not include a Minister, authority or local government prescribed under subsection (4)(c);</w:t>
      </w:r>
    </w:p>
    <w:p>
      <w:pPr>
        <w:pStyle w:val="Defstart"/>
      </w:pPr>
      <w:r>
        <w:rPr>
          <w:b/>
        </w:rPr>
        <w:tab/>
      </w:r>
      <w:r>
        <w:rPr>
          <w:rStyle w:val="CharDefText"/>
        </w:rPr>
        <w:t>employers register</w:t>
      </w:r>
      <w:r>
        <w:t xml:space="preserve"> means the register of employers established and maintained under Part IV;</w:t>
      </w:r>
    </w:p>
    <w:p>
      <w:pPr>
        <w:pStyle w:val="Defstart"/>
      </w:pPr>
      <w:r>
        <w:rPr>
          <w:b/>
        </w:rPr>
        <w:tab/>
      </w:r>
      <w:r>
        <w:rPr>
          <w:rStyle w:val="CharDefText"/>
        </w:rPr>
        <w:t>member</w:t>
      </w:r>
      <w:r>
        <w:t xml:space="preserve"> means a member of the Board and includes the chairman;</w:t>
      </w:r>
    </w:p>
    <w:p>
      <w:pPr>
        <w:pStyle w:val="Defstart"/>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pPr>
      <w:r>
        <w:rPr>
          <w:b/>
        </w:rPr>
        <w:tab/>
      </w:r>
      <w:r>
        <w:rPr>
          <w:rStyle w:val="CharDefText"/>
        </w:rPr>
        <w:t>union</w:t>
      </w:r>
      <w:r>
        <w:t xml:space="preserve"> means an organization of workers or employees registered under </w:t>
      </w:r>
      <w:r>
        <w:rPr>
          <w:spacing w:val="-2"/>
          <w:kern w:val="24"/>
        </w:rPr>
        <w:t xml:space="preserve">Schedule 1 of the </w:t>
      </w:r>
      <w:r>
        <w:rPr>
          <w:i/>
          <w:iCs/>
          <w:spacing w:val="-2"/>
          <w:kern w:val="24"/>
        </w:rPr>
        <w:t xml:space="preserve">Workplace Relations Act 1996 </w:t>
      </w:r>
      <w:r>
        <w:t xml:space="preserve">of the Commonwealth or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spacing w:before="120"/>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Subsection"/>
        <w:spacing w:before="120"/>
        <w:rPr>
          <w:snapToGrid w:val="0"/>
        </w:rPr>
      </w:pPr>
      <w:r>
        <w:rPr>
          <w:snapToGrid w:val="0"/>
        </w:rPr>
        <w:tab/>
        <w:t>(3)</w:t>
      </w:r>
      <w:r>
        <w:rPr>
          <w:snapToGrid w:val="0"/>
        </w:rPr>
        <w:tab/>
        <w:t>For the purposes of this Act a reference to an employee does not include an apprentice under and for the purposes of any Act of this State or any other State of the Commonwealth relating to apprentices but service as an apprentice shall be included as service for the purposes of this Act.</w:t>
      </w:r>
    </w:p>
    <w:p>
      <w:pPr>
        <w:pStyle w:val="Subsection"/>
        <w:spacing w:before="120"/>
      </w:pPr>
      <w:r>
        <w:tab/>
        <w:t>(3a)</w:t>
      </w:r>
      <w:r>
        <w:tab/>
        <w:t xml:space="preserve">For the purposes of the definition of </w:t>
      </w:r>
      <w:r>
        <w:rPr>
          <w:b/>
          <w:bCs/>
          <w:i/>
          <w:iCs/>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spacing w:before="120"/>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 xml:space="preserve">any classification of work referred to in a prescribed award to be a prescribed classification of work for the purposes of the definition of </w:t>
      </w:r>
      <w:r>
        <w:rPr>
          <w:b/>
          <w:bCs/>
          <w:i/>
          <w:iCs/>
          <w:snapToGrid w:val="0"/>
        </w:rPr>
        <w:t>employee</w:t>
      </w:r>
      <w:r>
        <w:rPr>
          <w:snapToGrid w:val="0"/>
        </w:rPr>
        <w:t>;</w:t>
      </w:r>
    </w:p>
    <w:p>
      <w:pPr>
        <w:pStyle w:val="Indenta"/>
        <w:rPr>
          <w:snapToGrid w:val="0"/>
        </w:rPr>
      </w:pPr>
      <w:r>
        <w:rPr>
          <w:snapToGrid w:val="0"/>
        </w:rPr>
        <w:tab/>
        <w:t>(b)</w:t>
      </w:r>
      <w:r>
        <w:rPr>
          <w:snapToGrid w:val="0"/>
        </w:rPr>
        <w:tab/>
        <w:t>any award made with respect to employment in the construction industry to be a prescribed award for the purposes of this Act;</w:t>
      </w:r>
    </w:p>
    <w:p>
      <w:pPr>
        <w:pStyle w:val="Indenta"/>
        <w:rPr>
          <w:snapToGrid w:val="0"/>
        </w:rPr>
      </w:pPr>
      <w:r>
        <w:rPr>
          <w:snapToGrid w:val="0"/>
        </w:rPr>
        <w:tab/>
        <w:t>(c)</w:t>
      </w:r>
      <w:r>
        <w:rPr>
          <w:snapToGrid w:val="0"/>
        </w:rPr>
        <w:tab/>
        <w:t xml:space="preserve">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w:t>
      </w:r>
      <w:r>
        <w:rPr>
          <w:b/>
          <w:bCs/>
          <w:i/>
          <w:iCs/>
          <w:snapToGrid w:val="0"/>
        </w:rPr>
        <w:t>employer</w:t>
      </w:r>
      <w:r>
        <w:rPr>
          <w:snapToGrid w:val="0"/>
        </w:rPr>
        <w:t xml:space="preserve"> in subsection (1).</w:t>
      </w:r>
    </w:p>
    <w:p>
      <w:pPr>
        <w:pStyle w:val="Footnotesection"/>
      </w:pPr>
      <w:r>
        <w:tab/>
        <w:t>[Section 3 amended by No. 30 of 1989 s. 4; No. 14 of 1996 s. 4; No. 57 of 1997 s. 38; No. 10 of 2001 s. 44; No. 36 of 2006 s. 44.]</w:t>
      </w:r>
    </w:p>
    <w:p>
      <w:pPr>
        <w:pStyle w:val="Heading5"/>
        <w:rPr>
          <w:snapToGrid w:val="0"/>
        </w:rPr>
      </w:pPr>
      <w:bookmarkStart w:id="42" w:name="_Toc95730143"/>
      <w:bookmarkStart w:id="43" w:name="_Toc147630771"/>
      <w:bookmarkStart w:id="44" w:name="_Toc267647260"/>
      <w:r>
        <w:rPr>
          <w:rStyle w:val="CharSectno"/>
        </w:rPr>
        <w:t>4</w:t>
      </w:r>
      <w:r>
        <w:rPr>
          <w:snapToGrid w:val="0"/>
        </w:rPr>
        <w:t>.</w:t>
      </w:r>
      <w:r>
        <w:rPr>
          <w:snapToGrid w:val="0"/>
        </w:rPr>
        <w:tab/>
        <w:t>Crown bound</w:t>
      </w:r>
      <w:bookmarkEnd w:id="42"/>
      <w:bookmarkEnd w:id="43"/>
      <w:bookmarkEnd w:id="44"/>
    </w:p>
    <w:p>
      <w:pPr>
        <w:pStyle w:val="Subsection"/>
        <w:rPr>
          <w:snapToGrid w:val="0"/>
        </w:rPr>
      </w:pPr>
      <w:r>
        <w:rPr>
          <w:snapToGrid w:val="0"/>
        </w:rPr>
        <w:tab/>
      </w:r>
      <w:r>
        <w:rPr>
          <w:snapToGrid w:val="0"/>
        </w:rPr>
        <w:tab/>
        <w:t>This Act binds the Crown in right of the State.</w:t>
      </w:r>
    </w:p>
    <w:p>
      <w:pPr>
        <w:pStyle w:val="Heading2"/>
      </w:pPr>
      <w:bookmarkStart w:id="45" w:name="_Toc95729727"/>
      <w:bookmarkStart w:id="46" w:name="_Toc95729792"/>
      <w:bookmarkStart w:id="47" w:name="_Toc95730144"/>
      <w:bookmarkStart w:id="48" w:name="_Toc95730218"/>
      <w:bookmarkStart w:id="49" w:name="_Toc97003705"/>
      <w:bookmarkStart w:id="50" w:name="_Toc102810424"/>
      <w:bookmarkStart w:id="51" w:name="_Toc116956523"/>
      <w:bookmarkStart w:id="52" w:name="_Toc116956587"/>
      <w:bookmarkStart w:id="53" w:name="_Toc116960852"/>
      <w:bookmarkStart w:id="54" w:name="_Toc118525487"/>
      <w:bookmarkStart w:id="55" w:name="_Toc118525793"/>
      <w:bookmarkStart w:id="56" w:name="_Toc120001169"/>
      <w:bookmarkStart w:id="57" w:name="_Toc139864255"/>
      <w:bookmarkStart w:id="58" w:name="_Toc140029709"/>
      <w:bookmarkStart w:id="59" w:name="_Toc140029777"/>
      <w:bookmarkStart w:id="60" w:name="_Toc147305016"/>
      <w:bookmarkStart w:id="61" w:name="_Toc147313791"/>
      <w:bookmarkStart w:id="62" w:name="_Toc147630398"/>
      <w:bookmarkStart w:id="63" w:name="_Toc147630772"/>
      <w:bookmarkStart w:id="64" w:name="_Toc147631917"/>
      <w:bookmarkStart w:id="65" w:name="_Toc147631986"/>
      <w:bookmarkStart w:id="66" w:name="_Toc157844274"/>
      <w:bookmarkStart w:id="67" w:name="_Toc241051482"/>
      <w:bookmarkStart w:id="68" w:name="_Toc259540298"/>
      <w:bookmarkStart w:id="69" w:name="_Toc259540453"/>
      <w:bookmarkStart w:id="70" w:name="_Toc260209981"/>
      <w:bookmarkStart w:id="71" w:name="_Toc261875540"/>
      <w:bookmarkStart w:id="72" w:name="_Toc262222432"/>
      <w:bookmarkStart w:id="73" w:name="_Toc263414922"/>
      <w:bookmarkStart w:id="74" w:name="_Toc263415606"/>
      <w:bookmarkStart w:id="75" w:name="_Toc267647261"/>
      <w:r>
        <w:rPr>
          <w:rStyle w:val="CharPartNo"/>
        </w:rPr>
        <w:t>Part II</w:t>
      </w:r>
      <w:r>
        <w:rPr>
          <w:rStyle w:val="CharDivNo"/>
        </w:rPr>
        <w:t> </w:t>
      </w:r>
      <w:r>
        <w:t>—</w:t>
      </w:r>
      <w:r>
        <w:rPr>
          <w:rStyle w:val="CharDivText"/>
        </w:rPr>
        <w:t> </w:t>
      </w:r>
      <w:r>
        <w:rPr>
          <w:rStyle w:val="CharPartText"/>
        </w:rPr>
        <w:t>Administration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95730145"/>
      <w:bookmarkStart w:id="77" w:name="_Toc147630773"/>
      <w:bookmarkStart w:id="78" w:name="_Toc267647262"/>
      <w:r>
        <w:rPr>
          <w:rStyle w:val="CharSectno"/>
        </w:rPr>
        <w:t>5</w:t>
      </w:r>
      <w:r>
        <w:rPr>
          <w:snapToGrid w:val="0"/>
        </w:rPr>
        <w:t>.</w:t>
      </w:r>
      <w:r>
        <w:rPr>
          <w:snapToGrid w:val="0"/>
        </w:rPr>
        <w:tab/>
        <w:t>Construction Industry Long Service Leave Payments Board established</w:t>
      </w:r>
      <w:bookmarkEnd w:id="76"/>
      <w:bookmarkEnd w:id="77"/>
      <w:bookmarkEnd w:id="78"/>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79" w:name="_Toc95730146"/>
      <w:bookmarkStart w:id="80" w:name="_Toc147630774"/>
      <w:bookmarkStart w:id="81" w:name="_Toc267647263"/>
      <w:r>
        <w:rPr>
          <w:rStyle w:val="CharSectno"/>
        </w:rPr>
        <w:t>6</w:t>
      </w:r>
      <w:r>
        <w:rPr>
          <w:snapToGrid w:val="0"/>
        </w:rPr>
        <w:t>.</w:t>
      </w:r>
      <w:r>
        <w:rPr>
          <w:snapToGrid w:val="0"/>
        </w:rPr>
        <w:tab/>
        <w:t>Membership of Board</w:t>
      </w:r>
      <w:bookmarkEnd w:id="79"/>
      <w:bookmarkEnd w:id="80"/>
      <w:bookmarkEnd w:id="81"/>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rPr>
          <w:snapToGrid w:val="0"/>
        </w:rPr>
      </w:pPr>
      <w:r>
        <w:rPr>
          <w:snapToGrid w:val="0"/>
        </w:rPr>
        <w:tab/>
        <w:t xml:space="preserve">(a) </w:t>
      </w:r>
      <w:r>
        <w:rPr>
          <w:snapToGrid w:val="0"/>
        </w:rPr>
        <w:tab/>
        <w:t>one person who shall be chairman;</w:t>
      </w:r>
    </w:p>
    <w:p>
      <w:pPr>
        <w:pStyle w:val="Indenta"/>
        <w:rPr>
          <w:snapToGrid w:val="0"/>
        </w:rPr>
      </w:pPr>
      <w:r>
        <w:rPr>
          <w:snapToGrid w:val="0"/>
        </w:rPr>
        <w:tab/>
        <w:t>(b)</w:t>
      </w:r>
      <w:r>
        <w:rPr>
          <w:snapToGrid w:val="0"/>
        </w:rPr>
        <w:tab/>
        <w:t xml:space="preserve">3 persons appointed from among persons whose names are on a panel of 6 names comprised of 3 names submitted by the body known as the Master Builders’ Association of Western Australia and 3 names submitted by the body known as </w:t>
      </w:r>
      <w:r>
        <w:t>the Chamber of Commerce and Industry of Western Australia (Inc); and</w:t>
      </w:r>
    </w:p>
    <w:p>
      <w:pPr>
        <w:pStyle w:val="Indenta"/>
        <w:rPr>
          <w:snapToGrid w:val="0"/>
        </w:rPr>
      </w:pPr>
      <w:r>
        <w:rPr>
          <w:snapToGrid w:val="0"/>
        </w:rPr>
        <w:tab/>
        <w:t>(c)</w:t>
      </w:r>
      <w:r>
        <w:rPr>
          <w:snapToGrid w:val="0"/>
        </w:rPr>
        <w:tab/>
        <w:t>3 persons appointed from among persons whose names are on a panel of 6 names comprised of 3 names submitted by the body known as the Trades and Labor Council of Western Australia and 3 names submitted by the body known as The Building Trades Association of Unions of Western Australia (Association of Workers).</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Footnotesection"/>
      </w:pPr>
      <w:r>
        <w:tab/>
        <w:t>[Section 6 amended by No. 8 of 2009 s. 39.]</w:t>
      </w:r>
    </w:p>
    <w:p>
      <w:pPr>
        <w:pStyle w:val="Heading5"/>
        <w:rPr>
          <w:snapToGrid w:val="0"/>
        </w:rPr>
      </w:pPr>
      <w:bookmarkStart w:id="82" w:name="_Toc95730147"/>
      <w:bookmarkStart w:id="83" w:name="_Toc147630775"/>
      <w:bookmarkStart w:id="84" w:name="_Toc267647264"/>
      <w:r>
        <w:rPr>
          <w:rStyle w:val="CharSectno"/>
        </w:rPr>
        <w:t>7</w:t>
      </w:r>
      <w:r>
        <w:rPr>
          <w:snapToGrid w:val="0"/>
        </w:rPr>
        <w:t>.</w:t>
      </w:r>
      <w:r>
        <w:rPr>
          <w:snapToGrid w:val="0"/>
        </w:rPr>
        <w:tab/>
        <w:t>Acting members</w:t>
      </w:r>
      <w:bookmarkEnd w:id="82"/>
      <w:bookmarkEnd w:id="83"/>
      <w:bookmarkEnd w:id="8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member other than the chairman is absent or temporarily incapable of fulfilling the duties of a member; or</w:t>
      </w:r>
    </w:p>
    <w:p>
      <w:pPr>
        <w:pStyle w:val="Indenta"/>
        <w:rPr>
          <w:snapToGrid w:val="0"/>
        </w:rPr>
      </w:pPr>
      <w:r>
        <w:rPr>
          <w:snapToGrid w:val="0"/>
        </w:rPr>
        <w:tab/>
        <w:t>(b)</w:t>
      </w:r>
      <w:r>
        <w:rPr>
          <w:snapToGrid w:val="0"/>
        </w:rPr>
        <w:tab/>
        <w:t>the office of a member other than the chairman is vacant and has not been filled in accordance with this Act,</w:t>
      </w:r>
    </w:p>
    <w:p>
      <w:pPr>
        <w:pStyle w:val="Subsection"/>
        <w:rPr>
          <w:snapToGrid w:val="0"/>
        </w:rPr>
      </w:pPr>
      <w:r>
        <w:rPr>
          <w:snapToGrid w:val="0"/>
        </w:rPr>
        <w:tab/>
      </w:r>
      <w:r>
        <w:rPr>
          <w:snapToGrid w:val="0"/>
        </w:rPr>
        <w:tab/>
        <w:t>the Minister may on the nomination of the relevant body referred in section 6(1)(b) or (c) appoint a person to act in the place of that member during that absence or incapacity,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spacing w:val="-6"/>
        </w:rPr>
        <w:tab/>
        <w:t>(2)</w:t>
      </w:r>
      <w:r>
        <w:rPr>
          <w:snapToGrid w:val="0"/>
          <w:spacing w:val="-6"/>
        </w:rPr>
        <w:tab/>
      </w:r>
      <w:r>
        <w:rPr>
          <w:snapToGrid w:val="0"/>
        </w:rPr>
        <w:t>A nomination for the purposes of subsection (1) may be made from time to time and may be expressed to operate for a period or in such circumstances as are specified in the instrument of nomination.</w:t>
      </w:r>
    </w:p>
    <w:p>
      <w:pPr>
        <w:pStyle w:val="Subsection"/>
        <w:rPr>
          <w:snapToGrid w:val="0"/>
        </w:rPr>
      </w:pPr>
      <w:r>
        <w:rPr>
          <w:snapToGrid w:val="0"/>
        </w:rPr>
        <w:tab/>
        <w:t>(3)</w:t>
      </w:r>
      <w:r>
        <w:rPr>
          <w:snapToGrid w:val="0"/>
        </w:rPr>
        <w:tab/>
        <w:t>The Minister, in the absence or incapacity of the chairman or if that office is vacant, may appoint a person to act as chairman and that person, while the appointment subsists, has all the functions, powers and duties of the chairman.</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Heading5"/>
        <w:rPr>
          <w:snapToGrid w:val="0"/>
        </w:rPr>
      </w:pPr>
      <w:bookmarkStart w:id="85" w:name="_Toc95730148"/>
      <w:bookmarkStart w:id="86" w:name="_Toc147630776"/>
      <w:bookmarkStart w:id="87" w:name="_Toc267647265"/>
      <w:r>
        <w:rPr>
          <w:rStyle w:val="CharSectno"/>
        </w:rPr>
        <w:t>8</w:t>
      </w:r>
      <w:r>
        <w:rPr>
          <w:snapToGrid w:val="0"/>
        </w:rPr>
        <w:t>.</w:t>
      </w:r>
      <w:r>
        <w:rPr>
          <w:snapToGrid w:val="0"/>
        </w:rPr>
        <w:tab/>
        <w:t>Vacation of office</w:t>
      </w:r>
      <w:bookmarkEnd w:id="85"/>
      <w:bookmarkEnd w:id="86"/>
      <w:bookmarkEnd w:id="87"/>
    </w:p>
    <w:p>
      <w:pPr>
        <w:pStyle w:val="Subsection"/>
        <w:rPr>
          <w:snapToGrid w:val="0"/>
        </w:rPr>
      </w:pPr>
      <w:r>
        <w:rPr>
          <w:snapToGrid w:val="0"/>
        </w:rPr>
        <w:tab/>
        <w:t>(1)</w:t>
      </w:r>
      <w:r>
        <w:rPr>
          <w:snapToGrid w:val="0"/>
        </w:rPr>
        <w:tab/>
        <w:t>The Minister may terminate the appointment of a member for inability, inefficiency or misbehaviour.</w:t>
      </w:r>
    </w:p>
    <w:p>
      <w:pPr>
        <w:pStyle w:val="Subsection"/>
        <w:rPr>
          <w:snapToGrid w:val="0"/>
        </w:rPr>
      </w:pPr>
      <w:r>
        <w:rPr>
          <w:snapToGrid w:val="0"/>
        </w:rPr>
        <w:tab/>
        <w:t>(2)</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his appointment is terminated by the Minister under subsection (1); or</w:t>
      </w:r>
    </w:p>
    <w:p>
      <w:pPr>
        <w:pStyle w:val="Indenta"/>
        <w:rPr>
          <w:snapToGrid w:val="0"/>
        </w:rPr>
      </w:pPr>
      <w:r>
        <w:rPr>
          <w:snapToGrid w:val="0"/>
        </w:rPr>
        <w:tab/>
        <w:t>(c)</w:t>
      </w:r>
      <w:r>
        <w:rPr>
          <w:snapToGrid w:val="0"/>
        </w:rPr>
        <w:tab/>
        <w:t>he is absent, except on leave duly granted by the Minister, from 3 consecutive meetings of the Board of which he has had notice; or</w:t>
      </w:r>
    </w:p>
    <w:p>
      <w:pPr>
        <w:pStyle w:val="Indenta"/>
        <w:rPr>
          <w:snapToGrid w:val="0"/>
        </w:rPr>
      </w:pPr>
      <w:r>
        <w:rPr>
          <w:snapToGrid w:val="0"/>
        </w:rPr>
        <w:tab/>
        <w:t>(d)</w:t>
      </w:r>
      <w:r>
        <w:rPr>
          <w:snapToGrid w:val="0"/>
        </w:rPr>
        <w:tab/>
        <w:t>he resigns his office by written notice addressed to the Minister; or</w:t>
      </w:r>
    </w:p>
    <w:p>
      <w:pPr>
        <w:pStyle w:val="Indenta"/>
        <w:rPr>
          <w:snapToGrid w:val="0"/>
        </w:rPr>
      </w:pPr>
      <w:r>
        <w:rPr>
          <w:snapToGrid w:val="0"/>
        </w:rPr>
        <w:tab/>
        <w:t>(e)</w:t>
      </w:r>
      <w:r>
        <w:rPr>
          <w:snapToGrid w:val="0"/>
        </w:rPr>
        <w:tab/>
        <w:t>being a member appointed under section 6(1)(b) or (c) the body by whom he was nominated withdraws its nomination; or</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pPr>
      <w:r>
        <w:tab/>
        <w:t>[Section 8 amended by No. 18 of 2009 s. 21.]</w:t>
      </w:r>
    </w:p>
    <w:p>
      <w:pPr>
        <w:pStyle w:val="Heading5"/>
        <w:rPr>
          <w:snapToGrid w:val="0"/>
        </w:rPr>
      </w:pPr>
      <w:bookmarkStart w:id="88" w:name="_Toc95730149"/>
      <w:bookmarkStart w:id="89" w:name="_Toc147630777"/>
      <w:bookmarkStart w:id="90" w:name="_Toc267647266"/>
      <w:r>
        <w:rPr>
          <w:rStyle w:val="CharSectno"/>
        </w:rPr>
        <w:t>9</w:t>
      </w:r>
      <w:r>
        <w:rPr>
          <w:snapToGrid w:val="0"/>
        </w:rPr>
        <w:t>.</w:t>
      </w:r>
      <w:r>
        <w:rPr>
          <w:snapToGrid w:val="0"/>
        </w:rPr>
        <w:tab/>
        <w:t>Fees and allowances</w:t>
      </w:r>
      <w:bookmarkEnd w:id="88"/>
      <w:bookmarkEnd w:id="89"/>
      <w:bookmarkEnd w:id="90"/>
    </w:p>
    <w:p>
      <w:pPr>
        <w:pStyle w:val="Subsection"/>
        <w:rPr>
          <w:snapToGrid w:val="0"/>
        </w:rPr>
      </w:pPr>
      <w:r>
        <w:rPr>
          <w:snapToGrid w:val="0"/>
        </w:rPr>
        <w:tab/>
        <w:t>(1)</w:t>
      </w:r>
      <w:r>
        <w:rPr>
          <w:snapToGrid w:val="0"/>
        </w:rPr>
        <w:tab/>
        <w:t>A member is entitled to such fees and allowances as the Minister determines from time to time after consultation with the Minister for Public Sector Management</w:t>
      </w:r>
      <w:r>
        <w:rPr>
          <w:snapToGrid w:val="0"/>
          <w:vertAlign w:val="superscript"/>
        </w:rPr>
        <w:t> 2</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w:t>
      </w:r>
    </w:p>
    <w:p>
      <w:pPr>
        <w:pStyle w:val="Heading5"/>
        <w:rPr>
          <w:snapToGrid w:val="0"/>
        </w:rPr>
      </w:pPr>
      <w:bookmarkStart w:id="91" w:name="_Toc95730150"/>
      <w:bookmarkStart w:id="92" w:name="_Toc147630778"/>
      <w:bookmarkStart w:id="93" w:name="_Toc267647267"/>
      <w:r>
        <w:rPr>
          <w:rStyle w:val="CharSectno"/>
        </w:rPr>
        <w:t>10</w:t>
      </w:r>
      <w:r>
        <w:rPr>
          <w:snapToGrid w:val="0"/>
        </w:rPr>
        <w:t>.</w:t>
      </w:r>
      <w:r>
        <w:rPr>
          <w:snapToGrid w:val="0"/>
        </w:rPr>
        <w:tab/>
        <w:t>Meetings of Board and disclosure of interest</w:t>
      </w:r>
      <w:bookmarkEnd w:id="91"/>
      <w:bookmarkEnd w:id="92"/>
      <w:bookmarkEnd w:id="93"/>
    </w:p>
    <w:p>
      <w:pPr>
        <w:pStyle w:val="Subsection"/>
        <w:rPr>
          <w:snapToGrid w:val="0"/>
        </w:rPr>
      </w:pPr>
      <w:r>
        <w:rPr>
          <w:snapToGrid w:val="0"/>
          <w:spacing w:val="-6"/>
        </w:rPr>
        <w:tab/>
        <w:t>(1)</w:t>
      </w:r>
      <w:r>
        <w:rPr>
          <w:snapToGrid w:val="0"/>
          <w:spacing w:val="-6"/>
        </w:rPr>
        <w:tab/>
      </w:r>
      <w:r>
        <w:rPr>
          <w:snapToGrid w:val="0"/>
        </w:rPr>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spacing w:val="-8"/>
        </w:rPr>
      </w:pPr>
      <w:r>
        <w:rPr>
          <w:snapToGrid w:val="0"/>
          <w:spacing w:val="-8"/>
        </w:rPr>
        <w:tab/>
        <w:t>(b)</w:t>
      </w:r>
      <w:r>
        <w:rPr>
          <w:snapToGrid w:val="0"/>
          <w:spacing w:val="-8"/>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spacing w:val="6"/>
        </w:rPr>
      </w:pPr>
      <w:r>
        <w:rPr>
          <w:snapToGrid w:val="0"/>
          <w:spacing w:val="6"/>
        </w:rPr>
        <w:tab/>
        <w:t>(6)</w:t>
      </w:r>
      <w:r>
        <w:rPr>
          <w:snapToGrid w:val="0"/>
          <w:spacing w:val="6"/>
        </w:rPr>
        <w:tab/>
      </w:r>
      <w:r>
        <w:rPr>
          <w:snapToGrid w:val="0"/>
        </w:rPr>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spacing w:val="-6"/>
        </w:rPr>
      </w:pPr>
      <w:r>
        <w:rPr>
          <w:snapToGrid w:val="0"/>
          <w:spacing w:val="-6"/>
        </w:rPr>
        <w:tab/>
        <w:t>(7)</w:t>
      </w:r>
      <w:r>
        <w:rPr>
          <w:snapToGrid w:val="0"/>
          <w:spacing w:val="-6"/>
        </w:rPr>
        <w:tab/>
      </w:r>
      <w:r>
        <w:rPr>
          <w:snapToGrid w:val="0"/>
        </w:rPr>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94" w:name="_Toc95730151"/>
      <w:bookmarkStart w:id="95" w:name="_Toc147630779"/>
      <w:bookmarkStart w:id="96" w:name="_Toc267647268"/>
      <w:r>
        <w:rPr>
          <w:rStyle w:val="CharSectno"/>
        </w:rPr>
        <w:t>11</w:t>
      </w:r>
      <w:r>
        <w:rPr>
          <w:snapToGrid w:val="0"/>
        </w:rPr>
        <w:t>.</w:t>
      </w:r>
      <w:r>
        <w:rPr>
          <w:snapToGrid w:val="0"/>
        </w:rPr>
        <w:tab/>
        <w:t>Minister may require Board to give information</w:t>
      </w:r>
      <w:bookmarkEnd w:id="94"/>
      <w:bookmarkEnd w:id="95"/>
      <w:bookmarkEnd w:id="96"/>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97" w:name="_Toc95730152"/>
      <w:bookmarkStart w:id="98" w:name="_Toc147630780"/>
      <w:bookmarkStart w:id="99" w:name="_Toc267647269"/>
      <w:r>
        <w:rPr>
          <w:rStyle w:val="CharSectno"/>
        </w:rPr>
        <w:t>12</w:t>
      </w:r>
      <w:r>
        <w:rPr>
          <w:snapToGrid w:val="0"/>
        </w:rPr>
        <w:t>.</w:t>
      </w:r>
      <w:r>
        <w:rPr>
          <w:snapToGrid w:val="0"/>
        </w:rPr>
        <w:tab/>
        <w:t>Indemnity</w:t>
      </w:r>
      <w:bookmarkEnd w:id="97"/>
      <w:bookmarkEnd w:id="98"/>
      <w:bookmarkEnd w:id="99"/>
    </w:p>
    <w:p>
      <w:pPr>
        <w:pStyle w:val="Subsection"/>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100" w:name="_Toc95730153"/>
      <w:bookmarkStart w:id="101" w:name="_Toc147630781"/>
      <w:bookmarkStart w:id="102" w:name="_Toc267647270"/>
      <w:r>
        <w:rPr>
          <w:rStyle w:val="CharSectno"/>
        </w:rPr>
        <w:t>13</w:t>
      </w:r>
      <w:r>
        <w:rPr>
          <w:snapToGrid w:val="0"/>
        </w:rPr>
        <w:t>.</w:t>
      </w:r>
      <w:r>
        <w:rPr>
          <w:snapToGrid w:val="0"/>
        </w:rPr>
        <w:tab/>
        <w:t>Staff</w:t>
      </w:r>
      <w:bookmarkEnd w:id="100"/>
      <w:bookmarkEnd w:id="101"/>
      <w:bookmarkEnd w:id="102"/>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103" w:name="_Toc95730154"/>
      <w:bookmarkStart w:id="104" w:name="_Toc147630782"/>
      <w:bookmarkStart w:id="105" w:name="_Toc267647271"/>
      <w:r>
        <w:rPr>
          <w:rStyle w:val="CharSectno"/>
        </w:rPr>
        <w:t>14</w:t>
      </w:r>
      <w:r>
        <w:rPr>
          <w:snapToGrid w:val="0"/>
        </w:rPr>
        <w:t>.</w:t>
      </w:r>
      <w:r>
        <w:rPr>
          <w:snapToGrid w:val="0"/>
        </w:rPr>
        <w:tab/>
        <w:t>Functions of Board</w:t>
      </w:r>
      <w:bookmarkEnd w:id="103"/>
      <w:bookmarkEnd w:id="104"/>
      <w:bookmarkEnd w:id="105"/>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rPr>
          <w:snapToGrid w:val="0"/>
        </w:rPr>
      </w:pPr>
      <w:r>
        <w:rPr>
          <w:snapToGrid w:val="0"/>
        </w:rPr>
        <w:tab/>
        <w:t>(a)</w:t>
      </w:r>
      <w:r>
        <w:rPr>
          <w:snapToGrid w:val="0"/>
        </w:rPr>
        <w:tab/>
        <w:t>to maintain the register of employers and register of employees;</w:t>
      </w:r>
    </w:p>
    <w:p>
      <w:pPr>
        <w:pStyle w:val="Indenta"/>
        <w:rPr>
          <w:snapToGrid w:val="0"/>
        </w:rPr>
      </w:pPr>
      <w:r>
        <w:rPr>
          <w:snapToGrid w:val="0"/>
        </w:rPr>
        <w:tab/>
        <w:t>(b)</w:t>
      </w:r>
      <w:r>
        <w:rPr>
          <w:snapToGrid w:val="0"/>
        </w:rPr>
        <w:tab/>
        <w:t>to administer the scheme of payment to employees during long service leave established under this Act;</w:t>
      </w:r>
    </w:p>
    <w:p>
      <w:pPr>
        <w:pStyle w:val="Indenta"/>
        <w:rPr>
          <w:snapToGrid w:val="0"/>
        </w:rPr>
      </w:pPr>
      <w:r>
        <w:rPr>
          <w:snapToGrid w:val="0"/>
        </w:rPr>
        <w:tab/>
        <w:t>(c)</w:t>
      </w:r>
      <w:r>
        <w:rPr>
          <w:snapToGrid w:val="0"/>
        </w:rPr>
        <w:tab/>
        <w:t>to advise the Minister on the administration of this Act;</w:t>
      </w:r>
    </w:p>
    <w:p>
      <w:pPr>
        <w:pStyle w:val="Indenta"/>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106" w:name="_Toc95730155"/>
      <w:bookmarkStart w:id="107" w:name="_Toc147630783"/>
      <w:bookmarkStart w:id="108" w:name="_Toc267647272"/>
      <w:r>
        <w:rPr>
          <w:rStyle w:val="CharSectno"/>
        </w:rPr>
        <w:t>15</w:t>
      </w:r>
      <w:r>
        <w:rPr>
          <w:snapToGrid w:val="0"/>
        </w:rPr>
        <w:t>.</w:t>
      </w:r>
      <w:r>
        <w:rPr>
          <w:snapToGrid w:val="0"/>
        </w:rPr>
        <w:tab/>
        <w:t>Funds of Board</w:t>
      </w:r>
      <w:bookmarkEnd w:id="106"/>
      <w:bookmarkEnd w:id="107"/>
      <w:bookmarkEnd w:id="108"/>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such moneys as are paid to the Board under section 34;</w:t>
      </w:r>
    </w:p>
    <w:p>
      <w:pPr>
        <w:pStyle w:val="Indenta"/>
        <w:rPr>
          <w:snapToGrid w:val="0"/>
        </w:rPr>
      </w:pPr>
      <w:r>
        <w:rPr>
          <w:snapToGrid w:val="0"/>
        </w:rPr>
        <w:tab/>
        <w:t>(b)</w:t>
      </w:r>
      <w:r>
        <w:rPr>
          <w:snapToGrid w:val="0"/>
        </w:rPr>
        <w:tab/>
        <w:t>proceeds from investments made by the Board under subsection (3);</w:t>
      </w:r>
    </w:p>
    <w:p>
      <w:pPr>
        <w:pStyle w:val="Indenta"/>
        <w:keepNext/>
        <w:rPr>
          <w:snapToGrid w:val="0"/>
        </w:rPr>
      </w:pPr>
      <w:r>
        <w:rPr>
          <w:snapToGrid w:val="0"/>
        </w:rPr>
        <w:tab/>
        <w:t>(c)</w:t>
      </w:r>
      <w:r>
        <w:rPr>
          <w:snapToGrid w:val="0"/>
        </w:rPr>
        <w:tab/>
        <w:t>such moneys as the Board may borrow under this Act;</w:t>
      </w:r>
    </w:p>
    <w:p>
      <w:pPr>
        <w:pStyle w:val="Indenta"/>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w:t>
      </w:r>
    </w:p>
    <w:p>
      <w:pPr>
        <w:pStyle w:val="Indenta"/>
        <w:rPr>
          <w:snapToGrid w:val="0"/>
        </w:rPr>
      </w:pPr>
      <w:r>
        <w:rPr>
          <w:snapToGrid w:val="0"/>
        </w:rPr>
        <w:tab/>
        <w:t>(b)</w:t>
      </w:r>
      <w:r>
        <w:rPr>
          <w:snapToGrid w:val="0"/>
        </w:rPr>
        <w:tab/>
        <w:t>for the repayment of moneys borrowed under section 16;</w:t>
      </w:r>
    </w:p>
    <w:p>
      <w:pPr>
        <w:pStyle w:val="Indenta"/>
        <w:rPr>
          <w:snapToGrid w:val="0"/>
        </w:rPr>
      </w:pPr>
      <w:r>
        <w:rPr>
          <w:snapToGrid w:val="0"/>
        </w:rPr>
        <w:tab/>
        <w:t>(c)</w:t>
      </w:r>
      <w:r>
        <w:rPr>
          <w:snapToGrid w:val="0"/>
        </w:rPr>
        <w:tab/>
        <w:t>in payment of remuneration and allowances to members;</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spacing w:val="-8"/>
        </w:rPr>
        <w:tab/>
        <w:t>(3)</w:t>
      </w:r>
      <w:r>
        <w:rPr>
          <w:snapToGrid w:val="0"/>
          <w:spacing w:val="-8"/>
        </w:rPr>
        <w:tab/>
      </w:r>
      <w:r>
        <w:rPr>
          <w:snapToGrid w:val="0"/>
        </w:rPr>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109" w:name="_Toc95730156"/>
      <w:bookmarkStart w:id="110" w:name="_Toc147630784"/>
      <w:bookmarkStart w:id="111" w:name="_Toc267647273"/>
      <w:r>
        <w:rPr>
          <w:rStyle w:val="CharSectno"/>
        </w:rPr>
        <w:t>16</w:t>
      </w:r>
      <w:r>
        <w:rPr>
          <w:snapToGrid w:val="0"/>
        </w:rPr>
        <w:t>.</w:t>
      </w:r>
      <w:r>
        <w:rPr>
          <w:snapToGrid w:val="0"/>
        </w:rPr>
        <w:tab/>
        <w:t>Power to borrow and guarantee</w:t>
      </w:r>
      <w:bookmarkEnd w:id="109"/>
      <w:bookmarkEnd w:id="110"/>
      <w:bookmarkEnd w:id="111"/>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by No. 4 of 1986, s. 4; No. 6 of 1993 s. 11; No. 49 of 1996 s. 64; No. 77 of 2006 s. 4.]</w:t>
      </w:r>
    </w:p>
    <w:p>
      <w:pPr>
        <w:pStyle w:val="Heading5"/>
        <w:rPr>
          <w:snapToGrid w:val="0"/>
        </w:rPr>
      </w:pPr>
      <w:bookmarkStart w:id="112" w:name="_Toc95730157"/>
      <w:bookmarkStart w:id="113" w:name="_Toc147630785"/>
      <w:bookmarkStart w:id="114" w:name="_Toc267647274"/>
      <w:r>
        <w:rPr>
          <w:rStyle w:val="CharSectno"/>
        </w:rPr>
        <w:t>17</w:t>
      </w:r>
      <w:r>
        <w:rPr>
          <w:snapToGrid w:val="0"/>
        </w:rPr>
        <w:t>.</w:t>
      </w:r>
      <w:r>
        <w:rPr>
          <w:snapToGrid w:val="0"/>
        </w:rPr>
        <w:tab/>
        <w:t>Notification of certain contracts to be given to Minister</w:t>
      </w:r>
      <w:bookmarkEnd w:id="112"/>
      <w:bookmarkEnd w:id="113"/>
      <w:bookmarkEnd w:id="114"/>
    </w:p>
    <w:p>
      <w:pPr>
        <w:pStyle w:val="Subsection"/>
        <w:rPr>
          <w:snapToGrid w:val="0"/>
        </w:rPr>
      </w:pPr>
      <w:r>
        <w:rPr>
          <w:snapToGrid w:val="0"/>
          <w:spacing w:val="-4"/>
        </w:rPr>
        <w:tab/>
        <w:t>(1)</w:t>
      </w:r>
      <w:r>
        <w:rPr>
          <w:snapToGrid w:val="0"/>
          <w:spacing w:val="-4"/>
        </w:rPr>
        <w:tab/>
      </w:r>
      <w:r>
        <w:rPr>
          <w:snapToGrid w:val="0"/>
        </w:rPr>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spacing w:val="-4"/>
        </w:rPr>
        <w:tab/>
        <w:t>(2)</w:t>
      </w:r>
      <w:r>
        <w:rPr>
          <w:snapToGrid w:val="0"/>
          <w:spacing w:val="-4"/>
        </w:rPr>
        <w:tab/>
      </w:r>
      <w:r>
        <w:rPr>
          <w:snapToGrid w:val="0"/>
        </w:rPr>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115" w:name="_Toc95730158"/>
      <w:bookmarkStart w:id="116" w:name="_Toc147630786"/>
      <w:bookmarkStart w:id="117" w:name="_Toc267647275"/>
      <w:r>
        <w:rPr>
          <w:rStyle w:val="CharSectno"/>
        </w:rPr>
        <w:t>18</w:t>
      </w:r>
      <w:r>
        <w:rPr>
          <w:snapToGrid w:val="0"/>
        </w:rPr>
        <w:t>.</w:t>
      </w:r>
      <w:r>
        <w:rPr>
          <w:snapToGrid w:val="0"/>
        </w:rPr>
        <w:tab/>
        <w:t xml:space="preserve">Application of </w:t>
      </w:r>
      <w:bookmarkEnd w:id="115"/>
      <w:bookmarkEnd w:id="116"/>
      <w:r>
        <w:rPr>
          <w:i/>
          <w:iCs/>
        </w:rPr>
        <w:t>Financial Management Act 2006</w:t>
      </w:r>
      <w:r>
        <w:t xml:space="preserve"> and </w:t>
      </w:r>
      <w:r>
        <w:rPr>
          <w:i/>
          <w:iCs/>
        </w:rPr>
        <w:t>Auditor General Act 2006</w:t>
      </w:r>
      <w:bookmarkEnd w:id="11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by No. 4 of 1986 s. 4; amended by No. 77 of 2006 Sch. 1 cl. 31.]</w:t>
      </w:r>
    </w:p>
    <w:p>
      <w:pPr>
        <w:pStyle w:val="Heading5"/>
        <w:rPr>
          <w:snapToGrid w:val="0"/>
        </w:rPr>
      </w:pPr>
      <w:bookmarkStart w:id="118" w:name="_Toc95730159"/>
      <w:bookmarkStart w:id="119" w:name="_Toc147630787"/>
      <w:bookmarkStart w:id="120" w:name="_Toc267647276"/>
      <w:r>
        <w:rPr>
          <w:rStyle w:val="CharSectno"/>
        </w:rPr>
        <w:t>19</w:t>
      </w:r>
      <w:r>
        <w:rPr>
          <w:snapToGrid w:val="0"/>
        </w:rPr>
        <w:t>.</w:t>
      </w:r>
      <w:r>
        <w:rPr>
          <w:snapToGrid w:val="0"/>
        </w:rPr>
        <w:tab/>
        <w:t>Investigations by actuary</w:t>
      </w:r>
      <w:bookmarkEnd w:id="118"/>
      <w:bookmarkEnd w:id="119"/>
      <w:bookmarkEnd w:id="120"/>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by No. 4 of 1986 s. 4.]</w:t>
      </w:r>
    </w:p>
    <w:p>
      <w:pPr>
        <w:pStyle w:val="Heading2"/>
      </w:pPr>
      <w:bookmarkStart w:id="121" w:name="_Toc95729743"/>
      <w:bookmarkStart w:id="122" w:name="_Toc95729808"/>
      <w:bookmarkStart w:id="123" w:name="_Toc95730160"/>
      <w:bookmarkStart w:id="124" w:name="_Toc95730234"/>
      <w:bookmarkStart w:id="125" w:name="_Toc97003721"/>
      <w:bookmarkStart w:id="126" w:name="_Toc102810440"/>
      <w:bookmarkStart w:id="127" w:name="_Toc116956539"/>
      <w:bookmarkStart w:id="128" w:name="_Toc116956603"/>
      <w:bookmarkStart w:id="129" w:name="_Toc116960868"/>
      <w:bookmarkStart w:id="130" w:name="_Toc118525503"/>
      <w:bookmarkStart w:id="131" w:name="_Toc118525809"/>
      <w:bookmarkStart w:id="132" w:name="_Toc120001185"/>
      <w:bookmarkStart w:id="133" w:name="_Toc139864271"/>
      <w:bookmarkStart w:id="134" w:name="_Toc140029725"/>
      <w:bookmarkStart w:id="135" w:name="_Toc140029793"/>
      <w:bookmarkStart w:id="136" w:name="_Toc147305032"/>
      <w:bookmarkStart w:id="137" w:name="_Toc147313807"/>
      <w:bookmarkStart w:id="138" w:name="_Toc147630414"/>
      <w:bookmarkStart w:id="139" w:name="_Toc147630788"/>
      <w:bookmarkStart w:id="140" w:name="_Toc147631933"/>
      <w:bookmarkStart w:id="141" w:name="_Toc147632002"/>
      <w:bookmarkStart w:id="142" w:name="_Toc157844290"/>
      <w:bookmarkStart w:id="143" w:name="_Toc241051498"/>
      <w:bookmarkStart w:id="144" w:name="_Toc259540314"/>
      <w:bookmarkStart w:id="145" w:name="_Toc259540469"/>
      <w:bookmarkStart w:id="146" w:name="_Toc260209997"/>
      <w:bookmarkStart w:id="147" w:name="_Toc261875556"/>
      <w:bookmarkStart w:id="148" w:name="_Toc262222448"/>
      <w:bookmarkStart w:id="149" w:name="_Toc263414938"/>
      <w:bookmarkStart w:id="150" w:name="_Toc263415622"/>
      <w:bookmarkStart w:id="151" w:name="_Toc267647277"/>
      <w:r>
        <w:rPr>
          <w:rStyle w:val="CharPartNo"/>
        </w:rPr>
        <w:t>Part III</w:t>
      </w:r>
      <w:r>
        <w:rPr>
          <w:rStyle w:val="CharDivNo"/>
        </w:rPr>
        <w:t> </w:t>
      </w:r>
      <w:r>
        <w:t>—</w:t>
      </w:r>
      <w:r>
        <w:rPr>
          <w:rStyle w:val="CharDivText"/>
        </w:rPr>
        <w:t> </w:t>
      </w:r>
      <w:r>
        <w:rPr>
          <w:rStyle w:val="CharPartText"/>
        </w:rPr>
        <w:t>Entitlement to long service leave and pay</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rPr>
          <w:snapToGrid w:val="0"/>
        </w:rPr>
      </w:pPr>
      <w:bookmarkStart w:id="152" w:name="_Toc95730161"/>
      <w:bookmarkStart w:id="153" w:name="_Toc147630789"/>
      <w:bookmarkStart w:id="154" w:name="_Toc267647278"/>
      <w:r>
        <w:rPr>
          <w:rStyle w:val="CharSectno"/>
        </w:rPr>
        <w:t>21</w:t>
      </w:r>
      <w:r>
        <w:rPr>
          <w:snapToGrid w:val="0"/>
        </w:rPr>
        <w:t>.</w:t>
      </w:r>
      <w:r>
        <w:rPr>
          <w:snapToGrid w:val="0"/>
        </w:rPr>
        <w:tab/>
        <w:t>Entitlement to paid long service leave and pay</w:t>
      </w:r>
      <w:bookmarkEnd w:id="152"/>
      <w:bookmarkEnd w:id="153"/>
      <w:bookmarkEnd w:id="154"/>
    </w:p>
    <w:p>
      <w:pPr>
        <w:pStyle w:val="Subsection"/>
        <w:rPr>
          <w:snapToGrid w:val="0"/>
        </w:rPr>
      </w:pPr>
      <w:r>
        <w:rPr>
          <w:snapToGrid w:val="0"/>
        </w:rPr>
        <w:tab/>
        <w:t>(1)</w:t>
      </w:r>
      <w:r>
        <w:rPr>
          <w:snapToGrid w:val="0"/>
        </w:rPr>
        <w:tab/>
        <w:t>Notwithstanding any other Act or award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8 </w:t>
      </w:r>
      <w:r>
        <w:rPr>
          <w:vertAlign w:val="superscript"/>
        </w:rPr>
        <w:t>2</w:t>
      </w:r>
      <w:r>
        <w:t>/</w:t>
      </w:r>
      <w:r>
        <w:rPr>
          <w:vertAlign w:val="subscript"/>
        </w:rPr>
        <w:t>3</w:t>
      </w:r>
      <w:r>
        <w:t xml:space="preserve"> weeks after completing 10</w:t>
      </w:r>
      <w:r>
        <w:rPr>
          <w:snapToGrid w:val="0"/>
        </w:rPr>
        <w:t> years of service; and</w:t>
      </w:r>
    </w:p>
    <w:p>
      <w:pPr>
        <w:pStyle w:val="Indenta"/>
        <w:rPr>
          <w:snapToGrid w:val="0"/>
        </w:rPr>
      </w:pPr>
      <w:r>
        <w:rPr>
          <w:snapToGrid w:val="0"/>
        </w:rPr>
        <w:tab/>
        <w:t>(b)</w:t>
      </w:r>
      <w:r>
        <w:rPr>
          <w:snapToGrid w:val="0"/>
        </w:rPr>
        <w:tab/>
      </w:r>
      <w:r>
        <w:t>4 </w:t>
      </w:r>
      <w:r>
        <w:rPr>
          <w:vertAlign w:val="superscript"/>
        </w:rPr>
        <w:t>1</w:t>
      </w:r>
      <w:r>
        <w:t>/</w:t>
      </w:r>
      <w:r>
        <w:rPr>
          <w:vertAlign w:val="subscript"/>
        </w:rPr>
        <w:t>3</w:t>
      </w:r>
      <w:r>
        <w:t xml:space="preserve"> weeks after completing 5</w:t>
      </w:r>
      <w:r>
        <w:rPr>
          <w:snapToGrid w:val="0"/>
        </w:rPr>
        <w:t> years of service subsequently to completing the period of service referred to in paragraph (a),</w:t>
      </w:r>
    </w:p>
    <w:p>
      <w:pPr>
        <w:pStyle w:val="Subsection"/>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keepNext/>
      </w:pPr>
      <w:r>
        <w:tab/>
        <w:t>(3)</w:t>
      </w:r>
      <w:r>
        <w:tab/>
        <w:t xml:space="preserve">In subsection (1) — </w:t>
      </w:r>
    </w:p>
    <w:p>
      <w:pPr>
        <w:pStyle w:val="Defstart"/>
      </w:pPr>
      <w:r>
        <w:rPr>
          <w:b/>
          <w:bCs/>
        </w:rPr>
        <w:tab/>
      </w:r>
      <w:r>
        <w:rPr>
          <w:rStyle w:val="CharDefText"/>
        </w:rPr>
        <w:t>ordinary pay</w:t>
      </w:r>
      <w:r>
        <w:t xml:space="preserve"> means the average ordinary pay of the person over the period in which the person completed his or her most recent 220 days of service in the construction industry.</w:t>
      </w:r>
    </w:p>
    <w:p>
      <w:pPr>
        <w:pStyle w:val="Footnotesection"/>
        <w:keepLines w:val="0"/>
        <w:ind w:left="890" w:hanging="890"/>
        <w:rPr>
          <w:rFonts w:ascii="Times" w:hAnsi="Times"/>
        </w:rPr>
      </w:pPr>
      <w:r>
        <w:tab/>
      </w:r>
      <w:r>
        <w:rPr>
          <w:rFonts w:ascii="Times" w:hAnsi="Times"/>
          <w:spacing w:val="-4"/>
        </w:rPr>
        <w:t>[Section 21 amended by No. 30 of 1989 s. 6; No. 36 of 2006 s. 45.</w:t>
      </w:r>
      <w:r>
        <w:rPr>
          <w:rFonts w:ascii="Times" w:hAnsi="Times"/>
        </w:rPr>
        <w:t>]</w:t>
      </w:r>
    </w:p>
    <w:p>
      <w:pPr>
        <w:pStyle w:val="Heading5"/>
        <w:spacing w:before="160"/>
        <w:rPr>
          <w:snapToGrid w:val="0"/>
        </w:rPr>
      </w:pPr>
      <w:bookmarkStart w:id="155" w:name="_Toc95730162"/>
      <w:bookmarkStart w:id="156" w:name="_Toc147630790"/>
      <w:bookmarkStart w:id="157" w:name="_Toc267647279"/>
      <w:r>
        <w:rPr>
          <w:rStyle w:val="CharSectno"/>
        </w:rPr>
        <w:t>22</w:t>
      </w:r>
      <w:r>
        <w:rPr>
          <w:snapToGrid w:val="0"/>
        </w:rPr>
        <w:t>.</w:t>
      </w:r>
      <w:r>
        <w:rPr>
          <w:snapToGrid w:val="0"/>
        </w:rPr>
        <w:tab/>
        <w:t>Lump sum payments</w:t>
      </w:r>
      <w:bookmarkEnd w:id="155"/>
      <w:bookmarkEnd w:id="156"/>
      <w:bookmarkEnd w:id="157"/>
    </w:p>
    <w:p>
      <w:pPr>
        <w:pStyle w:val="Subsection"/>
        <w:spacing w:before="12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rPr>
          <w:snapToGrid w:val="0"/>
        </w:rPr>
      </w:pPr>
      <w:r>
        <w:rPr>
          <w:snapToGrid w:val="0"/>
        </w:rPr>
        <w:tab/>
        <w:t>(b)</w:t>
      </w:r>
      <w:r>
        <w:rPr>
          <w:snapToGrid w:val="0"/>
        </w:rPr>
        <w:tab/>
        <w:t>where he has completed at least 10 years of service —</w:t>
      </w:r>
    </w:p>
    <w:p>
      <w:pPr>
        <w:pStyle w:val="Indenti"/>
        <w:rPr>
          <w:snapToGrid w:val="0"/>
        </w:rPr>
      </w:pPr>
      <w:r>
        <w:rPr>
          <w:snapToGrid w:val="0"/>
        </w:rPr>
        <w:tab/>
        <w:t>(i)</w:t>
      </w:r>
      <w:r>
        <w:rPr>
          <w:snapToGrid w:val="0"/>
        </w:rPr>
        <w:tab/>
        <w:t>where an accrued entitlement under section 21(1) has not been taken, the money value of that entitlement; and</w:t>
      </w:r>
    </w:p>
    <w:p>
      <w:pPr>
        <w:pStyle w:val="Indenti"/>
        <w:rPr>
          <w:snapToGrid w:val="0"/>
        </w:rPr>
      </w:pPr>
      <w:r>
        <w:rPr>
          <w:snapToGrid w:val="0"/>
        </w:rPr>
        <w:tab/>
        <w:t>(ii)</w:t>
      </w:r>
      <w:r>
        <w:rPr>
          <w:snapToGrid w:val="0"/>
        </w:rPr>
        <w:tab/>
        <w:t xml:space="preserve">for each year of service after the completion of 10 years of service which is not part of the period of an accrued entitlement under section 21(1), </w:t>
      </w:r>
      <w:r>
        <w:t>one</w:t>
      </w:r>
      <w:r>
        <w:noBreakHyphen/>
        <w:t>tenth</w:t>
      </w:r>
      <w:r>
        <w:rPr>
          <w:snapToGrid w:val="0"/>
        </w:rPr>
        <w:t xml:space="preserve"> of the money value of the entitlement referred to in section 21(1)(a).</w:t>
      </w:r>
    </w:p>
    <w:p>
      <w:pPr>
        <w:pStyle w:val="Subsection"/>
        <w:spacing w:before="120"/>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spacing w:before="60"/>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120"/>
        <w:rPr>
          <w:snapToGrid w:val="0"/>
        </w:rPr>
      </w:pPr>
      <w:r>
        <w:tab/>
        <w:t>(d)</w:t>
      </w:r>
      <w:r>
        <w:tab/>
        <w:t>the estate of the deceased employee.</w:t>
      </w:r>
    </w:p>
    <w:p>
      <w:pPr>
        <w:pStyle w:val="Footnotesection"/>
      </w:pPr>
      <w:r>
        <w:tab/>
        <w:t>[Section 22 inserted by No. 30 of 1989 s. 7; amended by No. 28 of 2003 s. 23; No. 36 of 2006 s. 46.]</w:t>
      </w:r>
    </w:p>
    <w:p>
      <w:pPr>
        <w:pStyle w:val="Heading5"/>
        <w:rPr>
          <w:snapToGrid w:val="0"/>
        </w:rPr>
      </w:pPr>
      <w:bookmarkStart w:id="158" w:name="_Toc95730163"/>
      <w:bookmarkStart w:id="159" w:name="_Toc147630791"/>
      <w:bookmarkStart w:id="160" w:name="_Toc267647280"/>
      <w:r>
        <w:rPr>
          <w:rStyle w:val="CharSectno"/>
        </w:rPr>
        <w:t>23</w:t>
      </w:r>
      <w:r>
        <w:rPr>
          <w:snapToGrid w:val="0"/>
        </w:rPr>
        <w:t>.</w:t>
      </w:r>
      <w:r>
        <w:rPr>
          <w:snapToGrid w:val="0"/>
        </w:rPr>
        <w:tab/>
        <w:t>Cessation of continuous service entitlement</w:t>
      </w:r>
      <w:bookmarkEnd w:id="158"/>
      <w:bookmarkEnd w:id="159"/>
      <w:bookmarkEnd w:id="160"/>
    </w:p>
    <w:p>
      <w:pPr>
        <w:pStyle w:val="Subsection"/>
        <w:rPr>
          <w:snapToGrid w:val="0"/>
        </w:rPr>
      </w:pPr>
      <w:r>
        <w:rPr>
          <w:snapToGrid w:val="0"/>
        </w:rPr>
        <w:tab/>
        <w:t>(1)</w:t>
      </w:r>
      <w:r>
        <w:rPr>
          <w:snapToGrid w:val="0"/>
        </w:rPr>
        <w:tab/>
        <w:t>Where a person has been engaged as an employee —</w:t>
      </w:r>
    </w:p>
    <w:p>
      <w:pPr>
        <w:pStyle w:val="Indenta"/>
        <w:rPr>
          <w:snapToGrid w:val="0"/>
        </w:rPr>
      </w:pPr>
      <w:r>
        <w:rPr>
          <w:snapToGrid w:val="0"/>
        </w:rPr>
        <w:tab/>
        <w:t>(a)</w:t>
      </w:r>
      <w:r>
        <w:rPr>
          <w:snapToGrid w:val="0"/>
        </w:rPr>
        <w:tab/>
        <w:t>for any number of days that does not exceed 1 100 days and has not been so engaged within the period of 2 years commencing from the last of such days; or</w:t>
      </w:r>
    </w:p>
    <w:p>
      <w:pPr>
        <w:pStyle w:val="Indenta"/>
        <w:rPr>
          <w:snapToGrid w:val="0"/>
        </w:rPr>
      </w:pPr>
      <w:r>
        <w:rPr>
          <w:snapToGrid w:val="0"/>
        </w:rPr>
        <w:tab/>
        <w:t>(b)</w:t>
      </w:r>
      <w:r>
        <w:rPr>
          <w:snapToGrid w:val="0"/>
        </w:rPr>
        <w:tab/>
        <w:t>for any number of days exceeding 1 100 days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Heading5"/>
        <w:rPr>
          <w:snapToGrid w:val="0"/>
        </w:rPr>
      </w:pPr>
      <w:bookmarkStart w:id="161" w:name="_Toc95730164"/>
      <w:bookmarkStart w:id="162" w:name="_Toc147630792"/>
      <w:bookmarkStart w:id="163" w:name="_Toc267647281"/>
      <w:r>
        <w:rPr>
          <w:rStyle w:val="CharSectno"/>
        </w:rPr>
        <w:t>24</w:t>
      </w:r>
      <w:r>
        <w:rPr>
          <w:snapToGrid w:val="0"/>
        </w:rPr>
        <w:t>.</w:t>
      </w:r>
      <w:r>
        <w:rPr>
          <w:snapToGrid w:val="0"/>
        </w:rPr>
        <w:tab/>
        <w:t>Taking of leave</w:t>
      </w:r>
      <w:bookmarkEnd w:id="161"/>
      <w:bookmarkEnd w:id="162"/>
      <w:bookmarkEnd w:id="163"/>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Subsection"/>
        <w:spacing w:before="120"/>
        <w:rPr>
          <w:snapToGrid w:val="0"/>
        </w:rPr>
      </w:pPr>
      <w:r>
        <w:rPr>
          <w:snapToGrid w:val="0"/>
        </w:rPr>
        <w:tab/>
        <w:t>(2)</w:t>
      </w:r>
      <w:r>
        <w:rPr>
          <w:snapToGrid w:val="0"/>
        </w:rPr>
        <w:tab/>
        <w:t>The Board shall within 2 months before the day that an employee becomes entitled to take long service leave notify the employee and his employer of that fact.</w:t>
      </w:r>
    </w:p>
    <w:p>
      <w:pPr>
        <w:pStyle w:val="Subsection"/>
        <w:spacing w:before="120"/>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w:t>
      </w:r>
    </w:p>
    <w:p>
      <w:pPr>
        <w:pStyle w:val="Heading5"/>
        <w:spacing w:before="180"/>
        <w:rPr>
          <w:snapToGrid w:val="0"/>
        </w:rPr>
      </w:pPr>
      <w:bookmarkStart w:id="164" w:name="_Toc95730165"/>
      <w:bookmarkStart w:id="165" w:name="_Toc147630793"/>
      <w:bookmarkStart w:id="166" w:name="_Toc267647282"/>
      <w:r>
        <w:rPr>
          <w:rStyle w:val="CharSectno"/>
        </w:rPr>
        <w:t>24A</w:t>
      </w:r>
      <w:r>
        <w:rPr>
          <w:snapToGrid w:val="0"/>
        </w:rPr>
        <w:t xml:space="preserve">. </w:t>
      </w:r>
      <w:r>
        <w:rPr>
          <w:snapToGrid w:val="0"/>
        </w:rPr>
        <w:tab/>
        <w:t>Proportional leave in advance after 7 years service</w:t>
      </w:r>
      <w:bookmarkEnd w:id="164"/>
      <w:bookmarkEnd w:id="165"/>
      <w:bookmarkEnd w:id="166"/>
    </w:p>
    <w:p>
      <w:pPr>
        <w:pStyle w:val="Subsection"/>
        <w:rPr>
          <w:snapToGrid w:val="0"/>
        </w:rPr>
      </w:pPr>
      <w:r>
        <w:rPr>
          <w:snapToGrid w:val="0"/>
          <w:spacing w:val="-6"/>
        </w:rPr>
        <w:tab/>
        <w:t>(1)</w:t>
      </w:r>
      <w:r>
        <w:rPr>
          <w:snapToGrid w:val="0"/>
          <w:spacing w:val="-6"/>
        </w:rPr>
        <w:tab/>
      </w:r>
      <w:r>
        <w:rPr>
          <w:snapToGrid w:val="0"/>
        </w:rPr>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8 </w:t>
      </w:r>
      <w:r>
        <w:rPr>
          <w:vertAlign w:val="superscript"/>
        </w:rPr>
        <w:t>2</w:t>
      </w:r>
      <w:r>
        <w:t>/</w:t>
      </w:r>
      <w:r>
        <w:rPr>
          <w:vertAlign w:val="subscript"/>
        </w:rPr>
        <w:t>3</w:t>
      </w:r>
      <w:r>
        <w:t>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spacing w:before="80"/>
        <w:ind w:left="890" w:hanging="890"/>
      </w:pPr>
      <w:r>
        <w:tab/>
        <w:t>[Section 24A inserted by No. 30 of 1989 s. 9; amended by No. 36 of 2006 s. 47.]</w:t>
      </w:r>
    </w:p>
    <w:p>
      <w:pPr>
        <w:pStyle w:val="Heading5"/>
        <w:rPr>
          <w:snapToGrid w:val="0"/>
        </w:rPr>
      </w:pPr>
      <w:bookmarkStart w:id="167" w:name="_Toc95730166"/>
      <w:bookmarkStart w:id="168" w:name="_Toc147630794"/>
      <w:bookmarkStart w:id="169" w:name="_Toc267647283"/>
      <w:r>
        <w:rPr>
          <w:rStyle w:val="CharSectno"/>
        </w:rPr>
        <w:t>25</w:t>
      </w:r>
      <w:r>
        <w:rPr>
          <w:snapToGrid w:val="0"/>
        </w:rPr>
        <w:t>.</w:t>
      </w:r>
      <w:r>
        <w:rPr>
          <w:snapToGrid w:val="0"/>
        </w:rPr>
        <w:tab/>
        <w:t>Payment when due</w:t>
      </w:r>
      <w:bookmarkEnd w:id="167"/>
      <w:bookmarkEnd w:id="168"/>
      <w:bookmarkEnd w:id="169"/>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by No. 30 of 1989 s. 10.]</w:t>
      </w:r>
    </w:p>
    <w:p>
      <w:pPr>
        <w:pStyle w:val="Ednotesection"/>
        <w:ind w:left="890" w:hanging="890"/>
      </w:pPr>
      <w:bookmarkStart w:id="170" w:name="_Toc95730168"/>
      <w:r>
        <w:t>[</w:t>
      </w:r>
      <w:r>
        <w:rPr>
          <w:b/>
        </w:rPr>
        <w:t>27.</w:t>
      </w:r>
      <w:r>
        <w:rPr>
          <w:b/>
        </w:rPr>
        <w:tab/>
      </w:r>
      <w:r>
        <w:t>Deleted by No. 36 of 2006 s. 48.]</w:t>
      </w:r>
    </w:p>
    <w:p>
      <w:pPr>
        <w:pStyle w:val="Heading5"/>
        <w:rPr>
          <w:snapToGrid w:val="0"/>
        </w:rPr>
      </w:pPr>
      <w:bookmarkStart w:id="171" w:name="_Toc147630795"/>
      <w:bookmarkStart w:id="172" w:name="_Toc267647284"/>
      <w:r>
        <w:rPr>
          <w:rStyle w:val="CharSectno"/>
        </w:rPr>
        <w:t>28</w:t>
      </w:r>
      <w:r>
        <w:rPr>
          <w:snapToGrid w:val="0"/>
        </w:rPr>
        <w:t>.</w:t>
      </w:r>
      <w:r>
        <w:rPr>
          <w:snapToGrid w:val="0"/>
        </w:rPr>
        <w:tab/>
        <w:t>Prohibition on other employment</w:t>
      </w:r>
      <w:bookmarkEnd w:id="170"/>
      <w:bookmarkEnd w:id="171"/>
      <w:bookmarkEnd w:id="172"/>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keepLines/>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Heading5"/>
      </w:pPr>
      <w:bookmarkStart w:id="173" w:name="_Toc147630796"/>
      <w:bookmarkStart w:id="174" w:name="_Toc267647285"/>
      <w:bookmarkStart w:id="175" w:name="_Toc95730170"/>
      <w:r>
        <w:rPr>
          <w:rStyle w:val="CharSectno"/>
        </w:rPr>
        <w:t>29</w:t>
      </w:r>
      <w:r>
        <w:t>.</w:t>
      </w:r>
      <w:r>
        <w:tab/>
        <w:t>Public holidays</w:t>
      </w:r>
      <w:bookmarkEnd w:id="173"/>
      <w:bookmarkEnd w:id="174"/>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by No. 36 of 2006 s. 49.]</w:t>
      </w:r>
    </w:p>
    <w:p>
      <w:pPr>
        <w:pStyle w:val="Heading5"/>
        <w:rPr>
          <w:snapToGrid w:val="0"/>
        </w:rPr>
      </w:pPr>
      <w:bookmarkStart w:id="176" w:name="_Toc147630797"/>
      <w:bookmarkStart w:id="177" w:name="_Toc267647286"/>
      <w:r>
        <w:rPr>
          <w:rStyle w:val="CharSectno"/>
        </w:rPr>
        <w:t>29A</w:t>
      </w:r>
      <w:r>
        <w:rPr>
          <w:snapToGrid w:val="0"/>
        </w:rPr>
        <w:t xml:space="preserve">. </w:t>
      </w:r>
      <w:r>
        <w:rPr>
          <w:snapToGrid w:val="0"/>
        </w:rPr>
        <w:tab/>
        <w:t>Reciprocal arrangements</w:t>
      </w:r>
      <w:bookmarkEnd w:id="175"/>
      <w:bookmarkEnd w:id="176"/>
      <w:bookmarkEnd w:id="177"/>
    </w:p>
    <w:p>
      <w:pPr>
        <w:pStyle w:val="Subsection"/>
        <w:rPr>
          <w:snapToGrid w:val="0"/>
        </w:rPr>
      </w:pPr>
      <w:r>
        <w:rPr>
          <w:snapToGrid w:val="0"/>
        </w:rPr>
        <w:tab/>
        <w:t>(1)</w:t>
      </w:r>
      <w:r>
        <w:rPr>
          <w:snapToGrid w:val="0"/>
        </w:rPr>
        <w:tab/>
        <w:t>In this section —</w:t>
      </w:r>
    </w:p>
    <w:p>
      <w:pPr>
        <w:pStyle w:val="Defstart"/>
        <w:rPr>
          <w:spacing w:val="-6"/>
        </w:rPr>
      </w:pPr>
      <w:r>
        <w:rPr>
          <w:b/>
          <w:spacing w:val="-6"/>
        </w:rPr>
        <w:tab/>
      </w:r>
      <w:r>
        <w:rPr>
          <w:rStyle w:val="CharDefText"/>
          <w:spacing w:val="-6"/>
        </w:rPr>
        <w:t>construction industry</w:t>
      </w:r>
      <w:r>
        <w:rPr>
          <w:spacing w:val="-6"/>
        </w:rPr>
        <w:t xml:space="preserve"> has the same meaning as in section 3(1);</w:t>
      </w:r>
    </w:p>
    <w:p>
      <w:pPr>
        <w:pStyle w:val="Defstart"/>
      </w:pPr>
      <w:r>
        <w:rPr>
          <w:b/>
        </w:rPr>
        <w:tab/>
      </w:r>
      <w:r>
        <w:rPr>
          <w:rStyle w:val="CharDefText"/>
        </w:rPr>
        <w:t>corresponding law</w:t>
      </w:r>
      <w:r>
        <w:t xml:space="preserve"> means a law of another State or of a Territory which —</w:t>
      </w:r>
    </w:p>
    <w:p>
      <w:pPr>
        <w:pStyle w:val="Defpara"/>
      </w:pPr>
      <w:r>
        <w:tab/>
        <w:t>(a)</w:t>
      </w:r>
      <w:r>
        <w:tab/>
        <w:t>provides for long service leave payments for persons employed in the construction industry; and</w:t>
      </w:r>
    </w:p>
    <w:p>
      <w:pPr>
        <w:pStyle w:val="Defpara"/>
      </w:pPr>
      <w:r>
        <w:tab/>
        <w:t>(b)</w:t>
      </w:r>
      <w:r>
        <w:tab/>
        <w:t>is prescribed as a corresponding law for the purposes of this section;</w:t>
      </w:r>
    </w:p>
    <w:p>
      <w:pPr>
        <w:pStyle w:val="Defstart"/>
      </w:pPr>
      <w:r>
        <w:rPr>
          <w:b/>
        </w:rPr>
        <w:tab/>
      </w:r>
      <w:r>
        <w:rPr>
          <w:rStyle w:val="CharDefText"/>
        </w:rPr>
        <w:t>corresponding public employer in this State</w:t>
      </w:r>
      <w:r>
        <w:t xml:space="preserve"> means —</w:t>
      </w:r>
    </w:p>
    <w:p>
      <w:pPr>
        <w:pStyle w:val="Defpara"/>
      </w:pPr>
      <w:r>
        <w:tab/>
        <w:t>(a)</w:t>
      </w:r>
      <w:r>
        <w:tab/>
        <w:t>a Minister in the Government;</w:t>
      </w:r>
    </w:p>
    <w:p>
      <w:pPr>
        <w:pStyle w:val="Defpara"/>
      </w:pPr>
      <w:r>
        <w:tab/>
        <w:t>(b)</w:t>
      </w:r>
      <w:r>
        <w:tab/>
        <w:t>an authority, whether a body corporate or not, constituted by a written law; or</w:t>
      </w:r>
    </w:p>
    <w:p>
      <w:pPr>
        <w:pStyle w:val="Defpara"/>
      </w:pPr>
      <w:r>
        <w:tab/>
        <w:t>(c)</w:t>
      </w:r>
      <w:r>
        <w:tab/>
        <w:t>a local government</w:t>
      </w:r>
    </w:p>
    <w:p>
      <w:pPr>
        <w:pStyle w:val="Defstart"/>
        <w:spacing w:before="1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rPr>
          <w:snapToGrid w:val="0"/>
        </w:rPr>
      </w:pPr>
      <w:r>
        <w:rPr>
          <w:snapToGrid w:val="0"/>
        </w:rPr>
        <w:tab/>
        <w:t>(a)</w:t>
      </w:r>
      <w:r>
        <w:rPr>
          <w:snapToGrid w:val="0"/>
        </w:rPr>
        <w:tab/>
        <w:t>the Minister of State of another State or of a Territory responsible for the administration of a corresponding law; or</w:t>
      </w:r>
    </w:p>
    <w:p>
      <w:pPr>
        <w:pStyle w:val="Indenta"/>
        <w:rPr>
          <w:snapToGrid w:val="0"/>
        </w:rPr>
      </w:pPr>
      <w:r>
        <w:rPr>
          <w:snapToGrid w:val="0"/>
        </w:rPr>
        <w:tab/>
        <w:t>(b)</w:t>
      </w:r>
      <w:r>
        <w:rPr>
          <w:snapToGrid w:val="0"/>
        </w:rPr>
        <w:tab/>
        <w:t>a corresponding public employer in this State;</w:t>
      </w:r>
    </w:p>
    <w:p>
      <w:pPr>
        <w:pStyle w:val="Subsection"/>
        <w:rPr>
          <w:snapToGrid w:val="0"/>
        </w:rPr>
      </w:pPr>
      <w:r>
        <w:rPr>
          <w:snapToGrid w:val="0"/>
        </w:rPr>
        <w:tab/>
      </w:r>
      <w:r>
        <w:rPr>
          <w:snapToGrid w:val="0"/>
        </w:rPr>
        <w:tab/>
        <w:t>being a reciprocal arrangement relating to —</w:t>
      </w:r>
    </w:p>
    <w:p>
      <w:pPr>
        <w:pStyle w:val="Indenta"/>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178" w:name="_Toc95729754"/>
      <w:bookmarkStart w:id="179" w:name="_Toc95729819"/>
      <w:bookmarkStart w:id="180" w:name="_Toc95730171"/>
      <w:bookmarkStart w:id="181" w:name="_Toc95730245"/>
      <w:bookmarkStart w:id="182" w:name="_Toc97003732"/>
      <w:bookmarkStart w:id="183" w:name="_Toc102810451"/>
      <w:bookmarkStart w:id="184" w:name="_Toc116956550"/>
      <w:bookmarkStart w:id="185" w:name="_Toc116956614"/>
      <w:bookmarkStart w:id="186" w:name="_Toc116960879"/>
      <w:bookmarkStart w:id="187" w:name="_Toc118525514"/>
      <w:bookmarkStart w:id="188" w:name="_Toc118525820"/>
      <w:bookmarkStart w:id="189" w:name="_Toc120001196"/>
      <w:bookmarkStart w:id="190" w:name="_Toc139864282"/>
      <w:bookmarkStart w:id="191" w:name="_Toc140029736"/>
      <w:bookmarkStart w:id="192" w:name="_Toc140029804"/>
      <w:bookmarkStart w:id="193" w:name="_Toc147305044"/>
      <w:bookmarkStart w:id="194" w:name="_Toc147313819"/>
      <w:bookmarkStart w:id="195" w:name="_Toc147630424"/>
      <w:bookmarkStart w:id="196" w:name="_Toc147630798"/>
      <w:bookmarkStart w:id="197" w:name="_Toc147631943"/>
      <w:bookmarkStart w:id="198" w:name="_Toc147632012"/>
      <w:bookmarkStart w:id="199" w:name="_Toc157844300"/>
      <w:bookmarkStart w:id="200" w:name="_Toc241051508"/>
      <w:bookmarkStart w:id="201" w:name="_Toc259540324"/>
      <w:bookmarkStart w:id="202" w:name="_Toc259540479"/>
      <w:bookmarkStart w:id="203" w:name="_Toc260210007"/>
      <w:bookmarkStart w:id="204" w:name="_Toc261875566"/>
      <w:bookmarkStart w:id="205" w:name="_Toc262222458"/>
      <w:bookmarkStart w:id="206" w:name="_Toc263414948"/>
      <w:bookmarkStart w:id="207" w:name="_Toc263415632"/>
      <w:bookmarkStart w:id="208" w:name="_Toc267647287"/>
      <w:r>
        <w:rPr>
          <w:rStyle w:val="CharPartNo"/>
        </w:rPr>
        <w:t>Part IV</w:t>
      </w:r>
      <w:r>
        <w:rPr>
          <w:rStyle w:val="CharDivNo"/>
        </w:rPr>
        <w:t> </w:t>
      </w:r>
      <w:r>
        <w:t>—</w:t>
      </w:r>
      <w:r>
        <w:rPr>
          <w:rStyle w:val="CharDivText"/>
        </w:rPr>
        <w:t> </w:t>
      </w:r>
      <w:r>
        <w:rPr>
          <w:rStyle w:val="CharPartText"/>
        </w:rPr>
        <w:t>Registration</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95730172"/>
      <w:bookmarkStart w:id="210" w:name="_Toc147630799"/>
      <w:bookmarkStart w:id="211" w:name="_Toc267647288"/>
      <w:r>
        <w:rPr>
          <w:rStyle w:val="CharSectno"/>
        </w:rPr>
        <w:t>30</w:t>
      </w:r>
      <w:r>
        <w:rPr>
          <w:snapToGrid w:val="0"/>
        </w:rPr>
        <w:t>.</w:t>
      </w:r>
      <w:r>
        <w:rPr>
          <w:snapToGrid w:val="0"/>
        </w:rPr>
        <w:tab/>
        <w:t>Registration of employers and employees</w:t>
      </w:r>
      <w:bookmarkEnd w:id="209"/>
      <w:bookmarkEnd w:id="210"/>
      <w:bookmarkEnd w:id="211"/>
    </w:p>
    <w:p>
      <w:pPr>
        <w:pStyle w:val="Subsection"/>
        <w:rPr>
          <w:snapToGrid w:val="0"/>
        </w:rPr>
      </w:pPr>
      <w:r>
        <w:rPr>
          <w:snapToGrid w:val="0"/>
        </w:rPr>
        <w:tab/>
        <w:t>(1)</w:t>
      </w:r>
      <w:r>
        <w:rPr>
          <w:snapToGrid w:val="0"/>
        </w:rPr>
        <w:tab/>
        <w:t>Every natural person, firm or body corporate that is an employer in the construction industry (whether or not he or it carries on any other business) shall register as an employer under this Act.</w:t>
      </w:r>
    </w:p>
    <w:p>
      <w:pPr>
        <w:pStyle w:val="Subsection"/>
        <w:rPr>
          <w:snapToGrid w:val="0"/>
        </w:rPr>
      </w:pPr>
      <w:r>
        <w:rPr>
          <w:snapToGrid w:val="0"/>
        </w:rPr>
        <w:tab/>
        <w:t>(2)</w:t>
      </w:r>
      <w:r>
        <w:rPr>
          <w:snapToGrid w:val="0"/>
        </w:rPr>
        <w:tab/>
        <w:t>On and after the appointed day a natural person, firm or body corporate who or which fails to comply with subsection (1)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natural person, firm or body corporate who or which desires to register as an employer under this Act shall apply in writing to the Board for registration in the form of a form approved by the Board.</w:t>
      </w:r>
    </w:p>
    <w:p>
      <w:pPr>
        <w:pStyle w:val="Subsection"/>
        <w:rPr>
          <w:snapToGrid w:val="0"/>
        </w:rPr>
      </w:pPr>
      <w:r>
        <w:rPr>
          <w:snapToGrid w:val="0"/>
        </w:rPr>
        <w:tab/>
        <w:t>(4)</w:t>
      </w:r>
      <w:r>
        <w:rPr>
          <w:snapToGrid w:val="0"/>
        </w:rPr>
        <w:tab/>
        <w:t>A person who desires to register as an employee under this Act shall apply in writing to the Board for registration in the form of a form approved by the Board.</w:t>
      </w:r>
    </w:p>
    <w:p>
      <w:pPr>
        <w:pStyle w:val="Subsection"/>
        <w:rPr>
          <w:snapToGrid w:val="0"/>
        </w:rPr>
      </w:pPr>
      <w:r>
        <w:rPr>
          <w:snapToGrid w:val="0"/>
        </w:rPr>
        <w:tab/>
        <w:t>(5)</w:t>
      </w:r>
      <w:r>
        <w:rPr>
          <w:snapToGrid w:val="0"/>
        </w:rPr>
        <w:tab/>
        <w:t>An application under this section by an employer shall contain every name and address under which the employer is engaged in the construction industry.</w:t>
      </w:r>
    </w:p>
    <w:p>
      <w:pPr>
        <w:pStyle w:val="Subsection"/>
        <w:rPr>
          <w:snapToGrid w:val="0"/>
        </w:rPr>
      </w:pPr>
      <w:r>
        <w:rPr>
          <w:snapToGrid w:val="0"/>
        </w:rPr>
        <w:tab/>
        <w:t>(6)</w:t>
      </w:r>
      <w:r>
        <w:rPr>
          <w:snapToGrid w:val="0"/>
        </w:rPr>
        <w:tab/>
        <w:t>Where an employer ceases to operate under any name or at any address notified in an application the employer shall notify the Board or cause the Board to be notified of that fact.</w:t>
      </w:r>
    </w:p>
    <w:p>
      <w:pPr>
        <w:pStyle w:val="Subsection"/>
        <w:rPr>
          <w:snapToGrid w:val="0"/>
        </w:rPr>
      </w:pPr>
      <w:r>
        <w:rPr>
          <w:snapToGrid w:val="0"/>
        </w:rPr>
        <w:tab/>
        <w:t>(7)</w:t>
      </w:r>
      <w:r>
        <w:rPr>
          <w:snapToGrid w:val="0"/>
        </w:rPr>
        <w:tab/>
        <w:t>A person who fails to comply with subsection (5) or (6)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An application made under subsection (3) or (4) shall contain such information as is required by the form.</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register the applicant as an employer or employee as the case requires; and</w:t>
      </w:r>
    </w:p>
    <w:p>
      <w:pPr>
        <w:pStyle w:val="Indenta"/>
        <w:rPr>
          <w:snapToGrid w:val="0"/>
        </w:rPr>
      </w:pPr>
      <w:r>
        <w:rPr>
          <w:snapToGrid w:val="0"/>
        </w:rPr>
        <w:tab/>
        <w:t>(b)</w:t>
      </w:r>
      <w:r>
        <w:rPr>
          <w:snapToGrid w:val="0"/>
        </w:rPr>
        <w:tab/>
        <w:t>issue to the applicant a certificate of registration.</w:t>
      </w:r>
    </w:p>
    <w:p>
      <w:pPr>
        <w:pStyle w:val="Subsection"/>
        <w:spacing w:before="120"/>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spacing w:before="120"/>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Heading5"/>
        <w:rPr>
          <w:snapToGrid w:val="0"/>
        </w:rPr>
      </w:pPr>
      <w:bookmarkStart w:id="212" w:name="_Toc95730173"/>
      <w:bookmarkStart w:id="213" w:name="_Toc147630800"/>
      <w:bookmarkStart w:id="214" w:name="_Toc267647289"/>
      <w:r>
        <w:rPr>
          <w:rStyle w:val="CharSectno"/>
        </w:rPr>
        <w:t>31</w:t>
      </w:r>
      <w:r>
        <w:rPr>
          <w:snapToGrid w:val="0"/>
        </w:rPr>
        <w:t>.</w:t>
      </w:r>
      <w:r>
        <w:rPr>
          <w:snapToGrid w:val="0"/>
        </w:rPr>
        <w:tab/>
        <w:t>Return to be made by employer</w:t>
      </w:r>
      <w:bookmarkEnd w:id="212"/>
      <w:bookmarkEnd w:id="213"/>
      <w:bookmarkEnd w:id="214"/>
    </w:p>
    <w:p>
      <w:pPr>
        <w:pStyle w:val="Subsection"/>
        <w:spacing w:before="120"/>
        <w:rPr>
          <w:snapToGrid w:val="0"/>
        </w:rPr>
      </w:pPr>
      <w:r>
        <w:rPr>
          <w:snapToGrid w:val="0"/>
        </w:rPr>
        <w:tab/>
        <w:t>(1)</w:t>
      </w:r>
      <w:r>
        <w:rPr>
          <w:snapToGrid w:val="0"/>
        </w:rPr>
        <w:tab/>
        <w:t>A person who is registered under this Act or required to be registered as an employer shall lodge with the Board in respect of each prescribed period —</w:t>
      </w:r>
    </w:p>
    <w:p>
      <w:pPr>
        <w:pStyle w:val="Indenta"/>
        <w:rPr>
          <w:snapToGrid w:val="0"/>
        </w:rPr>
      </w:pPr>
      <w:r>
        <w:rPr>
          <w:snapToGrid w:val="0"/>
        </w:rPr>
        <w:tab/>
        <w:t>(a)</w:t>
      </w:r>
      <w:r>
        <w:rPr>
          <w:snapToGrid w:val="0"/>
        </w:rPr>
        <w:tab/>
        <w:t>a statement in writing in the form of a form approved by the Board, within 15 days after the end of the prescribed period to which the statement relates, giving such information as is required by the form; and</w:t>
      </w:r>
    </w:p>
    <w:p>
      <w:pPr>
        <w:pStyle w:val="Indenta"/>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spacing w:before="120"/>
        <w:rPr>
          <w:snapToGrid w:val="0"/>
        </w:rPr>
      </w:pPr>
      <w:r>
        <w:rPr>
          <w:snapToGrid w:val="0"/>
        </w:rPr>
        <w:tab/>
        <w:t>(2)</w:t>
      </w:r>
      <w:r>
        <w:rPr>
          <w:snapToGrid w:val="0"/>
        </w:rPr>
        <w:tab/>
        <w:t>On and from the appointed day an employer who fails to comply with subsection (1) commits an offence.</w:t>
      </w:r>
    </w:p>
    <w:p>
      <w:pPr>
        <w:pStyle w:val="Penstart"/>
        <w:rPr>
          <w:snapToGrid w:val="0"/>
        </w:rPr>
      </w:pPr>
      <w:r>
        <w:rPr>
          <w:snapToGrid w:val="0"/>
        </w:rPr>
        <w:tab/>
        <w:t>Penalty: $2 500.</w:t>
      </w:r>
    </w:p>
    <w:p>
      <w:pPr>
        <w:pStyle w:val="Heading5"/>
        <w:keepNext w:val="0"/>
        <w:keepLines w:val="0"/>
        <w:spacing w:before="160"/>
        <w:rPr>
          <w:snapToGrid w:val="0"/>
        </w:rPr>
      </w:pPr>
      <w:bookmarkStart w:id="215" w:name="_Toc95730174"/>
      <w:bookmarkStart w:id="216" w:name="_Toc147630801"/>
      <w:bookmarkStart w:id="217" w:name="_Toc267647290"/>
      <w:r>
        <w:rPr>
          <w:rStyle w:val="CharSectno"/>
        </w:rPr>
        <w:t>32</w:t>
      </w:r>
      <w:r>
        <w:rPr>
          <w:snapToGrid w:val="0"/>
        </w:rPr>
        <w:t>.</w:t>
      </w:r>
      <w:r>
        <w:rPr>
          <w:snapToGrid w:val="0"/>
        </w:rPr>
        <w:tab/>
        <w:t>Employer to maintain record of employees</w:t>
      </w:r>
      <w:bookmarkEnd w:id="215"/>
      <w:bookmarkEnd w:id="216"/>
      <w:bookmarkEnd w:id="217"/>
    </w:p>
    <w:p>
      <w:pPr>
        <w:pStyle w:val="Subsection"/>
        <w:spacing w:before="120"/>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rPr>
          <w:snapToGrid w:val="0"/>
        </w:rPr>
      </w:pPr>
      <w:r>
        <w:rPr>
          <w:snapToGrid w:val="0"/>
        </w:rPr>
        <w:tab/>
        <w:t>(2)</w:t>
      </w:r>
      <w:r>
        <w:rPr>
          <w:snapToGrid w:val="0"/>
        </w:rPr>
        <w:tab/>
        <w:t>An employer shall retain any record established and maintained under subsection (1) for a period of not less than 7 years.</w:t>
      </w:r>
    </w:p>
    <w:p>
      <w:pPr>
        <w:pStyle w:val="Subsection"/>
        <w:rPr>
          <w:snapToGrid w:val="0"/>
        </w:rPr>
      </w:pPr>
      <w:r>
        <w:rPr>
          <w:snapToGrid w:val="0"/>
        </w:rPr>
        <w:tab/>
        <w:t>(3)</w:t>
      </w:r>
      <w:r>
        <w:rPr>
          <w:snapToGrid w:val="0"/>
        </w:rPr>
        <w:tab/>
        <w:t>An employer who fails to comply with subsection (1) or (2) commits an offence.</w:t>
      </w:r>
    </w:p>
    <w:p>
      <w:pPr>
        <w:pStyle w:val="Penstart"/>
        <w:rPr>
          <w:snapToGrid w:val="0"/>
        </w:rPr>
      </w:pPr>
      <w:r>
        <w:rPr>
          <w:snapToGrid w:val="0"/>
        </w:rPr>
        <w:tab/>
        <w:t>Penalty: $500.</w:t>
      </w:r>
    </w:p>
    <w:p>
      <w:pPr>
        <w:pStyle w:val="Heading5"/>
        <w:rPr>
          <w:snapToGrid w:val="0"/>
        </w:rPr>
      </w:pPr>
      <w:bookmarkStart w:id="218" w:name="_Toc95730175"/>
      <w:bookmarkStart w:id="219" w:name="_Toc147630802"/>
      <w:bookmarkStart w:id="220" w:name="_Toc267647291"/>
      <w:r>
        <w:rPr>
          <w:rStyle w:val="CharSectno"/>
        </w:rPr>
        <w:t>33</w:t>
      </w:r>
      <w:r>
        <w:rPr>
          <w:snapToGrid w:val="0"/>
        </w:rPr>
        <w:t>.</w:t>
      </w:r>
      <w:r>
        <w:rPr>
          <w:snapToGrid w:val="0"/>
        </w:rPr>
        <w:tab/>
        <w:t>Exempt employer</w:t>
      </w:r>
      <w:bookmarkEnd w:id="218"/>
      <w:bookmarkEnd w:id="219"/>
      <w:bookmarkEnd w:id="220"/>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221" w:name="_Toc95730176"/>
      <w:bookmarkStart w:id="222" w:name="_Toc147630803"/>
      <w:bookmarkStart w:id="223" w:name="_Toc267647292"/>
      <w:r>
        <w:rPr>
          <w:rStyle w:val="CharSectno"/>
        </w:rPr>
        <w:t>34</w:t>
      </w:r>
      <w:r>
        <w:rPr>
          <w:snapToGrid w:val="0"/>
        </w:rPr>
        <w:t>.</w:t>
      </w:r>
      <w:r>
        <w:rPr>
          <w:snapToGrid w:val="0"/>
        </w:rPr>
        <w:tab/>
        <w:t>Contribution by employer and assessment by Board</w:t>
      </w:r>
      <w:bookmarkEnd w:id="221"/>
      <w:bookmarkEnd w:id="222"/>
      <w:bookmarkEnd w:id="223"/>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employer fails or neglects to duly furnish a return or information as and when required under this Act or by the Board;</w:t>
      </w:r>
    </w:p>
    <w:p>
      <w:pPr>
        <w:pStyle w:val="Indenta"/>
        <w:rPr>
          <w:snapToGrid w:val="0"/>
        </w:rPr>
      </w:pPr>
      <w:r>
        <w:rPr>
          <w:snapToGrid w:val="0"/>
        </w:rPr>
        <w:tab/>
        <w:t>(b)</w:t>
      </w:r>
      <w:r>
        <w:rPr>
          <w:snapToGrid w:val="0"/>
        </w:rPr>
        <w:tab/>
        <w:t>the Board is not satisfied with a return made or information furnished by an employer;</w:t>
      </w:r>
    </w:p>
    <w:p>
      <w:pPr>
        <w:pStyle w:val="Indenta"/>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rPr>
          <w:snapToGrid w:val="0"/>
        </w:rPr>
      </w:pPr>
      <w:r>
        <w:rPr>
          <w:snapToGrid w:val="0"/>
        </w:rPr>
        <w:tab/>
        <w:t>(d)</w:t>
      </w:r>
      <w:r>
        <w:rPr>
          <w:snapToGrid w:val="0"/>
        </w:rPr>
        <w:tab/>
        <w:t>the Board is of the opinion —</w:t>
      </w:r>
    </w:p>
    <w:p>
      <w:pPr>
        <w:pStyle w:val="Indenti"/>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rPr>
          <w:snapToGrid w:val="0"/>
        </w:rPr>
      </w:pPr>
      <w:r>
        <w:rPr>
          <w:snapToGrid w:val="0"/>
          <w:spacing w:val="-6"/>
        </w:rPr>
        <w:tab/>
        <w:t>(ii)</w:t>
      </w:r>
      <w:r>
        <w:rPr>
          <w:snapToGrid w:val="0"/>
          <w:spacing w:val="-6"/>
        </w:rPr>
        <w:tab/>
      </w:r>
      <w:r>
        <w:rPr>
          <w:snapToGrid w:val="0"/>
        </w:rPr>
        <w:t>that the ordinary pay in relation to which the moneys payable under subsection (1) is not assessed in accordance with the provisions of this Act,</w:t>
      </w:r>
    </w:p>
    <w:p>
      <w:pPr>
        <w:pStyle w:val="Subsection"/>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rPr>
          <w:snapToGrid w:val="0"/>
        </w:rPr>
      </w:pPr>
      <w:r>
        <w:rPr>
          <w:snapToGrid w:val="0"/>
        </w:rPr>
        <w:tab/>
        <w:t>(4)</w:t>
      </w:r>
      <w:r>
        <w:rPr>
          <w:snapToGrid w:val="0"/>
        </w:rPr>
        <w:tab/>
        <w:t>A determination for the purposes of subsection (3) may be expressed as —</w:t>
      </w:r>
    </w:p>
    <w:p>
      <w:pPr>
        <w:pStyle w:val="Indenta"/>
        <w:rPr>
          <w:snapToGrid w:val="0"/>
        </w:rPr>
      </w:pPr>
      <w:r>
        <w:rPr>
          <w:snapToGrid w:val="0"/>
        </w:rPr>
        <w:tab/>
        <w:t>(a)</w:t>
      </w:r>
      <w:r>
        <w:rPr>
          <w:snapToGrid w:val="0"/>
        </w:rPr>
        <w:tab/>
        <w:t>a fixed amount; or</w:t>
      </w:r>
    </w:p>
    <w:p>
      <w:pPr>
        <w:pStyle w:val="Indenta"/>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Heading5"/>
        <w:rPr>
          <w:snapToGrid w:val="0"/>
        </w:rPr>
      </w:pPr>
      <w:bookmarkStart w:id="224" w:name="_Toc95730177"/>
      <w:bookmarkStart w:id="225" w:name="_Toc147630804"/>
      <w:bookmarkStart w:id="226" w:name="_Toc267647293"/>
      <w:r>
        <w:rPr>
          <w:rStyle w:val="CharSectno"/>
        </w:rPr>
        <w:t>35</w:t>
      </w:r>
      <w:r>
        <w:rPr>
          <w:snapToGrid w:val="0"/>
        </w:rPr>
        <w:t>.</w:t>
      </w:r>
      <w:r>
        <w:rPr>
          <w:snapToGrid w:val="0"/>
        </w:rPr>
        <w:tab/>
        <w:t>Register of employers and register of employees</w:t>
      </w:r>
      <w:bookmarkEnd w:id="224"/>
      <w:bookmarkEnd w:id="225"/>
      <w:bookmarkEnd w:id="226"/>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227" w:name="_Toc95730178"/>
      <w:bookmarkStart w:id="228" w:name="_Toc147630805"/>
      <w:bookmarkStart w:id="229" w:name="_Toc267647294"/>
      <w:r>
        <w:rPr>
          <w:rStyle w:val="CharSectno"/>
        </w:rPr>
        <w:t>36</w:t>
      </w:r>
      <w:r>
        <w:rPr>
          <w:snapToGrid w:val="0"/>
        </w:rPr>
        <w:t>.</w:t>
      </w:r>
      <w:r>
        <w:rPr>
          <w:snapToGrid w:val="0"/>
        </w:rPr>
        <w:tab/>
        <w:t>Employer leaving Western Australia</w:t>
      </w:r>
      <w:bookmarkEnd w:id="227"/>
      <w:bookmarkEnd w:id="228"/>
      <w:bookmarkEnd w:id="229"/>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230" w:name="_Toc95730179"/>
      <w:bookmarkStart w:id="231" w:name="_Toc147630806"/>
      <w:bookmarkStart w:id="232" w:name="_Toc267647295"/>
      <w:r>
        <w:rPr>
          <w:rStyle w:val="CharSectno"/>
        </w:rPr>
        <w:t>37</w:t>
      </w:r>
      <w:r>
        <w:rPr>
          <w:snapToGrid w:val="0"/>
        </w:rPr>
        <w:t>.</w:t>
      </w:r>
      <w:r>
        <w:rPr>
          <w:snapToGrid w:val="0"/>
        </w:rPr>
        <w:tab/>
        <w:t>Recovery of long service leave contribution</w:t>
      </w:r>
      <w:bookmarkEnd w:id="230"/>
      <w:bookmarkEnd w:id="231"/>
      <w:bookmarkEnd w:id="232"/>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233" w:name="_Toc95730180"/>
      <w:bookmarkStart w:id="234" w:name="_Toc147630807"/>
      <w:bookmarkStart w:id="235" w:name="_Toc267647296"/>
      <w:r>
        <w:rPr>
          <w:rStyle w:val="CharSectno"/>
        </w:rPr>
        <w:t>38</w:t>
      </w:r>
      <w:r>
        <w:rPr>
          <w:snapToGrid w:val="0"/>
        </w:rPr>
        <w:t>.</w:t>
      </w:r>
      <w:r>
        <w:rPr>
          <w:snapToGrid w:val="0"/>
        </w:rPr>
        <w:tab/>
        <w:t>Liquidator to give notice</w:t>
      </w:r>
      <w:bookmarkEnd w:id="233"/>
      <w:bookmarkEnd w:id="234"/>
      <w:bookmarkEnd w:id="235"/>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Subsection"/>
        <w:rPr>
          <w:snapToGrid w:val="0"/>
        </w:rPr>
      </w:pPr>
      <w:r>
        <w:rPr>
          <w:snapToGrid w:val="0"/>
        </w:rPr>
        <w:tab/>
        <w:t>(3)</w:t>
      </w:r>
      <w:r>
        <w:rPr>
          <w:snapToGrid w:val="0"/>
        </w:rPr>
        <w:tab/>
        <w:t>The liquidator —</w:t>
      </w:r>
    </w:p>
    <w:p>
      <w:pPr>
        <w:pStyle w:val="Indenta"/>
        <w:rPr>
          <w:snapToGrid w:val="0"/>
        </w:rPr>
      </w:pPr>
      <w:r>
        <w:rPr>
          <w:snapToGrid w:val="0"/>
        </w:rPr>
        <w:tab/>
        <w:t>(a)</w:t>
      </w:r>
      <w:r>
        <w:rPr>
          <w:snapToGrid w:val="0"/>
        </w:rPr>
        <w:tab/>
        <w:t>shall not without leave of the chief executive officer part with any of the assets of the company until he has been so notified;</w:t>
      </w:r>
    </w:p>
    <w:p>
      <w:pPr>
        <w:pStyle w:val="Indenta"/>
        <w:rPr>
          <w:snapToGrid w:val="0"/>
        </w:rPr>
      </w:pPr>
      <w:r>
        <w:rPr>
          <w:snapToGrid w:val="0"/>
        </w:rPr>
        <w:tab/>
        <w:t>(b)</w:t>
      </w:r>
      <w:r>
        <w:rPr>
          <w:snapToGrid w:val="0"/>
        </w:rPr>
        <w:tab/>
        <w:t>shall set aside out of the assets available for payment of the long service leave contributions and surcharges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those contributions and surcharges.</w:t>
      </w:r>
    </w:p>
    <w:p>
      <w:pPr>
        <w:pStyle w:val="Subsection"/>
        <w:rPr>
          <w:snapToGrid w:val="0"/>
        </w:rPr>
      </w:pPr>
      <w:r>
        <w:rPr>
          <w:snapToGrid w:val="0"/>
        </w:rPr>
        <w:tab/>
        <w:t>(4)</w:t>
      </w:r>
      <w:r>
        <w:rPr>
          <w:snapToGrid w:val="0"/>
        </w:rPr>
        <w:tab/>
        <w:t>If the liquidator fails to comply with any provision of this section (or fails as trustee duly to pay the long service leave contributions and surcharges for which he is liable under subsection (3)), he shall, to the extent of the value of the assets of which he has taken possession and which are, or were at any time, available to him for payment, be personally liable to pay the long service leave contribution and surcharge and shall be guilty of an offence.</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charges due in respect of the company being wound</w:t>
      </w:r>
      <w:r>
        <w:rPr>
          <w:snapToGrid w:val="0"/>
        </w:rPr>
        <w:noBreakHyphen/>
        <w:t>up, the other person of persons shall be liable to pay that person his equal share of the amount of the long service leave contributions and surcharges so paid.</w:t>
      </w:r>
    </w:p>
    <w:p>
      <w:pPr>
        <w:pStyle w:val="Subsection"/>
        <w:rPr>
          <w:snapToGrid w:val="0"/>
        </w:rPr>
      </w:pPr>
      <w:r>
        <w:rPr>
          <w:snapToGrid w:val="0"/>
        </w:rPr>
        <w:tab/>
        <w:t>(6)</w:t>
      </w:r>
      <w:r>
        <w:rPr>
          <w:snapToGrid w:val="0"/>
        </w:rPr>
        <w:tab/>
        <w:t>Notwithstanding anything contained in this section, all costs, charges and expenses which, in the opinion of the chief executive officer have been properly incurred, by the liquidator, may be paid out of the assets of the company in priority to any long service leave contributions and surcharges payable in respect of the company.</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w:t>
      </w:r>
    </w:p>
    <w:p>
      <w:pPr>
        <w:pStyle w:val="Heading5"/>
        <w:rPr>
          <w:snapToGrid w:val="0"/>
        </w:rPr>
      </w:pPr>
      <w:bookmarkStart w:id="236" w:name="_Toc95730181"/>
      <w:bookmarkStart w:id="237" w:name="_Toc147630808"/>
      <w:bookmarkStart w:id="238" w:name="_Toc267647297"/>
      <w:r>
        <w:rPr>
          <w:rStyle w:val="CharSectno"/>
        </w:rPr>
        <w:t>39</w:t>
      </w:r>
      <w:r>
        <w:rPr>
          <w:snapToGrid w:val="0"/>
        </w:rPr>
        <w:t>.</w:t>
      </w:r>
      <w:r>
        <w:rPr>
          <w:snapToGrid w:val="0"/>
        </w:rPr>
        <w:tab/>
        <w:t>Agent for absentee principal winding up business</w:t>
      </w:r>
      <w:bookmarkEnd w:id="236"/>
      <w:bookmarkEnd w:id="237"/>
      <w:bookmarkEnd w:id="238"/>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keepNext w:val="0"/>
        <w:keepLines w:val="0"/>
        <w:rPr>
          <w:snapToGrid w:val="0"/>
        </w:rPr>
      </w:pPr>
      <w:bookmarkStart w:id="239" w:name="_Toc95730182"/>
      <w:bookmarkStart w:id="240" w:name="_Toc147630809"/>
      <w:bookmarkStart w:id="241" w:name="_Toc267647298"/>
      <w:r>
        <w:rPr>
          <w:rStyle w:val="CharSectno"/>
        </w:rPr>
        <w:t>40</w:t>
      </w:r>
      <w:r>
        <w:rPr>
          <w:snapToGrid w:val="0"/>
        </w:rPr>
        <w:t>.</w:t>
      </w:r>
      <w:r>
        <w:rPr>
          <w:snapToGrid w:val="0"/>
        </w:rPr>
        <w:tab/>
        <w:t>Where long service leave charges are not paid during lifetime</w:t>
      </w:r>
      <w:bookmarkEnd w:id="239"/>
      <w:bookmarkEnd w:id="240"/>
      <w:bookmarkEnd w:id="241"/>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242" w:name="_Toc95730183"/>
      <w:bookmarkStart w:id="243" w:name="_Toc147630810"/>
      <w:bookmarkStart w:id="244" w:name="_Toc267647299"/>
      <w:r>
        <w:rPr>
          <w:rStyle w:val="CharSectno"/>
        </w:rPr>
        <w:t>41</w:t>
      </w:r>
      <w:r>
        <w:rPr>
          <w:snapToGrid w:val="0"/>
        </w:rPr>
        <w:t>.</w:t>
      </w:r>
      <w:r>
        <w:rPr>
          <w:snapToGrid w:val="0"/>
        </w:rPr>
        <w:tab/>
        <w:t>Provisions for payment of long service leave charges by executors or administrators</w:t>
      </w:r>
      <w:bookmarkEnd w:id="242"/>
      <w:bookmarkEnd w:id="243"/>
      <w:bookmarkEnd w:id="244"/>
    </w:p>
    <w:p>
      <w:pPr>
        <w:pStyle w:val="Subsection"/>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rPr>
          <w:snapToGrid w:val="0"/>
        </w:rPr>
      </w:pPr>
      <w:bookmarkStart w:id="245" w:name="_Toc95730184"/>
      <w:bookmarkStart w:id="246" w:name="_Toc147630811"/>
      <w:bookmarkStart w:id="247" w:name="_Toc267647300"/>
      <w:r>
        <w:rPr>
          <w:rStyle w:val="CharSectno"/>
        </w:rPr>
        <w:t>42</w:t>
      </w:r>
      <w:r>
        <w:rPr>
          <w:snapToGrid w:val="0"/>
        </w:rPr>
        <w:t>.</w:t>
      </w:r>
      <w:r>
        <w:rPr>
          <w:snapToGrid w:val="0"/>
        </w:rPr>
        <w:tab/>
        <w:t>Contributions by joint employers</w:t>
      </w:r>
      <w:bookmarkEnd w:id="245"/>
      <w:bookmarkEnd w:id="246"/>
      <w:bookmarkEnd w:id="247"/>
    </w:p>
    <w:p>
      <w:pPr>
        <w:pStyle w:val="Subsection"/>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rPr>
          <w:snapToGrid w:val="0"/>
        </w:rPr>
      </w:pPr>
      <w:bookmarkStart w:id="248" w:name="_Toc95730185"/>
      <w:bookmarkStart w:id="249" w:name="_Toc147630812"/>
      <w:bookmarkStart w:id="250" w:name="_Toc267647301"/>
      <w:r>
        <w:rPr>
          <w:rStyle w:val="CharSectno"/>
        </w:rPr>
        <w:t>43</w:t>
      </w:r>
      <w:r>
        <w:rPr>
          <w:snapToGrid w:val="0"/>
        </w:rPr>
        <w:t>.</w:t>
      </w:r>
      <w:r>
        <w:rPr>
          <w:snapToGrid w:val="0"/>
        </w:rPr>
        <w:tab/>
        <w:t>Payment of penalties no relief from contributions</w:t>
      </w:r>
      <w:bookmarkEnd w:id="248"/>
      <w:bookmarkEnd w:id="249"/>
      <w:bookmarkEnd w:id="250"/>
    </w:p>
    <w:p>
      <w:pPr>
        <w:pStyle w:val="Subsection"/>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251" w:name="_Toc95729769"/>
      <w:bookmarkStart w:id="252" w:name="_Toc95729834"/>
      <w:bookmarkStart w:id="253" w:name="_Toc95730186"/>
      <w:bookmarkStart w:id="254" w:name="_Toc95730260"/>
      <w:bookmarkStart w:id="255" w:name="_Toc97003747"/>
      <w:bookmarkStart w:id="256" w:name="_Toc102810466"/>
      <w:bookmarkStart w:id="257" w:name="_Toc116956565"/>
      <w:bookmarkStart w:id="258" w:name="_Toc116956629"/>
      <w:bookmarkStart w:id="259" w:name="_Toc116960894"/>
      <w:bookmarkStart w:id="260" w:name="_Toc118525529"/>
      <w:bookmarkStart w:id="261" w:name="_Toc118525835"/>
      <w:bookmarkStart w:id="262" w:name="_Toc120001211"/>
      <w:bookmarkStart w:id="263" w:name="_Toc139864297"/>
      <w:bookmarkStart w:id="264" w:name="_Toc140029751"/>
      <w:bookmarkStart w:id="265" w:name="_Toc140029819"/>
      <w:bookmarkStart w:id="266" w:name="_Toc147305059"/>
      <w:bookmarkStart w:id="267" w:name="_Toc147313834"/>
      <w:bookmarkStart w:id="268" w:name="_Toc147630439"/>
      <w:bookmarkStart w:id="269" w:name="_Toc147630813"/>
      <w:bookmarkStart w:id="270" w:name="_Toc147631958"/>
      <w:bookmarkStart w:id="271" w:name="_Toc147632027"/>
      <w:bookmarkStart w:id="272" w:name="_Toc157844315"/>
      <w:bookmarkStart w:id="273" w:name="_Toc241051523"/>
      <w:bookmarkStart w:id="274" w:name="_Toc259540339"/>
      <w:bookmarkStart w:id="275" w:name="_Toc259540494"/>
      <w:bookmarkStart w:id="276" w:name="_Toc260210022"/>
      <w:bookmarkStart w:id="277" w:name="_Toc261875581"/>
      <w:bookmarkStart w:id="278" w:name="_Toc262222473"/>
      <w:bookmarkStart w:id="279" w:name="_Toc263414963"/>
      <w:bookmarkStart w:id="280" w:name="_Toc263415647"/>
      <w:bookmarkStart w:id="281" w:name="_Toc267647302"/>
      <w:r>
        <w:rPr>
          <w:rStyle w:val="CharPartNo"/>
        </w:rPr>
        <w:t>Part V</w:t>
      </w:r>
      <w:r>
        <w:rPr>
          <w:rStyle w:val="CharDivNo"/>
        </w:rPr>
        <w:t> </w:t>
      </w:r>
      <w:r>
        <w:t>—</w:t>
      </w:r>
      <w:r>
        <w:rPr>
          <w:rStyle w:val="CharDivText"/>
        </w:rPr>
        <w:t> </w:t>
      </w:r>
      <w:r>
        <w:rPr>
          <w:rStyle w:val="CharPartText"/>
        </w:rPr>
        <w:t>Miscellaneous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rPr>
          <w:snapToGrid w:val="0"/>
        </w:rPr>
      </w:pPr>
      <w:bookmarkStart w:id="282" w:name="_Toc95730187"/>
      <w:bookmarkStart w:id="283" w:name="_Toc147630814"/>
      <w:bookmarkStart w:id="284" w:name="_Toc267647303"/>
      <w:r>
        <w:rPr>
          <w:rStyle w:val="CharSectno"/>
        </w:rPr>
        <w:t>44</w:t>
      </w:r>
      <w:r>
        <w:rPr>
          <w:snapToGrid w:val="0"/>
        </w:rPr>
        <w:t>.</w:t>
      </w:r>
      <w:r>
        <w:rPr>
          <w:snapToGrid w:val="0"/>
        </w:rPr>
        <w:tab/>
        <w:t>Inspectors</w:t>
      </w:r>
      <w:bookmarkEnd w:id="282"/>
      <w:bookmarkEnd w:id="283"/>
      <w:bookmarkEnd w:id="284"/>
    </w:p>
    <w:p>
      <w:pPr>
        <w:pStyle w:val="Subsection"/>
        <w:spacing w:before="180"/>
        <w:rPr>
          <w:snapToGrid w:val="0"/>
        </w:rPr>
      </w:pPr>
      <w:r>
        <w:rPr>
          <w:snapToGrid w:val="0"/>
        </w:rPr>
        <w:tab/>
        <w:t>(1)</w:t>
      </w:r>
      <w:r>
        <w:rPr>
          <w:snapToGrid w:val="0"/>
        </w:rPr>
        <w:tab/>
        <w:t>The Board may engage or appoint such inspectors as are necessary for the purposes of this Act.</w:t>
      </w:r>
    </w:p>
    <w:p>
      <w:pPr>
        <w:pStyle w:val="Subsection"/>
        <w:spacing w:before="180"/>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spacing w:before="180"/>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285" w:name="_Toc95730188"/>
      <w:bookmarkStart w:id="286" w:name="_Toc147630815"/>
      <w:bookmarkStart w:id="287" w:name="_Toc267647304"/>
      <w:r>
        <w:rPr>
          <w:rStyle w:val="CharSectno"/>
        </w:rPr>
        <w:t>45</w:t>
      </w:r>
      <w:r>
        <w:rPr>
          <w:snapToGrid w:val="0"/>
        </w:rPr>
        <w:t>.</w:t>
      </w:r>
      <w:r>
        <w:rPr>
          <w:snapToGrid w:val="0"/>
        </w:rPr>
        <w:tab/>
        <w:t>Power to obtain information and evidence</w:t>
      </w:r>
      <w:bookmarkEnd w:id="285"/>
      <w:bookmarkEnd w:id="286"/>
      <w:bookmarkEnd w:id="287"/>
    </w:p>
    <w:p>
      <w:pPr>
        <w:pStyle w:val="Subsection"/>
        <w:spacing w:before="180"/>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spacing w:before="180"/>
        <w:rPr>
          <w:snapToGrid w:val="0"/>
        </w:rPr>
      </w:pPr>
      <w:r>
        <w:rPr>
          <w:snapToGrid w:val="0"/>
        </w:rPr>
        <w:tab/>
        <w:t>(2)</w:t>
      </w:r>
      <w:r>
        <w:rPr>
          <w:snapToGrid w:val="0"/>
        </w:rPr>
        <w:tab/>
        <w:t>A person who fails to comply with a request by the chief executive officer under subsection (1) commits an offence.</w:t>
      </w:r>
    </w:p>
    <w:p>
      <w:pPr>
        <w:pStyle w:val="Penstart"/>
        <w:rPr>
          <w:snapToGrid w:val="0"/>
        </w:rPr>
      </w:pPr>
      <w:r>
        <w:rPr>
          <w:snapToGrid w:val="0"/>
        </w:rPr>
        <w:tab/>
        <w:t>Penalty: $500.</w:t>
      </w:r>
    </w:p>
    <w:p>
      <w:pPr>
        <w:pStyle w:val="Heading5"/>
        <w:rPr>
          <w:snapToGrid w:val="0"/>
        </w:rPr>
      </w:pPr>
      <w:bookmarkStart w:id="288" w:name="_Toc95730189"/>
      <w:bookmarkStart w:id="289" w:name="_Toc147630816"/>
      <w:bookmarkStart w:id="290" w:name="_Toc267647305"/>
      <w:r>
        <w:rPr>
          <w:rStyle w:val="CharSectno"/>
        </w:rPr>
        <w:t>46</w:t>
      </w:r>
      <w:r>
        <w:rPr>
          <w:snapToGrid w:val="0"/>
        </w:rPr>
        <w:t>.</w:t>
      </w:r>
      <w:r>
        <w:rPr>
          <w:snapToGrid w:val="0"/>
        </w:rPr>
        <w:tab/>
        <w:t>Access to books etc.</w:t>
      </w:r>
      <w:bookmarkEnd w:id="288"/>
      <w:bookmarkEnd w:id="289"/>
      <w:bookmarkEnd w:id="290"/>
    </w:p>
    <w:p>
      <w:pPr>
        <w:pStyle w:val="Subsection"/>
        <w:rPr>
          <w:snapToGrid w:val="0"/>
        </w:rPr>
      </w:pPr>
      <w:r>
        <w:rPr>
          <w:snapToGrid w:val="0"/>
          <w:spacing w:val="-6"/>
        </w:rPr>
        <w:tab/>
      </w:r>
      <w:r>
        <w:rPr>
          <w:snapToGrid w:val="0"/>
          <w:spacing w:val="-6"/>
        </w:rPr>
        <w:tab/>
      </w:r>
      <w:r>
        <w:rPr>
          <w:snapToGrid w:val="0"/>
        </w:rPr>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291" w:name="_Toc95730190"/>
      <w:bookmarkStart w:id="292" w:name="_Toc147630817"/>
      <w:bookmarkStart w:id="293" w:name="_Toc267647306"/>
      <w:r>
        <w:rPr>
          <w:rStyle w:val="CharSectno"/>
        </w:rPr>
        <w:t>47</w:t>
      </w:r>
      <w:r>
        <w:rPr>
          <w:snapToGrid w:val="0"/>
        </w:rPr>
        <w:t>.</w:t>
      </w:r>
      <w:r>
        <w:rPr>
          <w:snapToGrid w:val="0"/>
        </w:rPr>
        <w:tab/>
        <w:t>Proceedings for offences against this Act</w:t>
      </w:r>
      <w:bookmarkEnd w:id="291"/>
      <w:bookmarkEnd w:id="292"/>
      <w:bookmarkEnd w:id="293"/>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294" w:name="_Toc95730191"/>
      <w:bookmarkStart w:id="295" w:name="_Toc147630818"/>
      <w:bookmarkStart w:id="296" w:name="_Toc267647307"/>
      <w:r>
        <w:rPr>
          <w:rStyle w:val="CharSectno"/>
        </w:rPr>
        <w:t>48</w:t>
      </w:r>
      <w:r>
        <w:rPr>
          <w:snapToGrid w:val="0"/>
        </w:rPr>
        <w:t>.</w:t>
      </w:r>
      <w:r>
        <w:rPr>
          <w:snapToGrid w:val="0"/>
        </w:rPr>
        <w:tab/>
        <w:t>Institution of proceedings</w:t>
      </w:r>
      <w:bookmarkEnd w:id="294"/>
      <w:bookmarkEnd w:id="295"/>
      <w:bookmarkEnd w:id="296"/>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297" w:name="_Toc95730192"/>
      <w:bookmarkStart w:id="298" w:name="_Toc147630819"/>
      <w:bookmarkStart w:id="299" w:name="_Toc267647308"/>
      <w:r>
        <w:rPr>
          <w:rStyle w:val="CharSectno"/>
        </w:rPr>
        <w:t>49</w:t>
      </w:r>
      <w:r>
        <w:rPr>
          <w:snapToGrid w:val="0"/>
        </w:rPr>
        <w:t>.</w:t>
      </w:r>
      <w:r>
        <w:rPr>
          <w:snapToGrid w:val="0"/>
        </w:rPr>
        <w:tab/>
        <w:t>Evidence</w:t>
      </w:r>
      <w:bookmarkEnd w:id="297"/>
      <w:bookmarkEnd w:id="298"/>
      <w:bookmarkEnd w:id="299"/>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rPr>
          <w:snapToGrid w:val="0"/>
        </w:rPr>
      </w:pPr>
      <w:r>
        <w:rPr>
          <w:snapToGrid w:val="0"/>
        </w:rPr>
        <w:tab/>
        <w:t>(a)</w:t>
      </w:r>
      <w:r>
        <w:rPr>
          <w:snapToGrid w:val="0"/>
        </w:rPr>
        <w:tab/>
        <w:t>the employer named in the certificate was liable to pay the long service leave charges for the period specified in the certificate;</w:t>
      </w:r>
    </w:p>
    <w:p>
      <w:pPr>
        <w:pStyle w:val="Indenta"/>
        <w:rPr>
          <w:snapToGrid w:val="0"/>
        </w:rPr>
      </w:pPr>
      <w:r>
        <w:rPr>
          <w:snapToGrid w:val="0"/>
        </w:rPr>
        <w:tab/>
        <w:t>(b)</w:t>
      </w:r>
      <w:r>
        <w:rPr>
          <w:snapToGrid w:val="0"/>
        </w:rPr>
        <w:tab/>
        <w:t>an assessment of the long service leave contributions and surcharges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spacing w:val="-8"/>
        </w:rPr>
      </w:pPr>
      <w:r>
        <w:rPr>
          <w:snapToGrid w:val="0"/>
          <w:spacing w:val="-8"/>
        </w:rPr>
        <w:tab/>
        <w:t>(d)</w:t>
      </w:r>
      <w:r>
        <w:rPr>
          <w:snapToGrid w:val="0"/>
          <w:spacing w:val="-8"/>
        </w:rPr>
        <w:tab/>
        <w:t>notice of the assessment was duly served upon the person; or</w:t>
      </w:r>
    </w:p>
    <w:p>
      <w:pPr>
        <w:pStyle w:val="Indenta"/>
        <w:keepNext/>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8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rPr>
          <w:snapToGrid w:val="0"/>
        </w:rPr>
      </w:pPr>
      <w:r>
        <w:rPr>
          <w:snapToGrid w:val="0"/>
        </w:rPr>
        <w:tab/>
        <w:t>(b)</w:t>
      </w:r>
      <w:r>
        <w:rPr>
          <w:snapToGrid w:val="0"/>
        </w:rPr>
        <w:tab/>
        <w:t>the accused failed or neglected duly to furnish the information as and when required by the chief executive officer,</w:t>
      </w:r>
    </w:p>
    <w:p>
      <w:pPr>
        <w:pStyle w:val="Subsection"/>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w:t>
      </w:r>
    </w:p>
    <w:p>
      <w:pPr>
        <w:pStyle w:val="Heading5"/>
        <w:rPr>
          <w:snapToGrid w:val="0"/>
        </w:rPr>
      </w:pPr>
      <w:bookmarkStart w:id="300" w:name="_Toc95730193"/>
      <w:bookmarkStart w:id="301" w:name="_Toc147630820"/>
      <w:bookmarkStart w:id="302" w:name="_Toc267647309"/>
      <w:r>
        <w:rPr>
          <w:rStyle w:val="CharSectno"/>
        </w:rPr>
        <w:t>50</w:t>
      </w:r>
      <w:r>
        <w:rPr>
          <w:snapToGrid w:val="0"/>
        </w:rPr>
        <w:t>.</w:t>
      </w:r>
      <w:r>
        <w:rPr>
          <w:snapToGrid w:val="0"/>
        </w:rPr>
        <w:tab/>
        <w:t>Appeals</w:t>
      </w:r>
      <w:bookmarkEnd w:id="300"/>
      <w:bookmarkEnd w:id="301"/>
      <w:bookmarkEnd w:id="302"/>
    </w:p>
    <w:p>
      <w:pPr>
        <w:pStyle w:val="Subsection"/>
        <w:rPr>
          <w:snapToGrid w:val="0"/>
        </w:rPr>
      </w:pPr>
      <w:r>
        <w:rPr>
          <w:snapToGrid w:val="0"/>
        </w:rPr>
        <w:tab/>
      </w:r>
      <w:r>
        <w:rPr>
          <w:snapToGrid w:val="0"/>
        </w:rPr>
        <w:tab/>
        <w:t>All claims arising out of the —</w:t>
      </w:r>
    </w:p>
    <w:p>
      <w:pPr>
        <w:pStyle w:val="Indenta"/>
        <w:rPr>
          <w:snapToGrid w:val="0"/>
        </w:rPr>
      </w:pPr>
      <w:r>
        <w:rPr>
          <w:snapToGrid w:val="0"/>
        </w:rPr>
        <w:tab/>
        <w:t>(a)</w:t>
      </w:r>
      <w:r>
        <w:rPr>
          <w:snapToGrid w:val="0"/>
        </w:rPr>
        <w:tab/>
        <w:t>refusal of the registration of an employee;</w:t>
      </w:r>
    </w:p>
    <w:p>
      <w:pPr>
        <w:pStyle w:val="Indenta"/>
        <w:rPr>
          <w:snapToGrid w:val="0"/>
        </w:rPr>
      </w:pPr>
      <w:r>
        <w:rPr>
          <w:snapToGrid w:val="0"/>
        </w:rPr>
        <w:tab/>
        <w:t>(b)</w:t>
      </w:r>
      <w:r>
        <w:rPr>
          <w:snapToGrid w:val="0"/>
        </w:rPr>
        <w:tab/>
        <w:t>requirement that an employer register under this Act;</w:t>
      </w:r>
    </w:p>
    <w:p>
      <w:pPr>
        <w:pStyle w:val="Indenta"/>
        <w:rPr>
          <w:snapToGrid w:val="0"/>
          <w:spacing w:val="-6"/>
        </w:rPr>
      </w:pPr>
      <w:r>
        <w:rPr>
          <w:snapToGrid w:val="0"/>
          <w:spacing w:val="-6"/>
        </w:rPr>
        <w:tab/>
        <w:t>(c)</w:t>
      </w:r>
      <w:r>
        <w:rPr>
          <w:snapToGrid w:val="0"/>
          <w:spacing w:val="-6"/>
        </w:rPr>
        <w:tab/>
        <w:t>removal of the name of an employer or employee from the employers register or the employees register respectively;</w:t>
      </w:r>
    </w:p>
    <w:p>
      <w:pPr>
        <w:pStyle w:val="Indenta"/>
        <w:rPr>
          <w:snapToGrid w:val="0"/>
        </w:rPr>
      </w:pPr>
      <w:r>
        <w:rPr>
          <w:snapToGrid w:val="0"/>
        </w:rPr>
        <w:tab/>
        <w:t>(d)</w:t>
      </w:r>
      <w:r>
        <w:rPr>
          <w:snapToGrid w:val="0"/>
        </w:rPr>
        <w:tab/>
        <w:t>assessment of the amount of ordinary pay of an employee under section 34;</w:t>
      </w:r>
    </w:p>
    <w:p>
      <w:pPr>
        <w:pStyle w:val="Indenta"/>
        <w:rPr>
          <w:snapToGrid w:val="0"/>
        </w:rPr>
      </w:pPr>
      <w:r>
        <w:rPr>
          <w:snapToGrid w:val="0"/>
        </w:rPr>
        <w:tab/>
        <w:t>(e)</w:t>
      </w:r>
      <w:r>
        <w:rPr>
          <w:snapToGrid w:val="0"/>
        </w:rPr>
        <w:tab/>
        <w:t>the entitlement of an employee to long service leave;</w:t>
      </w:r>
    </w:p>
    <w:p>
      <w:pPr>
        <w:pStyle w:val="Indenta"/>
        <w:rPr>
          <w:snapToGrid w:val="0"/>
        </w:rPr>
      </w:pPr>
      <w:r>
        <w:rPr>
          <w:snapToGrid w:val="0"/>
        </w:rPr>
        <w:tab/>
        <w:t>(f)</w:t>
      </w:r>
      <w:r>
        <w:rPr>
          <w:snapToGrid w:val="0"/>
        </w:rPr>
        <w:tab/>
        <w:t xml:space="preserve">the amount of any moneys to be paid in respect of a long service leave entitlement whether </w:t>
      </w:r>
      <w:r>
        <w:rPr>
          <w:i/>
          <w:snapToGrid w:val="0"/>
        </w:rPr>
        <w:t>pro rata</w:t>
      </w:r>
      <w:r>
        <w:rPr>
          <w:snapToGrid w:val="0"/>
        </w:rPr>
        <w:t xml:space="preserve"> or otherwise,</w:t>
      </w:r>
    </w:p>
    <w:p>
      <w:pPr>
        <w:pStyle w:val="Subsection"/>
        <w:rPr>
          <w:snapToGrid w:val="0"/>
        </w:rPr>
      </w:pPr>
      <w:r>
        <w:rPr>
          <w:snapToGrid w:val="0"/>
        </w:rPr>
        <w:tab/>
      </w:r>
      <w:r>
        <w:rPr>
          <w:snapToGrid w:val="0"/>
        </w:rPr>
        <w:tab/>
        <w:t xml:space="preserve">may be made to the Board of Reference constituted under the </w:t>
      </w:r>
      <w:r>
        <w:rPr>
          <w:i/>
          <w:snapToGrid w:val="0"/>
        </w:rPr>
        <w:t>Industrial Relations Act 1979</w:t>
      </w:r>
      <w:r>
        <w:rPr>
          <w:snapToGrid w:val="0"/>
        </w:rPr>
        <w:t xml:space="preserve"> in relation to long service leave and the provisions of section 48(8), (9), (10), (11), and (12) of the </w:t>
      </w:r>
      <w:r>
        <w:rPr>
          <w:i/>
          <w:snapToGrid w:val="0"/>
        </w:rPr>
        <w:t>Industrial Relations Act 1979</w:t>
      </w:r>
      <w:r>
        <w:rPr>
          <w:snapToGrid w:val="0"/>
        </w:rPr>
        <w:t xml:space="preserve"> apply as though the claim were a claim under that section.</w:t>
      </w:r>
    </w:p>
    <w:p>
      <w:pPr>
        <w:pStyle w:val="Heading5"/>
        <w:rPr>
          <w:snapToGrid w:val="0"/>
        </w:rPr>
      </w:pPr>
      <w:bookmarkStart w:id="303" w:name="_Toc95730194"/>
      <w:bookmarkStart w:id="304" w:name="_Toc147630821"/>
      <w:bookmarkStart w:id="305" w:name="_Toc267647310"/>
      <w:r>
        <w:rPr>
          <w:rStyle w:val="CharSectno"/>
        </w:rPr>
        <w:t>51</w:t>
      </w:r>
      <w:r>
        <w:rPr>
          <w:snapToGrid w:val="0"/>
        </w:rPr>
        <w:t>.</w:t>
      </w:r>
      <w:r>
        <w:rPr>
          <w:snapToGrid w:val="0"/>
        </w:rPr>
        <w:tab/>
        <w:t>Employee accumulating continuous service in more than one capacity</w:t>
      </w:r>
      <w:bookmarkEnd w:id="303"/>
      <w:bookmarkEnd w:id="304"/>
      <w:bookmarkEnd w:id="305"/>
    </w:p>
    <w:p>
      <w:pPr>
        <w:pStyle w:val="Subsection"/>
        <w:rPr>
          <w:snapToGrid w:val="0"/>
        </w:rPr>
      </w:pPr>
      <w:r>
        <w:rPr>
          <w:snapToGrid w:val="0"/>
        </w:rPr>
        <w:tab/>
        <w:t>(1)</w:t>
      </w:r>
      <w:r>
        <w:rPr>
          <w:snapToGrid w:val="0"/>
        </w:rPr>
        <w:tab/>
        <w:t>Where a person becomes entitled to paid long service leave by virtue of continuous service with an employer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bookmarkStart w:id="306" w:name="_Toc95730195"/>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by No. 36 of 2006 s. 50.]</w:t>
      </w:r>
    </w:p>
    <w:p>
      <w:pPr>
        <w:pStyle w:val="Heading5"/>
        <w:spacing w:before="240"/>
        <w:rPr>
          <w:snapToGrid w:val="0"/>
        </w:rPr>
      </w:pPr>
      <w:bookmarkStart w:id="307" w:name="_Toc147630822"/>
      <w:bookmarkStart w:id="308" w:name="_Toc267647311"/>
      <w:r>
        <w:rPr>
          <w:rStyle w:val="CharSectno"/>
        </w:rPr>
        <w:t>52</w:t>
      </w:r>
      <w:r>
        <w:rPr>
          <w:snapToGrid w:val="0"/>
        </w:rPr>
        <w:t>.</w:t>
      </w:r>
      <w:r>
        <w:rPr>
          <w:snapToGrid w:val="0"/>
        </w:rPr>
        <w:tab/>
        <w:t>Obstructing an inspector or other persons</w:t>
      </w:r>
      <w:bookmarkEnd w:id="306"/>
      <w:bookmarkEnd w:id="307"/>
      <w:bookmarkEnd w:id="308"/>
    </w:p>
    <w:p>
      <w:pPr>
        <w:pStyle w:val="Subsection"/>
        <w:spacing w:before="180"/>
        <w:rPr>
          <w:snapToGrid w:val="0"/>
        </w:rPr>
      </w:pPr>
      <w:r>
        <w:rPr>
          <w:snapToGrid w:val="0"/>
        </w:rPr>
        <w:tab/>
      </w:r>
      <w:r>
        <w:rPr>
          <w:snapToGrid w:val="0"/>
        </w:rPr>
        <w:tab/>
        <w:t>A person who —</w:t>
      </w:r>
    </w:p>
    <w:p>
      <w:pPr>
        <w:pStyle w:val="Indenta"/>
        <w:rPr>
          <w:snapToGrid w:val="0"/>
          <w:spacing w:val="-6"/>
        </w:rPr>
      </w:pPr>
      <w:r>
        <w:rPr>
          <w:snapToGrid w:val="0"/>
          <w:spacing w:val="-6"/>
        </w:rPr>
        <w:tab/>
        <w:t>(a)</w:t>
      </w:r>
      <w:r>
        <w:rPr>
          <w:snapToGrid w:val="0"/>
          <w:spacing w:val="-6"/>
        </w:rPr>
        <w:tab/>
        <w:t>obstructs or hinders an inspector appointed under this Act;</w:t>
      </w:r>
    </w:p>
    <w:p>
      <w:pPr>
        <w:pStyle w:val="Indenta"/>
        <w:rPr>
          <w:snapToGrid w:val="0"/>
        </w:rPr>
      </w:pPr>
      <w:r>
        <w:rPr>
          <w:snapToGrid w:val="0"/>
        </w:rPr>
        <w:tab/>
        <w:t>(b)</w:t>
      </w:r>
      <w:r>
        <w:rPr>
          <w:snapToGrid w:val="0"/>
        </w:rPr>
        <w:tab/>
        <w:t>fails to comply with any requirements or directions of an inspector appointed under this Act to furnish any information or any document which he is required to furnish to an inspector;</w:t>
      </w:r>
    </w:p>
    <w:p>
      <w:pPr>
        <w:pStyle w:val="Indenta"/>
        <w:rPr>
          <w:snapToGrid w:val="0"/>
        </w:rPr>
      </w:pPr>
      <w:r>
        <w:rPr>
          <w:snapToGrid w:val="0"/>
        </w:rPr>
        <w:tab/>
        <w:t>(c)</w:t>
      </w:r>
      <w:r>
        <w:rPr>
          <w:snapToGrid w:val="0"/>
        </w:rPr>
        <w:tab/>
        <w:t>conceals any person from, or prevents any person from appearing before, an inspector, or attempts to conceal a person from, or prevent a person from appearing before, an inspector; or</w:t>
      </w:r>
    </w:p>
    <w:p>
      <w:pPr>
        <w:pStyle w:val="Indenta"/>
        <w:rPr>
          <w:snapToGrid w:val="0"/>
        </w:rPr>
      </w:pPr>
      <w:r>
        <w:rPr>
          <w:snapToGrid w:val="0"/>
        </w:rPr>
        <w:tab/>
        <w:t>(d)</w:t>
      </w:r>
      <w:r>
        <w:rPr>
          <w:snapToGrid w:val="0"/>
        </w:rPr>
        <w:tab/>
        <w:t>hinders a person authorised by a union in that behalf from inspecting any records required to be maintained under this Act,</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$500.</w:t>
      </w:r>
    </w:p>
    <w:p>
      <w:pPr>
        <w:pStyle w:val="Heading5"/>
        <w:spacing w:before="240"/>
        <w:rPr>
          <w:snapToGrid w:val="0"/>
        </w:rPr>
      </w:pPr>
      <w:bookmarkStart w:id="309" w:name="_Toc95730196"/>
      <w:bookmarkStart w:id="310" w:name="_Toc147630823"/>
      <w:bookmarkStart w:id="311" w:name="_Toc267647312"/>
      <w:r>
        <w:rPr>
          <w:rStyle w:val="CharSectno"/>
        </w:rPr>
        <w:t>53</w:t>
      </w:r>
      <w:r>
        <w:rPr>
          <w:snapToGrid w:val="0"/>
        </w:rPr>
        <w:t>.</w:t>
      </w:r>
      <w:r>
        <w:rPr>
          <w:snapToGrid w:val="0"/>
        </w:rPr>
        <w:tab/>
        <w:t>Protection of persons giving information under this Act</w:t>
      </w:r>
      <w:bookmarkEnd w:id="309"/>
      <w:bookmarkEnd w:id="310"/>
      <w:bookmarkEnd w:id="311"/>
    </w:p>
    <w:p>
      <w:pPr>
        <w:pStyle w:val="Subsection"/>
        <w:spacing w:before="180"/>
        <w:rPr>
          <w:snapToGrid w:val="0"/>
        </w:rPr>
      </w:pPr>
      <w:r>
        <w:rPr>
          <w:snapToGrid w:val="0"/>
        </w:rPr>
        <w:tab/>
        <w:t>(1)</w:t>
      </w:r>
      <w:r>
        <w:rPr>
          <w:snapToGrid w:val="0"/>
        </w:rPr>
        <w:tab/>
        <w:t>A person who —</w:t>
      </w:r>
    </w:p>
    <w:p>
      <w:pPr>
        <w:pStyle w:val="Indenta"/>
        <w:rPr>
          <w:snapToGrid w:val="0"/>
          <w:spacing w:val="-6"/>
        </w:rPr>
      </w:pPr>
      <w:r>
        <w:rPr>
          <w:snapToGrid w:val="0"/>
          <w:spacing w:val="-6"/>
        </w:rPr>
        <w:tab/>
        <w:t>(a)</w:t>
      </w:r>
      <w:r>
        <w:rPr>
          <w:snapToGrid w:val="0"/>
          <w:spacing w:val="-6"/>
        </w:rPr>
        <w:tab/>
        <w:t>dismisses a person from or injures him in, his employment or alters his position in his employment to his prejudice or refuses to promote him in his employment;</w:t>
      </w:r>
    </w:p>
    <w:p>
      <w:pPr>
        <w:pStyle w:val="Indenta"/>
        <w:rPr>
          <w:snapToGrid w:val="0"/>
        </w:rPr>
      </w:pPr>
      <w:r>
        <w:rPr>
          <w:snapToGrid w:val="0"/>
        </w:rPr>
        <w:tab/>
        <w:t>(b)</w:t>
      </w:r>
      <w:r>
        <w:rPr>
          <w:snapToGrid w:val="0"/>
        </w:rPr>
        <w:tab/>
        <w:t>refuses to employ another person; or</w:t>
      </w:r>
    </w:p>
    <w:p>
      <w:pPr>
        <w:pStyle w:val="Indenta"/>
        <w:keepNext/>
        <w:rPr>
          <w:snapToGrid w:val="0"/>
        </w:rPr>
      </w:pPr>
      <w:r>
        <w:rPr>
          <w:snapToGrid w:val="0"/>
        </w:rPr>
        <w:tab/>
        <w:t>(c)</w:t>
      </w:r>
      <w:r>
        <w:rPr>
          <w:snapToGrid w:val="0"/>
        </w:rPr>
        <w:tab/>
        <w:t>directly or indirectly hinders or prevents the employment of another person or the promotion in his employment of a person,</w:t>
      </w:r>
    </w:p>
    <w:p>
      <w:pPr>
        <w:pStyle w:val="Subsection"/>
        <w:rPr>
          <w:snapToGrid w:val="0"/>
        </w:rPr>
      </w:pPr>
      <w:r>
        <w:rPr>
          <w:snapToGrid w:val="0"/>
        </w:rPr>
        <w:tab/>
      </w:r>
      <w:r>
        <w:rPr>
          <w:snapToGrid w:val="0"/>
        </w:rPr>
        <w:tab/>
        <w:t>when a reason for doing so is that that person or that other person has given information to an inspector or to the chief executive officer under this Act,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The provisions of section 96I of the </w:t>
      </w:r>
      <w:r>
        <w:rPr>
          <w:i/>
          <w:snapToGrid w:val="0"/>
        </w:rPr>
        <w:t>Industrial Relations Act 1979</w:t>
      </w:r>
      <w:r>
        <w:rPr>
          <w:snapToGrid w:val="0"/>
        </w:rPr>
        <w:t xml:space="preserve"> apply to and in relation to a conviction under subsection (1) as though the conviction were a conviction against section 96B of that Act and as though the reference to an industrial magistrate in section 96I of the </w:t>
      </w:r>
      <w:r>
        <w:rPr>
          <w:i/>
          <w:snapToGrid w:val="0"/>
        </w:rPr>
        <w:t>Industrial Relations Act 1979</w:t>
      </w:r>
      <w:r>
        <w:rPr>
          <w:snapToGrid w:val="0"/>
        </w:rPr>
        <w:t xml:space="preserve"> were a reference to a court.</w:t>
      </w:r>
    </w:p>
    <w:p>
      <w:pPr>
        <w:pStyle w:val="Heading5"/>
        <w:spacing w:before="180"/>
        <w:rPr>
          <w:snapToGrid w:val="0"/>
        </w:rPr>
      </w:pPr>
      <w:bookmarkStart w:id="312" w:name="_Toc95730197"/>
      <w:bookmarkStart w:id="313" w:name="_Toc147630824"/>
      <w:bookmarkStart w:id="314" w:name="_Toc267647313"/>
      <w:r>
        <w:rPr>
          <w:rStyle w:val="CharSectno"/>
        </w:rPr>
        <w:t>54</w:t>
      </w:r>
      <w:r>
        <w:rPr>
          <w:snapToGrid w:val="0"/>
        </w:rPr>
        <w:t>.</w:t>
      </w:r>
      <w:r>
        <w:rPr>
          <w:snapToGrid w:val="0"/>
        </w:rPr>
        <w:tab/>
        <w:t>Secrecy</w:t>
      </w:r>
      <w:bookmarkEnd w:id="312"/>
      <w:bookmarkEnd w:id="313"/>
      <w:bookmarkEnd w:id="314"/>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315" w:name="_Toc95730198"/>
      <w:bookmarkStart w:id="316" w:name="_Toc147630825"/>
      <w:bookmarkStart w:id="317" w:name="_Toc267647314"/>
      <w:r>
        <w:rPr>
          <w:rStyle w:val="CharSectno"/>
        </w:rPr>
        <w:t>55</w:t>
      </w:r>
      <w:r>
        <w:rPr>
          <w:snapToGrid w:val="0"/>
        </w:rPr>
        <w:t>.</w:t>
      </w:r>
      <w:r>
        <w:rPr>
          <w:snapToGrid w:val="0"/>
        </w:rPr>
        <w:tab/>
        <w:t>Effect of other awards or agreements</w:t>
      </w:r>
      <w:bookmarkEnd w:id="315"/>
      <w:bookmarkEnd w:id="316"/>
      <w:bookmarkEnd w:id="317"/>
    </w:p>
    <w:p>
      <w:pPr>
        <w:pStyle w:val="Subsection"/>
        <w:rPr>
          <w:snapToGrid w:val="0"/>
        </w:rPr>
      </w:pPr>
      <w:r>
        <w:rPr>
          <w:snapToGrid w:val="0"/>
        </w:rPr>
        <w:tab/>
      </w:r>
      <w:r>
        <w:rPr>
          <w:snapToGrid w:val="0"/>
        </w:rPr>
        <w:tab/>
        <w:t>This Act has effect notwithstanding any other Act or award to the contrary.</w:t>
      </w:r>
    </w:p>
    <w:p>
      <w:pPr>
        <w:pStyle w:val="Heading5"/>
      </w:pPr>
      <w:bookmarkStart w:id="318" w:name="_Toc147630826"/>
      <w:bookmarkStart w:id="319" w:name="_Toc267647315"/>
      <w:bookmarkStart w:id="320" w:name="_Toc95730199"/>
      <w:r>
        <w:rPr>
          <w:rStyle w:val="CharSectno"/>
        </w:rPr>
        <w:t>56</w:t>
      </w:r>
      <w:r>
        <w:t>.</w:t>
      </w:r>
      <w:r>
        <w:tab/>
        <w:t>Transitional provisions</w:t>
      </w:r>
      <w:bookmarkEnd w:id="318"/>
      <w:bookmarkEnd w:id="319"/>
    </w:p>
    <w:p>
      <w:pPr>
        <w:pStyle w:val="Subsection"/>
      </w:pPr>
      <w:r>
        <w:tab/>
      </w:r>
      <w:r>
        <w:tab/>
      </w:r>
      <w:r>
        <w:rPr>
          <w:snapToGrid w:val="0"/>
        </w:rPr>
        <w:t>The provisions of the Schedule have effect in relation to the several matters specified in it.</w:t>
      </w:r>
    </w:p>
    <w:p>
      <w:pPr>
        <w:pStyle w:val="Footnotesection"/>
      </w:pPr>
      <w:r>
        <w:tab/>
        <w:t>[Section 56 inserted by No. 36 of 2006 s. 51.]</w:t>
      </w:r>
    </w:p>
    <w:p>
      <w:pPr>
        <w:pStyle w:val="Heading5"/>
        <w:rPr>
          <w:snapToGrid w:val="0"/>
        </w:rPr>
      </w:pPr>
      <w:bookmarkStart w:id="321" w:name="_Toc147630827"/>
      <w:bookmarkStart w:id="322" w:name="_Toc267647316"/>
      <w:r>
        <w:rPr>
          <w:rStyle w:val="CharSectno"/>
        </w:rPr>
        <w:t>57</w:t>
      </w:r>
      <w:r>
        <w:rPr>
          <w:snapToGrid w:val="0"/>
        </w:rPr>
        <w:t>.</w:t>
      </w:r>
      <w:r>
        <w:rPr>
          <w:snapToGrid w:val="0"/>
        </w:rPr>
        <w:tab/>
        <w:t>Regulations</w:t>
      </w:r>
      <w:bookmarkEnd w:id="320"/>
      <w:bookmarkEnd w:id="321"/>
      <w:bookmarkEnd w:id="322"/>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23" w:name="_Toc95729783"/>
      <w:bookmarkStart w:id="324" w:name="_Toc95729848"/>
      <w:bookmarkStart w:id="325" w:name="_Toc95730200"/>
      <w:bookmarkStart w:id="326" w:name="_Toc116956579"/>
      <w:bookmarkStart w:id="327" w:name="_Toc116956643"/>
      <w:bookmarkStart w:id="328" w:name="_Toc116960908"/>
      <w:bookmarkStart w:id="329" w:name="_Toc118525543"/>
      <w:bookmarkStart w:id="330" w:name="_Toc118525849"/>
      <w:bookmarkStart w:id="331" w:name="_Toc120001225"/>
      <w:bookmarkStart w:id="332" w:name="_Toc139864311"/>
      <w:bookmarkStart w:id="333" w:name="_Toc140029765"/>
      <w:bookmarkStart w:id="334" w:name="_Toc140029833"/>
      <w:bookmarkStart w:id="335" w:name="_Toc147305074"/>
      <w:bookmarkStart w:id="336" w:name="_Toc147313849"/>
      <w:bookmarkStart w:id="337" w:name="_Toc147630454"/>
      <w:bookmarkStart w:id="338" w:name="_Toc147630828"/>
      <w:bookmarkStart w:id="339" w:name="_Toc147631973"/>
      <w:bookmarkStart w:id="340" w:name="_Toc147632042"/>
      <w:bookmarkStart w:id="341" w:name="_Toc157844330"/>
      <w:bookmarkStart w:id="342" w:name="_Toc241051538"/>
      <w:bookmarkStart w:id="343" w:name="_Toc259540354"/>
      <w:bookmarkStart w:id="344" w:name="_Toc259540509"/>
      <w:bookmarkStart w:id="345" w:name="_Toc260210037"/>
      <w:bookmarkStart w:id="346" w:name="_Toc261875596"/>
      <w:bookmarkStart w:id="347" w:name="_Toc262222488"/>
      <w:bookmarkStart w:id="348" w:name="_Toc263414978"/>
      <w:bookmarkStart w:id="349" w:name="_Toc263415662"/>
      <w:bookmarkStart w:id="350" w:name="_Toc267647317"/>
      <w:r>
        <w:rPr>
          <w:rStyle w:val="CharSchNo"/>
        </w:rPr>
        <w:t>Schedule</w:t>
      </w:r>
      <w:bookmarkEnd w:id="323"/>
      <w:bookmarkEnd w:id="324"/>
      <w:bookmarkEnd w:id="325"/>
      <w:bookmarkEnd w:id="326"/>
      <w:bookmarkEnd w:id="327"/>
      <w:bookmarkEnd w:id="328"/>
      <w:bookmarkEnd w:id="329"/>
      <w:bookmarkEnd w:id="330"/>
      <w:bookmarkEnd w:id="331"/>
      <w:bookmarkEnd w:id="332"/>
      <w:bookmarkEnd w:id="333"/>
      <w:bookmarkEnd w:id="334"/>
      <w:r>
        <w:rPr>
          <w:b w:val="0"/>
          <w:bCs/>
        </w:rPr>
        <w:t xml:space="preserve"> — </w:t>
      </w:r>
      <w:r>
        <w:rPr>
          <w:rStyle w:val="CharSchText"/>
        </w:rPr>
        <w:t>Transitional provisions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yShoulderClause"/>
        <w:spacing w:before="60"/>
      </w:pPr>
      <w:r>
        <w:t>[s. 56]</w:t>
      </w:r>
    </w:p>
    <w:p>
      <w:pPr>
        <w:pStyle w:val="yFootnoteheading"/>
        <w:spacing w:before="60"/>
      </w:pPr>
      <w:r>
        <w:rPr>
          <w:snapToGrid w:val="0"/>
        </w:rPr>
        <w:tab/>
        <w:t>[Heading ame</w:t>
      </w:r>
      <w:r>
        <w:rPr>
          <w:iCs/>
          <w:snapToGrid w:val="0"/>
        </w:rPr>
        <w:t>n</w:t>
      </w:r>
      <w:r>
        <w:rPr>
          <w:snapToGrid w:val="0"/>
        </w:rPr>
        <w:t>ded by No. 36 of 2006 s. 52(a) and (b).]</w:t>
      </w:r>
    </w:p>
    <w:p>
      <w:pPr>
        <w:pStyle w:val="yHeading2"/>
        <w:outlineLvl w:val="9"/>
      </w:pPr>
      <w:bookmarkStart w:id="351" w:name="_Toc147305076"/>
      <w:bookmarkStart w:id="352" w:name="_Toc147313851"/>
      <w:bookmarkStart w:id="353" w:name="_Toc147630455"/>
      <w:bookmarkStart w:id="354" w:name="_Toc147630829"/>
      <w:bookmarkStart w:id="355" w:name="_Toc147631974"/>
      <w:bookmarkStart w:id="356" w:name="_Toc147632043"/>
      <w:bookmarkStart w:id="357" w:name="_Toc157844331"/>
      <w:bookmarkStart w:id="358" w:name="_Toc241051539"/>
      <w:bookmarkStart w:id="359" w:name="_Toc259540355"/>
      <w:bookmarkStart w:id="360" w:name="_Toc259540510"/>
      <w:bookmarkStart w:id="361" w:name="_Toc260210038"/>
      <w:bookmarkStart w:id="362" w:name="_Toc261875597"/>
      <w:bookmarkStart w:id="363" w:name="_Toc262222489"/>
      <w:bookmarkStart w:id="364" w:name="_Toc263414979"/>
      <w:bookmarkStart w:id="365" w:name="_Toc263415663"/>
      <w:bookmarkStart w:id="366" w:name="_Toc267647318"/>
      <w:r>
        <w:rPr>
          <w:rStyle w:val="CharSDivNo"/>
          <w:snapToGrid/>
        </w:rPr>
        <w:t>Division 1</w:t>
      </w:r>
      <w:r>
        <w:rPr>
          <w:snapToGrid/>
        </w:rPr>
        <w:t> — </w:t>
      </w:r>
      <w:r>
        <w:rPr>
          <w:rStyle w:val="CharSDivText"/>
        </w:rPr>
        <w:t>The appointed day</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yFootnoteheading"/>
        <w:rPr>
          <w:snapToGrid w:val="0"/>
        </w:rPr>
      </w:pPr>
      <w:r>
        <w:rPr>
          <w:snapToGrid w:val="0"/>
        </w:rPr>
        <w:tab/>
        <w:t>[Heading amended by No. 36 of 2006 s. 52(c).]</w:t>
      </w:r>
    </w:p>
    <w:p>
      <w:pPr>
        <w:pStyle w:val="yHeading5"/>
      </w:pPr>
      <w:bookmarkStart w:id="367" w:name="_Toc147630830"/>
      <w:bookmarkStart w:id="368" w:name="_Toc267647319"/>
      <w:r>
        <w:rPr>
          <w:rStyle w:val="CharSClsNo"/>
        </w:rPr>
        <w:t>1</w:t>
      </w:r>
      <w:r>
        <w:t>.</w:t>
      </w:r>
      <w:bookmarkEnd w:id="367"/>
      <w:r>
        <w:tab/>
        <w:t>Employees’ service before application for registration</w:t>
      </w:r>
      <w:bookmarkEnd w:id="368"/>
    </w:p>
    <w:p>
      <w:pPr>
        <w:pStyle w:val="ySubsection"/>
        <w:spacing w:before="120"/>
      </w:pPr>
      <w:r>
        <w:tab/>
      </w:r>
      <w: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pPr>
      <w:bookmarkStart w:id="369" w:name="_Toc267647320"/>
      <w:r>
        <w:t>2.</w:t>
      </w:r>
      <w:r>
        <w:tab/>
        <w:t>Employees to pay Board contributions for some employees</w:t>
      </w:r>
      <w:bookmarkEnd w:id="369"/>
    </w:p>
    <w:p>
      <w:pPr>
        <w:pStyle w:val="ySubsection"/>
        <w:spacing w:before="120"/>
      </w:pPr>
      <w:r>
        <w:tab/>
        <w:t>(1)</w:t>
      </w:r>
      <w:r>
        <w:rPr>
          <w:snapToGrid w:val="0"/>
        </w:rPr>
        <w:tab/>
      </w:r>
      <w:r>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spacing w:before="120"/>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Heading3"/>
        <w:rPr>
          <w:i/>
          <w:iCs/>
        </w:rPr>
      </w:pPr>
      <w:bookmarkStart w:id="370" w:name="_Toc147305079"/>
      <w:bookmarkStart w:id="371" w:name="_Toc147313854"/>
      <w:bookmarkStart w:id="372" w:name="_Toc147630458"/>
      <w:bookmarkStart w:id="373" w:name="_Toc147630832"/>
      <w:bookmarkStart w:id="374" w:name="_Toc147631977"/>
      <w:bookmarkStart w:id="375" w:name="_Toc147632046"/>
      <w:bookmarkStart w:id="376" w:name="_Toc157844334"/>
      <w:bookmarkStart w:id="377" w:name="_Toc241051542"/>
      <w:bookmarkStart w:id="378" w:name="_Toc259540358"/>
      <w:bookmarkStart w:id="379" w:name="_Toc259540513"/>
      <w:bookmarkStart w:id="380" w:name="_Toc260210039"/>
      <w:bookmarkStart w:id="381" w:name="_Toc261875598"/>
      <w:bookmarkStart w:id="382" w:name="_Toc262222490"/>
      <w:bookmarkStart w:id="383" w:name="_Toc263414982"/>
      <w:bookmarkStart w:id="384" w:name="_Toc263415666"/>
      <w:bookmarkStart w:id="385" w:name="_Toc267647321"/>
      <w:r>
        <w:rPr>
          <w:rStyle w:val="CharSDivNo"/>
        </w:rPr>
        <w:t>Division 2</w:t>
      </w:r>
      <w:r>
        <w:rPr>
          <w:sz w:val="28"/>
        </w:rPr>
        <w:t> — </w:t>
      </w:r>
      <w:r>
        <w:rPr>
          <w:rStyle w:val="CharSDivText"/>
          <w:snapToGrid w:val="0"/>
        </w:rPr>
        <w:t xml:space="preserve">The </w:t>
      </w:r>
      <w:r>
        <w:rPr>
          <w:rStyle w:val="CharSDivText"/>
          <w:i/>
          <w:iCs/>
          <w:snapToGrid w:val="0"/>
        </w:rPr>
        <w:t>Labour Relations Legislation Amendment Act 2006</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yFootnoteheading"/>
        <w:rPr>
          <w:snapToGrid w:val="0"/>
        </w:rPr>
      </w:pPr>
      <w:r>
        <w:tab/>
      </w:r>
      <w:r>
        <w:rPr>
          <w:snapToGrid w:val="0"/>
        </w:rPr>
        <w:t>[Heading inserted by No. 36 of 2006 s. 52(d).]</w:t>
      </w:r>
    </w:p>
    <w:p>
      <w:pPr>
        <w:pStyle w:val="yHeading5"/>
      </w:pPr>
      <w:bookmarkStart w:id="386" w:name="_Toc147630833"/>
      <w:bookmarkStart w:id="387" w:name="_Toc260210040"/>
      <w:bookmarkStart w:id="388" w:name="_Toc261875599"/>
      <w:bookmarkStart w:id="389" w:name="_Toc267647322"/>
      <w:r>
        <w:rPr>
          <w:rStyle w:val="CharSClsNo"/>
        </w:rPr>
        <w:t>3</w:t>
      </w:r>
      <w:r>
        <w:t>.</w:t>
      </w:r>
      <w:r>
        <w:rPr>
          <w:b w:val="0"/>
        </w:rPr>
        <w:tab/>
      </w:r>
      <w:r>
        <w:t>Service prior to commencement day</w:t>
      </w:r>
      <w:bookmarkEnd w:id="386"/>
      <w:bookmarkEnd w:id="387"/>
      <w:bookmarkEnd w:id="388"/>
      <w:bookmarkEnd w:id="389"/>
    </w:p>
    <w:p>
      <w:pPr>
        <w:pStyle w:val="ySubsection"/>
        <w:spacing w:before="120"/>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if the employee has completed at least 14 years service prior to the commencement 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r>
        <w:rPr>
          <w:vertAlign w:val="superscript"/>
        </w:rPr>
        <w:t> 1</w:t>
      </w:r>
      <w:r>
        <w:t>.</w:t>
      </w:r>
    </w:p>
    <w:p>
      <w:pPr>
        <w:pStyle w:val="yFootnotesection"/>
      </w:pPr>
      <w:r>
        <w:tab/>
        <w:t>[Clause 3 inserted by No. 36 of 2006 s. 52(d).]</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90" w:name="_Toc95729784"/>
      <w:bookmarkStart w:id="391" w:name="_Toc95729849"/>
      <w:bookmarkStart w:id="392" w:name="_Toc95730201"/>
      <w:bookmarkStart w:id="393" w:name="_Toc95730275"/>
      <w:bookmarkStart w:id="394" w:name="_Toc97003762"/>
      <w:bookmarkStart w:id="395" w:name="_Toc102810481"/>
      <w:bookmarkStart w:id="396" w:name="_Toc116956580"/>
      <w:bookmarkStart w:id="397" w:name="_Toc116956644"/>
      <w:bookmarkStart w:id="398" w:name="_Toc116960910"/>
      <w:bookmarkStart w:id="399" w:name="_Toc118525545"/>
      <w:bookmarkStart w:id="400" w:name="_Toc118525851"/>
      <w:bookmarkStart w:id="401" w:name="_Toc120001227"/>
      <w:bookmarkStart w:id="402" w:name="_Toc139864315"/>
      <w:bookmarkStart w:id="403" w:name="_Toc140029769"/>
      <w:bookmarkStart w:id="404" w:name="_Toc140029837"/>
      <w:bookmarkStart w:id="405" w:name="_Toc147305081"/>
      <w:bookmarkStart w:id="406" w:name="_Toc147313856"/>
      <w:bookmarkStart w:id="407" w:name="_Toc147630460"/>
      <w:bookmarkStart w:id="408" w:name="_Toc147630834"/>
      <w:bookmarkStart w:id="409" w:name="_Toc147631979"/>
      <w:bookmarkStart w:id="410" w:name="_Toc147632048"/>
      <w:bookmarkStart w:id="411" w:name="_Toc157844336"/>
      <w:bookmarkStart w:id="412" w:name="_Toc241051544"/>
      <w:bookmarkStart w:id="413" w:name="_Toc259540360"/>
      <w:bookmarkStart w:id="414" w:name="_Toc259540515"/>
      <w:bookmarkStart w:id="415" w:name="_Toc260210041"/>
      <w:bookmarkStart w:id="416" w:name="_Toc261875600"/>
      <w:bookmarkStart w:id="417" w:name="_Toc262222492"/>
      <w:bookmarkStart w:id="418" w:name="_Toc263414984"/>
      <w:bookmarkStart w:id="419" w:name="_Toc263415668"/>
      <w:bookmarkStart w:id="420" w:name="_Toc267647323"/>
      <w:r>
        <w:t>Notes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Industry Portable Paid Long Service Leave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21" w:name="_Toc267647324"/>
      <w:r>
        <w:rPr>
          <w:snapToGrid w:val="0"/>
        </w:rPr>
        <w:t>Compilation table</w:t>
      </w:r>
      <w:bookmarkEnd w:id="421"/>
    </w:p>
    <w:tbl>
      <w:tblPr>
        <w:tblW w:w="7087" w:type="dxa"/>
        <w:tblInd w:w="96" w:type="dxa"/>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70"/>
              <w:rPr>
                <w:sz w:val="19"/>
              </w:rPr>
            </w:pPr>
            <w:r>
              <w:rPr>
                <w:i/>
                <w:sz w:val="19"/>
              </w:rPr>
              <w:t>Construction Industry Portable Paid Long Service Leave Act 1985</w:t>
            </w:r>
          </w:p>
        </w:tc>
        <w:tc>
          <w:tcPr>
            <w:tcW w:w="1133" w:type="dxa"/>
          </w:tcPr>
          <w:p>
            <w:pPr>
              <w:pStyle w:val="nTable"/>
              <w:spacing w:after="40"/>
              <w:rPr>
                <w:sz w:val="19"/>
              </w:rPr>
            </w:pPr>
            <w:r>
              <w:rPr>
                <w:sz w:val="19"/>
              </w:rPr>
              <w:t>72 of 1985</w:t>
            </w:r>
          </w:p>
        </w:tc>
        <w:tc>
          <w:tcPr>
            <w:tcW w:w="1134" w:type="dxa"/>
          </w:tcPr>
          <w:p>
            <w:pPr>
              <w:pStyle w:val="nTable"/>
              <w:spacing w:after="40"/>
              <w:rPr>
                <w:sz w:val="19"/>
              </w:rPr>
            </w:pPr>
            <w:r>
              <w:rPr>
                <w:sz w:val="19"/>
              </w:rPr>
              <w:t>13 Dec 1985</w:t>
            </w:r>
          </w:p>
        </w:tc>
        <w:tc>
          <w:tcPr>
            <w:tcW w:w="2551" w:type="dxa"/>
          </w:tcPr>
          <w:p>
            <w:pPr>
              <w:pStyle w:val="nTable"/>
              <w:spacing w:after="40"/>
              <w:rPr>
                <w:sz w:val="19"/>
              </w:rPr>
            </w:pPr>
            <w:r>
              <w:rPr>
                <w:sz w:val="19"/>
              </w:rPr>
              <w:t>s. 1 and 2: 13 Dec 1985;</w:t>
            </w:r>
            <w:r>
              <w:rPr>
                <w:sz w:val="19"/>
              </w:rPr>
              <w:br/>
              <w:t xml:space="preserve">Act other than s. 1 and 2: 19 Dec 1986 (see s. 2 and </w:t>
            </w:r>
            <w:r>
              <w:rPr>
                <w:i/>
                <w:sz w:val="19"/>
              </w:rPr>
              <w:t>Gazette</w:t>
            </w:r>
            <w:r>
              <w:rPr>
                <w:sz w:val="19"/>
              </w:rPr>
              <w:t xml:space="preserve"> 19 Dec 1986 p. 4860)</w:t>
            </w:r>
          </w:p>
        </w:tc>
      </w:tr>
      <w:tr>
        <w:trPr>
          <w:cantSplit/>
        </w:trPr>
        <w:tc>
          <w:tcPr>
            <w:tcW w:w="2266" w:type="dxa"/>
          </w:tcPr>
          <w:p>
            <w:pPr>
              <w:pStyle w:val="nTable"/>
              <w:spacing w:after="40"/>
              <w:ind w:right="170"/>
              <w:rPr>
                <w:sz w:val="19"/>
              </w:rPr>
            </w:pPr>
            <w:r>
              <w:rPr>
                <w:i/>
                <w:sz w:val="19"/>
              </w:rPr>
              <w:t>Act Amendment (Financial Administration and Audit) Act 1986</w:t>
            </w:r>
            <w:r>
              <w:rPr>
                <w:sz w:val="19"/>
              </w:rPr>
              <w:t xml:space="preserve"> s. 4</w:t>
            </w:r>
          </w:p>
        </w:tc>
        <w:tc>
          <w:tcPr>
            <w:tcW w:w="1133"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1"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6" w:type="dxa"/>
          </w:tcPr>
          <w:p>
            <w:pPr>
              <w:pStyle w:val="nTable"/>
              <w:spacing w:after="40"/>
              <w:ind w:right="170"/>
              <w:rPr>
                <w:sz w:val="19"/>
              </w:rPr>
            </w:pPr>
            <w:r>
              <w:rPr>
                <w:i/>
                <w:sz w:val="19"/>
              </w:rPr>
              <w:t>Construction Industry Portable Paid Long Service Leave Amendment Act 1989</w:t>
            </w:r>
            <w:r>
              <w:rPr>
                <w:iCs/>
                <w:sz w:val="19"/>
                <w:vertAlign w:val="superscript"/>
              </w:rPr>
              <w:t> 3</w:t>
            </w:r>
          </w:p>
        </w:tc>
        <w:tc>
          <w:tcPr>
            <w:tcW w:w="1133" w:type="dxa"/>
          </w:tcPr>
          <w:p>
            <w:pPr>
              <w:pStyle w:val="nTable"/>
              <w:spacing w:after="40"/>
              <w:rPr>
                <w:sz w:val="19"/>
              </w:rPr>
            </w:pPr>
            <w:r>
              <w:rPr>
                <w:sz w:val="19"/>
              </w:rPr>
              <w:t>30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s. 1 and 2: 12 Dec 1989;</w:t>
            </w:r>
            <w:r>
              <w:rPr>
                <w:sz w:val="19"/>
              </w:rPr>
              <w:br/>
              <w:t xml:space="preserve">Act other than s. 1 and 2: 29 Dec 1989 (see s. 2 and </w:t>
            </w:r>
            <w:r>
              <w:rPr>
                <w:i/>
                <w:sz w:val="19"/>
              </w:rPr>
              <w:t>Gazette</w:t>
            </w:r>
            <w:r>
              <w:rPr>
                <w:sz w:val="19"/>
              </w:rPr>
              <w:t xml:space="preserve"> 29 Dec 1989 p. 4665)</w:t>
            </w:r>
          </w:p>
        </w:tc>
      </w:tr>
      <w:tr>
        <w:trPr>
          <w:cantSplit/>
        </w:trPr>
        <w:tc>
          <w:tcPr>
            <w:tcW w:w="2266" w:type="dxa"/>
          </w:tcPr>
          <w:p>
            <w:pPr>
              <w:pStyle w:val="nTable"/>
              <w:spacing w:after="40"/>
              <w:ind w:right="17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6" w:type="dxa"/>
          </w:tcPr>
          <w:p>
            <w:pPr>
              <w:pStyle w:val="nTable"/>
              <w:spacing w:after="40"/>
              <w:ind w:right="170"/>
              <w:rPr>
                <w:sz w:val="19"/>
              </w:rPr>
            </w:pPr>
            <w:r>
              <w:rPr>
                <w:i/>
                <w:sz w:val="19"/>
              </w:rPr>
              <w:t>Acts Amendment (Public Sector Management) Act 1994</w:t>
            </w:r>
            <w:r>
              <w:rPr>
                <w:sz w:val="19"/>
              </w:rPr>
              <w:t xml:space="preserve"> s. 3(2)</w:t>
            </w:r>
          </w:p>
        </w:tc>
        <w:tc>
          <w:tcPr>
            <w:tcW w:w="1133"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ind w:right="17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6" w:type="dxa"/>
          </w:tcPr>
          <w:p>
            <w:pPr>
              <w:pStyle w:val="nTable"/>
              <w:spacing w:after="40"/>
              <w:ind w:right="170"/>
              <w:rPr>
                <w:sz w:val="19"/>
              </w:rPr>
            </w:pPr>
            <w:r>
              <w:rPr>
                <w:i/>
                <w:sz w:val="19"/>
              </w:rPr>
              <w:t>Financial Legislation Amendment Act 1996</w:t>
            </w:r>
            <w:r>
              <w:rPr>
                <w:sz w:val="19"/>
              </w:rPr>
              <w:t xml:space="preserve"> s. 64</w:t>
            </w:r>
          </w:p>
        </w:tc>
        <w:tc>
          <w:tcPr>
            <w:tcW w:w="1133" w:type="dxa"/>
          </w:tcPr>
          <w:p>
            <w:pPr>
              <w:pStyle w:val="nTable"/>
              <w:keepNext/>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6" w:type="dxa"/>
          </w:tcPr>
          <w:p>
            <w:pPr>
              <w:pStyle w:val="nTable"/>
              <w:spacing w:after="40"/>
              <w:ind w:right="170"/>
              <w:rPr>
                <w:sz w:val="19"/>
              </w:rPr>
            </w:pPr>
            <w:r>
              <w:rPr>
                <w:i/>
                <w:sz w:val="19"/>
              </w:rPr>
              <w:t>Trustees Amendment Act 1997</w:t>
            </w:r>
            <w:r>
              <w:rPr>
                <w:sz w:val="19"/>
              </w:rPr>
              <w:t xml:space="preserve"> s. 18</w:t>
            </w:r>
          </w:p>
        </w:tc>
        <w:tc>
          <w:tcPr>
            <w:tcW w:w="1133"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6" w:type="dxa"/>
          </w:tcPr>
          <w:p>
            <w:pPr>
              <w:pStyle w:val="nTable"/>
              <w:spacing w:after="40"/>
              <w:ind w:right="170"/>
              <w:rPr>
                <w:sz w:val="19"/>
              </w:rPr>
            </w:pPr>
            <w:r>
              <w:rPr>
                <w:i/>
                <w:sz w:val="19"/>
              </w:rPr>
              <w:t>Statutes (Repeals and Minor Amendments) Act 1997</w:t>
            </w:r>
            <w:r>
              <w:rPr>
                <w:sz w:val="19"/>
              </w:rPr>
              <w:t xml:space="preserve"> s. 38</w:t>
            </w:r>
          </w:p>
        </w:tc>
        <w:tc>
          <w:tcPr>
            <w:tcW w:w="1133"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4" w:type="dxa"/>
            <w:gridSpan w:val="4"/>
          </w:tcPr>
          <w:p>
            <w:pPr>
              <w:pStyle w:val="nTable"/>
              <w:spacing w:after="4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6" w:type="dxa"/>
          </w:tcPr>
          <w:p>
            <w:pPr>
              <w:pStyle w:val="nTable"/>
              <w:spacing w:after="40"/>
              <w:ind w:right="170"/>
              <w:rPr>
                <w:i/>
                <w:sz w:val="19"/>
              </w:rPr>
            </w:pPr>
            <w:r>
              <w:rPr>
                <w:i/>
                <w:sz w:val="19"/>
              </w:rPr>
              <w:t xml:space="preserve">Corporations (Consequential Amendments) Act 2001 </w:t>
            </w:r>
            <w:r>
              <w:rPr>
                <w:sz w:val="19"/>
              </w:rPr>
              <w:t>Pt. 14</w:t>
            </w:r>
          </w:p>
        </w:tc>
        <w:tc>
          <w:tcPr>
            <w:tcW w:w="1133"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70"/>
              <w:rPr>
                <w:i/>
                <w:sz w:val="19"/>
              </w:rPr>
            </w:pPr>
            <w:r>
              <w:rPr>
                <w:i/>
                <w:sz w:val="19"/>
              </w:rPr>
              <w:t xml:space="preserve">Acts Amendment (Equality of Status) Act 2003 </w:t>
            </w:r>
            <w:r>
              <w:rPr>
                <w:sz w:val="19"/>
              </w:rPr>
              <w:t>Pt. 7</w:t>
            </w:r>
          </w:p>
        </w:tc>
        <w:tc>
          <w:tcPr>
            <w:tcW w:w="1133"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6"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3"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4" w:type="dxa"/>
            <w:gridSpan w:val="4"/>
          </w:tcPr>
          <w:p>
            <w:pPr>
              <w:pStyle w:val="nTable"/>
              <w:spacing w:after="40"/>
              <w:rPr>
                <w:snapToGrid w:val="0"/>
                <w:sz w:val="19"/>
                <w:lang w:val="en-US"/>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 xml:space="preserve">Labour Relations Legislation Amendment Act 2006 </w:t>
            </w:r>
            <w:r>
              <w:rPr>
                <w:iCs/>
                <w:snapToGrid w:val="0"/>
                <w:sz w:val="19"/>
                <w:lang w:val="en-US"/>
              </w:rPr>
              <w:t>Pt. 7 Div. 1</w:t>
            </w:r>
          </w:p>
        </w:tc>
        <w:tc>
          <w:tcPr>
            <w:tcW w:w="1133" w:type="dxa"/>
            <w:tcBorders>
              <w:top w:val="nil"/>
              <w:bottom w:val="nil"/>
            </w:tcBorders>
          </w:tcPr>
          <w:p>
            <w:pPr>
              <w:pStyle w:val="nTable"/>
              <w:spacing w:after="40"/>
              <w:rPr>
                <w:snapToGrid w:val="0"/>
                <w:sz w:val="19"/>
                <w:lang w:val="en-US"/>
              </w:rPr>
            </w:pPr>
            <w:r>
              <w:rPr>
                <w:snapToGrid w:val="0"/>
                <w:sz w:val="19"/>
                <w:lang w:val="en-US"/>
              </w:rPr>
              <w:t>36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1" w:type="dxa"/>
            <w:tcBorders>
              <w:top w:val="nil"/>
              <w:bottom w:val="nil"/>
            </w:tcBorders>
          </w:tcPr>
          <w:p>
            <w:pPr>
              <w:pStyle w:val="nTable"/>
              <w:spacing w:after="40"/>
              <w:rPr>
                <w:snapToGrid w:val="0"/>
                <w:sz w:val="19"/>
                <w:lang w:val="en-US"/>
              </w:rPr>
            </w:pPr>
            <w:r>
              <w:rPr>
                <w:snapToGrid w:val="0"/>
                <w:sz w:val="19"/>
                <w:lang w:val="en-US"/>
              </w:rPr>
              <w:t>1 Oct 2006 (see s. 2(2))</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31</w:t>
            </w:r>
          </w:p>
        </w:tc>
        <w:tc>
          <w:tcPr>
            <w:tcW w:w="1133"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Statutes (Repeals and Miscellaneous Amendments) Act 2009 </w:t>
            </w:r>
            <w:r>
              <w:rPr>
                <w:iCs/>
                <w:snapToGrid w:val="0"/>
                <w:sz w:val="19"/>
                <w:lang w:val="en-US"/>
              </w:rPr>
              <w:t>s. 39</w:t>
            </w:r>
          </w:p>
        </w:tc>
        <w:tc>
          <w:tcPr>
            <w:tcW w:w="1133" w:type="dxa"/>
            <w:tcBorders>
              <w:top w:val="nil"/>
              <w:bottom w:val="nil"/>
            </w:tcBorders>
          </w:tcPr>
          <w:p>
            <w:pPr>
              <w:pStyle w:val="nTable"/>
              <w:spacing w:after="40"/>
              <w:rPr>
                <w:snapToGrid w:val="0"/>
                <w:sz w:val="19"/>
                <w:lang w:val="en-US"/>
              </w:rPr>
            </w:pPr>
            <w:r>
              <w:rPr>
                <w:sz w:val="19"/>
              </w:rPr>
              <w:t xml:space="preserve">8 of 2009 </w:t>
            </w:r>
          </w:p>
        </w:tc>
        <w:tc>
          <w:tcPr>
            <w:tcW w:w="1134" w:type="dxa"/>
            <w:tcBorders>
              <w:top w:val="nil"/>
              <w:bottom w:val="nil"/>
            </w:tcBorders>
          </w:tcPr>
          <w:p>
            <w:pPr>
              <w:pStyle w:val="nTable"/>
              <w:spacing w:after="40"/>
              <w:ind w:right="-108"/>
              <w:rPr>
                <w:snapToGrid w:val="0"/>
                <w:sz w:val="19"/>
                <w:lang w:val="en-US"/>
              </w:rPr>
            </w:pPr>
            <w:r>
              <w:rPr>
                <w:sz w:val="19"/>
              </w:rPr>
              <w:t>21 May 2009</w:t>
            </w:r>
          </w:p>
        </w:tc>
        <w:tc>
          <w:tcPr>
            <w:tcW w:w="2551" w:type="dxa"/>
            <w:tcBorders>
              <w:top w:val="nil"/>
              <w:bottom w:val="nil"/>
            </w:tcBorders>
          </w:tcPr>
          <w:p>
            <w:pPr>
              <w:pStyle w:val="nTable"/>
              <w:spacing w:after="40"/>
              <w:rPr>
                <w:snapToGrid w:val="0"/>
                <w:sz w:val="19"/>
                <w:lang w:val="en-US"/>
              </w:rPr>
            </w:pPr>
            <w:r>
              <w:rPr>
                <w:sz w:val="19"/>
              </w:rPr>
              <w:t>22 May 2009 (see s. 2(b))</w:t>
            </w:r>
          </w:p>
        </w:tc>
      </w:tr>
      <w:tr>
        <w:trPr>
          <w:cantSplit/>
        </w:trPr>
        <w:tc>
          <w:tcPr>
            <w:tcW w:w="2266" w:type="dxa"/>
          </w:tcPr>
          <w:p>
            <w:pPr>
              <w:pStyle w:val="nTable"/>
              <w:spacing w:after="40"/>
              <w:ind w:right="170"/>
              <w:rPr>
                <w:i/>
                <w:snapToGrid w:val="0"/>
                <w:sz w:val="19"/>
                <w:lang w:val="en-US"/>
              </w:rPr>
            </w:pPr>
            <w:r>
              <w:rPr>
                <w:i/>
                <w:snapToGrid w:val="0"/>
                <w:sz w:val="19"/>
                <w:lang w:val="en-US"/>
              </w:rPr>
              <w:t xml:space="preserve">Acts Amendment (Bankruptcy) Act 2009 </w:t>
            </w:r>
            <w:r>
              <w:rPr>
                <w:iCs/>
                <w:snapToGrid w:val="0"/>
                <w:sz w:val="19"/>
                <w:lang w:val="en-US"/>
              </w:rPr>
              <w:t>s. 21</w:t>
            </w:r>
          </w:p>
        </w:tc>
        <w:tc>
          <w:tcPr>
            <w:tcW w:w="1133"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3: The </w:t>
            </w:r>
            <w:r>
              <w:rPr>
                <w:b/>
                <w:bCs/>
                <w:i/>
                <w:sz w:val="19"/>
              </w:rPr>
              <w:t>Construction Industry Portable Paid Long Service Leave Act 1985</w:t>
            </w:r>
            <w:r>
              <w:rPr>
                <w:b/>
                <w:bCs/>
                <w:i/>
                <w:sz w:val="19"/>
              </w:rPr>
              <w:br/>
            </w:r>
            <w:r>
              <w:rPr>
                <w:b/>
                <w:bCs/>
                <w:sz w:val="19"/>
              </w:rPr>
              <w:t>as at 21 May 2010</w:t>
            </w:r>
            <w:r>
              <w:rPr>
                <w:sz w:val="19"/>
              </w:rPr>
              <w:t xml:space="preserve"> (includes amendments listed above)</w:t>
            </w:r>
          </w:p>
        </w:tc>
      </w:tr>
    </w:tbl>
    <w:p>
      <w:pPr>
        <w:pStyle w:val="nSubsection"/>
        <w:spacing w:before="160"/>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2" w:name="_Toc7405065"/>
      <w:bookmarkStart w:id="423" w:name="_Toc267647325"/>
      <w:r>
        <w:t>Provisions that have not come into operation</w:t>
      </w:r>
      <w:bookmarkEnd w:id="422"/>
      <w:bookmarkEnd w:id="423"/>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4</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keepNext/>
        <w:keepLines/>
        <w:rPr>
          <w:snapToGrid w:val="0"/>
        </w:rPr>
      </w:pPr>
      <w:r>
        <w:rPr>
          <w:snapToGrid w:val="0"/>
          <w:vertAlign w:val="superscript"/>
        </w:rPr>
        <w:t>3</w:t>
      </w:r>
      <w:r>
        <w:rPr>
          <w:snapToGrid w:val="0"/>
        </w:rPr>
        <w:tab/>
        <w:t xml:space="preserve">The </w:t>
      </w:r>
      <w:r>
        <w:rPr>
          <w:i/>
        </w:rPr>
        <w:t>Construction Industry Portable Paid Long Service Leave Amendment Act 1989</w:t>
      </w:r>
      <w:r>
        <w:rPr>
          <w:snapToGrid w:val="0"/>
        </w:rPr>
        <w:t xml:space="preserve"> s. 13 and 14 read as follows:</w:t>
      </w:r>
    </w:p>
    <w:p>
      <w:pPr>
        <w:pStyle w:val="BlankOpen"/>
        <w:rPr>
          <w:snapToGrid w:val="0"/>
        </w:rPr>
      </w:pP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rStyle w:val="CharDefText"/>
        </w:rPr>
        <w:t>day of service</w:t>
      </w:r>
      <w:r>
        <w:t xml:space="preserve">, </w:t>
      </w:r>
      <w:r>
        <w:rPr>
          <w:rStyle w:val="CharDefText"/>
        </w:rPr>
        <w:t>employee</w:t>
      </w:r>
      <w:r>
        <w:t xml:space="preserve"> and </w:t>
      </w:r>
      <w:r>
        <w:rPr>
          <w:rStyle w:val="CharDefText"/>
        </w:rPr>
        <w:t>employer</w:t>
      </w:r>
      <w:r>
        <w:t xml:space="preserve"> have the same meaning as in the principal Act; and</w:t>
      </w:r>
    </w:p>
    <w:p>
      <w:pPr>
        <w:pStyle w:val="nzDefstart"/>
      </w:pPr>
      <w:r>
        <w:rPr>
          <w:b/>
        </w:rPr>
        <w:tab/>
      </w:r>
      <w:r>
        <w:rPr>
          <w:rStyle w:val="CharDefText"/>
        </w:rPr>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BlankClose"/>
      </w:pP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rPr>
          <w:snapToGrid w:val="0"/>
        </w:rPr>
      </w:pPr>
    </w:p>
    <w:p>
      <w:pPr>
        <w:pStyle w:val="nzHeading5"/>
      </w:pPr>
      <w:bookmarkStart w:id="424" w:name="_Toc233107854"/>
      <w:bookmarkStart w:id="425" w:name="_Toc255473747"/>
      <w:bookmarkStart w:id="426" w:name="_Toc265583802"/>
      <w:r>
        <w:rPr>
          <w:rStyle w:val="CharSectno"/>
        </w:rPr>
        <w:t>51</w:t>
      </w:r>
      <w:r>
        <w:t>.</w:t>
      </w:r>
      <w:r>
        <w:tab/>
        <w:t>Various written laws amended</w:t>
      </w:r>
      <w:bookmarkEnd w:id="424"/>
      <w:bookmarkEnd w:id="425"/>
      <w:bookmarkEnd w:id="426"/>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14.</w:t>
            </w:r>
            <w:r>
              <w:rPr>
                <w:b/>
                <w:bCs/>
              </w:rPr>
              <w:tab/>
            </w:r>
            <w:r>
              <w:rPr>
                <w:b/>
                <w:bCs/>
                <w:i/>
                <w:iCs/>
              </w:rPr>
              <w:t>Construction Industry Portable Paid Long Service Leave Act 1985</w:t>
            </w:r>
          </w:p>
        </w:tc>
      </w:tr>
      <w:tr>
        <w:trPr>
          <w:jc w:val="center"/>
        </w:trPr>
        <w:tc>
          <w:tcPr>
            <w:tcW w:w="1702" w:type="dxa"/>
          </w:tcPr>
          <w:p>
            <w:pPr>
              <w:pStyle w:val="TableAm"/>
            </w:pPr>
            <w:r>
              <w:t>Sch. cl. 1</w:t>
            </w:r>
          </w:p>
        </w:tc>
        <w:tc>
          <w:tcPr>
            <w:tcW w:w="2551" w:type="dxa"/>
          </w:tcPr>
          <w:p>
            <w:pPr>
              <w:pStyle w:val="TableAm"/>
              <w:tabs>
                <w:tab w:val="left" w:pos="368"/>
                <w:tab w:val="left" w:pos="794"/>
              </w:tabs>
              <w:rPr>
                <w:b/>
                <w:snapToGrid w:val="0"/>
                <w:sz w:val="22"/>
              </w:rPr>
            </w:pPr>
            <w:r>
              <w:rPr>
                <w:b/>
                <w:snapToGrid w:val="0"/>
                <w:sz w:val="22"/>
              </w:rPr>
              <w:t>1.</w:t>
            </w:r>
            <w:r>
              <w:rPr>
                <w:b/>
                <w:snapToGrid w:val="0"/>
                <w:sz w:val="22"/>
              </w:rPr>
              <w:tab/>
            </w:r>
          </w:p>
          <w:p>
            <w:pPr>
              <w:pStyle w:val="TableAm"/>
              <w:tabs>
                <w:tab w:val="right" w:pos="369"/>
                <w:tab w:val="left" w:pos="511"/>
              </w:tabs>
              <w:spacing w:before="0"/>
              <w:rPr>
                <w:bCs/>
                <w:snapToGrid w:val="0"/>
                <w:sz w:val="22"/>
              </w:rPr>
            </w:pPr>
            <w:r>
              <w:rPr>
                <w:snapToGrid w:val="0"/>
                <w:sz w:val="22"/>
              </w:rPr>
              <w:tab/>
            </w:r>
            <w:r>
              <w:rPr>
                <w:snapToGrid w:val="0"/>
                <w:sz w:val="22"/>
              </w:rPr>
              <w:tab/>
              <w:t>Notwithstanding</w:t>
            </w:r>
          </w:p>
        </w:tc>
        <w:tc>
          <w:tcPr>
            <w:tcW w:w="2551" w:type="dxa"/>
          </w:tcPr>
          <w:p>
            <w:pPr>
              <w:pStyle w:val="TableAm"/>
              <w:tabs>
                <w:tab w:val="left" w:pos="567"/>
              </w:tabs>
              <w:ind w:left="567" w:hanging="567"/>
              <w:rPr>
                <w:b/>
                <w:bCs/>
                <w:snapToGrid w:val="0"/>
                <w:sz w:val="22"/>
              </w:rPr>
            </w:pPr>
            <w:r>
              <w:rPr>
                <w:b/>
                <w:bCs/>
                <w:snapToGrid w:val="0"/>
                <w:sz w:val="22"/>
              </w:rPr>
              <w:t>1.</w:t>
            </w:r>
            <w:r>
              <w:rPr>
                <w:b/>
                <w:bCs/>
                <w:snapToGrid w:val="0"/>
                <w:sz w:val="22"/>
              </w:rPr>
              <w:tab/>
              <w:t>Service prior to application</w:t>
            </w:r>
          </w:p>
          <w:p>
            <w:pPr>
              <w:pStyle w:val="TableAm"/>
              <w:tabs>
                <w:tab w:val="left" w:pos="113"/>
                <w:tab w:val="left" w:pos="567"/>
              </w:tabs>
              <w:spacing w:before="0"/>
              <w:ind w:left="567" w:hanging="567"/>
              <w:rPr>
                <w:bCs/>
                <w:snapToGrid w:val="0"/>
                <w:sz w:val="22"/>
              </w:rPr>
            </w:pPr>
            <w:r>
              <w:rPr>
                <w:snapToGrid w:val="0"/>
                <w:sz w:val="22"/>
              </w:rPr>
              <w:tab/>
            </w:r>
            <w:r>
              <w:rPr>
                <w:snapToGrid w:val="0"/>
                <w:sz w:val="22"/>
              </w:rPr>
              <w:tab/>
              <w:t>Notwithstanding</w:t>
            </w:r>
          </w:p>
        </w:tc>
      </w:tr>
      <w:tr>
        <w:trPr>
          <w:jc w:val="center"/>
        </w:trPr>
        <w:tc>
          <w:tcPr>
            <w:tcW w:w="1702" w:type="dxa"/>
          </w:tcPr>
          <w:p>
            <w:pPr>
              <w:pStyle w:val="TableAm"/>
              <w:keepNext/>
            </w:pPr>
            <w:r>
              <w:t>Sch. cl. 2</w:t>
            </w:r>
          </w:p>
        </w:tc>
        <w:tc>
          <w:tcPr>
            <w:tcW w:w="2551" w:type="dxa"/>
          </w:tcPr>
          <w:p>
            <w:pPr>
              <w:pStyle w:val="TableAm"/>
              <w:keepNext/>
              <w:tabs>
                <w:tab w:val="left" w:pos="368"/>
                <w:tab w:val="left" w:pos="794"/>
              </w:tabs>
              <w:rPr>
                <w:b/>
                <w:snapToGrid w:val="0"/>
                <w:sz w:val="22"/>
              </w:rPr>
            </w:pPr>
            <w:r>
              <w:rPr>
                <w:b/>
                <w:snapToGrid w:val="0"/>
                <w:sz w:val="22"/>
              </w:rPr>
              <w:t>2.</w:t>
            </w:r>
            <w:r>
              <w:rPr>
                <w:b/>
                <w:snapToGrid w:val="0"/>
                <w:sz w:val="22"/>
              </w:rPr>
              <w:tab/>
            </w:r>
          </w:p>
          <w:p>
            <w:pPr>
              <w:pStyle w:val="TableAm"/>
              <w:keepNext/>
              <w:tabs>
                <w:tab w:val="right" w:pos="369"/>
                <w:tab w:val="left" w:pos="511"/>
              </w:tabs>
              <w:spacing w:before="0"/>
              <w:rPr>
                <w:bCs/>
                <w:snapToGrid w:val="0"/>
                <w:sz w:val="22"/>
              </w:rPr>
            </w:pPr>
            <w:r>
              <w:rPr>
                <w:snapToGrid w:val="0"/>
                <w:sz w:val="22"/>
              </w:rPr>
              <w:tab/>
              <w:t>(1)</w:t>
            </w:r>
            <w:r>
              <w:rPr>
                <w:snapToGrid w:val="0"/>
                <w:sz w:val="22"/>
              </w:rPr>
              <w:tab/>
              <w:t>Notwithstanding</w:t>
            </w:r>
          </w:p>
        </w:tc>
        <w:tc>
          <w:tcPr>
            <w:tcW w:w="2551" w:type="dxa"/>
          </w:tcPr>
          <w:p>
            <w:pPr>
              <w:pStyle w:val="TableAm"/>
              <w:keepNext/>
              <w:tabs>
                <w:tab w:val="left" w:pos="567"/>
              </w:tabs>
              <w:ind w:left="567" w:hanging="567"/>
              <w:rPr>
                <w:b/>
                <w:bCs/>
                <w:snapToGrid w:val="0"/>
                <w:sz w:val="22"/>
              </w:rPr>
            </w:pPr>
            <w:r>
              <w:rPr>
                <w:b/>
                <w:bCs/>
                <w:snapToGrid w:val="0"/>
                <w:sz w:val="22"/>
              </w:rPr>
              <w:t>2.</w:t>
            </w:r>
            <w:r>
              <w:rPr>
                <w:b/>
                <w:bCs/>
                <w:snapToGrid w:val="0"/>
                <w:sz w:val="22"/>
              </w:rPr>
              <w:tab/>
              <w:t>Contributions for service prior to appointed day</w:t>
            </w:r>
          </w:p>
          <w:p>
            <w:pPr>
              <w:pStyle w:val="TableAm"/>
              <w:keepNext/>
              <w:tabs>
                <w:tab w:val="left" w:pos="113"/>
                <w:tab w:val="left" w:pos="567"/>
              </w:tabs>
              <w:spacing w:before="0"/>
              <w:ind w:left="567" w:hanging="567"/>
              <w:rPr>
                <w:bCs/>
                <w:snapToGrid w:val="0"/>
                <w:sz w:val="22"/>
              </w:rPr>
            </w:pPr>
            <w:r>
              <w:rPr>
                <w:snapToGrid w:val="0"/>
                <w:sz w:val="22"/>
              </w:rPr>
              <w:tab/>
              <w:t>(1)</w:t>
            </w:r>
            <w:r>
              <w:rPr>
                <w:snapToGrid w:val="0"/>
                <w:sz w:val="22"/>
              </w:rPr>
              <w:tab/>
              <w:t>Notwithstanding</w:t>
            </w:r>
          </w:p>
        </w:tc>
      </w:tr>
    </w:tbl>
    <w:p>
      <w:pPr>
        <w:pStyle w:val="BlankClose"/>
        <w:rPr>
          <w:snapToGrid w:val="0"/>
        </w:rPr>
      </w:pPr>
    </w:p>
    <w:p>
      <w:pPr>
        <w:rPr>
          <w:snapToGrid w:val="0"/>
        </w:rPr>
      </w:pPr>
    </w:p>
    <w:p>
      <w:pPr>
        <w:spacing w:after="40"/>
        <w:ind w:right="170"/>
        <w:rPr>
          <w:snapToGrid w:val="0"/>
        </w:rPr>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p>
    <w:p>
      <w:pPr>
        <w:rPr>
          <w:snapToGrid w:val="0"/>
        </w:rPr>
      </w:pPr>
    </w:p>
    <w:p>
      <w:pPr>
        <w:pStyle w:val="nHeading2"/>
        <w:rPr>
          <w:sz w:val="28"/>
        </w:rPr>
      </w:pPr>
      <w:bookmarkStart w:id="427" w:name="_Toc259540517"/>
      <w:bookmarkStart w:id="428" w:name="_Toc260210043"/>
      <w:bookmarkStart w:id="429" w:name="_Toc261875602"/>
      <w:bookmarkStart w:id="430" w:name="_Toc262222494"/>
      <w:bookmarkStart w:id="431" w:name="_Toc263414986"/>
      <w:bookmarkStart w:id="432" w:name="_Toc263415670"/>
      <w:bookmarkStart w:id="433" w:name="_Toc267647326"/>
      <w:r>
        <w:rPr>
          <w:sz w:val="28"/>
        </w:rPr>
        <w:t>Defined Terms</w:t>
      </w:r>
      <w:bookmarkEnd w:id="427"/>
      <w:bookmarkEnd w:id="428"/>
      <w:bookmarkEnd w:id="429"/>
      <w:bookmarkEnd w:id="430"/>
      <w:bookmarkEnd w:id="431"/>
      <w:bookmarkEnd w:id="432"/>
      <w:bookmarkEnd w:id="433"/>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434" w:name="DefinedTerms"/>
      <w:bookmarkEnd w:id="434"/>
      <w:r>
        <w:rPr>
          <w:snapToGrid w:val="0"/>
        </w:rPr>
        <w:t>appointed day</w:t>
      </w:r>
      <w:r>
        <w:rPr>
          <w:snapToGrid w:val="0"/>
        </w:rPr>
        <w:tab/>
        <w:t>3(1)</w:t>
      </w:r>
    </w:p>
    <w:p>
      <w:pPr>
        <w:pStyle w:val="DefinedTerms"/>
        <w:rPr>
          <w:snapToGrid w:val="0"/>
        </w:rPr>
      </w:pPr>
      <w:r>
        <w:rPr>
          <w:snapToGrid w:val="0"/>
        </w:rPr>
        <w:t>award</w:t>
      </w:r>
      <w:r>
        <w:rPr>
          <w:snapToGrid w:val="0"/>
        </w:rPr>
        <w:tab/>
        <w:t>3(1)</w:t>
      </w:r>
    </w:p>
    <w:p>
      <w:pPr>
        <w:pStyle w:val="DefinedTerms"/>
        <w:rPr>
          <w:snapToGrid w:val="0"/>
        </w:rPr>
      </w:pPr>
      <w:r>
        <w:rPr>
          <w:snapToGrid w:val="0"/>
        </w:rPr>
        <w:t>Board</w:t>
      </w:r>
      <w:r>
        <w:rPr>
          <w:snapToGrid w:val="0"/>
        </w:rPr>
        <w:tab/>
        <w:t>3(1)</w:t>
      </w:r>
    </w:p>
    <w:p>
      <w:pPr>
        <w:pStyle w:val="DefinedTerms"/>
        <w:rPr>
          <w:snapToGrid w:val="0"/>
        </w:rPr>
      </w:pPr>
      <w:r>
        <w:rPr>
          <w:snapToGrid w:val="0"/>
        </w:rPr>
        <w:t>books</w:t>
      </w:r>
      <w:r>
        <w:rPr>
          <w:snapToGrid w:val="0"/>
        </w:rPr>
        <w:tab/>
        <w:t>3(1)</w:t>
      </w:r>
    </w:p>
    <w:p>
      <w:pPr>
        <w:pStyle w:val="DefinedTerms"/>
        <w:rPr>
          <w:snapToGrid w:val="0"/>
        </w:rPr>
      </w:pPr>
      <w:r>
        <w:rPr>
          <w:snapToGrid w:val="0"/>
        </w:rPr>
        <w:t>chief executive officer</w:t>
      </w:r>
      <w:r>
        <w:rPr>
          <w:snapToGrid w:val="0"/>
        </w:rPr>
        <w:tab/>
        <w:t>3(1)</w:t>
      </w:r>
    </w:p>
    <w:p>
      <w:pPr>
        <w:pStyle w:val="DefinedTerms"/>
        <w:rPr>
          <w:snapToGrid w:val="0"/>
        </w:rPr>
      </w:pPr>
      <w:r>
        <w:rPr>
          <w:snapToGrid w:val="0"/>
        </w:rPr>
        <w:t>commencement day</w:t>
      </w:r>
      <w:r>
        <w:rPr>
          <w:snapToGrid w:val="0"/>
        </w:rPr>
        <w:tab/>
        <w:t>Sch. cl. 3(7)</w:t>
      </w:r>
    </w:p>
    <w:p>
      <w:pPr>
        <w:pStyle w:val="DefinedTerms"/>
        <w:rPr>
          <w:snapToGrid w:val="0"/>
        </w:rPr>
      </w:pPr>
      <w:r>
        <w:rPr>
          <w:snapToGrid w:val="0"/>
        </w:rPr>
        <w:t>construction industry</w:t>
      </w:r>
      <w:r>
        <w:rPr>
          <w:snapToGrid w:val="0"/>
        </w:rPr>
        <w:tab/>
        <w:t>3(1), 29A(1)</w:t>
      </w:r>
    </w:p>
    <w:p>
      <w:pPr>
        <w:pStyle w:val="DefinedTerms"/>
        <w:rPr>
          <w:snapToGrid w:val="0"/>
        </w:rPr>
      </w:pPr>
      <w:r>
        <w:rPr>
          <w:snapToGrid w:val="0"/>
        </w:rPr>
        <w:t>corresponding law</w:t>
      </w:r>
      <w:r>
        <w:rPr>
          <w:snapToGrid w:val="0"/>
        </w:rPr>
        <w:tab/>
        <w:t>29A(1)</w:t>
      </w:r>
    </w:p>
    <w:p>
      <w:pPr>
        <w:pStyle w:val="DefinedTerms"/>
        <w:rPr>
          <w:snapToGrid w:val="0"/>
        </w:rPr>
      </w:pPr>
      <w:r>
        <w:rPr>
          <w:snapToGrid w:val="0"/>
        </w:rPr>
        <w:t>corresponding public employer in this State</w:t>
      </w:r>
      <w:r>
        <w:rPr>
          <w:snapToGrid w:val="0"/>
        </w:rPr>
        <w:tab/>
        <w:t>29A(1)</w:t>
      </w:r>
    </w:p>
    <w:p>
      <w:pPr>
        <w:pStyle w:val="DefinedTerms"/>
        <w:rPr>
          <w:snapToGrid w:val="0"/>
        </w:rPr>
      </w:pPr>
      <w:r>
        <w:rPr>
          <w:snapToGrid w:val="0"/>
        </w:rPr>
        <w:t>day of service</w:t>
      </w:r>
      <w:r>
        <w:rPr>
          <w:snapToGrid w:val="0"/>
        </w:rPr>
        <w:tab/>
        <w:t>3(1)</w:t>
      </w:r>
    </w:p>
    <w:p>
      <w:pPr>
        <w:pStyle w:val="DefinedTerms"/>
        <w:rPr>
          <w:snapToGrid w:val="0"/>
        </w:rPr>
      </w:pPr>
      <w:r>
        <w:rPr>
          <w:snapToGrid w:val="0"/>
        </w:rPr>
        <w:t>employee</w:t>
      </w:r>
      <w:r>
        <w:rPr>
          <w:snapToGrid w:val="0"/>
        </w:rPr>
        <w:tab/>
        <w:t>3(1)</w:t>
      </w:r>
    </w:p>
    <w:p>
      <w:pPr>
        <w:pStyle w:val="DefinedTerms"/>
        <w:rPr>
          <w:snapToGrid w:val="0"/>
        </w:rPr>
      </w:pPr>
      <w:r>
        <w:rPr>
          <w:snapToGrid w:val="0"/>
        </w:rPr>
        <w:t>employees register</w:t>
      </w:r>
      <w:r>
        <w:rPr>
          <w:snapToGrid w:val="0"/>
        </w:rPr>
        <w:tab/>
        <w:t>3(1)</w:t>
      </w:r>
    </w:p>
    <w:p>
      <w:pPr>
        <w:pStyle w:val="DefinedTerms"/>
        <w:rPr>
          <w:snapToGrid w:val="0"/>
        </w:rPr>
      </w:pPr>
      <w:r>
        <w:rPr>
          <w:snapToGrid w:val="0"/>
        </w:rPr>
        <w:t>employer</w:t>
      </w:r>
      <w:r>
        <w:rPr>
          <w:snapToGrid w:val="0"/>
        </w:rPr>
        <w:tab/>
        <w:t>3(1)</w:t>
      </w:r>
    </w:p>
    <w:p>
      <w:pPr>
        <w:pStyle w:val="DefinedTerms"/>
        <w:rPr>
          <w:snapToGrid w:val="0"/>
        </w:rPr>
      </w:pPr>
      <w:r>
        <w:rPr>
          <w:snapToGrid w:val="0"/>
        </w:rPr>
        <w:t>employers register</w:t>
      </w:r>
      <w:r>
        <w:rPr>
          <w:snapToGrid w:val="0"/>
        </w:rPr>
        <w:tab/>
        <w:t>3(1)</w:t>
      </w:r>
    </w:p>
    <w:p>
      <w:pPr>
        <w:pStyle w:val="DefinedTerms"/>
        <w:rPr>
          <w:snapToGrid w:val="0"/>
        </w:rPr>
      </w:pPr>
      <w:r>
        <w:rPr>
          <w:snapToGrid w:val="0"/>
        </w:rPr>
        <w:t>member</w:t>
      </w:r>
      <w:r>
        <w:rPr>
          <w:snapToGrid w:val="0"/>
        </w:rPr>
        <w:tab/>
        <w:t>3(1)</w:t>
      </w:r>
    </w:p>
    <w:p>
      <w:pPr>
        <w:pStyle w:val="DefinedTerms"/>
        <w:rPr>
          <w:snapToGrid w:val="0"/>
        </w:rPr>
      </w:pPr>
      <w:r>
        <w:rPr>
          <w:snapToGrid w:val="0"/>
        </w:rPr>
        <w:t>ordinary pay</w:t>
      </w:r>
      <w:r>
        <w:rPr>
          <w:snapToGrid w:val="0"/>
        </w:rPr>
        <w:tab/>
        <w:t>3(1), 21(3), 51(2)</w:t>
      </w:r>
    </w:p>
    <w:p>
      <w:pPr>
        <w:pStyle w:val="DefinedTerms"/>
        <w:rPr>
          <w:snapToGrid w:val="0"/>
        </w:rPr>
      </w:pPr>
      <w:r>
        <w:rPr>
          <w:snapToGrid w:val="0"/>
        </w:rPr>
        <w:t>union</w:t>
      </w:r>
      <w:r>
        <w:rPr>
          <w:snapToGrid w:val="0"/>
        </w:rPr>
        <w:tab/>
        <w:t>3(1)</w:t>
      </w:r>
    </w:p>
    <w:p>
      <w:pPr>
        <w:pStyle w:val="DefinedTerms"/>
        <w:rPr>
          <w:snapToGrid w:val="0"/>
        </w:rPr>
      </w:pPr>
      <w:r>
        <w:rPr>
          <w:snapToGrid w:val="0"/>
        </w:rPr>
        <w:t>year of service</w:t>
      </w:r>
      <w:r>
        <w:rPr>
          <w:snapToGrid w:val="0"/>
        </w:rPr>
        <w:tab/>
        <w:t>3(1)</w:t>
      </w:r>
    </w:p>
    <w:p>
      <w:pPr>
        <w:pStyle w:val="DefinedTerms"/>
        <w:rPr>
          <w:snapToGrid w:val="0"/>
        </w:rPr>
        <w:sectPr>
          <w:headerReference w:type="even" r:id="rId33"/>
          <w:headerReference w:type="default" r:id="rId34"/>
          <w:headerReference w:type="first" r:id="rId35"/>
          <w:pgSz w:w="11906" w:h="16838" w:code="9"/>
          <w:pgMar w:top="2376" w:right="2404" w:bottom="3544" w:left="2404" w:header="709" w:footer="3380" w:gutter="0"/>
          <w:cols w:space="720"/>
          <w:noEndnote/>
          <w:docGrid w:linePitch="326"/>
        </w:sectPr>
      </w:pPr>
    </w:p>
    <w:p>
      <w:pPr>
        <w:rPr>
          <w:snapToGrid w:val="0"/>
        </w:rPr>
      </w:pPr>
    </w:p>
    <w:sectPr>
      <w:headerReference w:type="even" r:id="rId36"/>
      <w:headerReference w:type="default" r:id="rId37"/>
      <w:headerReference w:type="first" r:id="rId38"/>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Construction Industry Portable Paid Long Service Leave Act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The appointed day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Construction Industry Portable Paid Long Service Leave Act 1985</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The appointed day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8B2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2EE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88B2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66B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86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57420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86A6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52</Pages>
  <Words>12456</Words>
  <Characters>58671</Characters>
  <Application>Microsoft Office Word</Application>
  <DocSecurity>0</DocSecurity>
  <Lines>1585</Lines>
  <Paragraphs>827</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70300</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1985 - 03-b0-01</dc:title>
  <dc:subject/>
  <dc:creator/>
  <cp:keywords/>
  <dc:description/>
  <cp:lastModifiedBy>svcMRProcess</cp:lastModifiedBy>
  <cp:revision>4</cp:revision>
  <cp:lastPrinted>2010-06-04T04:18:00Z</cp:lastPrinted>
  <dcterms:created xsi:type="dcterms:W3CDTF">2018-08-21T22:08:00Z</dcterms:created>
  <dcterms:modified xsi:type="dcterms:W3CDTF">2018-08-21T22:09:00Z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175</vt:i4>
  </property>
  <property fmtid="{D5CDD505-2E9C-101B-9397-08002B2CF9AE}" pid="6" name="AsAtDate">
    <vt:lpwstr>28 Jun 2010</vt:lpwstr>
  </property>
  <property fmtid="{D5CDD505-2E9C-101B-9397-08002B2CF9AE}" pid="7" name="Suffix">
    <vt:lpwstr>03-b0-01</vt:lpwstr>
  </property>
  <property fmtid="{D5CDD505-2E9C-101B-9397-08002B2CF9AE}" pid="8" name="ReprintNo">
    <vt:lpwstr>3</vt:lpwstr>
  </property>
</Properties>
</file>