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UpToHere"/>
      <w:bookmarkStart w:id="1" w:name="RuleErr_471"/>
      <w:bookmarkStart w:id="2" w:name="_GoBack"/>
      <w:bookmarkEnd w:id="0"/>
      <w:bookmarkEnd w:id="2"/>
      <w:r>
        <w:t>Western Australia</w:t>
      </w:r>
    </w:p>
    <w:p>
      <w:pPr>
        <w:pStyle w:val="NameofActRegPage1"/>
        <w:spacing w:before="3760" w:after="4200"/>
        <w:ind w:left="284" w:right="567"/>
      </w:pPr>
      <w:r>
        <w:fldChar w:fldCharType="begin"/>
      </w:r>
      <w:r>
        <w:instrText xml:space="preserve"> STYLEREF "Name Of Act/Reg"</w:instrText>
      </w:r>
      <w:r>
        <w:fldChar w:fldCharType="separate"/>
      </w:r>
      <w:r>
        <w:rPr>
          <w:noProof/>
        </w:rPr>
        <w:t>Roman Catholic Bishop of Broome Property Act 1957</w:t>
      </w:r>
      <w:r>
        <w:fldChar w:fldCharType="end"/>
      </w:r>
    </w:p>
    <w:bookmarkEnd w:id="1"/>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Roman Catholic Bishop of Broome Property Act 1957</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_Toc155607614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_Toc155607615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w:t>
      </w:r>
      <w:r>
        <w:rPr>
          <w:szCs w:val="24"/>
        </w:rPr>
        <w:t>ertain property vested in Bishop of Broome</w:t>
      </w:r>
      <w:r>
        <w:tab/>
      </w:r>
      <w:r>
        <w:fldChar w:fldCharType="begin"/>
      </w:r>
      <w:r>
        <w:instrText xml:space="preserve"> PAGEREF _Toc155607616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Bishop of Broome to be a corporation sole</w:t>
      </w:r>
      <w:r>
        <w:tab/>
      </w:r>
      <w:r>
        <w:fldChar w:fldCharType="begin"/>
      </w:r>
      <w:r>
        <w:instrText xml:space="preserve"> PAGEREF _Toc155607617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Power to sell, mortgage and lease lands</w:t>
      </w:r>
      <w:r>
        <w:tab/>
      </w:r>
      <w:r>
        <w:fldChar w:fldCharType="begin"/>
      </w:r>
      <w:r>
        <w:instrText xml:space="preserve"> PAGEREF _Toc155607618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Land titles, registration and fees</w:t>
      </w:r>
      <w:r>
        <w:tab/>
      </w:r>
      <w:r>
        <w:fldChar w:fldCharType="begin"/>
      </w:r>
      <w:r>
        <w:instrText xml:space="preserve"> PAGEREF _Toc155607619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Power to appoint attorneys</w:t>
      </w:r>
      <w:r>
        <w:tab/>
      </w:r>
      <w:r>
        <w:fldChar w:fldCharType="begin"/>
      </w:r>
      <w:r>
        <w:instrText xml:space="preserve"> PAGEREF _Toc155607620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Acting Bishop or Bishop-Elect to act on death of Bishop until successor appointed</w:t>
      </w:r>
      <w:r>
        <w:tab/>
      </w:r>
      <w:r>
        <w:fldChar w:fldCharType="begin"/>
      </w:r>
      <w:r>
        <w:instrText xml:space="preserve"> PAGEREF _Toc155607621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References to Roman Catholic Vicariate of the Kimberleys and The Roman Catholic Vicar Apostolic, etc. changed</w:t>
      </w:r>
      <w:r>
        <w:tab/>
      </w:r>
      <w:r>
        <w:fldChar w:fldCharType="begin"/>
      </w:r>
      <w:r>
        <w:instrText xml:space="preserve"> PAGEREF _Toc155607622 \h </w:instrText>
      </w:r>
      <w:r>
        <w:fldChar w:fldCharType="separate"/>
      </w:r>
      <w:r>
        <w:t>5</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Part I</w:t>
      </w:r>
    </w:p>
    <w:p>
      <w:pPr>
        <w:pStyle w:val="TOC2"/>
        <w:tabs>
          <w:tab w:val="right" w:leader="dot" w:pos="7086"/>
        </w:tabs>
        <w:rPr>
          <w:b w:val="0"/>
          <w:sz w:val="24"/>
          <w:szCs w:val="24"/>
        </w:rPr>
      </w:pPr>
      <w:r>
        <w:rPr>
          <w:szCs w:val="28"/>
        </w:rPr>
        <w:t>Part II</w:t>
      </w:r>
    </w:p>
    <w:p>
      <w:pPr>
        <w:pStyle w:val="TOC2"/>
        <w:tabs>
          <w:tab w:val="right" w:leader="dot" w:pos="7086"/>
        </w:tabs>
        <w:rPr>
          <w:b w:val="0"/>
          <w:sz w:val="24"/>
          <w:szCs w:val="24"/>
        </w:rPr>
      </w:pPr>
      <w:r>
        <w:rPr>
          <w:szCs w:val="28"/>
        </w:rPr>
        <w:t>Part III</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_Toc155607629 \h </w:instrText>
      </w:r>
      <w:r>
        <w:fldChar w:fldCharType="separate"/>
      </w:r>
      <w:r>
        <w:t>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Roman Catholic Bishop of Broome Property Act 1957 </w:t>
      </w:r>
    </w:p>
    <w:p>
      <w:pPr>
        <w:pStyle w:val="LongTitle"/>
        <w:spacing w:before="200"/>
        <w:rPr>
          <w:snapToGrid w:val="0"/>
        </w:rPr>
      </w:pPr>
      <w:r>
        <w:rPr>
          <w:snapToGrid w:val="0"/>
        </w:rPr>
        <w:t xml:space="preserve">An Act to vest in the Roman Catholic Vicar Apostolic of the Kimberleys and his successors in office the property belonging to or held in trust for or on behalf of the Roman Catholic Church within the Roman Catholic Vicariate of the Kimberleys, to make provision for the Vicar Apostolic to deal with that property and for other incidental purposes. </w:t>
      </w:r>
    </w:p>
    <w:p>
      <w:pPr>
        <w:pStyle w:val="Heading5"/>
        <w:spacing w:before="600"/>
        <w:rPr>
          <w:snapToGrid w:val="0"/>
        </w:rPr>
      </w:pPr>
      <w:bookmarkStart w:id="3" w:name="_Toc31170074"/>
      <w:bookmarkStart w:id="4" w:name="_Toc34040966"/>
      <w:bookmarkStart w:id="5" w:name="_Toc60636377"/>
      <w:bookmarkStart w:id="6" w:name="_Toc155607614"/>
      <w:r>
        <w:rPr>
          <w:rStyle w:val="CharSectno"/>
        </w:rPr>
        <w:t>1</w:t>
      </w:r>
      <w:r>
        <w:rPr>
          <w:snapToGrid w:val="0"/>
        </w:rPr>
        <w:t>.</w:t>
      </w:r>
      <w:r>
        <w:rPr>
          <w:snapToGrid w:val="0"/>
        </w:rPr>
        <w:tab/>
        <w:t>Short title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Bishop of Broome Property Act 1957</w:t>
      </w:r>
      <w:r>
        <w:rPr>
          <w:snapToGrid w:val="0"/>
          <w:vertAlign w:val="superscript"/>
        </w:rPr>
        <w:t> 1</w:t>
      </w:r>
      <w:r>
        <w:rPr>
          <w:snapToGrid w:val="0"/>
        </w:rPr>
        <w:t>.</w:t>
      </w:r>
    </w:p>
    <w:p>
      <w:pPr>
        <w:pStyle w:val="Footnotesection"/>
      </w:pPr>
      <w:r>
        <w:tab/>
        <w:t xml:space="preserve">[Section 1 amended by No. 41 of 1970 s. 1.] </w:t>
      </w:r>
    </w:p>
    <w:p>
      <w:pPr>
        <w:pStyle w:val="Heading5"/>
        <w:rPr>
          <w:snapToGrid w:val="0"/>
        </w:rPr>
      </w:pPr>
      <w:bookmarkStart w:id="7" w:name="_Toc31170075"/>
      <w:bookmarkStart w:id="8" w:name="_Toc34040967"/>
      <w:bookmarkStart w:id="9" w:name="_Toc60636378"/>
      <w:bookmarkStart w:id="10" w:name="_Toc155607615"/>
      <w:r>
        <w:rPr>
          <w:rStyle w:val="CharSectno"/>
        </w:rPr>
        <w:t>2</w:t>
      </w:r>
      <w:r>
        <w:rPr>
          <w:snapToGrid w:val="0"/>
        </w:rPr>
        <w:t>.</w:t>
      </w:r>
      <w:r>
        <w:rPr>
          <w:snapToGrid w:val="0"/>
        </w:rPr>
        <w:tab/>
        <w:t>Interpretation</w:t>
      </w:r>
      <w:bookmarkEnd w:id="7"/>
      <w:bookmarkEnd w:id="8"/>
      <w:bookmarkEnd w:id="9"/>
      <w:bookmarkEnd w:id="10"/>
      <w:r>
        <w:rPr>
          <w:snapToGrid w:val="0"/>
        </w:rPr>
        <w:t xml:space="preserve"> </w:t>
      </w:r>
    </w:p>
    <w:p>
      <w:pPr>
        <w:pStyle w:val="Subsection"/>
        <w:keepNext/>
        <w:rPr>
          <w:snapToGrid w:val="0"/>
        </w:rPr>
      </w:pPr>
      <w:r>
        <w:rPr>
          <w:snapToGrid w:val="0"/>
        </w:rPr>
        <w:tab/>
      </w:r>
      <w:r>
        <w:rPr>
          <w:snapToGrid w:val="0"/>
        </w:rPr>
        <w:tab/>
        <w:t>In this Act,</w:t>
      </w:r>
    </w:p>
    <w:p>
      <w:pPr>
        <w:pStyle w:val="Defstart"/>
      </w:pPr>
      <w:r>
        <w:rPr>
          <w:b/>
        </w:rPr>
        <w:tab/>
      </w:r>
      <w:r>
        <w:rPr>
          <w:rStyle w:val="CharDefText"/>
        </w:rPr>
        <w:t>property</w:t>
      </w:r>
      <w:r>
        <w:t xml:space="preserve"> means property of every kind whatsoever including legal and equitable, real and personal property, and choses in action.</w:t>
      </w:r>
    </w:p>
    <w:p>
      <w:pPr>
        <w:pStyle w:val="Heading5"/>
        <w:keepLines w:val="0"/>
      </w:pPr>
      <w:bookmarkStart w:id="11" w:name="_Toc31170076"/>
      <w:bookmarkStart w:id="12" w:name="_Toc34040968"/>
      <w:bookmarkStart w:id="13" w:name="_Toc60636379"/>
      <w:bookmarkStart w:id="14" w:name="_Toc155607616"/>
      <w:r>
        <w:rPr>
          <w:rStyle w:val="CharSectno"/>
        </w:rPr>
        <w:t>3</w:t>
      </w:r>
      <w:r>
        <w:rPr>
          <w:snapToGrid w:val="0"/>
        </w:rPr>
        <w:t>.</w:t>
      </w:r>
      <w:r>
        <w:rPr>
          <w:snapToGrid w:val="0"/>
        </w:rPr>
        <w:tab/>
        <w:t>C</w:t>
      </w:r>
      <w:r>
        <w:t>ertain property vested in Bishop of Broome</w:t>
      </w:r>
      <w:bookmarkEnd w:id="11"/>
      <w:bookmarkEnd w:id="12"/>
      <w:bookmarkEnd w:id="13"/>
      <w:bookmarkEnd w:id="14"/>
    </w:p>
    <w:p>
      <w:pPr>
        <w:pStyle w:val="Subsection"/>
        <w:rPr>
          <w:snapToGrid w:val="0"/>
        </w:rPr>
      </w:pPr>
      <w:r>
        <w:rPr>
          <w:snapToGrid w:val="0"/>
        </w:rPr>
        <w:tab/>
      </w:r>
      <w:r>
        <w:rPr>
          <w:snapToGrid w:val="0"/>
        </w:rPr>
        <w:tab/>
        <w:t>The lands comprised in the instruments of title set out in the First Schedule and which are vested — </w:t>
      </w:r>
    </w:p>
    <w:p>
      <w:pPr>
        <w:pStyle w:val="Indenta"/>
        <w:rPr>
          <w:snapToGrid w:val="0"/>
        </w:rPr>
      </w:pPr>
      <w:r>
        <w:rPr>
          <w:snapToGrid w:val="0"/>
        </w:rPr>
        <w:tab/>
        <w:t>(a)</w:t>
      </w:r>
      <w:r>
        <w:rPr>
          <w:snapToGrid w:val="0"/>
        </w:rPr>
        <w:tab/>
        <w:t>as to the lands comprised in the instruments of title set out in Part I of that Schedule, in the Roman Catholic Bishop of Perth, and</w:t>
      </w:r>
    </w:p>
    <w:p>
      <w:pPr>
        <w:pStyle w:val="Indenta"/>
        <w:rPr>
          <w:snapToGrid w:val="0"/>
        </w:rPr>
      </w:pPr>
      <w:r>
        <w:rPr>
          <w:snapToGrid w:val="0"/>
        </w:rPr>
        <w:tab/>
        <w:t>(b)</w:t>
      </w:r>
      <w:r>
        <w:rPr>
          <w:snapToGrid w:val="0"/>
        </w:rPr>
        <w:tab/>
        <w:t>as to the lands comprised in the instruments of title set out in Part II of that Schedule, in the Roman Catholic Bishop of Geraldton, and</w:t>
      </w:r>
    </w:p>
    <w:p>
      <w:pPr>
        <w:pStyle w:val="Indenta"/>
        <w:rPr>
          <w:snapToGrid w:val="0"/>
        </w:rPr>
      </w:pPr>
      <w:r>
        <w:rPr>
          <w:snapToGrid w:val="0"/>
        </w:rPr>
        <w:tab/>
        <w:t>(c)</w:t>
      </w:r>
      <w:r>
        <w:rPr>
          <w:snapToGrid w:val="0"/>
        </w:rPr>
        <w:tab/>
        <w:t>as to the lands comprised in the instruments of title set out in Part III of that Schedule, in the Pious Society of Missions Incorporated of Broome,</w:t>
      </w:r>
    </w:p>
    <w:p>
      <w:pPr>
        <w:pStyle w:val="Subsection"/>
        <w:rPr>
          <w:snapToGrid w:val="0"/>
        </w:rPr>
      </w:pPr>
      <w:r>
        <w:rPr>
          <w:snapToGrid w:val="0"/>
        </w:rPr>
        <w:tab/>
      </w:r>
      <w:r>
        <w:rPr>
          <w:snapToGrid w:val="0"/>
        </w:rPr>
        <w:tab/>
        <w:t>and all other property belonging to the Roman Catholic Church or held by any person in trust for or on behalf of that Church and situated within the Roman Catholic Vicariate of the Kimberleys </w:t>
      </w:r>
      <w:r>
        <w:rPr>
          <w:snapToGrid w:val="0"/>
          <w:vertAlign w:val="superscript"/>
        </w:rPr>
        <w:t>2</w:t>
      </w:r>
      <w:r>
        <w:rPr>
          <w:snapToGrid w:val="0"/>
        </w:rPr>
        <w:t xml:space="preserve">, shall from the coming into operation of the </w:t>
      </w:r>
      <w:r>
        <w:rPr>
          <w:i/>
          <w:snapToGrid w:val="0"/>
        </w:rPr>
        <w:t>Roman Catholic Vicariate of the Kimberleys Property Act Amendment Act 1970</w:t>
      </w:r>
      <w:r>
        <w:rPr>
          <w:snapToGrid w:val="0"/>
          <w:vertAlign w:val="superscript"/>
        </w:rPr>
        <w:t> 1</w:t>
      </w:r>
      <w:r>
        <w:rPr>
          <w:snapToGrid w:val="0"/>
        </w:rPr>
        <w:t>, and without the execution of any formal deed of assurance or transfer, vest absolutely and indefeasibly in the Roman Catholic Vicar Apostolic for the time being of that Vicariate </w:t>
      </w:r>
      <w:r>
        <w:rPr>
          <w:snapToGrid w:val="0"/>
          <w:vertAlign w:val="superscript"/>
        </w:rPr>
        <w:t>3</w:t>
      </w:r>
      <w:r>
        <w:rPr>
          <w:snapToGrid w:val="0"/>
        </w:rPr>
        <w:t xml:space="preserve"> and his successors in office, subject to the trusts, encumbrances and dispositions respectively affecting the same.</w:t>
      </w:r>
    </w:p>
    <w:p>
      <w:pPr>
        <w:pStyle w:val="Footnotesection"/>
      </w:pPr>
      <w:r>
        <w:tab/>
        <w:t xml:space="preserve">[Section 3 amended by No. 41 of 1970 s. 2.] </w:t>
      </w:r>
    </w:p>
    <w:p>
      <w:pPr>
        <w:pStyle w:val="Heading5"/>
        <w:rPr>
          <w:snapToGrid w:val="0"/>
        </w:rPr>
      </w:pPr>
      <w:bookmarkStart w:id="15" w:name="_Toc31170077"/>
      <w:bookmarkStart w:id="16" w:name="_Toc34040969"/>
      <w:bookmarkStart w:id="17" w:name="_Toc60636380"/>
      <w:bookmarkStart w:id="18" w:name="_Toc155607617"/>
      <w:r>
        <w:rPr>
          <w:rStyle w:val="CharSectno"/>
        </w:rPr>
        <w:t>4</w:t>
      </w:r>
      <w:r>
        <w:rPr>
          <w:snapToGrid w:val="0"/>
        </w:rPr>
        <w:t>.</w:t>
      </w:r>
      <w:r>
        <w:rPr>
          <w:snapToGrid w:val="0"/>
        </w:rPr>
        <w:tab/>
        <w:t>Bishop of Broome to be a corporation sole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Roman Catholic Vicar Apostolic </w:t>
      </w:r>
      <w:r>
        <w:rPr>
          <w:snapToGrid w:val="0"/>
          <w:vertAlign w:val="superscript"/>
        </w:rPr>
        <w:t>3</w:t>
      </w:r>
      <w:r>
        <w:rPr>
          <w:snapToGrid w:val="0"/>
        </w:rPr>
        <w:t xml:space="preserve"> for the time being of the Vicariate of the Kimberleys </w:t>
      </w:r>
      <w:r>
        <w:rPr>
          <w:snapToGrid w:val="0"/>
          <w:vertAlign w:val="superscript"/>
        </w:rPr>
        <w:t>2</w:t>
      </w:r>
      <w:r>
        <w:rPr>
          <w:snapToGrid w:val="0"/>
        </w:rPr>
        <w:t xml:space="preserve"> is a corporation sole by the name of “The Roman Catholic Vicar Apostolic of the Kimberleys” </w:t>
      </w:r>
      <w:r>
        <w:rPr>
          <w:snapToGrid w:val="0"/>
          <w:vertAlign w:val="superscript"/>
        </w:rPr>
        <w:t>3</w:t>
      </w:r>
      <w:r>
        <w:rPr>
          <w:snapToGrid w:val="0"/>
        </w:rPr>
        <w:t xml:space="preserve">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pPr>
        <w:pStyle w:val="Heading5"/>
        <w:rPr>
          <w:snapToGrid w:val="0"/>
        </w:rPr>
      </w:pPr>
      <w:bookmarkStart w:id="19" w:name="_Toc31170078"/>
      <w:bookmarkStart w:id="20" w:name="_Toc34040970"/>
      <w:bookmarkStart w:id="21" w:name="_Toc60636381"/>
      <w:bookmarkStart w:id="22" w:name="_Toc155607618"/>
      <w:r>
        <w:rPr>
          <w:rStyle w:val="CharSectno"/>
        </w:rPr>
        <w:t>5</w:t>
      </w:r>
      <w:r>
        <w:rPr>
          <w:snapToGrid w:val="0"/>
        </w:rPr>
        <w:t>.</w:t>
      </w:r>
      <w:r>
        <w:rPr>
          <w:snapToGrid w:val="0"/>
        </w:rPr>
        <w:tab/>
        <w:t>Power to sell, mortgage and lease lands</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Notwithstanding anything contained in the Acts mentioned in the Second Schedule, it is lawful for the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in his corporate name as “The Roman Catholic Vicar Apostolic of the Kimberleys” </w:t>
      </w:r>
      <w:r>
        <w:rPr>
          <w:snapToGrid w:val="0"/>
          <w:vertAlign w:val="superscript"/>
        </w:rPr>
        <w:t>3</w:t>
      </w:r>
      <w:r>
        <w:rPr>
          <w:snapToGrid w:val="0"/>
        </w:rPr>
        <w:t xml:space="preserve"> subject to any express trust or condition against alienation and to the provisions of section 7 of the </w:t>
      </w:r>
      <w:r>
        <w:rPr>
          <w:i/>
          <w:snapToGrid w:val="0"/>
        </w:rPr>
        <w:t>Roman Catholic Church Lands Act 1895 </w:t>
      </w:r>
      <w:r>
        <w:rPr>
          <w:snapToGrid w:val="0"/>
        </w:rPr>
        <w:t>— </w:t>
      </w:r>
    </w:p>
    <w:p>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w:t>
      </w:r>
    </w:p>
    <w:p>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Vicar Apostolic thinks fit to impose, notwithstanding any trust or condition affecting the lands, not being an express trust or condition against leasing.</w:t>
      </w:r>
    </w:p>
    <w:p>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Vicariate of the Kimberleys in particular or in words of like import is not an express trust or condition against alienation.</w:t>
      </w:r>
    </w:p>
    <w:p>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pPr>
        <w:pStyle w:val="Heading5"/>
        <w:rPr>
          <w:snapToGrid w:val="0"/>
        </w:rPr>
      </w:pPr>
      <w:bookmarkStart w:id="23" w:name="_Toc31170079"/>
      <w:bookmarkStart w:id="24" w:name="_Toc34040971"/>
      <w:bookmarkStart w:id="25" w:name="_Toc60636382"/>
      <w:bookmarkStart w:id="26" w:name="_Toc155607619"/>
      <w:r>
        <w:rPr>
          <w:rStyle w:val="CharSectno"/>
        </w:rPr>
        <w:t>6</w:t>
      </w:r>
      <w:r>
        <w:rPr>
          <w:snapToGrid w:val="0"/>
        </w:rPr>
        <w:t>.</w:t>
      </w:r>
      <w:r>
        <w:rPr>
          <w:snapToGrid w:val="0"/>
        </w:rPr>
        <w:tab/>
        <w:t>Land titles, registration and fees</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vesting of any land by this Act in “The Roman Catholic Vicar Apostolic of the Kimberleys” </w:t>
      </w:r>
      <w:r>
        <w:rPr>
          <w:snapToGrid w:val="0"/>
          <w:vertAlign w:val="superscript"/>
        </w:rPr>
        <w:t>3</w:t>
      </w:r>
      <w:r>
        <w:rPr>
          <w:snapToGrid w:val="0"/>
        </w:rPr>
        <w:t xml:space="preserve"> shall on the application of the Vicar Apostolic or his attorney or attorneys be registered and noted </w:t>
      </w:r>
      <w:r>
        <w:t xml:space="preserve">under the </w:t>
      </w:r>
      <w:r>
        <w:rPr>
          <w:i/>
          <w:iCs/>
        </w:rPr>
        <w:t>Transfer of Land Act 1893</w:t>
      </w:r>
      <w:r>
        <w:t xml:space="preserve"> or the </w:t>
      </w:r>
      <w:r>
        <w:rPr>
          <w:i/>
          <w:iCs/>
        </w:rPr>
        <w:t>Registration of Deeds Act 1856</w:t>
      </w:r>
      <w:r>
        <w:t xml:space="preserve">, </w:t>
      </w:r>
      <w:r>
        <w:rPr>
          <w:snapToGrid w:val="0"/>
        </w:rPr>
        <w:t>as the case may require, and on the respective instrument of title to that land, free of charge.</w:t>
      </w:r>
    </w:p>
    <w:p>
      <w:pPr>
        <w:pStyle w:val="Footnotesection"/>
      </w:pPr>
      <w:r>
        <w:tab/>
        <w:t>[Section 6 amended by No. 60 of 2006 s. 152.]</w:t>
      </w:r>
    </w:p>
    <w:p>
      <w:pPr>
        <w:pStyle w:val="Heading5"/>
        <w:rPr>
          <w:snapToGrid w:val="0"/>
        </w:rPr>
      </w:pPr>
      <w:bookmarkStart w:id="27" w:name="_Toc31170080"/>
      <w:bookmarkStart w:id="28" w:name="_Toc34040972"/>
      <w:bookmarkStart w:id="29" w:name="_Toc60636383"/>
      <w:bookmarkStart w:id="30" w:name="_Toc155607620"/>
      <w:r>
        <w:rPr>
          <w:rStyle w:val="CharSectno"/>
        </w:rPr>
        <w:t>7</w:t>
      </w:r>
      <w:r>
        <w:rPr>
          <w:snapToGrid w:val="0"/>
        </w:rPr>
        <w:t>.</w:t>
      </w:r>
      <w:r>
        <w:rPr>
          <w:snapToGrid w:val="0"/>
        </w:rPr>
        <w:tab/>
        <w:t>Power to appoint attorneys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Roman Catholic Vicar Apostolic of the Kimberleys </w:t>
      </w:r>
      <w:r>
        <w:rPr>
          <w:snapToGrid w:val="0"/>
          <w:vertAlign w:val="superscript"/>
        </w:rPr>
        <w:t>3</w:t>
      </w:r>
      <w:r>
        <w:rPr>
          <w:snapToGrid w:val="0"/>
        </w:rPr>
        <w:t xml:space="preserve"> may, from time to time, by an instrument in writing under his hand and seal, appoint one or more Priests of the Vicariate of the Kimberleys </w:t>
      </w:r>
      <w:r>
        <w:rPr>
          <w:snapToGrid w:val="0"/>
          <w:vertAlign w:val="superscript"/>
        </w:rPr>
        <w:t>2</w:t>
      </w:r>
      <w:r>
        <w:rPr>
          <w:snapToGrid w:val="0"/>
        </w:rPr>
        <w:t xml:space="preserve"> to be his attorney or attorneys to exercise all or any of the powers conferred upon the Vicar Apostolic </w:t>
      </w:r>
      <w:r>
        <w:rPr>
          <w:snapToGrid w:val="0"/>
          <w:vertAlign w:val="superscript"/>
        </w:rPr>
        <w:t>3</w:t>
      </w:r>
      <w:r>
        <w:rPr>
          <w:snapToGrid w:val="0"/>
        </w:rPr>
        <w:t xml:space="preserve"> by this Act, and it shall be lawful for the attorney or attorneys so appointed, in the name and on behalf of the Roman Catholic Vicar Apostolic of the Kimberleys </w:t>
      </w:r>
      <w:r>
        <w:rPr>
          <w:snapToGrid w:val="0"/>
          <w:vertAlign w:val="superscript"/>
        </w:rPr>
        <w:t>3</w:t>
      </w:r>
      <w:r>
        <w:rPr>
          <w:snapToGrid w:val="0"/>
        </w:rPr>
        <w:t>, to exercise those powers accordingly, and to execute all documents required to give effect thereto.</w:t>
      </w:r>
    </w:p>
    <w:p>
      <w:pPr>
        <w:pStyle w:val="Heading5"/>
        <w:rPr>
          <w:snapToGrid w:val="0"/>
        </w:rPr>
      </w:pPr>
      <w:bookmarkStart w:id="31" w:name="_Toc31170081"/>
      <w:bookmarkStart w:id="32" w:name="_Toc34040973"/>
      <w:bookmarkStart w:id="33" w:name="_Toc60636384"/>
      <w:bookmarkStart w:id="34" w:name="_Toc155607621"/>
      <w:r>
        <w:rPr>
          <w:rStyle w:val="CharSectno"/>
        </w:rPr>
        <w:t>8</w:t>
      </w:r>
      <w:r>
        <w:rPr>
          <w:snapToGrid w:val="0"/>
        </w:rPr>
        <w:t>.</w:t>
      </w:r>
      <w:r>
        <w:rPr>
          <w:snapToGrid w:val="0"/>
        </w:rPr>
        <w:tab/>
        <w:t>Acting Bishop or Bishop-Elect to act on death of Bishop until successor appointed</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Upon the death of a Roman Catholic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the Acting Bishop or Bishop</w:t>
      </w:r>
      <w:r>
        <w:rPr>
          <w:snapToGrid w:val="0"/>
        </w:rPr>
        <w:noBreakHyphen/>
        <w:t>Elect duly elected by the consultors of that Vicariate shall be entitled to exercise the powers and be liable to perform the duties of the Vicar Apostolic </w:t>
      </w:r>
      <w:r>
        <w:rPr>
          <w:snapToGrid w:val="0"/>
          <w:vertAlign w:val="superscript"/>
        </w:rPr>
        <w:t>3</w:t>
      </w:r>
      <w:r>
        <w:rPr>
          <w:snapToGrid w:val="0"/>
        </w:rPr>
        <w:t xml:space="preserve"> until the appointment and consecration of his successor, and it shall be lawful for the Acting Bishop or Bishop</w:t>
      </w:r>
      <w:r>
        <w:rPr>
          <w:snapToGrid w:val="0"/>
        </w:rPr>
        <w:noBreakHyphen/>
        <w:t>Elect to exercise those powers and to perform those duties and to execute all documents required to give effect thereto and the documents so executed shall have the same force and effect as if they had been duly executed by The Roman Catholic Vicar Apostolic of the Kimberleys </w:t>
      </w:r>
      <w:r>
        <w:rPr>
          <w:snapToGrid w:val="0"/>
          <w:vertAlign w:val="superscript"/>
        </w:rPr>
        <w:t>3</w:t>
      </w:r>
      <w:r>
        <w:rPr>
          <w:snapToGrid w:val="0"/>
        </w:rPr>
        <w:t>.</w:t>
      </w:r>
    </w:p>
    <w:p>
      <w:pPr>
        <w:pStyle w:val="Footnotesection"/>
      </w:pPr>
      <w:r>
        <w:tab/>
        <w:t xml:space="preserve">[Section 8 amended by No. 41 of 1970 s. 3.] </w:t>
      </w:r>
    </w:p>
    <w:p>
      <w:pPr>
        <w:pStyle w:val="Heading5"/>
        <w:rPr>
          <w:snapToGrid w:val="0"/>
        </w:rPr>
      </w:pPr>
      <w:bookmarkStart w:id="35" w:name="_Toc31170082"/>
      <w:bookmarkStart w:id="36" w:name="_Toc34040974"/>
      <w:bookmarkStart w:id="37" w:name="_Toc60636385"/>
      <w:bookmarkStart w:id="38" w:name="_Toc155607622"/>
      <w:r>
        <w:rPr>
          <w:rStyle w:val="CharSectno"/>
        </w:rPr>
        <w:t>9</w:t>
      </w:r>
      <w:r>
        <w:rPr>
          <w:snapToGrid w:val="0"/>
        </w:rPr>
        <w:t>.</w:t>
      </w:r>
      <w:r>
        <w:rPr>
          <w:snapToGrid w:val="0"/>
        </w:rPr>
        <w:tab/>
        <w:t>References to Roman Catholic Vicariate of the Kimberleys and The Roman Catholic Vicar Apostolic, etc. changed</w:t>
      </w:r>
      <w:bookmarkEnd w:id="35"/>
      <w:bookmarkEnd w:id="36"/>
      <w:bookmarkEnd w:id="37"/>
      <w:bookmarkEnd w:id="38"/>
    </w:p>
    <w:p>
      <w:pPr>
        <w:pStyle w:val="Subsection"/>
        <w:rPr>
          <w:snapToGrid w:val="0"/>
        </w:rPr>
      </w:pPr>
      <w:r>
        <w:rPr>
          <w:snapToGrid w:val="0"/>
        </w:rPr>
        <w:tab/>
      </w:r>
      <w:r>
        <w:rPr>
          <w:snapToGrid w:val="0"/>
        </w:rPr>
        <w:tab/>
        <w:t>On and after the date of the coming into operation of the</w:t>
      </w:r>
      <w:r>
        <w:rPr>
          <w:i/>
          <w:snapToGrid w:val="0"/>
        </w:rPr>
        <w:t xml:space="preserve"> Roman Catholic Vicariate of the</w:t>
      </w:r>
      <w:r>
        <w:rPr>
          <w:snapToGrid w:val="0"/>
        </w:rPr>
        <w:t xml:space="preserve"> </w:t>
      </w:r>
      <w:r>
        <w:rPr>
          <w:i/>
          <w:snapToGrid w:val="0"/>
        </w:rPr>
        <w:t>Kimberleys Property Act Amendment Act 1970</w:t>
      </w:r>
      <w:r>
        <w:rPr>
          <w:snapToGrid w:val="0"/>
          <w:vertAlign w:val="superscript"/>
        </w:rPr>
        <w:t> 1</w:t>
      </w:r>
      <w:r>
        <w:rPr>
          <w:snapToGrid w:val="0"/>
        </w:rPr>
        <w:t>, a reference in this Act or in any other Act, law of the State or document in force immediately before that date to — </w:t>
      </w:r>
    </w:p>
    <w:p>
      <w:pPr>
        <w:pStyle w:val="Indenta"/>
        <w:rPr>
          <w:snapToGrid w:val="0"/>
        </w:rPr>
      </w:pPr>
      <w:r>
        <w:rPr>
          <w:snapToGrid w:val="0"/>
        </w:rPr>
        <w:tab/>
        <w:t>(a)</w:t>
      </w:r>
      <w:r>
        <w:rPr>
          <w:snapToGrid w:val="0"/>
        </w:rPr>
        <w:tab/>
        <w:t>the Roman Catholic Vicariate of the Kimberleys or to the Vicariate of the Kimberleys or to the Vicariate shall be read, construed and applied as a reference to the Roman Catholic Diocese of Broome;</w:t>
      </w:r>
    </w:p>
    <w:p>
      <w:pPr>
        <w:pStyle w:val="Indenta"/>
        <w:rPr>
          <w:snapToGrid w:val="0"/>
        </w:rPr>
      </w:pPr>
      <w:r>
        <w:rPr>
          <w:snapToGrid w:val="0"/>
        </w:rPr>
        <w:tab/>
        <w:t>(b)</w:t>
      </w:r>
      <w:r>
        <w:rPr>
          <w:snapToGrid w:val="0"/>
        </w:rPr>
        <w:tab/>
        <w:t>The Roman Catholic Vicar Apostolic of the Kimberleys or to the Roman Catholic Vicar Apostolic or to the Vicar Apostolic shall be read, construed and applied as a reference to the Roman Catholic Bishop of Broome.</w:t>
      </w:r>
    </w:p>
    <w:p>
      <w:pPr>
        <w:pStyle w:val="Footnotesection"/>
      </w:pPr>
      <w:r>
        <w:tab/>
        <w:t xml:space="preserve">[Section 9 inserted by No. 41 of 1970 s. 4.]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9" w:name="_Toc34040975"/>
      <w:bookmarkStart w:id="40" w:name="_Toc60636386"/>
      <w:bookmarkStart w:id="41" w:name="_Toc151806473"/>
      <w:bookmarkStart w:id="42" w:name="_Toc151806489"/>
      <w:bookmarkStart w:id="43" w:name="_Toc155607623"/>
      <w:r>
        <w:rPr>
          <w:rStyle w:val="CharSchNo"/>
        </w:rPr>
        <w:t>First Schedule</w:t>
      </w:r>
      <w:bookmarkEnd w:id="39"/>
      <w:bookmarkEnd w:id="40"/>
      <w:bookmarkEnd w:id="41"/>
      <w:bookmarkEnd w:id="42"/>
      <w:bookmarkEnd w:id="43"/>
    </w:p>
    <w:p>
      <w:pPr>
        <w:pStyle w:val="yShoulderClause"/>
        <w:rPr>
          <w:snapToGrid w:val="0"/>
        </w:rPr>
      </w:pPr>
      <w:r>
        <w:rPr>
          <w:snapToGrid w:val="0"/>
        </w:rPr>
        <w:t>[S. 3]</w:t>
      </w:r>
    </w:p>
    <w:p>
      <w:pPr>
        <w:pStyle w:val="yHeading2"/>
      </w:pPr>
      <w:bookmarkStart w:id="44" w:name="_Toc151806474"/>
      <w:bookmarkStart w:id="45" w:name="_Toc151806490"/>
      <w:bookmarkStart w:id="46" w:name="_Toc155607624"/>
      <w:r>
        <w:t>Part I</w:t>
      </w:r>
      <w:bookmarkEnd w:id="44"/>
      <w:bookmarkEnd w:id="45"/>
      <w:bookmarkEnd w:id="46"/>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320</w:t>
            </w:r>
          </w:p>
        </w:tc>
        <w:tc>
          <w:tcPr>
            <w:tcW w:w="1701" w:type="dxa"/>
          </w:tcPr>
          <w:p>
            <w:pPr>
              <w:pStyle w:val="yTable"/>
              <w:jc w:val="center"/>
              <w:rPr>
                <w:spacing w:val="-2"/>
              </w:rPr>
            </w:pPr>
            <w:r>
              <w:rPr>
                <w:spacing w:val="-2"/>
              </w:rPr>
              <w:t>168</w:t>
            </w:r>
          </w:p>
        </w:tc>
      </w:tr>
      <w:tr>
        <w:tc>
          <w:tcPr>
            <w:tcW w:w="1701" w:type="dxa"/>
            <w:tcBorders>
              <w:bottom w:val="single" w:sz="4" w:space="0" w:color="auto"/>
            </w:tcBorders>
          </w:tcPr>
          <w:p>
            <w:pPr>
              <w:pStyle w:val="yTable"/>
              <w:jc w:val="center"/>
              <w:rPr>
                <w:spacing w:val="-2"/>
              </w:rPr>
            </w:pPr>
            <w:r>
              <w:rPr>
                <w:spacing w:val="-2"/>
              </w:rPr>
              <w:t>320</w:t>
            </w:r>
          </w:p>
        </w:tc>
        <w:tc>
          <w:tcPr>
            <w:tcW w:w="1701" w:type="dxa"/>
            <w:tcBorders>
              <w:bottom w:val="single" w:sz="4" w:space="0" w:color="auto"/>
            </w:tcBorders>
          </w:tcPr>
          <w:p>
            <w:pPr>
              <w:pStyle w:val="yTable"/>
              <w:jc w:val="center"/>
              <w:rPr>
                <w:spacing w:val="-2"/>
              </w:rPr>
            </w:pPr>
            <w:r>
              <w:rPr>
                <w:spacing w:val="-2"/>
              </w:rPr>
              <w:t>169</w:t>
            </w:r>
          </w:p>
        </w:tc>
      </w:tr>
    </w:tbl>
    <w:p>
      <w:pPr>
        <w:pStyle w:val="yHeading2"/>
      </w:pPr>
      <w:bookmarkStart w:id="47" w:name="_Toc151806475"/>
      <w:bookmarkStart w:id="48" w:name="_Toc151806491"/>
      <w:bookmarkStart w:id="49" w:name="_Toc155607625"/>
      <w:r>
        <w:t>Part II</w:t>
      </w:r>
      <w:bookmarkEnd w:id="47"/>
      <w:bookmarkEnd w:id="48"/>
      <w:bookmarkEnd w:id="49"/>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31</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32</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33</w:t>
            </w:r>
          </w:p>
        </w:tc>
      </w:tr>
      <w:tr>
        <w:tc>
          <w:tcPr>
            <w:tcW w:w="1701" w:type="dxa"/>
            <w:tcBorders>
              <w:bottom w:val="single" w:sz="4" w:space="0" w:color="auto"/>
            </w:tcBorders>
          </w:tcPr>
          <w:p>
            <w:pPr>
              <w:pStyle w:val="yTable"/>
              <w:jc w:val="center"/>
              <w:rPr>
                <w:spacing w:val="-2"/>
              </w:rPr>
            </w:pPr>
            <w:r>
              <w:rPr>
                <w:spacing w:val="-2"/>
              </w:rPr>
              <w:t>179</w:t>
            </w:r>
          </w:p>
        </w:tc>
        <w:tc>
          <w:tcPr>
            <w:tcW w:w="1701" w:type="dxa"/>
            <w:tcBorders>
              <w:bottom w:val="single" w:sz="4" w:space="0" w:color="auto"/>
            </w:tcBorders>
          </w:tcPr>
          <w:p>
            <w:pPr>
              <w:pStyle w:val="yTable"/>
              <w:jc w:val="center"/>
              <w:rPr>
                <w:spacing w:val="-2"/>
              </w:rPr>
            </w:pPr>
            <w:r>
              <w:rPr>
                <w:spacing w:val="-2"/>
              </w:rPr>
              <w:t>125</w:t>
            </w:r>
          </w:p>
        </w:tc>
      </w:tr>
    </w:tbl>
    <w:p>
      <w:pPr>
        <w:pStyle w:val="yHeading2"/>
      </w:pPr>
      <w:bookmarkStart w:id="50" w:name="_Toc151806476"/>
      <w:bookmarkStart w:id="51" w:name="_Toc151806492"/>
      <w:bookmarkStart w:id="52" w:name="_Toc155607626"/>
      <w:r>
        <w:t>Part III</w:t>
      </w:r>
      <w:bookmarkEnd w:id="50"/>
      <w:bookmarkEnd w:id="51"/>
      <w:bookmarkEnd w:id="52"/>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226</w:t>
            </w:r>
          </w:p>
        </w:tc>
        <w:tc>
          <w:tcPr>
            <w:tcW w:w="1701" w:type="dxa"/>
          </w:tcPr>
          <w:p>
            <w:pPr>
              <w:pStyle w:val="yTable"/>
              <w:jc w:val="center"/>
              <w:rPr>
                <w:spacing w:val="-2"/>
              </w:rPr>
            </w:pPr>
            <w:r>
              <w:rPr>
                <w:spacing w:val="-2"/>
              </w:rPr>
              <w:t>63</w:t>
            </w:r>
          </w:p>
        </w:tc>
      </w:tr>
      <w:tr>
        <w:tc>
          <w:tcPr>
            <w:tcW w:w="1701" w:type="dxa"/>
          </w:tcPr>
          <w:p>
            <w:pPr>
              <w:pStyle w:val="yTable"/>
              <w:jc w:val="center"/>
              <w:rPr>
                <w:spacing w:val="-2"/>
              </w:rPr>
            </w:pPr>
            <w:r>
              <w:rPr>
                <w:spacing w:val="-2"/>
              </w:rPr>
              <w:t>516</w:t>
            </w:r>
          </w:p>
        </w:tc>
        <w:tc>
          <w:tcPr>
            <w:tcW w:w="1701" w:type="dxa"/>
          </w:tcPr>
          <w:p>
            <w:pPr>
              <w:pStyle w:val="yTable"/>
              <w:jc w:val="center"/>
              <w:rPr>
                <w:spacing w:val="-2"/>
              </w:rPr>
            </w:pPr>
            <w:r>
              <w:rPr>
                <w:spacing w:val="-2"/>
              </w:rPr>
              <w:t>82</w:t>
            </w:r>
          </w:p>
        </w:tc>
      </w:tr>
      <w:tr>
        <w:tc>
          <w:tcPr>
            <w:tcW w:w="1701" w:type="dxa"/>
          </w:tcPr>
          <w:p>
            <w:pPr>
              <w:pStyle w:val="yTable"/>
              <w:jc w:val="center"/>
              <w:rPr>
                <w:spacing w:val="-2"/>
              </w:rPr>
            </w:pPr>
            <w:r>
              <w:rPr>
                <w:spacing w:val="-2"/>
              </w:rPr>
              <w:t>1063</w:t>
            </w:r>
          </w:p>
        </w:tc>
        <w:tc>
          <w:tcPr>
            <w:tcW w:w="1701" w:type="dxa"/>
          </w:tcPr>
          <w:p>
            <w:pPr>
              <w:pStyle w:val="yTable"/>
              <w:jc w:val="center"/>
              <w:rPr>
                <w:spacing w:val="-2"/>
              </w:rPr>
            </w:pPr>
            <w:r>
              <w:rPr>
                <w:spacing w:val="-2"/>
              </w:rPr>
              <w:t>363</w:t>
            </w:r>
          </w:p>
        </w:tc>
      </w:tr>
      <w:tr>
        <w:tc>
          <w:tcPr>
            <w:tcW w:w="1701" w:type="dxa"/>
            <w:tcBorders>
              <w:bottom w:val="single" w:sz="4" w:space="0" w:color="auto"/>
            </w:tcBorders>
          </w:tcPr>
          <w:p>
            <w:pPr>
              <w:pStyle w:val="yTable"/>
              <w:jc w:val="center"/>
              <w:rPr>
                <w:spacing w:val="-2"/>
              </w:rPr>
            </w:pPr>
            <w:r>
              <w:rPr>
                <w:spacing w:val="-2"/>
              </w:rPr>
              <w:t>1114</w:t>
            </w:r>
          </w:p>
        </w:tc>
        <w:tc>
          <w:tcPr>
            <w:tcW w:w="1701" w:type="dxa"/>
            <w:tcBorders>
              <w:bottom w:val="single" w:sz="4" w:space="0" w:color="auto"/>
            </w:tcBorders>
          </w:tcPr>
          <w:p>
            <w:pPr>
              <w:pStyle w:val="yTable"/>
              <w:jc w:val="center"/>
              <w:rPr>
                <w:spacing w:val="-2"/>
              </w:rPr>
            </w:pPr>
            <w:r>
              <w:rPr>
                <w:spacing w:val="-2"/>
              </w:rPr>
              <w:t>468</w:t>
            </w:r>
          </w:p>
        </w:tc>
      </w:tr>
    </w:tbl>
    <w:p>
      <w:pPr>
        <w:pStyle w:val="yScheduleHeading"/>
      </w:pPr>
      <w:bookmarkStart w:id="53" w:name="_Toc34040976"/>
      <w:bookmarkStart w:id="54" w:name="_Toc60636387"/>
      <w:bookmarkStart w:id="55" w:name="_Toc151806477"/>
      <w:bookmarkStart w:id="56" w:name="_Toc151806493"/>
      <w:bookmarkStart w:id="57" w:name="_Toc155607627"/>
      <w:r>
        <w:rPr>
          <w:rStyle w:val="CharSchNo"/>
        </w:rPr>
        <w:t>Second Schedule</w:t>
      </w:r>
      <w:bookmarkEnd w:id="53"/>
      <w:bookmarkEnd w:id="54"/>
      <w:bookmarkEnd w:id="55"/>
      <w:bookmarkEnd w:id="56"/>
      <w:bookmarkEnd w:id="57"/>
    </w:p>
    <w:p>
      <w:pPr>
        <w:pStyle w:val="yShoulderClause"/>
        <w:rPr>
          <w:snapToGrid w:val="0"/>
        </w:rPr>
      </w:pPr>
      <w:r>
        <w:rPr>
          <w:snapToGrid w:val="0"/>
        </w:rPr>
        <w:t>[S. 5]</w:t>
      </w:r>
    </w:p>
    <w:p>
      <w:pPr>
        <w:pStyle w:val="yNumberedItem"/>
        <w:rPr>
          <w:snapToGrid w:val="0"/>
        </w:rPr>
      </w:pPr>
      <w:r>
        <w:rPr>
          <w:snapToGrid w:val="0"/>
        </w:rPr>
        <w:tab/>
        <w:t>An Ordinance for vesting Roman Catholic Church Lands in Western Australia in the Roman Catholic Bishop Administrator and his Successors (22 Vict., No. 4)</w:t>
      </w:r>
      <w:r>
        <w:rPr>
          <w:snapToGrid w:val="0"/>
          <w:vertAlign w:val="superscript"/>
        </w:rPr>
        <w:t> 5</w:t>
      </w:r>
      <w:r>
        <w:rPr>
          <w:snapToGrid w:val="0"/>
        </w:rPr>
        <w:t>.</w:t>
      </w:r>
    </w:p>
    <w:p>
      <w:pPr>
        <w:pStyle w:val="yNumberedItem"/>
        <w:rPr>
          <w:snapToGrid w:val="0"/>
        </w:rPr>
      </w:pPr>
      <w:r>
        <w:rPr>
          <w:i/>
          <w:snapToGrid w:val="0"/>
        </w:rPr>
        <w:tab/>
        <w:t>Roman Catholic Church Lands Act 1895</w:t>
      </w:r>
      <w:r>
        <w:rPr>
          <w:snapToGrid w:val="0"/>
        </w:rPr>
        <w:br/>
        <w:t>(59 Vict., — Private).</w:t>
      </w:r>
    </w:p>
    <w:p>
      <w:pPr>
        <w:pStyle w:val="yNumberedItem"/>
        <w:rPr>
          <w:snapToGrid w:val="0"/>
        </w:rPr>
      </w:pPr>
      <w:r>
        <w:rPr>
          <w:i/>
          <w:snapToGrid w:val="0"/>
        </w:rPr>
        <w:tab/>
        <w:t>Roman Catholic Church Lands Amendment Act 1902</w:t>
      </w:r>
      <w:r>
        <w:rPr>
          <w:snapToGrid w:val="0"/>
        </w:rPr>
        <w:br/>
        <w:t>(1 and 2 Edw. VII. — Private).</w:t>
      </w:r>
    </w:p>
    <w:p>
      <w:pPr>
        <w:pStyle w:val="yNumberedItem"/>
        <w:rPr>
          <w:snapToGrid w:val="0"/>
        </w:rPr>
      </w:pPr>
      <w:r>
        <w:rPr>
          <w:i/>
          <w:snapToGrid w:val="0"/>
        </w:rPr>
        <w:tab/>
        <w:t>Roman Catholic Church Property Act 1911</w:t>
      </w:r>
      <w:r>
        <w:rPr>
          <w:snapToGrid w:val="0"/>
        </w:rPr>
        <w:t xml:space="preserve"> (No. 36 of 1911).</w:t>
      </w:r>
    </w:p>
    <w:p>
      <w:pPr>
        <w:pStyle w:val="yNumberedItem"/>
        <w:rPr>
          <w:snapToGrid w:val="0"/>
        </w:rPr>
      </w:pPr>
      <w:r>
        <w:rPr>
          <w:i/>
          <w:snapToGrid w:val="0"/>
        </w:rPr>
        <w:tab/>
        <w:t>Roman Catholic Church Property Act Amendment Act 1912</w:t>
      </w:r>
      <w:r>
        <w:rPr>
          <w:snapToGrid w:val="0"/>
        </w:rPr>
        <w:t xml:space="preserve"> (No. 32 of 1912).</w:t>
      </w:r>
    </w:p>
    <w:p>
      <w:pPr>
        <w:pStyle w:val="yNumberedItem"/>
        <w:rPr>
          <w:snapToGrid w:val="0"/>
        </w:rPr>
      </w:pPr>
      <w:r>
        <w:rPr>
          <w:i/>
          <w:snapToGrid w:val="0"/>
        </w:rPr>
        <w:tab/>
        <w:t>Roman Catholic Church Property Acts Amendment Act 1916</w:t>
      </w:r>
      <w:r>
        <w:rPr>
          <w:snapToGrid w:val="0"/>
        </w:rPr>
        <w:t xml:space="preserve"> (No. 4 of 1916).</w:t>
      </w:r>
    </w:p>
    <w:p>
      <w:pPr>
        <w:pStyle w:val="yNumberedItem"/>
        <w:rPr>
          <w:snapToGrid w:val="0"/>
        </w:rPr>
      </w:pPr>
      <w:r>
        <w:rPr>
          <w:i/>
          <w:snapToGrid w:val="0"/>
        </w:rPr>
        <w:tab/>
        <w:t>Roman Catholic Geraldton Church Property Act 1925</w:t>
      </w:r>
      <w:r>
        <w:rPr>
          <w:snapToGrid w:val="0"/>
        </w:rPr>
        <w:t xml:space="preserve"> (No. 9 of 1925).</w:t>
      </w:r>
    </w:p>
    <w:p>
      <w:pPr>
        <w:pStyle w:val="yFootnotesection"/>
      </w:pPr>
      <w:r>
        <w:tab/>
        <w:t>[Second Schedule amended by No. 74 of 2003 s. 149(2).]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8" w:name="_Toc151806478"/>
      <w:bookmarkStart w:id="59" w:name="_Toc151806494"/>
      <w:bookmarkStart w:id="60" w:name="_Toc155607628"/>
      <w:r>
        <w:t>Notes</w:t>
      </w:r>
      <w:bookmarkEnd w:id="58"/>
      <w:bookmarkEnd w:id="59"/>
      <w:bookmarkEnd w:id="60"/>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Bishop of Broome Property Act 1957</w:t>
      </w:r>
      <w:r>
        <w:rPr>
          <w:snapToGrid w:val="0"/>
        </w:rPr>
        <w:t xml:space="preserve"> and includes the amendments made by the other written laws referred to in the following table </w:t>
      </w:r>
      <w:r>
        <w:rPr>
          <w:snapToGrid w:val="0"/>
          <w:vertAlign w:val="superscript"/>
        </w:rPr>
        <w:t>1a, 7</w:t>
      </w:r>
      <w:r>
        <w:rPr>
          <w:snapToGrid w:val="0"/>
        </w:rPr>
        <w:t>.  The table also contains information about any reprint.</w:t>
      </w:r>
    </w:p>
    <w:p>
      <w:pPr>
        <w:pStyle w:val="nHeading3"/>
        <w:rPr>
          <w:snapToGrid w:val="0"/>
        </w:rPr>
      </w:pPr>
      <w:bookmarkStart w:id="61" w:name="_Hlt34041290"/>
      <w:bookmarkStart w:id="62" w:name="_Toc34040977"/>
      <w:bookmarkStart w:id="63" w:name="_Toc60636388"/>
      <w:bookmarkStart w:id="64" w:name="_Toc155607629"/>
      <w:bookmarkEnd w:id="61"/>
      <w:r>
        <w:rPr>
          <w:snapToGrid w:val="0"/>
        </w:rPr>
        <w:t>Compilation table</w:t>
      </w:r>
      <w:bookmarkEnd w:id="62"/>
      <w:bookmarkEnd w:id="63"/>
      <w:bookmarkEnd w:id="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vertAlign w:val="superscript"/>
              </w:rPr>
            </w:pPr>
            <w:r>
              <w:rPr>
                <w:i/>
                <w:sz w:val="19"/>
              </w:rPr>
              <w:t>Roman Catholic Vicariate of the Kimberleys Property Act 1957</w:t>
            </w:r>
            <w:r>
              <w:rPr>
                <w:sz w:val="19"/>
                <w:vertAlign w:val="superscript"/>
              </w:rPr>
              <w:t> 6</w:t>
            </w:r>
          </w:p>
        </w:tc>
        <w:tc>
          <w:tcPr>
            <w:tcW w:w="1134" w:type="dxa"/>
          </w:tcPr>
          <w:p>
            <w:pPr>
              <w:pStyle w:val="nTable"/>
              <w:rPr>
                <w:sz w:val="19"/>
              </w:rPr>
            </w:pPr>
            <w:r>
              <w:rPr>
                <w:sz w:val="19"/>
              </w:rPr>
              <w:t>32 of 1957</w:t>
            </w:r>
          </w:p>
        </w:tc>
        <w:tc>
          <w:tcPr>
            <w:tcW w:w="1134" w:type="dxa"/>
          </w:tcPr>
          <w:p>
            <w:pPr>
              <w:pStyle w:val="nTable"/>
              <w:rPr>
                <w:sz w:val="19"/>
              </w:rPr>
            </w:pPr>
            <w:r>
              <w:rPr>
                <w:sz w:val="19"/>
              </w:rPr>
              <w:t>5 Nov 1957</w:t>
            </w:r>
          </w:p>
        </w:tc>
        <w:tc>
          <w:tcPr>
            <w:tcW w:w="2552" w:type="dxa"/>
          </w:tcPr>
          <w:p>
            <w:pPr>
              <w:pStyle w:val="nTable"/>
              <w:rPr>
                <w:sz w:val="19"/>
              </w:rPr>
            </w:pPr>
            <w:r>
              <w:rPr>
                <w:sz w:val="19"/>
              </w:rPr>
              <w:t>5 Nov 1957</w:t>
            </w:r>
          </w:p>
        </w:tc>
      </w:tr>
      <w:tr>
        <w:tc>
          <w:tcPr>
            <w:tcW w:w="2268" w:type="dxa"/>
          </w:tcPr>
          <w:p>
            <w:pPr>
              <w:pStyle w:val="nTable"/>
              <w:rPr>
                <w:sz w:val="19"/>
              </w:rPr>
            </w:pPr>
            <w:r>
              <w:rPr>
                <w:i/>
                <w:sz w:val="19"/>
              </w:rPr>
              <w:t>Roman Catholic Vicariate of the Kimberleys Property Act Amendment Act 1970</w:t>
            </w:r>
          </w:p>
        </w:tc>
        <w:tc>
          <w:tcPr>
            <w:tcW w:w="1134" w:type="dxa"/>
          </w:tcPr>
          <w:p>
            <w:pPr>
              <w:pStyle w:val="nTable"/>
              <w:rPr>
                <w:sz w:val="19"/>
              </w:rPr>
            </w:pPr>
            <w:r>
              <w:rPr>
                <w:sz w:val="19"/>
              </w:rPr>
              <w:t>41 of 1970</w:t>
            </w:r>
          </w:p>
        </w:tc>
        <w:tc>
          <w:tcPr>
            <w:tcW w:w="1134" w:type="dxa"/>
          </w:tcPr>
          <w:p>
            <w:pPr>
              <w:pStyle w:val="nTable"/>
              <w:rPr>
                <w:sz w:val="19"/>
              </w:rPr>
            </w:pPr>
            <w:r>
              <w:rPr>
                <w:sz w:val="19"/>
              </w:rPr>
              <w:t>23 Sep 1970</w:t>
            </w:r>
          </w:p>
        </w:tc>
        <w:tc>
          <w:tcPr>
            <w:tcW w:w="2552" w:type="dxa"/>
          </w:tcPr>
          <w:p>
            <w:pPr>
              <w:pStyle w:val="nTable"/>
              <w:rPr>
                <w:sz w:val="19"/>
              </w:rPr>
            </w:pPr>
            <w:r>
              <w:rPr>
                <w:sz w:val="19"/>
              </w:rPr>
              <w:t>23 Sep 1970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before="120"/>
              <w:rPr>
                <w:sz w:val="19"/>
              </w:rPr>
            </w:pPr>
            <w:r>
              <w:rPr>
                <w:b/>
                <w:sz w:val="19"/>
              </w:rPr>
              <w:t xml:space="preserve">Reprint 1: The </w:t>
            </w:r>
            <w:r>
              <w:rPr>
                <w:b/>
                <w:i/>
                <w:sz w:val="19"/>
              </w:rPr>
              <w:t>Roman Catholic Bishop of Broome Property Act 1957</w:t>
            </w:r>
            <w:r>
              <w:rPr>
                <w:b/>
                <w:sz w:val="19"/>
              </w:rPr>
              <w:t xml:space="preserve"> as at 7 Feb 2003 </w:t>
            </w:r>
            <w:r>
              <w:rPr>
                <w:sz w:val="19"/>
              </w:rPr>
              <w:t>(includes amendments listed above)</w:t>
            </w:r>
          </w:p>
        </w:tc>
      </w:tr>
      <w:tr>
        <w:tc>
          <w:tcPr>
            <w:tcW w:w="2268" w:type="dxa"/>
          </w:tcPr>
          <w:p>
            <w:pPr>
              <w:pStyle w:val="nTable"/>
              <w:rPr>
                <w:sz w:val="19"/>
              </w:rPr>
            </w:pPr>
            <w:r>
              <w:rPr>
                <w:i/>
                <w:sz w:val="19"/>
              </w:rPr>
              <w:t>Statutes (Repeals and Minor Amendments) Act 2003</w:t>
            </w:r>
            <w:r>
              <w:rPr>
                <w:sz w:val="19"/>
              </w:rPr>
              <w:t xml:space="preserve"> s. 149(2)</w:t>
            </w:r>
          </w:p>
        </w:tc>
        <w:tc>
          <w:tcPr>
            <w:tcW w:w="1134" w:type="dxa"/>
          </w:tcPr>
          <w:p>
            <w:pPr>
              <w:pStyle w:val="nTable"/>
              <w:rPr>
                <w:sz w:val="19"/>
              </w:rPr>
            </w:pPr>
            <w:r>
              <w:rPr>
                <w:sz w:val="19"/>
              </w:rPr>
              <w:t>74 of 2003</w:t>
            </w:r>
          </w:p>
        </w:tc>
        <w:tc>
          <w:tcPr>
            <w:tcW w:w="1134" w:type="dxa"/>
          </w:tcPr>
          <w:p>
            <w:pPr>
              <w:pStyle w:val="nTable"/>
              <w:rPr>
                <w:sz w:val="19"/>
              </w:rPr>
            </w:pPr>
            <w:r>
              <w:rPr>
                <w:sz w:val="19"/>
              </w:rPr>
              <w:t>15 Dec 2003</w:t>
            </w:r>
          </w:p>
        </w:tc>
        <w:tc>
          <w:tcPr>
            <w:tcW w:w="2552" w:type="dxa"/>
          </w:tcPr>
          <w:p>
            <w:pPr>
              <w:pStyle w:val="nTable"/>
              <w:rPr>
                <w:sz w:val="19"/>
              </w:rPr>
            </w:pPr>
            <w:r>
              <w:rPr>
                <w:spacing w:val="-2"/>
                <w:sz w:val="19"/>
              </w:rPr>
              <w:t>15 Dec 2003 (see s. 2)</w:t>
            </w:r>
          </w:p>
        </w:tc>
      </w:tr>
      <w:tr>
        <w:tc>
          <w:tcPr>
            <w:tcW w:w="2268" w:type="dxa"/>
            <w:tcBorders>
              <w:bottom w:val="single" w:sz="4" w:space="0" w:color="auto"/>
            </w:tcBorders>
          </w:tcPr>
          <w:p>
            <w:pPr>
              <w:pStyle w:val="nTable"/>
              <w:rPr>
                <w:i/>
                <w:sz w:val="19"/>
              </w:rPr>
            </w:pPr>
            <w:r>
              <w:rPr>
                <w:i/>
                <w:snapToGrid w:val="0"/>
                <w:sz w:val="19"/>
                <w:lang w:val="en-US"/>
              </w:rPr>
              <w:t>Land Information Authority Act 2006</w:t>
            </w:r>
            <w:r>
              <w:rPr>
                <w:iCs/>
                <w:snapToGrid w:val="0"/>
                <w:sz w:val="19"/>
                <w:lang w:val="en-US"/>
              </w:rPr>
              <w:t xml:space="preserve"> s. 152</w:t>
            </w:r>
            <w:r>
              <w:rPr>
                <w:iCs/>
                <w:snapToGrid w:val="0"/>
                <w:sz w:val="19"/>
                <w:vertAlign w:val="superscript"/>
                <w:lang w:val="en-US"/>
              </w:rPr>
              <w:t xml:space="preserve"> </w:t>
            </w:r>
          </w:p>
        </w:tc>
        <w:tc>
          <w:tcPr>
            <w:tcW w:w="1134" w:type="dxa"/>
            <w:tcBorders>
              <w:bottom w:val="single" w:sz="4" w:space="0" w:color="auto"/>
            </w:tcBorders>
          </w:tcPr>
          <w:p>
            <w:pPr>
              <w:pStyle w:val="nTable"/>
              <w:rPr>
                <w:sz w:val="19"/>
              </w:rPr>
            </w:pPr>
            <w:r>
              <w:rPr>
                <w:snapToGrid w:val="0"/>
                <w:sz w:val="19"/>
                <w:lang w:val="en-US"/>
              </w:rPr>
              <w:t>60 of 2006</w:t>
            </w:r>
          </w:p>
        </w:tc>
        <w:tc>
          <w:tcPr>
            <w:tcW w:w="1134" w:type="dxa"/>
            <w:tcBorders>
              <w:bottom w:val="single" w:sz="4" w:space="0" w:color="auto"/>
            </w:tcBorders>
          </w:tcPr>
          <w:p>
            <w:pPr>
              <w:pStyle w:val="nTable"/>
              <w:rPr>
                <w:sz w:val="19"/>
              </w:rPr>
            </w:pPr>
            <w:r>
              <w:rPr>
                <w:snapToGrid w:val="0"/>
                <w:sz w:val="19"/>
                <w:lang w:val="en-US"/>
              </w:rPr>
              <w:t>16 Nov 2006</w:t>
            </w:r>
          </w:p>
        </w:tc>
        <w:tc>
          <w:tcPr>
            <w:tcW w:w="2552" w:type="dxa"/>
            <w:tcBorders>
              <w:bottom w:val="single" w:sz="4" w:space="0" w:color="auto"/>
            </w:tcBorders>
          </w:tcPr>
          <w:p>
            <w:pPr>
              <w:pStyle w:val="nTable"/>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 w:name="_Toc7405065"/>
      <w:r>
        <w:t>Provisions that have not come into operation</w:t>
      </w:r>
      <w:bookmarkEnd w:id="6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30</w:t>
            </w:r>
            <w:r>
              <w:rPr>
                <w:iCs/>
                <w:snapToGrid w:val="0"/>
                <w:sz w:val="19"/>
                <w:vertAlign w:val="superscript"/>
                <w:lang w:val="en-US"/>
              </w:rPr>
              <w:t> 8</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rPr>
          <w:vertAlign w:val="superscript"/>
        </w:rPr>
        <w:tab/>
      </w:r>
      <w:r>
        <w:t>Now known as the Roman Catholic Diocese of Broome:  see s. 9.</w:t>
      </w:r>
    </w:p>
    <w:p>
      <w:pPr>
        <w:pStyle w:val="nSubsection"/>
      </w:pPr>
      <w:r>
        <w:rPr>
          <w:vertAlign w:val="superscript"/>
        </w:rPr>
        <w:t>3</w:t>
      </w:r>
      <w:r>
        <w:rPr>
          <w:vertAlign w:val="superscript"/>
        </w:rPr>
        <w:tab/>
      </w:r>
      <w:r>
        <w:t>Now known as the Roman Catholic Bishop of Broome:  see s. 9.</w:t>
      </w:r>
    </w:p>
    <w:p>
      <w:pPr>
        <w:pStyle w:val="nSubsection"/>
      </w:pPr>
      <w:r>
        <w:rPr>
          <w:vertAlign w:val="superscript"/>
        </w:rPr>
        <w:t>4</w:t>
      </w:r>
      <w:r>
        <w:rPr>
          <w:vertAlign w:val="superscript"/>
        </w:rPr>
        <w:tab/>
      </w:r>
      <w:r>
        <w:t>Footnote no longer applicable.</w:t>
      </w:r>
      <w:r>
        <w:rPr>
          <w:vertAlign w:val="superscript"/>
        </w:rPr>
        <w:t xml:space="preserve"> </w:t>
      </w:r>
    </w:p>
    <w:p>
      <w:pPr>
        <w:pStyle w:val="nSubsection"/>
        <w:rPr>
          <w:sz w:val="19"/>
        </w:rPr>
      </w:pPr>
      <w:r>
        <w:rPr>
          <w:snapToGrid w:val="0"/>
          <w:vertAlign w:val="superscript"/>
        </w:rPr>
        <w:t>5</w:t>
      </w:r>
      <w:r>
        <w:rPr>
          <w:snapToGrid w:val="0"/>
          <w:vertAlign w:val="superscript"/>
        </w:rPr>
        <w:tab/>
      </w:r>
      <w:r>
        <w:rPr>
          <w:snapToGrid w:val="0"/>
        </w:rPr>
        <w:t xml:space="preserve">Now cited as the </w:t>
      </w:r>
      <w:r>
        <w:rPr>
          <w:i/>
          <w:snapToGrid w:val="0"/>
        </w:rPr>
        <w:t>Roman Catholic Church Lands Ordinance 1858</w:t>
      </w:r>
      <w:r>
        <w:rPr>
          <w:snapToGrid w:val="0"/>
        </w:rPr>
        <w:t>.</w:t>
      </w:r>
    </w:p>
    <w:p>
      <w:pPr>
        <w:pStyle w:val="nSubsection"/>
      </w:pPr>
      <w:r>
        <w:rPr>
          <w:vertAlign w:val="superscript"/>
        </w:rPr>
        <w:t>6</w:t>
      </w:r>
      <w:r>
        <w:rPr>
          <w:vertAlign w:val="superscript"/>
        </w:rPr>
        <w:tab/>
      </w:r>
      <w:r>
        <w:t xml:space="preserve">Now cited as the </w:t>
      </w:r>
      <w:r>
        <w:rPr>
          <w:i/>
        </w:rPr>
        <w:t>Roman Catholic Bishop of Broome Property Act 1957</w:t>
      </w:r>
      <w:r>
        <w:t>; short title changed (see note under s. 1).</w:t>
      </w:r>
    </w:p>
    <w:p>
      <w:pPr>
        <w:pStyle w:val="nSubsection"/>
        <w:rPr>
          <w:snapToGrid w:val="0"/>
        </w:rPr>
      </w:pPr>
      <w:r>
        <w:rPr>
          <w:snapToGrid w:val="0"/>
          <w:vertAlign w:val="superscript"/>
        </w:rPr>
        <w:t>7</w:t>
      </w:r>
      <w:r>
        <w:rPr>
          <w:snapToGrid w:val="0"/>
          <w:vertAlign w:val="superscript"/>
        </w:rPr>
        <w:tab/>
      </w:r>
      <w:r>
        <w:rPr>
          <w:snapToGrid w:val="0"/>
        </w:rPr>
        <w:t>Other relevant Act:</w:t>
      </w:r>
    </w:p>
    <w:p>
      <w:pPr>
        <w:pStyle w:val="nSubsection"/>
        <w:rPr>
          <w:snapToGrid w:val="0"/>
        </w:rPr>
      </w:pPr>
      <w:r>
        <w:rPr>
          <w:snapToGrid w:val="0"/>
        </w:rPr>
        <w:tab/>
      </w:r>
      <w:r>
        <w:rPr>
          <w:i/>
          <w:snapToGrid w:val="0"/>
        </w:rPr>
        <w:t>The Roman Catholic Church Lands Act 1895</w:t>
      </w:r>
      <w:r>
        <w:rPr>
          <w:snapToGrid w:val="0"/>
        </w:rPr>
        <w:t>.</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30 had not come into operation.  It reads as follows:</w:t>
      </w:r>
    </w:p>
    <w:p>
      <w:pPr>
        <w:pStyle w:val="BlankOpen"/>
        <w:rPr>
          <w:vertAlign w:val="superscript"/>
        </w:rPr>
      </w:pPr>
    </w:p>
    <w:p>
      <w:pPr>
        <w:pStyle w:val="nzHeading5"/>
        <w:rPr>
          <w:rFonts w:eastAsia="MS Mincho"/>
        </w:rPr>
      </w:pPr>
      <w:bookmarkStart w:id="66" w:name="_Toc233107789"/>
      <w:bookmarkStart w:id="67" w:name="_Toc255473724"/>
      <w:bookmarkStart w:id="68" w:name="_Toc265583779"/>
      <w:r>
        <w:rPr>
          <w:rStyle w:val="CharSectno"/>
          <w:rFonts w:eastAsia="MS Mincho"/>
        </w:rPr>
        <w:t>30</w:t>
      </w:r>
      <w:r>
        <w:rPr>
          <w:rFonts w:eastAsia="MS Mincho"/>
        </w:rPr>
        <w:t>.</w:t>
      </w:r>
      <w:r>
        <w:rPr>
          <w:rFonts w:eastAsia="MS Mincho"/>
        </w:rPr>
        <w:tab/>
      </w:r>
      <w:r>
        <w:rPr>
          <w:rFonts w:eastAsia="MS Mincho"/>
          <w:i/>
        </w:rPr>
        <w:t>Roman Catholic Bishop of Broome Property Act 1957</w:t>
      </w:r>
      <w:r>
        <w:rPr>
          <w:rFonts w:eastAsia="MS Mincho"/>
        </w:rPr>
        <w:t xml:space="preserve"> amended</w:t>
      </w:r>
      <w:bookmarkEnd w:id="66"/>
      <w:bookmarkEnd w:id="67"/>
      <w:bookmarkEnd w:id="68"/>
    </w:p>
    <w:p>
      <w:pPr>
        <w:pStyle w:val="nzSubsection"/>
        <w:rPr>
          <w:rFonts w:eastAsia="MS Mincho"/>
        </w:rPr>
      </w:pPr>
      <w:r>
        <w:rPr>
          <w:rFonts w:eastAsia="MS Mincho"/>
        </w:rPr>
        <w:tab/>
        <w:t>(1)</w:t>
      </w:r>
      <w:r>
        <w:rPr>
          <w:rFonts w:eastAsia="MS Mincho"/>
        </w:rPr>
        <w:tab/>
        <w:t xml:space="preserve">This section amends the </w:t>
      </w:r>
      <w:r>
        <w:rPr>
          <w:rFonts w:eastAsia="MS Mincho"/>
          <w:i/>
        </w:rPr>
        <w:t>Roman Catholic Bishop of Broome Property Act 1957</w:t>
      </w:r>
      <w:r>
        <w:rPr>
          <w:rFonts w:eastAsia="MS Mincho"/>
          <w:iCs/>
        </w:rPr>
        <w:t>.</w:t>
      </w:r>
    </w:p>
    <w:p>
      <w:pPr>
        <w:pStyle w:val="nzSubsection"/>
        <w:rPr>
          <w:rFonts w:eastAsia="MS Mincho"/>
        </w:rPr>
      </w:pPr>
      <w:r>
        <w:rPr>
          <w:rFonts w:eastAsia="MS Mincho"/>
        </w:rPr>
        <w:tab/>
        <w:t>(2)</w:t>
      </w:r>
      <w:r>
        <w:rPr>
          <w:rFonts w:eastAsia="MS Mincho"/>
        </w:rPr>
        <w:tab/>
        <w:t>In the First Schedule:</w:t>
      </w:r>
    </w:p>
    <w:p>
      <w:pPr>
        <w:pStyle w:val="nzIndenta"/>
        <w:rPr>
          <w:rFonts w:eastAsia="MS Mincho"/>
        </w:rPr>
      </w:pPr>
      <w:r>
        <w:rPr>
          <w:rFonts w:eastAsia="MS Mincho"/>
        </w:rPr>
        <w:tab/>
        <w:t>(a)</w:t>
      </w:r>
      <w:r>
        <w:rPr>
          <w:rFonts w:eastAsia="MS Mincho"/>
        </w:rPr>
        <w:tab/>
        <w:t>delete “</w:t>
      </w:r>
      <w:r>
        <w:rPr>
          <w:rFonts w:eastAsia="MS Mincho"/>
          <w:b/>
          <w:sz w:val="28"/>
        </w:rPr>
        <w:t>First Schedule</w:t>
      </w:r>
      <w:r>
        <w:rPr>
          <w:rFonts w:eastAsia="MS Mincho"/>
        </w:rPr>
        <w:t>”;</w:t>
      </w:r>
    </w:p>
    <w:p>
      <w:pPr>
        <w:pStyle w:val="nzIndenta"/>
        <w:rPr>
          <w:rFonts w:eastAsia="MS Mincho"/>
        </w:rPr>
      </w:pPr>
      <w:r>
        <w:rPr>
          <w:rFonts w:eastAsia="MS Mincho"/>
        </w:rPr>
        <w:tab/>
        <w:t>(b)</w:t>
      </w:r>
      <w:r>
        <w:rPr>
          <w:rFonts w:eastAsia="MS Mincho"/>
        </w:rPr>
        <w:tab/>
        <w:t>delete “</w:t>
      </w:r>
      <w:r>
        <w:rPr>
          <w:snapToGrid w:val="0"/>
          <w:sz w:val="22"/>
        </w:rPr>
        <w:t>[S. 3]</w:t>
      </w:r>
      <w:r>
        <w:rPr>
          <w:rFonts w:eastAsia="MS Mincho"/>
        </w:rPr>
        <w:t>”;</w:t>
      </w:r>
    </w:p>
    <w:p>
      <w:pPr>
        <w:pStyle w:val="nzIndenta"/>
        <w:rPr>
          <w:rFonts w:eastAsia="MS Mincho"/>
        </w:rPr>
      </w:pPr>
      <w:r>
        <w:rPr>
          <w:rFonts w:eastAsia="MS Mincho"/>
        </w:rPr>
        <w:tab/>
        <w:t>(c)</w:t>
      </w:r>
      <w:r>
        <w:rPr>
          <w:rFonts w:eastAsia="MS Mincho"/>
        </w:rPr>
        <w:tab/>
        <w:t>delete “</w:t>
      </w:r>
      <w:r>
        <w:rPr>
          <w:b/>
          <w:bCs/>
          <w:sz w:val="28"/>
        </w:rPr>
        <w:t>Part I</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69" w:name="_Toc232235561"/>
      <w:bookmarkStart w:id="70" w:name="_Toc232235759"/>
      <w:bookmarkStart w:id="71" w:name="_Toc233100629"/>
      <w:bookmarkStart w:id="72" w:name="_Toc233107790"/>
      <w:r>
        <w:rPr>
          <w:rFonts w:eastAsia="MS Mincho"/>
        </w:rPr>
        <w:t>First Schedule — Land vested in Bishop of Broome</w:t>
      </w:r>
      <w:bookmarkEnd w:id="69"/>
      <w:bookmarkEnd w:id="70"/>
      <w:bookmarkEnd w:id="71"/>
      <w:bookmarkEnd w:id="72"/>
    </w:p>
    <w:p>
      <w:pPr>
        <w:pStyle w:val="nzMiscellaneousBody"/>
        <w:jc w:val="right"/>
        <w:rPr>
          <w:rFonts w:eastAsia="MS Mincho"/>
        </w:rPr>
      </w:pPr>
      <w:r>
        <w:rPr>
          <w:rFonts w:eastAsia="MS Mincho"/>
        </w:rPr>
        <w:t>[s. 3]</w:t>
      </w:r>
    </w:p>
    <w:p>
      <w:pPr>
        <w:pStyle w:val="nzHeading3"/>
        <w:rPr>
          <w:rFonts w:eastAsia="MS Mincho"/>
        </w:rPr>
      </w:pPr>
      <w:bookmarkStart w:id="73" w:name="_Toc232235562"/>
      <w:bookmarkStart w:id="74" w:name="_Toc232235760"/>
      <w:bookmarkStart w:id="75" w:name="_Toc233100630"/>
      <w:bookmarkStart w:id="76" w:name="_Toc233107791"/>
      <w:r>
        <w:rPr>
          <w:rFonts w:eastAsia="MS Mincho"/>
        </w:rPr>
        <w:t>Part I — Land transferred from Roman Catholic Bishop of Perth</w:t>
      </w:r>
      <w:bookmarkEnd w:id="73"/>
      <w:bookmarkEnd w:id="74"/>
      <w:bookmarkEnd w:id="75"/>
      <w:bookmarkEnd w:id="76"/>
    </w:p>
    <w:p>
      <w:pPr>
        <w:pStyle w:val="BlankClose"/>
      </w:pPr>
    </w:p>
    <w:p>
      <w:pPr>
        <w:pStyle w:val="nzSubsection"/>
        <w:rPr>
          <w:rFonts w:eastAsia="MS Mincho"/>
        </w:rPr>
      </w:pPr>
      <w:r>
        <w:rPr>
          <w:rFonts w:eastAsia="MS Mincho"/>
        </w:rPr>
        <w:tab/>
        <w:t>(3)</w:t>
      </w:r>
      <w:r>
        <w:rPr>
          <w:rFonts w:eastAsia="MS Mincho"/>
        </w:rPr>
        <w:tab/>
        <w:t>In the First Schedule delete “</w:t>
      </w:r>
      <w:r>
        <w:rPr>
          <w:rFonts w:eastAsia="MS Mincho"/>
          <w:b/>
          <w:bCs/>
          <w:sz w:val="28"/>
        </w:rPr>
        <w:t>Part II</w:t>
      </w:r>
      <w:r>
        <w:rPr>
          <w:rFonts w:eastAsia="MS Mincho"/>
        </w:rPr>
        <w:t>” and insert:</w:t>
      </w:r>
    </w:p>
    <w:p>
      <w:pPr>
        <w:pStyle w:val="BlankOpen"/>
      </w:pPr>
    </w:p>
    <w:p>
      <w:pPr>
        <w:pStyle w:val="nzHeading3"/>
        <w:rPr>
          <w:rFonts w:eastAsia="MS Mincho"/>
        </w:rPr>
      </w:pPr>
      <w:bookmarkStart w:id="77" w:name="_Toc232235563"/>
      <w:bookmarkStart w:id="78" w:name="_Toc232235761"/>
      <w:bookmarkStart w:id="79" w:name="_Toc233100631"/>
      <w:bookmarkStart w:id="80" w:name="_Toc233107792"/>
      <w:r>
        <w:rPr>
          <w:rFonts w:eastAsia="MS Mincho"/>
        </w:rPr>
        <w:t>Part II — Land transferred from Roman Catholic Bishop of Geraldton</w:t>
      </w:r>
      <w:bookmarkEnd w:id="77"/>
      <w:bookmarkEnd w:id="78"/>
      <w:bookmarkEnd w:id="79"/>
      <w:bookmarkEnd w:id="80"/>
    </w:p>
    <w:p>
      <w:pPr>
        <w:pStyle w:val="BlankClose"/>
      </w:pPr>
    </w:p>
    <w:p>
      <w:pPr>
        <w:pStyle w:val="nzSubsection"/>
        <w:rPr>
          <w:rFonts w:eastAsia="MS Mincho"/>
        </w:rPr>
      </w:pPr>
      <w:r>
        <w:rPr>
          <w:rFonts w:eastAsia="MS Mincho"/>
        </w:rPr>
        <w:tab/>
        <w:t>(4)</w:t>
      </w:r>
      <w:r>
        <w:rPr>
          <w:rFonts w:eastAsia="MS Mincho"/>
        </w:rPr>
        <w:tab/>
        <w:t>In the First Schedule delete “</w:t>
      </w:r>
      <w:r>
        <w:rPr>
          <w:rFonts w:eastAsia="MS Mincho"/>
          <w:b/>
          <w:bCs/>
          <w:sz w:val="28"/>
        </w:rPr>
        <w:t>Part III</w:t>
      </w:r>
      <w:r>
        <w:rPr>
          <w:rFonts w:eastAsia="MS Mincho"/>
        </w:rPr>
        <w:t>” and insert:</w:t>
      </w:r>
    </w:p>
    <w:p>
      <w:pPr>
        <w:pStyle w:val="BlankOpen"/>
      </w:pPr>
    </w:p>
    <w:p>
      <w:pPr>
        <w:pStyle w:val="nzHeading3"/>
        <w:rPr>
          <w:rFonts w:eastAsia="MS Mincho"/>
        </w:rPr>
      </w:pPr>
      <w:bookmarkStart w:id="81" w:name="_Toc232235564"/>
      <w:bookmarkStart w:id="82" w:name="_Toc232235762"/>
      <w:bookmarkStart w:id="83" w:name="_Toc233100632"/>
      <w:bookmarkStart w:id="84" w:name="_Toc233107793"/>
      <w:r>
        <w:rPr>
          <w:rFonts w:eastAsia="MS Mincho"/>
        </w:rPr>
        <w:t>Part III — Land transferred from Pious Society of Missions Incorporated of Broome</w:t>
      </w:r>
      <w:bookmarkEnd w:id="81"/>
      <w:bookmarkEnd w:id="82"/>
      <w:bookmarkEnd w:id="83"/>
      <w:bookmarkEnd w:id="84"/>
    </w:p>
    <w:p>
      <w:pPr>
        <w:pStyle w:val="BlankClose"/>
      </w:pPr>
    </w:p>
    <w:p>
      <w:pPr>
        <w:pStyle w:val="nzSubsection"/>
        <w:rPr>
          <w:rFonts w:eastAsia="MS Mincho"/>
        </w:rPr>
      </w:pPr>
      <w:r>
        <w:rPr>
          <w:rFonts w:eastAsia="MS Mincho"/>
        </w:rPr>
        <w:tab/>
        <w:t>(5)</w:t>
      </w:r>
      <w:r>
        <w:rPr>
          <w:rFonts w:eastAsia="MS Mincho"/>
        </w:rPr>
        <w:tab/>
        <w:t>In the Second Schedule:</w:t>
      </w:r>
    </w:p>
    <w:p>
      <w:pPr>
        <w:pStyle w:val="nzIndenta"/>
        <w:rPr>
          <w:rFonts w:eastAsia="MS Mincho"/>
        </w:rPr>
      </w:pPr>
      <w:r>
        <w:rPr>
          <w:rFonts w:eastAsia="MS Mincho"/>
        </w:rPr>
        <w:tab/>
        <w:t>(a)</w:t>
      </w:r>
      <w:r>
        <w:rPr>
          <w:rFonts w:eastAsia="MS Mincho"/>
        </w:rPr>
        <w:tab/>
        <w:t>delete “</w:t>
      </w:r>
      <w:r>
        <w:rPr>
          <w:b/>
          <w:sz w:val="28"/>
        </w:rPr>
        <w:t>Second Schedule</w:t>
      </w:r>
      <w:r>
        <w:rPr>
          <w:rFonts w:eastAsia="MS Mincho"/>
        </w:rPr>
        <w:t>”;</w:t>
      </w:r>
    </w:p>
    <w:p>
      <w:pPr>
        <w:pStyle w:val="nzIndenta"/>
        <w:rPr>
          <w:rFonts w:eastAsia="MS Mincho"/>
        </w:rPr>
      </w:pPr>
      <w:r>
        <w:rPr>
          <w:rFonts w:eastAsia="MS Mincho"/>
        </w:rPr>
        <w:tab/>
        <w:t>(b)</w:t>
      </w:r>
      <w:r>
        <w:rPr>
          <w:rFonts w:eastAsia="MS Mincho"/>
        </w:rPr>
        <w:tab/>
        <w:t>delete “</w:t>
      </w:r>
      <w:r>
        <w:rPr>
          <w:snapToGrid w:val="0"/>
          <w:sz w:val="22"/>
        </w:rPr>
        <w:t>[S. 5]</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85" w:name="_Toc232235565"/>
      <w:bookmarkStart w:id="86" w:name="_Toc232235763"/>
      <w:bookmarkStart w:id="87" w:name="_Toc233100633"/>
      <w:bookmarkStart w:id="88" w:name="_Toc233107794"/>
      <w:r>
        <w:rPr>
          <w:rFonts w:eastAsia="MS Mincho"/>
        </w:rPr>
        <w:t>Second Schedule — Acts overridden by section 5</w:t>
      </w:r>
      <w:bookmarkEnd w:id="85"/>
      <w:bookmarkEnd w:id="86"/>
      <w:bookmarkEnd w:id="87"/>
      <w:bookmarkEnd w:id="88"/>
    </w:p>
    <w:p>
      <w:pPr>
        <w:pStyle w:val="nzMiscellaneousBody"/>
        <w:jc w:val="right"/>
        <w:rPr>
          <w:rFonts w:eastAsia="MS Mincho"/>
        </w:rPr>
      </w:pPr>
      <w:r>
        <w:rPr>
          <w:rFonts w:eastAsia="MS Mincho"/>
        </w:rPr>
        <w:t>[s. 5]</w:t>
      </w:r>
    </w:p>
    <w:p>
      <w:pPr>
        <w:pStyle w:val="BlankClose"/>
      </w:pPr>
    </w:p>
    <w:p>
      <w:pPr>
        <w:pStyle w:val="BlankClose"/>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Bishop of Broome Property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Bishop of Broome Property Act 1957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Bishop of Broome Property Act 1957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Roman Catholic Bishop of Broome Property Act 1957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Bishop of Broome Property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98AA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7DA43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23245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5C05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783A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AAF0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F058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5CF9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5B2857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D889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F7E4A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8B56DC1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317"/>
    <w:docVar w:name="WAFER_20151209141317" w:val="RemoveTrackChanges"/>
    <w:docVar w:name="WAFER_20151209141317_GUID" w:val="8e34684d-706a-44db-950b-ccc000d3b4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2255</Words>
  <Characters>10624</Characters>
  <Application>Microsoft Office Word</Application>
  <DocSecurity>0</DocSecurity>
  <Lines>354</Lines>
  <Paragraphs>211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Bishop of Broome Property Act 1957 - 01-e0-02</dc:title>
  <dc:subject/>
  <dc:creator/>
  <cp:keywords/>
  <dc:description/>
  <cp:lastModifiedBy>svcMRProcess</cp:lastModifiedBy>
  <cp:revision>4</cp:revision>
  <cp:lastPrinted>2003-02-26T08:56:00Z</cp:lastPrinted>
  <dcterms:created xsi:type="dcterms:W3CDTF">2018-09-07T18:23:00Z</dcterms:created>
  <dcterms:modified xsi:type="dcterms:W3CDTF">2018-09-07T18:23:00Z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1957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704</vt:i4>
  </property>
  <property fmtid="{D5CDD505-2E9C-101B-9397-08002B2CF9AE}" pid="6" name="AsAtDate">
    <vt:lpwstr>28 Jun 2010</vt:lpwstr>
  </property>
  <property fmtid="{D5CDD505-2E9C-101B-9397-08002B2CF9AE}" pid="7" name="Suffix">
    <vt:lpwstr>01-e0-02</vt:lpwstr>
  </property>
</Properties>
</file>