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_Toc267920753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Execution of agreement authorised</w:t>
      </w:r>
      <w:r>
        <w:tab/>
      </w:r>
      <w:r>
        <w:fldChar w:fldCharType="begin"/>
      </w:r>
      <w:r>
        <w:instrText xml:space="preserve"> PAGEREF _Toc267920754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Executed agreement to operate and take effect</w:t>
      </w:r>
      <w:r>
        <w:tab/>
      </w:r>
      <w:r>
        <w:fldChar w:fldCharType="begin"/>
      </w:r>
      <w:r>
        <w:instrText xml:space="preserve"> PAGEREF _Toc267920755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First Variation Agreement</w:t>
      </w:r>
      <w:r>
        <w:tab/>
      </w:r>
      <w:r>
        <w:fldChar w:fldCharType="begin"/>
      </w:r>
      <w:r>
        <w:instrText xml:space="preserve"> PAGEREF _Toc267920756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Second Variation Agreement</w:t>
      </w:r>
      <w:r>
        <w:tab/>
      </w:r>
      <w:r>
        <w:fldChar w:fldCharType="begin"/>
      </w:r>
      <w:r>
        <w:instrText xml:space="preserve"> PAGEREF _Toc267920757 \h </w:instrText>
      </w:r>
      <w:r>
        <w:fldChar w:fldCharType="separate"/>
      </w:r>
      <w:r>
        <w:t>2</w:t>
      </w:r>
      <w:r>
        <w:fldChar w:fldCharType="end"/>
      </w:r>
    </w:p>
    <w:p>
      <w:pPr>
        <w:pStyle w:val="TOC8"/>
        <w:rPr>
          <w:sz w:val="24"/>
          <w:szCs w:val="24"/>
        </w:rPr>
      </w:pPr>
      <w:r>
        <w:rPr>
          <w:szCs w:val="24"/>
        </w:rPr>
        <w:t>6.</w:t>
      </w:r>
      <w:r>
        <w:rPr>
          <w:szCs w:val="24"/>
        </w:rPr>
        <w:tab/>
        <w:t>Third Variation Agreement</w:t>
      </w:r>
      <w:r>
        <w:tab/>
      </w:r>
      <w:r>
        <w:fldChar w:fldCharType="begin"/>
      </w:r>
      <w:r>
        <w:instrText xml:space="preserve"> PAGEREF _Toc267920758 \h </w:instrText>
      </w:r>
      <w:r>
        <w:fldChar w:fldCharType="separate"/>
      </w:r>
      <w:r>
        <w:t>3</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Schedule 4</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_Toc267920764 \h </w:instrText>
      </w:r>
      <w:r>
        <w:fldChar w:fldCharType="separate"/>
      </w:r>
      <w:r>
        <w:t>98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(McCamey’s Monster) Agreement Authorisation Act 1972 </w:t>
      </w:r>
    </w:p>
    <w:p>
      <w:pPr>
        <w:pStyle w:val="LongTitle"/>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2" w:name="_Toc407112335"/>
      <w:bookmarkStart w:id="3" w:name="_Toc27811366"/>
      <w:bookmarkStart w:id="4" w:name="_Toc34541379"/>
      <w:bookmarkStart w:id="5" w:name="_Toc267920753"/>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rPr>
          <w:snapToGrid w:val="0"/>
        </w:rPr>
      </w:pPr>
      <w:bookmarkStart w:id="6" w:name="_Toc407112336"/>
      <w:bookmarkStart w:id="7" w:name="_Toc27811367"/>
      <w:bookmarkStart w:id="8" w:name="_Toc34541380"/>
      <w:bookmarkStart w:id="9" w:name="_Toc267920754"/>
      <w:r>
        <w:rPr>
          <w:rStyle w:val="CharSectno"/>
        </w:rPr>
        <w:t>2</w:t>
      </w:r>
      <w:r>
        <w:rPr>
          <w:snapToGrid w:val="0"/>
        </w:rPr>
        <w:t>.</w:t>
      </w:r>
      <w:r>
        <w:rPr>
          <w:snapToGrid w:val="0"/>
        </w:rPr>
        <w:tab/>
        <w:t>Execution of agreement authorised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10" w:name="_Toc407112337"/>
      <w:bookmarkStart w:id="11" w:name="_Toc27811368"/>
      <w:bookmarkStart w:id="12" w:name="_Toc34541381"/>
      <w:bookmarkStart w:id="13" w:name="_Toc267920755"/>
      <w:r>
        <w:rPr>
          <w:rStyle w:val="CharSectno"/>
        </w:rPr>
        <w:t>3</w:t>
      </w:r>
      <w:r>
        <w:rPr>
          <w:snapToGrid w:val="0"/>
        </w:rPr>
        <w:t>.</w:t>
      </w:r>
      <w:r>
        <w:rPr>
          <w:snapToGrid w:val="0"/>
        </w:rPr>
        <w:tab/>
        <w:t>Executed agreement to operate and take effect</w:t>
      </w:r>
      <w:bookmarkEnd w:id="10"/>
      <w:bookmarkEnd w:id="11"/>
      <w:bookmarkEnd w:id="12"/>
      <w:bookmarkEnd w:id="13"/>
      <w:r>
        <w:rPr>
          <w:snapToGrid w:val="0"/>
        </w:rPr>
        <w:t xml:space="preserve"> </w:t>
      </w:r>
    </w:p>
    <w:p>
      <w:pPr>
        <w:pStyle w:val="Subsection"/>
        <w:keepNext/>
        <w:keepLines/>
        <w:rPr>
          <w:snapToGrid w:val="0"/>
        </w:rPr>
      </w:pPr>
      <w:r>
        <w:rPr>
          <w:snapToGrid w:val="0"/>
        </w:rPr>
        <w:tab/>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Footnotesection"/>
      </w:pPr>
      <w:r>
        <w:tab/>
        <w:t xml:space="preserve">[Section 3 amended by No. 45 of 1986 s. 5.] </w:t>
      </w:r>
    </w:p>
    <w:p>
      <w:pPr>
        <w:pStyle w:val="Heading5"/>
        <w:rPr>
          <w:snapToGrid w:val="0"/>
        </w:rPr>
      </w:pPr>
      <w:bookmarkStart w:id="14" w:name="_Toc407112338"/>
      <w:bookmarkStart w:id="15" w:name="_Toc27811369"/>
      <w:bookmarkStart w:id="16" w:name="_Toc34541382"/>
      <w:bookmarkStart w:id="17" w:name="_Toc267920756"/>
      <w:r>
        <w:rPr>
          <w:rStyle w:val="CharSectno"/>
        </w:rPr>
        <w:t>4</w:t>
      </w:r>
      <w:r>
        <w:rPr>
          <w:snapToGrid w:val="0"/>
        </w:rPr>
        <w:t>.</w:t>
      </w:r>
      <w:r>
        <w:rPr>
          <w:snapToGrid w:val="0"/>
        </w:rPr>
        <w:tab/>
        <w:t>First Variation Agreement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w:t>
      </w:r>
    </w:p>
    <w:p>
      <w:pPr>
        <w:pStyle w:val="Heading5"/>
        <w:rPr>
          <w:snapToGrid w:val="0"/>
        </w:rPr>
      </w:pPr>
      <w:bookmarkStart w:id="18" w:name="_Toc407112339"/>
      <w:bookmarkStart w:id="19" w:name="_Toc27811370"/>
      <w:bookmarkStart w:id="20" w:name="_Toc34541383"/>
      <w:bookmarkStart w:id="21" w:name="_Toc267920757"/>
      <w:r>
        <w:rPr>
          <w:rStyle w:val="CharSectno"/>
        </w:rPr>
        <w:t>5</w:t>
      </w:r>
      <w:r>
        <w:rPr>
          <w:snapToGrid w:val="0"/>
        </w:rPr>
        <w:t>.</w:t>
      </w:r>
      <w:r>
        <w:rPr>
          <w:snapToGrid w:val="0"/>
        </w:rPr>
        <w:tab/>
        <w:t>Second Variation Agreement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w:t>
      </w:r>
    </w:p>
    <w:p>
      <w:pPr>
        <w:pStyle w:val="Heading5"/>
      </w:pPr>
      <w:bookmarkStart w:id="22" w:name="_Toc27811371"/>
      <w:bookmarkStart w:id="23" w:name="_Toc34541384"/>
      <w:bookmarkStart w:id="24" w:name="_Toc267920758"/>
      <w:r>
        <w:rPr>
          <w:rStyle w:val="CharSectno"/>
        </w:rPr>
        <w:t>6</w:t>
      </w:r>
      <w:r>
        <w:t>.</w:t>
      </w:r>
      <w:r>
        <w:tab/>
        <w:t>Third Variation Agreement</w:t>
      </w:r>
      <w:bookmarkEnd w:id="22"/>
      <w:bookmarkEnd w:id="23"/>
      <w:bookmarkEnd w:id="24"/>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5" w:name="_Toc34541385"/>
      <w:bookmarkStart w:id="26" w:name="_Toc267920759"/>
      <w:r>
        <w:rPr>
          <w:rStyle w:val="CharSchNo"/>
        </w:rPr>
        <w:t>Schedule 1</w:t>
      </w:r>
      <w:bookmarkEnd w:id="25"/>
      <w:bookmarkEnd w:id="26"/>
      <w:r>
        <w:rPr>
          <w:rStyle w:val="CharSchText"/>
        </w:rPr>
        <w:t xml:space="preserve"> </w:t>
      </w:r>
    </w:p>
    <w:p>
      <w:pPr>
        <w:pStyle w:val="yFootnoteheading"/>
      </w:pPr>
      <w:r>
        <w:t>[Heading inserted by No. 45 of 1986 s. 7.]</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r>
              <w:rPr>
                <w:noProof/>
                <w:lang w:eastAsia="en-AU"/>
              </w:rPr>
              <w:drawing>
                <wp:inline distT="0" distB="0" distL="0" distR="0">
                  <wp:extent cx="1238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3825" cy="742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3825" cy="581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3825" cy="752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3825" cy="781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3825" cy="895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953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pPr>
      <w:bookmarkStart w:id="27" w:name="_Toc34541386"/>
      <w:bookmarkStart w:id="28" w:name="_Toc267920760"/>
      <w:r>
        <w:rPr>
          <w:rStyle w:val="CharSchNo"/>
        </w:rPr>
        <w:t>Schedule 2</w:t>
      </w:r>
      <w:bookmarkEnd w:id="27"/>
      <w:bookmarkEnd w:id="28"/>
      <w:r>
        <w:t xml:space="preserve"> </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382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3825" cy="742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 xml:space="preserve">[Schedule 2 inserted by No. 45 of 1986 s. 8.] </w:t>
      </w:r>
    </w:p>
    <w:p>
      <w:pPr>
        <w:pStyle w:val="yScheduleHeading"/>
      </w:pPr>
      <w:bookmarkStart w:id="29" w:name="_Toc34541387"/>
      <w:bookmarkStart w:id="30" w:name="_Toc267920761"/>
      <w:r>
        <w:rPr>
          <w:rStyle w:val="CharSchNo"/>
        </w:rPr>
        <w:t>Schedule 3</w:t>
      </w:r>
      <w:bookmarkEnd w:id="29"/>
      <w:bookmarkEnd w:id="30"/>
      <w:r>
        <w:t xml:space="preserve"> </w:t>
      </w:r>
    </w:p>
    <w:p>
      <w:pPr>
        <w:pStyle w:val="yShoulderClause"/>
        <w:rPr>
          <w:snapToGrid w:val="0"/>
        </w:rPr>
      </w:pPr>
      <w:r>
        <w:rPr>
          <w:snapToGrid w:val="0"/>
        </w:rPr>
        <w:t>[section 5]</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 xml:space="preserve">[Schedule 3 inserted by No. 29 of 1994 s. 10.] </w:t>
      </w:r>
    </w:p>
    <w:p>
      <w:pPr>
        <w:pStyle w:val="yScheduleHeading"/>
      </w:pPr>
      <w:bookmarkStart w:id="31" w:name="_Toc34541388"/>
      <w:bookmarkStart w:id="32" w:name="_Toc267920762"/>
      <w:r>
        <w:rPr>
          <w:rStyle w:val="CharSchNo"/>
        </w:rPr>
        <w:t>Schedule 4</w:t>
      </w:r>
      <w:bookmarkEnd w:id="31"/>
      <w:bookmarkEnd w:id="32"/>
      <w:r>
        <w:rPr>
          <w:rStyle w:val="CharSectno"/>
        </w:rPr>
        <w:t> </w:t>
      </w:r>
    </w:p>
    <w:p>
      <w:pPr>
        <w:pStyle w:val="yShoulderClause"/>
      </w:pPr>
      <w:r>
        <w:t>[s. 6]</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3825" cy="419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3825" cy="619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[Schedule 4 inserted by No. 57 of 2000 s. 14.]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3" w:name="_Toc267920763"/>
      <w:r>
        <w:t>Notes</w:t>
      </w:r>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4" w:name="_Toc34541389"/>
      <w:bookmarkStart w:id="35" w:name="_Toc267920764"/>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ind w:right="170"/>
              <w:rPr>
                <w:i/>
                <w:sz w:val="19"/>
              </w:rPr>
            </w:pPr>
            <w:r>
              <w:rPr>
                <w:i/>
                <w:sz w:val="19"/>
              </w:rPr>
              <w:t>Iron Ore (McCamey’s Monster) Agreement Authorisation Act 1972</w:t>
            </w:r>
          </w:p>
        </w:tc>
        <w:tc>
          <w:tcPr>
            <w:tcW w:w="1134" w:type="dxa"/>
          </w:tcPr>
          <w:p>
            <w:pPr>
              <w:pStyle w:val="nTable"/>
              <w:spacing w:before="80"/>
              <w:rPr>
                <w:sz w:val="19"/>
              </w:rPr>
            </w:pPr>
            <w:r>
              <w:rPr>
                <w:sz w:val="19"/>
              </w:rPr>
              <w:t>104 of 1972</w:t>
            </w:r>
          </w:p>
        </w:tc>
        <w:tc>
          <w:tcPr>
            <w:tcW w:w="1134" w:type="dxa"/>
          </w:tcPr>
          <w:p>
            <w:pPr>
              <w:pStyle w:val="nTable"/>
              <w:spacing w:before="80"/>
              <w:rPr>
                <w:sz w:val="19"/>
              </w:rPr>
            </w:pPr>
            <w:r>
              <w:rPr>
                <w:sz w:val="19"/>
              </w:rPr>
              <w:t>6 Dec 1972</w:t>
            </w:r>
          </w:p>
        </w:tc>
        <w:tc>
          <w:tcPr>
            <w:tcW w:w="2551" w:type="dxa"/>
          </w:tcPr>
          <w:p>
            <w:pPr>
              <w:pStyle w:val="nTable"/>
              <w:spacing w:before="80"/>
              <w:rPr>
                <w:sz w:val="19"/>
              </w:rPr>
            </w:pPr>
            <w:r>
              <w:rPr>
                <w:sz w:val="19"/>
              </w:rPr>
              <w:t>6 Dec 1972</w:t>
            </w:r>
          </w:p>
        </w:tc>
      </w:tr>
      <w:tr>
        <w:tc>
          <w:tcPr>
            <w:tcW w:w="2268" w:type="dxa"/>
          </w:tcPr>
          <w:p>
            <w:pPr>
              <w:pStyle w:val="nTable"/>
              <w:spacing w:before="80"/>
              <w:ind w:right="170"/>
              <w:rPr>
                <w:i/>
                <w:sz w:val="19"/>
              </w:rPr>
            </w:pPr>
            <w:r>
              <w:rPr>
                <w:i/>
                <w:sz w:val="19"/>
              </w:rPr>
              <w:t>Iron Ore (McCamey’s Monster) Agreement Authorisation Amendment Act 1986</w:t>
            </w:r>
          </w:p>
        </w:tc>
        <w:tc>
          <w:tcPr>
            <w:tcW w:w="1134" w:type="dxa"/>
          </w:tcPr>
          <w:p>
            <w:pPr>
              <w:pStyle w:val="nTable"/>
              <w:spacing w:before="80"/>
              <w:rPr>
                <w:sz w:val="19"/>
              </w:rPr>
            </w:pPr>
            <w:r>
              <w:rPr>
                <w:sz w:val="19"/>
              </w:rPr>
              <w:t>45 of 1986</w:t>
            </w:r>
          </w:p>
        </w:tc>
        <w:tc>
          <w:tcPr>
            <w:tcW w:w="1134" w:type="dxa"/>
          </w:tcPr>
          <w:p>
            <w:pPr>
              <w:pStyle w:val="nTable"/>
              <w:spacing w:before="80"/>
              <w:rPr>
                <w:sz w:val="19"/>
              </w:rPr>
            </w:pPr>
            <w:r>
              <w:rPr>
                <w:sz w:val="19"/>
              </w:rPr>
              <w:t>1 Aug 1986</w:t>
            </w:r>
          </w:p>
        </w:tc>
        <w:tc>
          <w:tcPr>
            <w:tcW w:w="2551" w:type="dxa"/>
          </w:tcPr>
          <w:p>
            <w:pPr>
              <w:pStyle w:val="nTable"/>
              <w:spacing w:before="80"/>
              <w:rPr>
                <w:sz w:val="19"/>
              </w:rPr>
            </w:pPr>
            <w:r>
              <w:rPr>
                <w:sz w:val="19"/>
              </w:rPr>
              <w:t>1 Aug 1986 (see s. 2)</w:t>
            </w:r>
          </w:p>
        </w:tc>
      </w:tr>
      <w:tr>
        <w:tc>
          <w:tcPr>
            <w:tcW w:w="2268" w:type="dxa"/>
          </w:tcPr>
          <w:p>
            <w:pPr>
              <w:pStyle w:val="nTable"/>
              <w:spacing w:before="80"/>
              <w:ind w:right="170"/>
              <w:rPr>
                <w:i/>
                <w:sz w:val="19"/>
              </w:rPr>
            </w:pPr>
            <w:r>
              <w:rPr>
                <w:i/>
                <w:sz w:val="19"/>
              </w:rPr>
              <w:t xml:space="preserve">Acts Amendment (Mount Goldsworthy, McCamey’s Monster and Marillana Creek Iron Ore Agreements) Act 1994 </w:t>
            </w:r>
            <w:r>
              <w:rPr>
                <w:sz w:val="19"/>
              </w:rPr>
              <w:t>Pt. 3</w:t>
            </w:r>
          </w:p>
        </w:tc>
        <w:tc>
          <w:tcPr>
            <w:tcW w:w="1134" w:type="dxa"/>
          </w:tcPr>
          <w:p>
            <w:pPr>
              <w:pStyle w:val="nTable"/>
              <w:spacing w:before="80"/>
              <w:rPr>
                <w:sz w:val="19"/>
              </w:rPr>
            </w:pPr>
            <w:r>
              <w:rPr>
                <w:sz w:val="19"/>
              </w:rPr>
              <w:t>29 of 1994</w:t>
            </w:r>
          </w:p>
        </w:tc>
        <w:tc>
          <w:tcPr>
            <w:tcW w:w="1134" w:type="dxa"/>
          </w:tcPr>
          <w:p>
            <w:pPr>
              <w:pStyle w:val="nTable"/>
              <w:spacing w:before="80"/>
              <w:rPr>
                <w:sz w:val="19"/>
              </w:rPr>
            </w:pPr>
            <w:r>
              <w:rPr>
                <w:sz w:val="19"/>
              </w:rPr>
              <w:t>8 Jul 1994</w:t>
            </w:r>
          </w:p>
        </w:tc>
        <w:tc>
          <w:tcPr>
            <w:tcW w:w="2551" w:type="dxa"/>
          </w:tcPr>
          <w:p>
            <w:pPr>
              <w:pStyle w:val="nTable"/>
              <w:spacing w:before="80"/>
              <w:rPr>
                <w:sz w:val="19"/>
              </w:rPr>
            </w:pPr>
            <w:r>
              <w:rPr>
                <w:sz w:val="19"/>
              </w:rPr>
              <w:t>8 Jul 1994 (see s. 2)</w:t>
            </w:r>
          </w:p>
        </w:tc>
      </w:tr>
      <w:tr>
        <w:tc>
          <w:tcPr>
            <w:tcW w:w="2268" w:type="dxa"/>
          </w:tcPr>
          <w:p>
            <w:pPr>
              <w:pStyle w:val="nTable"/>
              <w:spacing w:before="80"/>
              <w:ind w:right="170"/>
              <w:rPr>
                <w:i/>
                <w:sz w:val="19"/>
              </w:rPr>
            </w:pPr>
            <w:r>
              <w:rPr>
                <w:i/>
                <w:sz w:val="19"/>
              </w:rPr>
              <w:t xml:space="preserve">Acts Amendment (Iron Ore Agreements) Act 2000 </w:t>
            </w:r>
            <w:r>
              <w:rPr>
                <w:sz w:val="19"/>
              </w:rPr>
              <w:t>Pt. 4</w:t>
            </w:r>
          </w:p>
        </w:tc>
        <w:tc>
          <w:tcPr>
            <w:tcW w:w="1134" w:type="dxa"/>
          </w:tcPr>
          <w:p>
            <w:pPr>
              <w:pStyle w:val="nTable"/>
              <w:spacing w:before="80"/>
              <w:rPr>
                <w:sz w:val="19"/>
              </w:rPr>
            </w:pPr>
            <w:r>
              <w:rPr>
                <w:sz w:val="19"/>
              </w:rPr>
              <w:t>57 of 2000</w:t>
            </w:r>
          </w:p>
        </w:tc>
        <w:tc>
          <w:tcPr>
            <w:tcW w:w="1134" w:type="dxa"/>
          </w:tcPr>
          <w:p>
            <w:pPr>
              <w:pStyle w:val="nTable"/>
              <w:spacing w:before="80"/>
              <w:rPr>
                <w:sz w:val="19"/>
              </w:rPr>
            </w:pPr>
            <w:r>
              <w:rPr>
                <w:sz w:val="19"/>
              </w:rPr>
              <w:t>7 Dec 2000</w:t>
            </w:r>
          </w:p>
        </w:tc>
        <w:tc>
          <w:tcPr>
            <w:tcW w:w="2551" w:type="dxa"/>
          </w:tcPr>
          <w:p>
            <w:pPr>
              <w:pStyle w:val="nTable"/>
              <w:spacing w:before="80"/>
              <w:rPr>
                <w:sz w:val="19"/>
              </w:rPr>
            </w:pPr>
            <w:r>
              <w:rPr>
                <w:sz w:val="19"/>
              </w:rPr>
              <w:t>7 Dec 2000 (see s. 2)</w:t>
            </w:r>
          </w:p>
        </w:tc>
      </w:tr>
      <w:tr>
        <w:trPr>
          <w:cantSplit/>
        </w:trPr>
        <w:tc>
          <w:tcPr>
            <w:tcW w:w="7087" w:type="dxa"/>
            <w:gridSpan w:val="4"/>
            <w:tcBorders>
              <w:bottom w:val="single" w:sz="4" w:space="0" w:color="auto"/>
            </w:tcBorders>
          </w:tcPr>
          <w:p>
            <w:pPr>
              <w:pStyle w:val="nTable"/>
              <w:spacing w:before="8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 w:name="_Toc7405065"/>
      <w:r>
        <w:t>Provisions that have not come into operation</w:t>
      </w:r>
      <w:bookmarkEnd w:id="3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snapToGrid w:val="0"/>
        </w:rPr>
      </w:pPr>
      <w:r>
        <w:rPr>
          <w:snapToGrid w:val="0"/>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7" w:name="_Toc233107675"/>
      <w:bookmarkStart w:id="38" w:name="_Toc255473698"/>
      <w:bookmarkStart w:id="39" w:name="_Toc265583753"/>
      <w:r>
        <w:rPr>
          <w:rStyle w:val="CharSectno"/>
          <w:rFonts w:eastAsia="MS Mincho"/>
        </w:rPr>
        <w:t>4</w:t>
      </w:r>
      <w:r>
        <w:rPr>
          <w:rFonts w:eastAsia="MS Mincho"/>
        </w:rPr>
        <w:t>.</w:t>
      </w:r>
      <w:r>
        <w:rPr>
          <w:rFonts w:eastAsia="MS Mincho"/>
        </w:rPr>
        <w:tab/>
        <w:t>Schedule headings reformatted</w:t>
      </w:r>
      <w:bookmarkEnd w:id="37"/>
      <w:bookmarkEnd w:id="38"/>
      <w:bookmarkEnd w:id="3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(McCamey’s Monster) Agreement Authorisation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Iron Ore (McCamey’s Monster)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w:t>
            </w:r>
            <w:r>
              <w:rPr>
                <w:sz w:val="18"/>
              </w:rPr>
              <w:t>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Third </w:t>
            </w:r>
            <w:r>
              <w:rPr>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xcviii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(McCamey’s Monster) Agreement Authorisation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32618</Words>
  <Characters>161462</Characters>
  <Application>Microsoft Office Word</Application>
  <DocSecurity>0</DocSecurity>
  <Lines>3588</Lines>
  <Paragraphs>1244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192836</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1972 - 01-b0-01</dc:title>
  <dc:subject/>
  <dc:creator/>
  <cp:keywords/>
  <dc:description/>
  <cp:lastModifiedBy>svcMRProcess</cp:lastModifiedBy>
  <cp:revision>4</cp:revision>
  <cp:lastPrinted>2003-04-16T00:39:00Z</cp:lastPrinted>
  <dcterms:created xsi:type="dcterms:W3CDTF">2020-02-16T22:52:00Z</dcterms:created>
  <dcterms:modified xsi:type="dcterms:W3CDTF">2020-02-16T22:52:00Z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