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248"/>
        <w:outlineLvl w:val="0"/>
      </w:pPr>
      <w:r>
        <w:rPr>
          <w:sz w:val="48"/>
        </w:rPr>
        <w:fldChar w:fldCharType="begin"/>
      </w:r>
      <w:r>
        <w:rPr>
          <w:sz w:val="48"/>
        </w:rPr>
        <w:instrText xml:space="preserve"> STYLEREF "Name Of Act/Reg"</w:instrText>
      </w:r>
      <w:r>
        <w:rPr>
          <w:sz w:val="48"/>
        </w:rPr>
        <w:fldChar w:fldCharType="separate"/>
      </w:r>
      <w:r>
        <w:rPr>
          <w:noProof/>
          <w:sz w:val="48"/>
        </w:rPr>
        <w:t>Home Building Contracts Act 1991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_Toc211745911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_Toc211745912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_Toc211745913 \h </w:instrText>
      </w:r>
      <w:r>
        <w:fldChar w:fldCharType="separate"/>
      </w:r>
      <w:r>
        <w:t>2</w:t>
      </w:r>
      <w:r>
        <w:fldChar w:fldCharType="end"/>
      </w:r>
    </w:p>
    <w:p>
      <w:pPr>
        <w:pStyle w:val="TOC2"/>
        <w:tabs>
          <w:tab w:val="right" w:leader="dot" w:pos="7086"/>
        </w:tabs>
        <w:rPr>
          <w:b w:val="0"/>
          <w:sz w:val="24"/>
          <w:szCs w:val="24"/>
        </w:rPr>
      </w:pPr>
      <w:r>
        <w:rPr>
          <w:szCs w:val="30"/>
        </w:rPr>
        <w:t>Part 2 — Home building work contracts</w:t>
      </w:r>
    </w:p>
    <w:p>
      <w:pPr>
        <w:pStyle w:val="TOC8"/>
        <w:rPr>
          <w:sz w:val="24"/>
          <w:szCs w:val="24"/>
        </w:rPr>
      </w:pPr>
      <w:r>
        <w:rPr>
          <w:szCs w:val="24"/>
        </w:rPr>
        <w:t>4</w:t>
      </w:r>
      <w:r>
        <w:rPr>
          <w:snapToGrid w:val="0"/>
          <w:szCs w:val="24"/>
        </w:rPr>
        <w:t>.</w:t>
      </w:r>
      <w:r>
        <w:rPr>
          <w:snapToGrid w:val="0"/>
          <w:szCs w:val="24"/>
        </w:rPr>
        <w:tab/>
        <w:t>Contracts to be in writing and statutory notice to be given</w:t>
      </w:r>
      <w:r>
        <w:tab/>
      </w:r>
      <w:r>
        <w:fldChar w:fldCharType="begin"/>
      </w:r>
      <w:r>
        <w:instrText xml:space="preserve"> PAGEREF _Toc211745915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Owner to be given copy of contract</w:t>
      </w:r>
      <w:r>
        <w:tab/>
      </w:r>
      <w:r>
        <w:fldChar w:fldCharType="begin"/>
      </w:r>
      <w:r>
        <w:instrText xml:space="preserve"> PAGEREF _Toc211745916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Proof of receipt of documents</w:t>
      </w:r>
      <w:r>
        <w:tab/>
      </w:r>
      <w:r>
        <w:fldChar w:fldCharType="begin"/>
      </w:r>
      <w:r>
        <w:instrText xml:space="preserve"> PAGEREF _Toc211745917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Variation of contract</w:t>
      </w:r>
      <w:r>
        <w:tab/>
      </w:r>
      <w:r>
        <w:fldChar w:fldCharType="begin"/>
      </w:r>
      <w:r>
        <w:instrText xml:space="preserve"> PAGEREF _Toc211745918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Exceptions to section 7 and related provisions</w:t>
      </w:r>
      <w:r>
        <w:tab/>
      </w:r>
      <w:r>
        <w:fldChar w:fldCharType="begin"/>
      </w:r>
      <w:r>
        <w:instrText xml:space="preserve"> PAGEREF _Toc211745919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Implied conditions as to necessary approvals</w:t>
      </w:r>
      <w:r>
        <w:tab/>
      </w:r>
      <w:r>
        <w:fldChar w:fldCharType="begin"/>
      </w:r>
      <w:r>
        <w:instrText xml:space="preserve"> PAGEREF _Toc211745920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Deposits and progress payments</w:t>
      </w:r>
      <w:r>
        <w:tab/>
      </w:r>
      <w:r>
        <w:fldChar w:fldCharType="begin"/>
      </w:r>
      <w:r>
        <w:instrText xml:space="preserve"> PAGEREF _Toc211745921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Minimum defects liability period</w:t>
      </w:r>
      <w:r>
        <w:tab/>
      </w:r>
      <w:r>
        <w:fldChar w:fldCharType="begin"/>
      </w:r>
      <w:r>
        <w:instrText xml:space="preserve"> PAGEREF _Toc211745922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Understatement of prime cost items etc.</w:t>
      </w:r>
      <w:r>
        <w:tab/>
      </w:r>
      <w:r>
        <w:fldChar w:fldCharType="begin"/>
      </w:r>
      <w:r>
        <w:instrText xml:space="preserve"> PAGEREF _Toc211745923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Rise</w:t>
      </w:r>
      <w:r>
        <w:rPr>
          <w:snapToGrid w:val="0"/>
          <w:szCs w:val="24"/>
        </w:rPr>
        <w:noBreakHyphen/>
        <w:t>and</w:t>
      </w:r>
      <w:r>
        <w:rPr>
          <w:snapToGrid w:val="0"/>
          <w:szCs w:val="24"/>
        </w:rPr>
        <w:noBreakHyphen/>
        <w:t>fall clause prohibited</w:t>
      </w:r>
      <w:r>
        <w:tab/>
      </w:r>
      <w:r>
        <w:fldChar w:fldCharType="begin"/>
      </w:r>
      <w:r>
        <w:instrText xml:space="preserve"> PAGEREF _Toc211745924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Cost plus contracts</w:t>
      </w:r>
      <w:r>
        <w:tab/>
      </w:r>
      <w:r>
        <w:fldChar w:fldCharType="begin"/>
      </w:r>
      <w:r>
        <w:instrText xml:space="preserve"> PAGEREF _Toc211745925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Conduct or terms of contract that are unconscionable etc.</w:t>
      </w:r>
      <w:r>
        <w:tab/>
      </w:r>
      <w:r>
        <w:fldChar w:fldCharType="begin"/>
      </w:r>
      <w:r>
        <w:instrText xml:space="preserve"> PAGEREF _Toc211745926 \h </w:instrText>
      </w:r>
      <w:r>
        <w:fldChar w:fldCharType="separate"/>
      </w:r>
      <w:r>
        <w:t>14</w:t>
      </w:r>
      <w:r>
        <w:fldChar w:fldCharType="end"/>
      </w:r>
    </w:p>
    <w:p>
      <w:pPr>
        <w:pStyle w:val="TOC8"/>
        <w:rPr>
          <w:sz w:val="24"/>
          <w:szCs w:val="24"/>
        </w:rPr>
      </w:pPr>
      <w:r>
        <w:rPr>
          <w:szCs w:val="24"/>
        </w:rPr>
        <w:t>15A.</w:t>
      </w:r>
      <w:r>
        <w:rPr>
          <w:szCs w:val="24"/>
        </w:rPr>
        <w:tab/>
        <w:t>Misleading or deceptive conduct</w:t>
      </w:r>
      <w:r>
        <w:tab/>
      </w:r>
      <w:r>
        <w:fldChar w:fldCharType="begin"/>
      </w:r>
      <w:r>
        <w:instrText xml:space="preserve"> PAGEREF _Toc211745927 \h </w:instrText>
      </w:r>
      <w:r>
        <w:fldChar w:fldCharType="separate"/>
      </w:r>
      <w:r>
        <w:t>16</w:t>
      </w:r>
      <w:r>
        <w:fldChar w:fldCharType="end"/>
      </w:r>
    </w:p>
    <w:p>
      <w:pPr>
        <w:pStyle w:val="TOC2"/>
        <w:tabs>
          <w:tab w:val="right" w:leader="dot" w:pos="7086"/>
        </w:tabs>
        <w:rPr>
          <w:b w:val="0"/>
          <w:sz w:val="24"/>
          <w:szCs w:val="24"/>
        </w:rPr>
      </w:pPr>
      <w:r>
        <w:rPr>
          <w:szCs w:val="30"/>
        </w:rPr>
        <w:t>Part 3 — Remedies</w:t>
      </w:r>
    </w:p>
    <w:p>
      <w:pPr>
        <w:pStyle w:val="TOC8"/>
        <w:rPr>
          <w:sz w:val="24"/>
          <w:szCs w:val="24"/>
        </w:rPr>
      </w:pPr>
      <w:r>
        <w:rPr>
          <w:szCs w:val="24"/>
        </w:rPr>
        <w:t>16</w:t>
      </w:r>
      <w:r>
        <w:rPr>
          <w:snapToGrid w:val="0"/>
          <w:szCs w:val="24"/>
        </w:rPr>
        <w:t>.</w:t>
      </w:r>
      <w:r>
        <w:rPr>
          <w:snapToGrid w:val="0"/>
          <w:szCs w:val="24"/>
        </w:rPr>
        <w:tab/>
        <w:t>Disputes Tribunal’s jurisdiction limited</w:t>
      </w:r>
      <w:r>
        <w:tab/>
      </w:r>
      <w:r>
        <w:fldChar w:fldCharType="begin"/>
      </w:r>
      <w:r>
        <w:instrText xml:space="preserve"> PAGEREF _Toc211745929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Applications for relief, and orders</w:t>
      </w:r>
      <w:r>
        <w:tab/>
      </w:r>
      <w:r>
        <w:fldChar w:fldCharType="begin"/>
      </w:r>
      <w:r>
        <w:instrText xml:space="preserve"> PAGEREF _Toc211745930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Orders for payment while case pending</w:t>
      </w:r>
      <w:r>
        <w:tab/>
      </w:r>
      <w:r>
        <w:fldChar w:fldCharType="begin"/>
      </w:r>
      <w:r>
        <w:instrText xml:space="preserve"> PAGEREF _Toc211745931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How contract terminated</w:t>
      </w:r>
      <w:r>
        <w:tab/>
      </w:r>
      <w:r>
        <w:fldChar w:fldCharType="begin"/>
      </w:r>
      <w:r>
        <w:instrText xml:space="preserve"> PAGEREF _Toc211745932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Adjustment of rights in certain cases</w:t>
      </w:r>
      <w:r>
        <w:tab/>
      </w:r>
      <w:r>
        <w:fldChar w:fldCharType="begin"/>
      </w:r>
      <w:r>
        <w:instrText xml:space="preserve"> PAGEREF _Toc211745933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Remedy for breach of section 15</w:t>
      </w:r>
      <w:r>
        <w:tab/>
      </w:r>
      <w:r>
        <w:fldChar w:fldCharType="begin"/>
      </w:r>
      <w:r>
        <w:instrText xml:space="preserve"> PAGEREF _Toc211745934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Avoidance of concurrent proceedings</w:t>
      </w:r>
      <w:r>
        <w:tab/>
      </w:r>
      <w:r>
        <w:fldChar w:fldCharType="begin"/>
      </w:r>
      <w:r>
        <w:instrText xml:space="preserve"> PAGEREF _Toc211745935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proceedings</w:t>
      </w:r>
      <w:r>
        <w:tab/>
      </w:r>
      <w:r>
        <w:fldChar w:fldCharType="begin"/>
      </w:r>
      <w:r>
        <w:instrText xml:space="preserve"> PAGEREF _Toc211745936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Settlement</w:t>
      </w:r>
      <w:r>
        <w:tab/>
      </w:r>
      <w:r>
        <w:fldChar w:fldCharType="begin"/>
      </w:r>
      <w:r>
        <w:instrText xml:space="preserve"> PAGEREF _Toc211745937 \h </w:instrText>
      </w:r>
      <w:r>
        <w:fldChar w:fldCharType="separate"/>
      </w:r>
      <w:r>
        <w:t>23</w:t>
      </w:r>
      <w:r>
        <w:fldChar w:fldCharType="end"/>
      </w:r>
    </w:p>
    <w:p>
      <w:pPr>
        <w:pStyle w:val="TOC2"/>
        <w:tabs>
          <w:tab w:val="right" w:leader="dot" w:pos="7086"/>
        </w:tabs>
        <w:rPr>
          <w:b w:val="0"/>
          <w:sz w:val="24"/>
          <w:szCs w:val="24"/>
        </w:rPr>
      </w:pPr>
      <w:r>
        <w:rPr>
          <w:szCs w:val="30"/>
        </w:rPr>
        <w:t>Part 3A — Home indemnity insurance and corresponding cover</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25A</w:t>
      </w:r>
      <w:r>
        <w:rPr>
          <w:snapToGrid w:val="0"/>
          <w:szCs w:val="24"/>
        </w:rPr>
        <w:t xml:space="preserve">. </w:t>
      </w:r>
      <w:r>
        <w:rPr>
          <w:snapToGrid w:val="0"/>
          <w:szCs w:val="24"/>
        </w:rPr>
        <w:tab/>
        <w:t>Interpretation</w:t>
      </w:r>
      <w:r>
        <w:tab/>
      </w:r>
      <w:r>
        <w:fldChar w:fldCharType="begin"/>
      </w:r>
      <w:r>
        <w:instrText xml:space="preserve"> PAGEREF _Toc211745940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Builders</w:t>
      </w:r>
    </w:p>
    <w:p>
      <w:pPr>
        <w:pStyle w:val="TOC8"/>
        <w:rPr>
          <w:sz w:val="24"/>
          <w:szCs w:val="24"/>
        </w:rPr>
      </w:pPr>
      <w:r>
        <w:rPr>
          <w:szCs w:val="24"/>
        </w:rPr>
        <w:t>25B</w:t>
      </w:r>
      <w:r>
        <w:rPr>
          <w:snapToGrid w:val="0"/>
          <w:szCs w:val="24"/>
        </w:rPr>
        <w:t xml:space="preserve">. </w:t>
      </w:r>
      <w:r>
        <w:rPr>
          <w:snapToGrid w:val="0"/>
          <w:szCs w:val="24"/>
        </w:rPr>
        <w:tab/>
        <w:t>Application of this Division</w:t>
      </w:r>
      <w:r>
        <w:tab/>
      </w:r>
      <w:r>
        <w:fldChar w:fldCharType="begin"/>
      </w:r>
      <w:r>
        <w:instrText xml:space="preserve"> PAGEREF _Toc211745942 \h </w:instrText>
      </w:r>
      <w:r>
        <w:fldChar w:fldCharType="separate"/>
      </w:r>
      <w:r>
        <w:t>27</w:t>
      </w:r>
      <w:r>
        <w:fldChar w:fldCharType="end"/>
      </w:r>
    </w:p>
    <w:p>
      <w:pPr>
        <w:pStyle w:val="TOC8"/>
        <w:rPr>
          <w:sz w:val="24"/>
          <w:szCs w:val="24"/>
        </w:rPr>
      </w:pPr>
      <w:r>
        <w:rPr>
          <w:szCs w:val="24"/>
        </w:rPr>
        <w:t>25C</w:t>
      </w:r>
      <w:r>
        <w:rPr>
          <w:snapToGrid w:val="0"/>
          <w:szCs w:val="24"/>
        </w:rPr>
        <w:t xml:space="preserve">. </w:t>
      </w:r>
      <w:r>
        <w:rPr>
          <w:snapToGrid w:val="0"/>
          <w:szCs w:val="24"/>
        </w:rPr>
        <w:tab/>
        <w:t>Offence if no insurance or no corresponding cover</w:t>
      </w:r>
      <w:r>
        <w:tab/>
      </w:r>
      <w:r>
        <w:fldChar w:fldCharType="begin"/>
      </w:r>
      <w:r>
        <w:instrText xml:space="preserve"> PAGEREF _Toc211745943 \h </w:instrText>
      </w:r>
      <w:r>
        <w:fldChar w:fldCharType="separate"/>
      </w:r>
      <w:r>
        <w:t>28</w:t>
      </w:r>
      <w:r>
        <w:fldChar w:fldCharType="end"/>
      </w:r>
    </w:p>
    <w:p>
      <w:pPr>
        <w:pStyle w:val="TOC8"/>
        <w:rPr>
          <w:sz w:val="24"/>
          <w:szCs w:val="24"/>
        </w:rPr>
      </w:pPr>
      <w:r>
        <w:rPr>
          <w:szCs w:val="24"/>
        </w:rPr>
        <w:t>25D</w:t>
      </w:r>
      <w:r>
        <w:rPr>
          <w:snapToGrid w:val="0"/>
          <w:szCs w:val="24"/>
        </w:rPr>
        <w:t xml:space="preserve">. </w:t>
      </w:r>
      <w:r>
        <w:rPr>
          <w:snapToGrid w:val="0"/>
          <w:szCs w:val="24"/>
        </w:rPr>
        <w:tab/>
        <w:t>Requirements of insurance policy</w:t>
      </w:r>
      <w:r>
        <w:tab/>
      </w:r>
      <w:r>
        <w:fldChar w:fldCharType="begin"/>
      </w:r>
      <w:r>
        <w:instrText xml:space="preserve"> PAGEREF _Toc211745944 \h </w:instrText>
      </w:r>
      <w:r>
        <w:fldChar w:fldCharType="separate"/>
      </w:r>
      <w:r>
        <w:t>29</w:t>
      </w:r>
      <w:r>
        <w:fldChar w:fldCharType="end"/>
      </w:r>
    </w:p>
    <w:p>
      <w:pPr>
        <w:pStyle w:val="TOC8"/>
        <w:rPr>
          <w:sz w:val="24"/>
          <w:szCs w:val="24"/>
        </w:rPr>
      </w:pPr>
      <w:r>
        <w:rPr>
          <w:szCs w:val="24"/>
        </w:rPr>
        <w:t>25DA.</w:t>
      </w:r>
      <w:r>
        <w:rPr>
          <w:szCs w:val="24"/>
        </w:rPr>
        <w:tab/>
        <w:t>Corresponding cover by an approved fund — builders</w:t>
      </w:r>
      <w:r>
        <w:tab/>
      </w:r>
      <w:r>
        <w:fldChar w:fldCharType="begin"/>
      </w:r>
      <w:r>
        <w:instrText xml:space="preserve"> PAGEREF _Toc211745945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Owner</w:t>
      </w:r>
      <w:r>
        <w:rPr>
          <w:szCs w:val="26"/>
        </w:rPr>
        <w:noBreakHyphen/>
        <w:t>builders</w:t>
      </w:r>
    </w:p>
    <w:p>
      <w:pPr>
        <w:pStyle w:val="TOC8"/>
        <w:rPr>
          <w:sz w:val="24"/>
          <w:szCs w:val="24"/>
        </w:rPr>
      </w:pPr>
      <w:r>
        <w:rPr>
          <w:szCs w:val="24"/>
        </w:rPr>
        <w:t>25E</w:t>
      </w:r>
      <w:r>
        <w:rPr>
          <w:snapToGrid w:val="0"/>
          <w:szCs w:val="24"/>
        </w:rPr>
        <w:t xml:space="preserve">. </w:t>
      </w:r>
      <w:r>
        <w:rPr>
          <w:snapToGrid w:val="0"/>
          <w:szCs w:val="24"/>
        </w:rPr>
        <w:tab/>
        <w:t>Application of this Division</w:t>
      </w:r>
      <w:r>
        <w:tab/>
      </w:r>
      <w:r>
        <w:fldChar w:fldCharType="begin"/>
      </w:r>
      <w:r>
        <w:instrText xml:space="preserve"> PAGEREF _Toc211745947 \h </w:instrText>
      </w:r>
      <w:r>
        <w:fldChar w:fldCharType="separate"/>
      </w:r>
      <w:r>
        <w:t>32</w:t>
      </w:r>
      <w:r>
        <w:fldChar w:fldCharType="end"/>
      </w:r>
    </w:p>
    <w:p>
      <w:pPr>
        <w:pStyle w:val="TOC8"/>
        <w:rPr>
          <w:sz w:val="24"/>
          <w:szCs w:val="24"/>
        </w:rPr>
      </w:pPr>
      <w:r>
        <w:rPr>
          <w:szCs w:val="24"/>
        </w:rPr>
        <w:t>25F.</w:t>
      </w:r>
      <w:r>
        <w:rPr>
          <w:szCs w:val="24"/>
        </w:rPr>
        <w:tab/>
        <w:t>Restriction on sale by owner</w:t>
      </w:r>
      <w:r>
        <w:rPr>
          <w:szCs w:val="24"/>
        </w:rPr>
        <w:noBreakHyphen/>
        <w:t>builder</w:t>
      </w:r>
      <w:r>
        <w:tab/>
      </w:r>
      <w:r>
        <w:fldChar w:fldCharType="begin"/>
      </w:r>
      <w:r>
        <w:instrText xml:space="preserve"> PAGEREF _Toc211745948 \h </w:instrText>
      </w:r>
      <w:r>
        <w:fldChar w:fldCharType="separate"/>
      </w:r>
      <w:r>
        <w:t>32</w:t>
      </w:r>
      <w:r>
        <w:fldChar w:fldCharType="end"/>
      </w:r>
    </w:p>
    <w:p>
      <w:pPr>
        <w:pStyle w:val="TOC8"/>
        <w:rPr>
          <w:sz w:val="24"/>
          <w:szCs w:val="24"/>
        </w:rPr>
      </w:pPr>
      <w:r>
        <w:rPr>
          <w:szCs w:val="24"/>
        </w:rPr>
        <w:t>25FA.</w:t>
      </w:r>
      <w:r>
        <w:rPr>
          <w:szCs w:val="24"/>
        </w:rPr>
        <w:tab/>
        <w:t>Further restrictions on sale by certain owner-builders</w:t>
      </w:r>
      <w:r>
        <w:tab/>
      </w:r>
      <w:r>
        <w:fldChar w:fldCharType="begin"/>
      </w:r>
      <w:r>
        <w:instrText xml:space="preserve"> PAGEREF _Toc211745949 \h </w:instrText>
      </w:r>
      <w:r>
        <w:fldChar w:fldCharType="separate"/>
      </w:r>
      <w:r>
        <w:t>33</w:t>
      </w:r>
      <w:r>
        <w:fldChar w:fldCharType="end"/>
      </w:r>
    </w:p>
    <w:p>
      <w:pPr>
        <w:pStyle w:val="TOC8"/>
        <w:rPr>
          <w:sz w:val="24"/>
          <w:szCs w:val="24"/>
        </w:rPr>
      </w:pPr>
      <w:r>
        <w:rPr>
          <w:szCs w:val="24"/>
        </w:rPr>
        <w:t>25G</w:t>
      </w:r>
      <w:r>
        <w:rPr>
          <w:snapToGrid w:val="0"/>
          <w:szCs w:val="24"/>
        </w:rPr>
        <w:t xml:space="preserve">. </w:t>
      </w:r>
      <w:r>
        <w:rPr>
          <w:snapToGrid w:val="0"/>
          <w:szCs w:val="24"/>
        </w:rPr>
        <w:tab/>
        <w:t>Requirements of insurance policy</w:t>
      </w:r>
      <w:r>
        <w:tab/>
      </w:r>
      <w:r>
        <w:fldChar w:fldCharType="begin"/>
      </w:r>
      <w:r>
        <w:instrText xml:space="preserve"> PAGEREF _Toc211745950 \h </w:instrText>
      </w:r>
      <w:r>
        <w:fldChar w:fldCharType="separate"/>
      </w:r>
      <w:r>
        <w:t>33</w:t>
      </w:r>
      <w:r>
        <w:fldChar w:fldCharType="end"/>
      </w:r>
    </w:p>
    <w:p>
      <w:pPr>
        <w:pStyle w:val="TOC8"/>
        <w:rPr>
          <w:sz w:val="24"/>
          <w:szCs w:val="24"/>
        </w:rPr>
      </w:pPr>
      <w:r>
        <w:rPr>
          <w:szCs w:val="24"/>
        </w:rPr>
        <w:t>25GA.</w:t>
      </w:r>
      <w:r>
        <w:rPr>
          <w:szCs w:val="24"/>
        </w:rPr>
        <w:tab/>
        <w:t>Corresponding cover by an approved fund — owner</w:t>
      </w:r>
      <w:r>
        <w:rPr>
          <w:szCs w:val="24"/>
        </w:rPr>
        <w:noBreakHyphen/>
        <w:t>builders</w:t>
      </w:r>
      <w:r>
        <w:tab/>
      </w:r>
      <w:r>
        <w:fldChar w:fldCharType="begin"/>
      </w:r>
      <w:r>
        <w:instrText xml:space="preserve"> PAGEREF _Toc211745951 \h </w:instrText>
      </w:r>
      <w:r>
        <w:fldChar w:fldCharType="separate"/>
      </w:r>
      <w:r>
        <w:t>35</w:t>
      </w:r>
      <w:r>
        <w:fldChar w:fldCharType="end"/>
      </w:r>
    </w:p>
    <w:p>
      <w:pPr>
        <w:pStyle w:val="TOC4"/>
        <w:tabs>
          <w:tab w:val="right" w:leader="dot" w:pos="7086"/>
        </w:tabs>
        <w:rPr>
          <w:b w:val="0"/>
          <w:sz w:val="24"/>
          <w:szCs w:val="24"/>
        </w:rPr>
      </w:pPr>
      <w:r>
        <w:rPr>
          <w:szCs w:val="26"/>
        </w:rPr>
        <w:t>Division 3A — Approved funds</w:t>
      </w:r>
    </w:p>
    <w:p>
      <w:pPr>
        <w:pStyle w:val="TOC8"/>
        <w:rPr>
          <w:sz w:val="24"/>
          <w:szCs w:val="24"/>
        </w:rPr>
      </w:pPr>
      <w:r>
        <w:rPr>
          <w:szCs w:val="24"/>
        </w:rPr>
        <w:t>25GB.</w:t>
      </w:r>
      <w:r>
        <w:rPr>
          <w:szCs w:val="24"/>
        </w:rPr>
        <w:tab/>
        <w:t>Minister’s approval of a fund</w:t>
      </w:r>
      <w:r>
        <w:tab/>
      </w:r>
      <w:r>
        <w:fldChar w:fldCharType="begin"/>
      </w:r>
      <w:r>
        <w:instrText xml:space="preserve"> PAGEREF _Toc211745953 \h </w:instrText>
      </w:r>
      <w:r>
        <w:fldChar w:fldCharType="separate"/>
      </w:r>
      <w:r>
        <w:t>35</w:t>
      </w:r>
      <w:r>
        <w:fldChar w:fldCharType="end"/>
      </w:r>
    </w:p>
    <w:p>
      <w:pPr>
        <w:pStyle w:val="TOC8"/>
        <w:rPr>
          <w:sz w:val="24"/>
          <w:szCs w:val="24"/>
        </w:rPr>
      </w:pPr>
      <w:r>
        <w:rPr>
          <w:szCs w:val="24"/>
        </w:rPr>
        <w:t>25GC.</w:t>
      </w:r>
      <w:r>
        <w:rPr>
          <w:szCs w:val="24"/>
        </w:rPr>
        <w:tab/>
        <w:t>Minister’s consent to changes to an approved fund</w:t>
      </w:r>
      <w:r>
        <w:tab/>
      </w:r>
      <w:r>
        <w:fldChar w:fldCharType="begin"/>
      </w:r>
      <w:r>
        <w:instrText xml:space="preserve"> PAGEREF _Toc211745954 \h </w:instrText>
      </w:r>
      <w:r>
        <w:fldChar w:fldCharType="separate"/>
      </w:r>
      <w:r>
        <w:t>36</w:t>
      </w:r>
      <w:r>
        <w:fldChar w:fldCharType="end"/>
      </w:r>
    </w:p>
    <w:p>
      <w:pPr>
        <w:pStyle w:val="TOC8"/>
        <w:rPr>
          <w:sz w:val="24"/>
          <w:szCs w:val="24"/>
        </w:rPr>
      </w:pPr>
      <w:r>
        <w:rPr>
          <w:szCs w:val="24"/>
        </w:rPr>
        <w:t>25GD.</w:t>
      </w:r>
      <w:r>
        <w:rPr>
          <w:szCs w:val="24"/>
        </w:rPr>
        <w:tab/>
        <w:t>Revocation of Minister’s approval of a fund</w:t>
      </w:r>
      <w:r>
        <w:tab/>
      </w:r>
      <w:r>
        <w:fldChar w:fldCharType="begin"/>
      </w:r>
      <w:r>
        <w:instrText xml:space="preserve"> PAGEREF _Toc211745955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w:t>
      </w:r>
    </w:p>
    <w:p>
      <w:pPr>
        <w:pStyle w:val="TOC8"/>
        <w:rPr>
          <w:sz w:val="24"/>
          <w:szCs w:val="24"/>
        </w:rPr>
      </w:pPr>
      <w:r>
        <w:rPr>
          <w:szCs w:val="24"/>
        </w:rPr>
        <w:t>25H</w:t>
      </w:r>
      <w:r>
        <w:rPr>
          <w:snapToGrid w:val="0"/>
          <w:szCs w:val="24"/>
        </w:rPr>
        <w:t xml:space="preserve">. </w:t>
      </w:r>
      <w:r>
        <w:rPr>
          <w:snapToGrid w:val="0"/>
          <w:szCs w:val="24"/>
        </w:rPr>
        <w:tab/>
        <w:t>Review of insurance scheme</w:t>
      </w:r>
      <w:r>
        <w:tab/>
      </w:r>
      <w:r>
        <w:fldChar w:fldCharType="begin"/>
      </w:r>
      <w:r>
        <w:instrText xml:space="preserve"> PAGEREF _Toc211745957 \h </w:instrText>
      </w:r>
      <w:r>
        <w:fldChar w:fldCharType="separate"/>
      </w:r>
      <w:r>
        <w:t>37</w:t>
      </w:r>
      <w:r>
        <w:fldChar w:fldCharType="end"/>
      </w:r>
    </w:p>
    <w:p>
      <w:pPr>
        <w:pStyle w:val="TOC4"/>
        <w:tabs>
          <w:tab w:val="right" w:leader="dot" w:pos="7086"/>
        </w:tabs>
        <w:rPr>
          <w:b w:val="0"/>
          <w:sz w:val="24"/>
          <w:szCs w:val="24"/>
        </w:rPr>
      </w:pPr>
      <w:r>
        <w:rPr>
          <w:szCs w:val="26"/>
        </w:rPr>
        <w:t>Division 5 — Provisions about non</w:t>
      </w:r>
      <w:r>
        <w:rPr>
          <w:szCs w:val="26"/>
        </w:rPr>
        <w:noBreakHyphen/>
        <w:t>application of sections 25C(1) and (2) and 25F(1)</w:t>
      </w:r>
    </w:p>
    <w:p>
      <w:pPr>
        <w:pStyle w:val="TOC8"/>
        <w:rPr>
          <w:sz w:val="24"/>
          <w:szCs w:val="24"/>
        </w:rPr>
      </w:pPr>
      <w:r>
        <w:rPr>
          <w:szCs w:val="24"/>
        </w:rPr>
        <w:t>25I.</w:t>
      </w:r>
      <w:r>
        <w:rPr>
          <w:szCs w:val="24"/>
        </w:rPr>
        <w:tab/>
        <w:t>Minister may make orders specifying periods</w:t>
      </w:r>
      <w:r>
        <w:tab/>
      </w:r>
      <w:r>
        <w:fldChar w:fldCharType="begin"/>
      </w:r>
      <w:r>
        <w:instrText xml:space="preserve"> PAGEREF _Toc211745959 \h </w:instrText>
      </w:r>
      <w:r>
        <w:fldChar w:fldCharType="separate"/>
      </w:r>
      <w:r>
        <w:t>37</w:t>
      </w:r>
      <w:r>
        <w:fldChar w:fldCharType="end"/>
      </w:r>
    </w:p>
    <w:p>
      <w:pPr>
        <w:pStyle w:val="TOC8"/>
        <w:rPr>
          <w:sz w:val="24"/>
          <w:szCs w:val="24"/>
        </w:rPr>
      </w:pPr>
      <w:r>
        <w:rPr>
          <w:szCs w:val="24"/>
        </w:rPr>
        <w:t>25J.</w:t>
      </w:r>
      <w:r>
        <w:rPr>
          <w:szCs w:val="24"/>
        </w:rPr>
        <w:tab/>
        <w:t>Notice requirements — builders</w:t>
      </w:r>
      <w:r>
        <w:tab/>
      </w:r>
      <w:r>
        <w:fldChar w:fldCharType="begin"/>
      </w:r>
      <w:r>
        <w:instrText xml:space="preserve"> PAGEREF _Toc211745960 \h </w:instrText>
      </w:r>
      <w:r>
        <w:fldChar w:fldCharType="separate"/>
      </w:r>
      <w:r>
        <w:t>38</w:t>
      </w:r>
      <w:r>
        <w:fldChar w:fldCharType="end"/>
      </w:r>
    </w:p>
    <w:p>
      <w:pPr>
        <w:pStyle w:val="TOC8"/>
        <w:rPr>
          <w:sz w:val="24"/>
          <w:szCs w:val="24"/>
        </w:rPr>
      </w:pPr>
      <w:r>
        <w:rPr>
          <w:szCs w:val="24"/>
        </w:rPr>
        <w:t>25K.</w:t>
      </w:r>
      <w:r>
        <w:rPr>
          <w:szCs w:val="24"/>
        </w:rPr>
        <w:tab/>
        <w:t>Notice requirements — owner</w:t>
      </w:r>
      <w:r>
        <w:rPr>
          <w:szCs w:val="24"/>
        </w:rPr>
        <w:noBreakHyphen/>
        <w:t>builders</w:t>
      </w:r>
      <w:r>
        <w:tab/>
      </w:r>
      <w:r>
        <w:fldChar w:fldCharType="begin"/>
      </w:r>
      <w:r>
        <w:instrText xml:space="preserve"> PAGEREF _Toc211745961 \h </w:instrText>
      </w:r>
      <w:r>
        <w:fldChar w:fldCharType="separate"/>
      </w:r>
      <w:r>
        <w:t>39</w:t>
      </w:r>
      <w:r>
        <w:fldChar w:fldCharType="end"/>
      </w:r>
    </w:p>
    <w:p>
      <w:pPr>
        <w:pStyle w:val="TOC8"/>
        <w:rPr>
          <w:sz w:val="24"/>
          <w:szCs w:val="24"/>
        </w:rPr>
      </w:pPr>
      <w:r>
        <w:rPr>
          <w:szCs w:val="24"/>
        </w:rPr>
        <w:t>25L.</w:t>
      </w:r>
      <w:r>
        <w:rPr>
          <w:szCs w:val="24"/>
        </w:rPr>
        <w:tab/>
        <w:t>Giving a copy of the notice to a subsequent purchaser</w:t>
      </w:r>
      <w:r>
        <w:tab/>
      </w:r>
      <w:r>
        <w:fldChar w:fldCharType="begin"/>
      </w:r>
      <w:r>
        <w:instrText xml:space="preserve"> PAGEREF _Toc211745962 \h </w:instrText>
      </w:r>
      <w:r>
        <w:fldChar w:fldCharType="separate"/>
      </w:r>
      <w:r>
        <w:t>39</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26</w:t>
      </w:r>
      <w:r>
        <w:rPr>
          <w:snapToGrid w:val="0"/>
          <w:szCs w:val="24"/>
        </w:rPr>
        <w:t>.</w:t>
      </w:r>
      <w:r>
        <w:rPr>
          <w:snapToGrid w:val="0"/>
          <w:szCs w:val="24"/>
        </w:rPr>
        <w:tab/>
        <w:t>Access for inspection of building work</w:t>
      </w:r>
      <w:r>
        <w:tab/>
      </w:r>
      <w:r>
        <w:fldChar w:fldCharType="begin"/>
      </w:r>
      <w:r>
        <w:instrText xml:space="preserve"> PAGEREF _Toc211745964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Effect of breach of Act on contract</w:t>
      </w:r>
      <w:r>
        <w:tab/>
      </w:r>
      <w:r>
        <w:fldChar w:fldCharType="begin"/>
      </w:r>
      <w:r>
        <w:instrText xml:space="preserve"> PAGEREF _Toc211745965 \h </w:instrText>
      </w:r>
      <w:r>
        <w:fldChar w:fldCharType="separate"/>
      </w:r>
      <w:r>
        <w:t>41</w:t>
      </w:r>
      <w:r>
        <w:fldChar w:fldCharType="end"/>
      </w:r>
    </w:p>
    <w:p>
      <w:pPr>
        <w:pStyle w:val="TOC8"/>
        <w:rPr>
          <w:sz w:val="24"/>
          <w:szCs w:val="24"/>
        </w:rPr>
      </w:pPr>
      <w:r>
        <w:rPr>
          <w:szCs w:val="24"/>
        </w:rPr>
        <w:t>28</w:t>
      </w:r>
      <w:r>
        <w:rPr>
          <w:snapToGrid w:val="0"/>
          <w:szCs w:val="24"/>
        </w:rPr>
        <w:t>.</w:t>
      </w:r>
      <w:r>
        <w:rPr>
          <w:snapToGrid w:val="0"/>
          <w:szCs w:val="24"/>
        </w:rPr>
        <w:tab/>
        <w:t>Contracting out forbidden</w:t>
      </w:r>
      <w:r>
        <w:tab/>
      </w:r>
      <w:r>
        <w:fldChar w:fldCharType="begin"/>
      </w:r>
      <w:r>
        <w:instrText xml:space="preserve"> PAGEREF _Toc211745966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Saving</w:t>
      </w:r>
      <w:r>
        <w:tab/>
      </w:r>
      <w:r>
        <w:fldChar w:fldCharType="begin"/>
      </w:r>
      <w:r>
        <w:instrText xml:space="preserve"> PAGEREF _Toc211745967 \h </w:instrText>
      </w:r>
      <w:r>
        <w:fldChar w:fldCharType="separate"/>
      </w:r>
      <w:r>
        <w:t>42</w:t>
      </w:r>
      <w:r>
        <w:fldChar w:fldCharType="end"/>
      </w:r>
    </w:p>
    <w:p>
      <w:pPr>
        <w:pStyle w:val="TOC8"/>
        <w:rPr>
          <w:sz w:val="24"/>
          <w:szCs w:val="24"/>
        </w:rPr>
      </w:pPr>
      <w:r>
        <w:rPr>
          <w:szCs w:val="24"/>
        </w:rPr>
        <w:t>30</w:t>
      </w:r>
      <w:r>
        <w:rPr>
          <w:snapToGrid w:val="0"/>
          <w:szCs w:val="24"/>
        </w:rPr>
        <w:t>.</w:t>
      </w:r>
      <w:r>
        <w:rPr>
          <w:snapToGrid w:val="0"/>
          <w:szCs w:val="24"/>
        </w:rPr>
        <w:tab/>
        <w:t>Liability of directors etc.</w:t>
      </w:r>
      <w:r>
        <w:tab/>
      </w:r>
      <w:r>
        <w:fldChar w:fldCharType="begin"/>
      </w:r>
      <w:r>
        <w:instrText xml:space="preserve"> PAGEREF _Toc211745968 \h </w:instrText>
      </w:r>
      <w:r>
        <w:fldChar w:fldCharType="separate"/>
      </w:r>
      <w:r>
        <w:t>42</w:t>
      </w:r>
      <w:r>
        <w:fldChar w:fldCharType="end"/>
      </w:r>
    </w:p>
    <w:p>
      <w:pPr>
        <w:pStyle w:val="TOC8"/>
        <w:rPr>
          <w:sz w:val="24"/>
          <w:szCs w:val="24"/>
        </w:rPr>
      </w:pPr>
      <w:r>
        <w:rPr>
          <w:szCs w:val="24"/>
        </w:rPr>
        <w:t>31</w:t>
      </w:r>
      <w:r>
        <w:rPr>
          <w:snapToGrid w:val="0"/>
          <w:szCs w:val="24"/>
        </w:rPr>
        <w:t>.</w:t>
      </w:r>
      <w:r>
        <w:rPr>
          <w:snapToGrid w:val="0"/>
          <w:szCs w:val="24"/>
        </w:rPr>
        <w:tab/>
        <w:t>Prosecutions</w:t>
      </w:r>
      <w:r>
        <w:tab/>
      </w:r>
      <w:r>
        <w:fldChar w:fldCharType="begin"/>
      </w:r>
      <w:r>
        <w:instrText xml:space="preserve"> PAGEREF _Toc211745969 \h </w:instrText>
      </w:r>
      <w:r>
        <w:fldChar w:fldCharType="separate"/>
      </w:r>
      <w:r>
        <w:t>42</w:t>
      </w:r>
      <w:r>
        <w:fldChar w:fldCharType="end"/>
      </w:r>
    </w:p>
    <w:p>
      <w:pPr>
        <w:pStyle w:val="TOC8"/>
        <w:rPr>
          <w:sz w:val="24"/>
          <w:szCs w:val="24"/>
        </w:rPr>
      </w:pPr>
      <w:r>
        <w:rPr>
          <w:szCs w:val="24"/>
        </w:rPr>
        <w:t>31A</w:t>
      </w:r>
      <w:r>
        <w:rPr>
          <w:snapToGrid w:val="0"/>
          <w:szCs w:val="24"/>
        </w:rPr>
        <w:t>.</w:t>
      </w:r>
      <w:r>
        <w:rPr>
          <w:snapToGrid w:val="0"/>
          <w:szCs w:val="24"/>
        </w:rPr>
        <w:tab/>
        <w:t>Penalties and costs</w:t>
      </w:r>
      <w:r>
        <w:tab/>
      </w:r>
      <w:r>
        <w:fldChar w:fldCharType="begin"/>
      </w:r>
      <w:r>
        <w:instrText xml:space="preserve"> PAGEREF _Toc211745970 \h </w:instrText>
      </w:r>
      <w:r>
        <w:fldChar w:fldCharType="separate"/>
      </w:r>
      <w:r>
        <w:t>43</w:t>
      </w:r>
      <w:r>
        <w:fldChar w:fldCharType="end"/>
      </w:r>
    </w:p>
    <w:p>
      <w:pPr>
        <w:pStyle w:val="TOC8"/>
        <w:rPr>
          <w:sz w:val="24"/>
          <w:szCs w:val="24"/>
        </w:rPr>
      </w:pPr>
      <w:r>
        <w:rPr>
          <w:szCs w:val="24"/>
        </w:rPr>
        <w:t>31B.</w:t>
      </w:r>
      <w:r>
        <w:rPr>
          <w:szCs w:val="24"/>
        </w:rPr>
        <w:tab/>
      </w:r>
      <w:r>
        <w:rPr>
          <w:snapToGrid w:val="0"/>
          <w:szCs w:val="24"/>
        </w:rPr>
        <w:t>Infringement notices</w:t>
      </w:r>
      <w:r>
        <w:tab/>
      </w:r>
      <w:r>
        <w:fldChar w:fldCharType="begin"/>
      </w:r>
      <w:r>
        <w:instrText xml:space="preserve"> PAGEREF _Toc211745971 \h </w:instrText>
      </w:r>
      <w:r>
        <w:fldChar w:fldCharType="separate"/>
      </w:r>
      <w:r>
        <w:t>43</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_Toc211745972 \h </w:instrText>
      </w:r>
      <w:r>
        <w:fldChar w:fldCharType="separate"/>
      </w:r>
      <w:r>
        <w:t>45</w:t>
      </w:r>
      <w:r>
        <w:fldChar w:fldCharType="end"/>
      </w:r>
    </w:p>
    <w:p>
      <w:pPr>
        <w:pStyle w:val="TOC8"/>
        <w:rPr>
          <w:sz w:val="24"/>
          <w:szCs w:val="24"/>
        </w:rPr>
      </w:pPr>
      <w:r>
        <w:rPr>
          <w:szCs w:val="24"/>
        </w:rPr>
        <w:t>33</w:t>
      </w:r>
      <w:r>
        <w:rPr>
          <w:snapToGrid w:val="0"/>
          <w:szCs w:val="24"/>
        </w:rPr>
        <w:t>.</w:t>
      </w:r>
      <w:r>
        <w:rPr>
          <w:snapToGrid w:val="0"/>
          <w:szCs w:val="24"/>
        </w:rPr>
        <w:tab/>
        <w:t>Application not retrospective</w:t>
      </w:r>
      <w:r>
        <w:tab/>
      </w:r>
      <w:r>
        <w:fldChar w:fldCharType="begin"/>
      </w:r>
      <w:r>
        <w:instrText xml:space="preserve"> PAGEREF _Toc211745973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Review of Act</w:t>
      </w:r>
      <w:r>
        <w:tab/>
      </w:r>
      <w:r>
        <w:fldChar w:fldCharType="begin"/>
      </w:r>
      <w:r>
        <w:instrText xml:space="preserve"> PAGEREF _Toc211745974 \h </w:instrText>
      </w:r>
      <w:r>
        <w:fldChar w:fldCharType="separate"/>
      </w:r>
      <w:r>
        <w:t>46</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_Toc211745977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_Toc211745978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after="840"/>
      </w:pPr>
      <w:r>
        <w:t>Home Building Contracts Act 1991</w:t>
      </w:r>
    </w:p>
    <w:p>
      <w:pPr>
        <w:pStyle w:val="LongTitle"/>
        <w:rPr>
          <w:snapToGrid w:val="0"/>
        </w:rPr>
      </w:pPr>
      <w:r>
        <w:rPr>
          <w:snapToGrid w:val="0"/>
        </w:rPr>
        <w:t>An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p>
    <w:p>
      <w:pPr>
        <w:pStyle w:val="Footnotelongtitle"/>
      </w:pPr>
      <w:r>
        <w:tab/>
        <w:t>[Long title amended by No. 72 of 1996 s. 4; No. 37 of 2002 s. 4; No. 59 of 2004 s. 141.]</w:t>
      </w:r>
    </w:p>
    <w:p>
      <w:pPr>
        <w:pStyle w:val="Heading2"/>
      </w:pPr>
      <w:bookmarkStart w:id="2" w:name="_Toc89521524"/>
      <w:bookmarkStart w:id="3" w:name="_Toc89521593"/>
      <w:bookmarkStart w:id="4" w:name="_Toc96246639"/>
      <w:bookmarkStart w:id="5" w:name="_Toc97107108"/>
      <w:bookmarkStart w:id="6" w:name="_Toc102365957"/>
      <w:bookmarkStart w:id="7" w:name="_Toc103066980"/>
      <w:bookmarkStart w:id="8" w:name="_Toc124730077"/>
      <w:bookmarkStart w:id="9" w:name="_Toc124734130"/>
      <w:bookmarkStart w:id="10" w:name="_Toc124748212"/>
      <w:bookmarkStart w:id="11" w:name="_Toc127681761"/>
      <w:bookmarkStart w:id="12" w:name="_Toc129579973"/>
      <w:bookmarkStart w:id="13" w:name="_Toc21174591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21487139"/>
      <w:bookmarkStart w:id="15" w:name="_Toc522337167"/>
      <w:bookmarkStart w:id="16" w:name="_Toc527365385"/>
      <w:bookmarkStart w:id="17" w:name="_Toc530458593"/>
      <w:bookmarkStart w:id="18" w:name="_Toc530460455"/>
      <w:bookmarkStart w:id="19" w:name="_Toc211745911"/>
      <w:r>
        <w:rPr>
          <w:rStyle w:val="CharSectno"/>
        </w:rPr>
        <w:t>1</w:t>
      </w:r>
      <w:r>
        <w:rPr>
          <w:snapToGrid w:val="0"/>
        </w:rPr>
        <w:t>.</w:t>
      </w:r>
      <w:r>
        <w:rPr>
          <w:snapToGrid w:val="0"/>
        </w:rPr>
        <w:tab/>
        <w:t>Short title</w:t>
      </w:r>
      <w:bookmarkEnd w:id="14"/>
      <w:bookmarkEnd w:id="15"/>
      <w:bookmarkEnd w:id="16"/>
      <w:bookmarkEnd w:id="17"/>
      <w:bookmarkEnd w:id="18"/>
      <w:bookmarkEnd w:id="19"/>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20" w:name="_Toc521487140"/>
      <w:bookmarkStart w:id="21" w:name="_Toc522337168"/>
      <w:bookmarkStart w:id="22" w:name="_Toc527365386"/>
      <w:bookmarkStart w:id="23" w:name="_Toc530458594"/>
      <w:bookmarkStart w:id="24" w:name="_Toc530460456"/>
      <w:bookmarkStart w:id="25" w:name="_Toc211745912"/>
      <w:r>
        <w:rPr>
          <w:rStyle w:val="CharSectno"/>
        </w:rPr>
        <w:t>2</w:t>
      </w:r>
      <w:r>
        <w:rPr>
          <w:snapToGrid w:val="0"/>
        </w:rPr>
        <w:t>.</w:t>
      </w:r>
      <w:r>
        <w:rPr>
          <w:snapToGrid w:val="0"/>
        </w:rPr>
        <w:tab/>
        <w:t>Commencement</w:t>
      </w:r>
      <w:bookmarkEnd w:id="20"/>
      <w:bookmarkEnd w:id="21"/>
      <w:bookmarkEnd w:id="22"/>
      <w:bookmarkEnd w:id="23"/>
      <w:bookmarkEnd w:id="24"/>
      <w:bookmarkEnd w:id="2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26" w:name="_Toc521487141"/>
      <w:bookmarkStart w:id="27" w:name="_Toc522337169"/>
      <w:bookmarkStart w:id="28" w:name="_Toc527365387"/>
      <w:bookmarkStart w:id="29" w:name="_Toc530458595"/>
      <w:bookmarkStart w:id="30" w:name="_Toc530460457"/>
      <w:bookmarkStart w:id="31" w:name="_Toc211745913"/>
      <w:r>
        <w:rPr>
          <w:rStyle w:val="CharSectno"/>
        </w:rPr>
        <w:t>3</w:t>
      </w:r>
      <w:r>
        <w:rPr>
          <w:snapToGrid w:val="0"/>
        </w:rPr>
        <w:t>.</w:t>
      </w:r>
      <w:r>
        <w:rPr>
          <w:snapToGrid w:val="0"/>
        </w:rPr>
        <w:tab/>
        <w:t>Interpretation</w:t>
      </w:r>
      <w:bookmarkEnd w:id="26"/>
      <w:bookmarkEnd w:id="27"/>
      <w:bookmarkEnd w:id="28"/>
      <w:bookmarkEnd w:id="29"/>
      <w:bookmarkEnd w:id="30"/>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associated work</w:t>
      </w:r>
      <w:r>
        <w:t xml:space="preserve"> includes site works, swimming pools, spas, pergolas, carports, garages, sheds, fencing, retaining walls, paving, driveways, landscaping and other like works;</w:t>
      </w:r>
    </w:p>
    <w:p>
      <w:pPr>
        <w:pStyle w:val="Defstart"/>
      </w:pPr>
      <w:r>
        <w:rPr>
          <w:b/>
        </w:rPr>
        <w:tab/>
      </w:r>
      <w:r>
        <w:rPr>
          <w:rStyle w:val="CharDefText"/>
        </w:rPr>
        <w:t>builder</w:t>
      </w:r>
      <w:r>
        <w:t xml:space="preserve"> means a person who carries on, or 2 or more persons who together carry on, a business which consists of or includes the performing of home building work for others;</w:t>
      </w:r>
    </w:p>
    <w:p>
      <w:pPr>
        <w:pStyle w:val="Defstart"/>
      </w:pPr>
      <w:r>
        <w:tab/>
      </w:r>
      <w:r>
        <w:rPr>
          <w:rStyle w:val="CharDefText"/>
        </w:rPr>
        <w:t>Builders’ Registration Board</w:t>
      </w:r>
      <w:r>
        <w:t xml:space="preserve"> means the Builders’ Registration Board constituted under the </w:t>
      </w:r>
      <w:r>
        <w:rPr>
          <w:i/>
        </w:rPr>
        <w:t>Builders’ Registration Act 1939</w:t>
      </w:r>
      <w:r>
        <w:t>;</w:t>
      </w:r>
    </w:p>
    <w:p>
      <w:pPr>
        <w:pStyle w:val="Defstart"/>
      </w:pPr>
      <w:r>
        <w:tab/>
      </w:r>
      <w:r>
        <w:rPr>
          <w:rStyle w:val="CharDefText"/>
        </w:rPr>
        <w:t>building licence</w:t>
      </w:r>
      <w:r>
        <w:t xml:space="preserve"> means a building licence under section 374 of the </w:t>
      </w:r>
      <w:r>
        <w:rPr>
          <w:i/>
        </w:rPr>
        <w:t>Local Government (Miscellaneous Provisions) Act 1960</w:t>
      </w:r>
      <w:r>
        <w:t>;</w:t>
      </w:r>
    </w:p>
    <w:p>
      <w:pPr>
        <w:pStyle w:val="Defstart"/>
      </w:pPr>
      <w:r>
        <w:rPr>
          <w:b/>
        </w:rPr>
        <w:tab/>
      </w:r>
      <w:r>
        <w:rPr>
          <w:rStyle w:val="CharDefText"/>
        </w:rPr>
        <w:t>construct</w:t>
      </w:r>
      <w:r>
        <w:t xml:space="preserve"> in relation to a dwelling means perform any work commencing with the preparation of the site and ending with the completion of the dwelling (including any associated work) and includes —</w:t>
      </w:r>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r>
        <w:rPr>
          <w:rStyle w:val="CharDefText"/>
        </w:rPr>
        <w:t>contract</w:t>
      </w:r>
      <w:r>
        <w:t xml:space="preserve"> means a home building work contract;</w:t>
      </w:r>
    </w:p>
    <w:p>
      <w:pPr>
        <w:pStyle w:val="Defstart"/>
      </w:pPr>
      <w:r>
        <w:rPr>
          <w:b/>
        </w:rPr>
        <w:tab/>
      </w:r>
      <w:r>
        <w:rPr>
          <w:rStyle w:val="CharDefText"/>
        </w:rPr>
        <w:t>cost plus contract</w:t>
      </w:r>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p>
    <w:p>
      <w:pPr>
        <w:pStyle w:val="Defpara"/>
      </w:pPr>
      <w:r>
        <w:tab/>
        <w:t>(a)</w:t>
      </w:r>
      <w:r>
        <w:tab/>
        <w:t>acquiring materials; and</w:t>
      </w:r>
    </w:p>
    <w:p>
      <w:pPr>
        <w:pStyle w:val="Defpara"/>
      </w:pPr>
      <w:r>
        <w:tab/>
        <w:t>(b)</w:t>
      </w:r>
      <w:r>
        <w:tab/>
        <w:t>performing work,</w:t>
      </w:r>
    </w:p>
    <w:p>
      <w:pPr>
        <w:pStyle w:val="Defstart"/>
      </w:pPr>
      <w:r>
        <w:tab/>
        <w:t>specified in the contract, together with an additional amount that comprises either —</w:t>
      </w:r>
    </w:p>
    <w:p>
      <w:pPr>
        <w:pStyle w:val="Defpara"/>
      </w:pPr>
      <w:r>
        <w:tab/>
        <w:t>(c)</w:t>
      </w:r>
      <w:r>
        <w:tab/>
        <w:t>a sum calculated as a percentage of that cost; or</w:t>
      </w:r>
    </w:p>
    <w:p>
      <w:pPr>
        <w:pStyle w:val="Defpara"/>
      </w:pPr>
      <w:r>
        <w:tab/>
        <w:t>(d)</w:t>
      </w:r>
      <w:r>
        <w:tab/>
        <w:t>a specified sum,</w:t>
      </w:r>
    </w:p>
    <w:p>
      <w:pPr>
        <w:pStyle w:val="Defstart"/>
      </w:pPr>
      <w:r>
        <w:tab/>
        <w:t>or both;</w:t>
      </w:r>
    </w:p>
    <w:p>
      <w:pPr>
        <w:pStyle w:val="Defstart"/>
      </w:pPr>
      <w:r>
        <w:rPr>
          <w:b/>
        </w:rPr>
        <w:tab/>
      </w:r>
      <w:r>
        <w:rPr>
          <w:rStyle w:val="CharDefText"/>
        </w:rPr>
        <w:t>date of the contract</w:t>
      </w:r>
      <w:r>
        <w:t xml:space="preserve"> or </w:t>
      </w:r>
      <w:r>
        <w:rPr>
          <w:rStyle w:val="CharDefText"/>
        </w:rPr>
        <w:t>date of the variation</w:t>
      </w:r>
      <w:r>
        <w:t xml:space="preserve"> means the day on which the contract or variation was signed by the last party to sign it;</w:t>
      </w:r>
    </w:p>
    <w:p>
      <w:pPr>
        <w:pStyle w:val="Defstart"/>
      </w:pPr>
      <w:r>
        <w:rPr>
          <w:b/>
        </w:rPr>
        <w:tab/>
      </w:r>
      <w:r>
        <w:rPr>
          <w:rStyle w:val="CharDefText"/>
        </w:rPr>
        <w:t>Disputes Tribunal</w:t>
      </w:r>
      <w:r>
        <w:t xml:space="preserve"> means the Building Disputes Tribunal established by section 26 of the </w:t>
      </w:r>
      <w:r>
        <w:rPr>
          <w:i/>
        </w:rPr>
        <w:t>Builders’ Registration Act 1939</w:t>
      </w:r>
      <w:r>
        <w:t>;</w:t>
      </w:r>
    </w:p>
    <w:p>
      <w:pPr>
        <w:pStyle w:val="Defstart"/>
      </w:pPr>
      <w:r>
        <w:rPr>
          <w:b/>
        </w:rPr>
        <w:tab/>
      </w:r>
      <w:r>
        <w:rPr>
          <w:rStyle w:val="CharDefText"/>
        </w:rPr>
        <w:t>dwelling</w:t>
      </w:r>
      <w:r>
        <w:t xml:space="preserve"> means a building occupied or intended for occupation solely or mainly as a place of residence;</w:t>
      </w:r>
    </w:p>
    <w:p>
      <w:pPr>
        <w:pStyle w:val="Defstart"/>
      </w:pPr>
      <w:r>
        <w:rPr>
          <w:b/>
        </w:rPr>
        <w:tab/>
      </w:r>
      <w:r>
        <w:rPr>
          <w:rStyle w:val="CharDefText"/>
        </w:rPr>
        <w:t>home building work</w:t>
      </w:r>
      <w:r>
        <w:t xml:space="preserve"> means the whole or part of the work of —</w:t>
      </w:r>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r>
        <w:rPr>
          <w:rStyle w:val="CharDefText"/>
        </w:rPr>
        <w:t>home building work contract</w:t>
      </w:r>
      <w:r>
        <w:t xml:space="preserve"> means a contract between a builder and an owner for the performance by the builder of home building work, but does not include —</w:t>
      </w:r>
    </w:p>
    <w:p>
      <w:pPr>
        <w:pStyle w:val="Defpara"/>
      </w:pPr>
      <w:r>
        <w:tab/>
        <w:t>(a)</w:t>
      </w:r>
      <w:r>
        <w:tab/>
        <w:t>a cost plus contract;</w:t>
      </w:r>
    </w:p>
    <w:p>
      <w:pPr>
        <w:pStyle w:val="Defpara"/>
        <w:keepNext/>
      </w:pPr>
      <w:r>
        <w:tab/>
        <w:t>(b)</w:t>
      </w:r>
      <w:r>
        <w:tab/>
        <w:t>a contract for the performance of home building work —</w:t>
      </w:r>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r>
        <w:rPr>
          <w:rStyle w:val="CharDefText"/>
        </w:rPr>
        <w:t>owner</w:t>
      </w:r>
      <w:r>
        <w:t xml:space="preserve"> in relation to a contract means the person for whom or which home building work is to be performed under the contract;</w:t>
      </w:r>
    </w:p>
    <w:p>
      <w:pPr>
        <w:pStyle w:val="Defstart"/>
      </w:pPr>
      <w:r>
        <w:rPr>
          <w:b/>
        </w:rPr>
        <w:tab/>
      </w:r>
      <w:r>
        <w:rPr>
          <w:rStyle w:val="CharDefText"/>
        </w:rPr>
        <w:t>perform</w:t>
      </w:r>
      <w:r>
        <w:t xml:space="preserve"> in relation to home building work includes —</w:t>
      </w:r>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strata</w:t>
      </w:r>
      <w:r>
        <w:rPr>
          <w:rStyle w:val="CharDefText"/>
        </w:rPr>
        <w:noBreakHyphen/>
        <w:t>titled dwelling</w:t>
      </w:r>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r>
        <w:rPr>
          <w:rStyle w:val="CharDefText"/>
        </w:rPr>
        <w:t>working days</w:t>
      </w:r>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p>
    <w:p>
      <w:pPr>
        <w:pStyle w:val="Heading2"/>
      </w:pPr>
      <w:bookmarkStart w:id="32" w:name="_Toc89521528"/>
      <w:bookmarkStart w:id="33" w:name="_Toc89521597"/>
      <w:bookmarkStart w:id="34" w:name="_Toc96246643"/>
      <w:bookmarkStart w:id="35" w:name="_Toc97107112"/>
      <w:bookmarkStart w:id="36" w:name="_Toc102365961"/>
      <w:bookmarkStart w:id="37" w:name="_Toc103066984"/>
      <w:bookmarkStart w:id="38" w:name="_Toc124730081"/>
      <w:bookmarkStart w:id="39" w:name="_Toc124734134"/>
      <w:bookmarkStart w:id="40" w:name="_Toc124748216"/>
      <w:bookmarkStart w:id="41" w:name="_Toc127681765"/>
      <w:bookmarkStart w:id="42" w:name="_Toc129579977"/>
      <w:bookmarkStart w:id="43" w:name="_Toc211745914"/>
      <w:r>
        <w:rPr>
          <w:rStyle w:val="CharPartNo"/>
        </w:rPr>
        <w:t>Part 2</w:t>
      </w:r>
      <w:r>
        <w:rPr>
          <w:rStyle w:val="CharDivNo"/>
        </w:rPr>
        <w:t> </w:t>
      </w:r>
      <w:r>
        <w:t>—</w:t>
      </w:r>
      <w:r>
        <w:rPr>
          <w:rStyle w:val="CharDivText"/>
        </w:rPr>
        <w:t> </w:t>
      </w:r>
      <w:r>
        <w:rPr>
          <w:rStyle w:val="CharPartText"/>
        </w:rPr>
        <w:t>Home building work contracts</w:t>
      </w:r>
      <w:bookmarkEnd w:id="32"/>
      <w:bookmarkEnd w:id="33"/>
      <w:bookmarkEnd w:id="34"/>
      <w:bookmarkEnd w:id="35"/>
      <w:bookmarkEnd w:id="36"/>
      <w:bookmarkEnd w:id="37"/>
      <w:bookmarkEnd w:id="38"/>
      <w:bookmarkEnd w:id="39"/>
      <w:bookmarkEnd w:id="40"/>
      <w:bookmarkEnd w:id="41"/>
      <w:bookmarkEnd w:id="42"/>
      <w:bookmarkEnd w:id="43"/>
    </w:p>
    <w:p>
      <w:pPr>
        <w:pStyle w:val="Heading5"/>
        <w:spacing w:before="160"/>
        <w:rPr>
          <w:snapToGrid w:val="0"/>
        </w:rPr>
      </w:pPr>
      <w:bookmarkStart w:id="44" w:name="_Toc521487142"/>
      <w:bookmarkStart w:id="45" w:name="_Toc522337170"/>
      <w:bookmarkStart w:id="46" w:name="_Toc527365388"/>
      <w:bookmarkStart w:id="47" w:name="_Toc530458596"/>
      <w:bookmarkStart w:id="48" w:name="_Toc530460458"/>
      <w:bookmarkStart w:id="49" w:name="_Toc211745915"/>
      <w:r>
        <w:rPr>
          <w:rStyle w:val="CharSectno"/>
        </w:rPr>
        <w:t>4</w:t>
      </w:r>
      <w:r>
        <w:rPr>
          <w:snapToGrid w:val="0"/>
        </w:rPr>
        <w:t>.</w:t>
      </w:r>
      <w:r>
        <w:rPr>
          <w:snapToGrid w:val="0"/>
        </w:rPr>
        <w:tab/>
        <w:t>Contracts to be in writing and statutory notice to be given</w:t>
      </w:r>
      <w:bookmarkEnd w:id="44"/>
      <w:bookmarkEnd w:id="45"/>
      <w:bookmarkEnd w:id="46"/>
      <w:bookmarkEnd w:id="47"/>
      <w:bookmarkEnd w:id="48"/>
      <w:bookmarkEnd w:id="49"/>
    </w:p>
    <w:p>
      <w:pPr>
        <w:pStyle w:val="Subsection"/>
        <w:spacing w:before="140"/>
        <w:rPr>
          <w:snapToGrid w:val="0"/>
        </w:rPr>
      </w:pPr>
      <w:r>
        <w:rPr>
          <w:snapToGrid w:val="0"/>
        </w:rPr>
        <w:tab/>
        <w:t>(1)</w:t>
      </w:r>
      <w:r>
        <w:rPr>
          <w:snapToGrid w:val="0"/>
        </w:rPr>
        <w:tab/>
        <w:t>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50" w:name="_Toc521487143"/>
      <w:bookmarkStart w:id="51" w:name="_Toc522337171"/>
      <w:bookmarkStart w:id="52" w:name="_Toc527365389"/>
      <w:bookmarkStart w:id="53" w:name="_Toc530458597"/>
      <w:bookmarkStart w:id="54" w:name="_Toc530460459"/>
      <w:bookmarkStart w:id="55" w:name="_Toc211745916"/>
      <w:r>
        <w:rPr>
          <w:rStyle w:val="CharSectno"/>
        </w:rPr>
        <w:t>5</w:t>
      </w:r>
      <w:r>
        <w:rPr>
          <w:snapToGrid w:val="0"/>
        </w:rPr>
        <w:t>.</w:t>
      </w:r>
      <w:r>
        <w:rPr>
          <w:snapToGrid w:val="0"/>
        </w:rPr>
        <w:tab/>
        <w:t>Owner to be given copy of contract</w:t>
      </w:r>
      <w:bookmarkEnd w:id="50"/>
      <w:bookmarkEnd w:id="51"/>
      <w:bookmarkEnd w:id="52"/>
      <w:bookmarkEnd w:id="53"/>
      <w:bookmarkEnd w:id="54"/>
      <w:bookmarkEnd w:id="55"/>
    </w:p>
    <w:p>
      <w:pPr>
        <w:pStyle w:val="Subsection"/>
        <w:spacing w:before="140"/>
        <w:rPr>
          <w:snapToGrid w:val="0"/>
        </w:rPr>
      </w:pPr>
      <w:r>
        <w:rPr>
          <w:snapToGrid w:val="0"/>
        </w:rPr>
        <w:tab/>
        <w:t>(1)</w:t>
      </w:r>
      <w:r>
        <w:rPr>
          <w:snapToGrid w:val="0"/>
        </w:rPr>
        <w:tab/>
        <w:t>The owner must be given a copy of the signed contract —</w:t>
      </w:r>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56" w:name="_Toc521487144"/>
      <w:bookmarkStart w:id="57" w:name="_Toc522337172"/>
      <w:bookmarkStart w:id="58" w:name="_Toc527365390"/>
      <w:bookmarkStart w:id="59" w:name="_Toc530458598"/>
      <w:bookmarkStart w:id="60" w:name="_Toc530460460"/>
      <w:bookmarkStart w:id="61" w:name="_Toc211745917"/>
      <w:r>
        <w:rPr>
          <w:rStyle w:val="CharSectno"/>
        </w:rPr>
        <w:t>6</w:t>
      </w:r>
      <w:r>
        <w:rPr>
          <w:snapToGrid w:val="0"/>
        </w:rPr>
        <w:t>.</w:t>
      </w:r>
      <w:r>
        <w:rPr>
          <w:snapToGrid w:val="0"/>
        </w:rPr>
        <w:tab/>
        <w:t>Proof of receipt of documents</w:t>
      </w:r>
      <w:bookmarkEnd w:id="56"/>
      <w:bookmarkEnd w:id="57"/>
      <w:bookmarkEnd w:id="58"/>
      <w:bookmarkEnd w:id="59"/>
      <w:bookmarkEnd w:id="60"/>
      <w:bookmarkEnd w:id="61"/>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62" w:name="_Toc521487145"/>
      <w:bookmarkStart w:id="63" w:name="_Toc522337173"/>
      <w:bookmarkStart w:id="64" w:name="_Toc527365391"/>
      <w:bookmarkStart w:id="65" w:name="_Toc530458599"/>
      <w:bookmarkStart w:id="66" w:name="_Toc530460461"/>
      <w:bookmarkStart w:id="67" w:name="_Toc211745918"/>
      <w:r>
        <w:rPr>
          <w:rStyle w:val="CharSectno"/>
        </w:rPr>
        <w:t>7</w:t>
      </w:r>
      <w:r>
        <w:rPr>
          <w:snapToGrid w:val="0"/>
        </w:rPr>
        <w:t>.</w:t>
      </w:r>
      <w:r>
        <w:rPr>
          <w:snapToGrid w:val="0"/>
        </w:rPr>
        <w:tab/>
        <w:t>Variation of contract</w:t>
      </w:r>
      <w:bookmarkEnd w:id="62"/>
      <w:bookmarkEnd w:id="63"/>
      <w:bookmarkEnd w:id="64"/>
      <w:bookmarkEnd w:id="65"/>
      <w:bookmarkEnd w:id="66"/>
      <w:bookmarkEnd w:id="67"/>
    </w:p>
    <w:p>
      <w:pPr>
        <w:pStyle w:val="Subsection"/>
        <w:rPr>
          <w:snapToGrid w:val="0"/>
        </w:rPr>
      </w:pPr>
      <w:r>
        <w:rPr>
          <w:snapToGrid w:val="0"/>
        </w:rPr>
        <w:tab/>
        <w:t>(1)</w:t>
      </w:r>
      <w:r>
        <w:rPr>
          <w:snapToGrid w:val="0"/>
        </w:rPr>
        <w:tab/>
        <w:t>A variation of a contract —</w:t>
      </w:r>
    </w:p>
    <w:p>
      <w:pPr>
        <w:pStyle w:val="Indenta"/>
        <w:rPr>
          <w:snapToGrid w:val="0"/>
        </w:rPr>
      </w:pPr>
      <w:r>
        <w:rPr>
          <w:snapToGrid w:val="0"/>
        </w:rPr>
        <w:tab/>
        <w:t>(a)</w:t>
      </w:r>
      <w:r>
        <w:rPr>
          <w:snapToGrid w:val="0"/>
        </w:rPr>
        <w:tab/>
        <w:t>must be in writing —</w:t>
      </w:r>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r>
        <w:rPr>
          <w:rStyle w:val="CharDefText"/>
        </w:rPr>
        <w:t>contract</w:t>
      </w:r>
      <w:r>
        <w:rPr>
          <w:snapToGrid w:val="0"/>
        </w:rPr>
        <w:t xml:space="preserve"> includes any previous variation of the contract.</w:t>
      </w:r>
    </w:p>
    <w:p>
      <w:pPr>
        <w:pStyle w:val="Heading5"/>
        <w:rPr>
          <w:snapToGrid w:val="0"/>
        </w:rPr>
      </w:pPr>
      <w:bookmarkStart w:id="68" w:name="_Toc521487146"/>
      <w:bookmarkStart w:id="69" w:name="_Toc522337174"/>
      <w:bookmarkStart w:id="70" w:name="_Toc527365392"/>
      <w:bookmarkStart w:id="71" w:name="_Toc530458600"/>
      <w:bookmarkStart w:id="72" w:name="_Toc530460462"/>
      <w:bookmarkStart w:id="73" w:name="_Toc211745919"/>
      <w:r>
        <w:rPr>
          <w:rStyle w:val="CharSectno"/>
        </w:rPr>
        <w:t>8</w:t>
      </w:r>
      <w:r>
        <w:rPr>
          <w:snapToGrid w:val="0"/>
        </w:rPr>
        <w:t>.</w:t>
      </w:r>
      <w:r>
        <w:rPr>
          <w:snapToGrid w:val="0"/>
        </w:rPr>
        <w:tab/>
        <w:t>Exceptions to section 7 and related provisions</w:t>
      </w:r>
      <w:bookmarkEnd w:id="68"/>
      <w:bookmarkEnd w:id="69"/>
      <w:bookmarkEnd w:id="70"/>
      <w:bookmarkEnd w:id="71"/>
      <w:bookmarkEnd w:id="72"/>
      <w:bookmarkEnd w:id="73"/>
    </w:p>
    <w:p>
      <w:pPr>
        <w:pStyle w:val="Subsection"/>
        <w:rPr>
          <w:snapToGrid w:val="0"/>
        </w:rPr>
      </w:pPr>
      <w:r>
        <w:rPr>
          <w:snapToGrid w:val="0"/>
        </w:rPr>
        <w:tab/>
        <w:t>(1)</w:t>
      </w:r>
      <w:r>
        <w:rPr>
          <w:snapToGrid w:val="0"/>
        </w:rPr>
        <w:tab/>
        <w:t>Section 7(1) and (2) does not apply to a variation of a contract that is made necessary by —</w:t>
      </w:r>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p>
    <w:p>
      <w:pPr>
        <w:pStyle w:val="Defstart"/>
      </w:pPr>
      <w:r>
        <w:rPr>
          <w:b/>
        </w:rPr>
        <w:tab/>
      </w:r>
      <w:r>
        <w:rPr>
          <w:rStyle w:val="CharDefText"/>
        </w:rPr>
        <w:t>building surveyor</w:t>
      </w:r>
      <w:r>
        <w:t xml:space="preserve"> means the employee of the local government who exercises the powers of building surveyor in the local government district.</w:t>
      </w:r>
    </w:p>
    <w:p>
      <w:pPr>
        <w:pStyle w:val="Footnotesection"/>
      </w:pPr>
      <w:r>
        <w:tab/>
        <w:t>[Section 8 amended by No. 14 of 1996 s. 4; No. 76 of 2000 s. 46.]</w:t>
      </w:r>
    </w:p>
    <w:p>
      <w:pPr>
        <w:pStyle w:val="Heading5"/>
        <w:rPr>
          <w:snapToGrid w:val="0"/>
        </w:rPr>
      </w:pPr>
      <w:bookmarkStart w:id="74" w:name="_Toc521487147"/>
      <w:bookmarkStart w:id="75" w:name="_Toc522337175"/>
      <w:bookmarkStart w:id="76" w:name="_Toc527365393"/>
      <w:bookmarkStart w:id="77" w:name="_Toc530458601"/>
      <w:bookmarkStart w:id="78" w:name="_Toc530460463"/>
      <w:bookmarkStart w:id="79" w:name="_Toc211745920"/>
      <w:r>
        <w:rPr>
          <w:rStyle w:val="CharSectno"/>
        </w:rPr>
        <w:t>9</w:t>
      </w:r>
      <w:r>
        <w:rPr>
          <w:snapToGrid w:val="0"/>
        </w:rPr>
        <w:t>.</w:t>
      </w:r>
      <w:r>
        <w:rPr>
          <w:snapToGrid w:val="0"/>
        </w:rPr>
        <w:tab/>
        <w:t>Implied conditions as to necessary approvals</w:t>
      </w:r>
      <w:bookmarkEnd w:id="74"/>
      <w:bookmarkEnd w:id="75"/>
      <w:bookmarkEnd w:id="76"/>
      <w:bookmarkEnd w:id="77"/>
      <w:bookmarkEnd w:id="78"/>
      <w:bookmarkEnd w:id="79"/>
    </w:p>
    <w:p>
      <w:pPr>
        <w:pStyle w:val="Subsection"/>
        <w:rPr>
          <w:snapToGrid w:val="0"/>
        </w:rPr>
      </w:pPr>
      <w:r>
        <w:rPr>
          <w:snapToGrid w:val="0"/>
        </w:rPr>
        <w:tab/>
        <w:t>(1)</w:t>
      </w:r>
      <w:r>
        <w:rPr>
          <w:snapToGrid w:val="0"/>
        </w:rPr>
        <w:tab/>
        <w:t>Subject to subsection (5) every contract is conditional upon —</w:t>
      </w:r>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p>
    <w:p>
      <w:pPr>
        <w:pStyle w:val="Indenta"/>
        <w:rPr>
          <w:snapToGrid w:val="0"/>
        </w:rPr>
      </w:pPr>
      <w:r>
        <w:rPr>
          <w:snapToGrid w:val="0"/>
        </w:rPr>
        <w:tab/>
        <w:t>(a)</w:t>
      </w:r>
      <w:r>
        <w:rPr>
          <w:snapToGrid w:val="0"/>
        </w:rPr>
        <w:tab/>
        <w:t>the builder will —</w:t>
      </w:r>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r>
        <w:rPr>
          <w:rStyle w:val="CharDefText"/>
        </w:rPr>
        <w:t>the Water Act</w:t>
      </w:r>
      <w:r>
        <w:rPr>
          <w:snapToGrid w:val="0"/>
        </w:rPr>
        <w:t xml:space="preserve"> means the </w:t>
      </w:r>
      <w:r>
        <w:rPr>
          <w:i/>
          <w:snapToGrid w:val="0"/>
        </w:rPr>
        <w:t>Metropolitan Water Supply, Sewerage,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p>
    <w:p>
      <w:pPr>
        <w:pStyle w:val="Heading5"/>
        <w:spacing w:before="240"/>
        <w:rPr>
          <w:snapToGrid w:val="0"/>
        </w:rPr>
      </w:pPr>
      <w:bookmarkStart w:id="80" w:name="_Toc521487148"/>
      <w:bookmarkStart w:id="81" w:name="_Toc522337176"/>
      <w:bookmarkStart w:id="82" w:name="_Toc527365394"/>
      <w:bookmarkStart w:id="83" w:name="_Toc530458602"/>
      <w:bookmarkStart w:id="84" w:name="_Toc530460464"/>
      <w:bookmarkStart w:id="85" w:name="_Toc211745921"/>
      <w:r>
        <w:rPr>
          <w:rStyle w:val="CharSectno"/>
        </w:rPr>
        <w:t>10</w:t>
      </w:r>
      <w:r>
        <w:rPr>
          <w:snapToGrid w:val="0"/>
        </w:rPr>
        <w:t>.</w:t>
      </w:r>
      <w:r>
        <w:rPr>
          <w:snapToGrid w:val="0"/>
        </w:rPr>
        <w:tab/>
        <w:t>Deposits and progress payments</w:t>
      </w:r>
      <w:bookmarkEnd w:id="80"/>
      <w:bookmarkEnd w:id="81"/>
      <w:bookmarkEnd w:id="82"/>
      <w:bookmarkEnd w:id="83"/>
      <w:bookmarkEnd w:id="84"/>
      <w:bookmarkEnd w:id="85"/>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p>
    <w:p>
      <w:pPr>
        <w:pStyle w:val="Indenta"/>
        <w:rPr>
          <w:snapToGrid w:val="0"/>
        </w:rPr>
      </w:pPr>
      <w:r>
        <w:rPr>
          <w:snapToGrid w:val="0"/>
        </w:rPr>
        <w:tab/>
        <w:t>(a)</w:t>
      </w:r>
      <w:r>
        <w:rPr>
          <w:snapToGrid w:val="0"/>
        </w:rPr>
        <w:tab/>
        <w:t>before the commencement of the home building work to which the contract relates unless the payment is —</w:t>
      </w:r>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86" w:name="_Toc521487149"/>
      <w:bookmarkStart w:id="87" w:name="_Toc522337177"/>
      <w:bookmarkStart w:id="88" w:name="_Toc527365395"/>
      <w:bookmarkStart w:id="89" w:name="_Toc530458603"/>
      <w:bookmarkStart w:id="90" w:name="_Toc530460465"/>
      <w:bookmarkStart w:id="91" w:name="_Toc211745922"/>
      <w:r>
        <w:rPr>
          <w:rStyle w:val="CharSectno"/>
        </w:rPr>
        <w:t>11</w:t>
      </w:r>
      <w:r>
        <w:rPr>
          <w:snapToGrid w:val="0"/>
        </w:rPr>
        <w:t>.</w:t>
      </w:r>
      <w:r>
        <w:rPr>
          <w:snapToGrid w:val="0"/>
        </w:rPr>
        <w:tab/>
        <w:t>Minimum defects liability period</w:t>
      </w:r>
      <w:bookmarkEnd w:id="86"/>
      <w:bookmarkEnd w:id="87"/>
      <w:bookmarkEnd w:id="88"/>
      <w:bookmarkEnd w:id="89"/>
      <w:bookmarkEnd w:id="90"/>
      <w:bookmarkEnd w:id="91"/>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p>
    <w:p>
      <w:pPr>
        <w:pStyle w:val="Defstart"/>
      </w:pPr>
      <w:r>
        <w:rPr>
          <w:b/>
        </w:rPr>
        <w:tab/>
      </w:r>
      <w:r>
        <w:rPr>
          <w:rStyle w:val="CharDefText"/>
        </w:rPr>
        <w:t>defect</w:t>
      </w:r>
      <w:r>
        <w:t xml:space="preserve"> means a failure —</w:t>
      </w:r>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r>
        <w:tab/>
        <w:t>not being a failure for which the builder is specifically declared by the contract to be not liable;</w:t>
      </w:r>
    </w:p>
    <w:p>
      <w:pPr>
        <w:pStyle w:val="Defstart"/>
      </w:pPr>
      <w:r>
        <w:rPr>
          <w:b/>
        </w:rPr>
        <w:tab/>
      </w:r>
      <w:r>
        <w:rPr>
          <w:rStyle w:val="CharDefText"/>
        </w:rPr>
        <w:t>practical completion</w:t>
      </w:r>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92" w:name="_Toc521487150"/>
      <w:bookmarkStart w:id="93" w:name="_Toc522337178"/>
      <w:bookmarkStart w:id="94" w:name="_Toc527365396"/>
      <w:bookmarkStart w:id="95" w:name="_Toc530458604"/>
      <w:bookmarkStart w:id="96" w:name="_Toc530460466"/>
      <w:bookmarkStart w:id="97" w:name="_Toc211745923"/>
      <w:r>
        <w:rPr>
          <w:rStyle w:val="CharSectno"/>
        </w:rPr>
        <w:t>12</w:t>
      </w:r>
      <w:r>
        <w:rPr>
          <w:snapToGrid w:val="0"/>
        </w:rPr>
        <w:t>.</w:t>
      </w:r>
      <w:r>
        <w:rPr>
          <w:snapToGrid w:val="0"/>
        </w:rPr>
        <w:tab/>
        <w:t>Understatement of prime cost items etc.</w:t>
      </w:r>
      <w:bookmarkEnd w:id="92"/>
      <w:bookmarkEnd w:id="93"/>
      <w:bookmarkEnd w:id="94"/>
      <w:bookmarkEnd w:id="95"/>
      <w:bookmarkEnd w:id="96"/>
      <w:bookmarkEnd w:id="97"/>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98" w:name="_Toc521487151"/>
      <w:bookmarkStart w:id="99" w:name="_Toc522337179"/>
      <w:bookmarkStart w:id="100" w:name="_Toc527365397"/>
      <w:bookmarkStart w:id="101" w:name="_Toc530458605"/>
      <w:bookmarkStart w:id="102" w:name="_Toc530460467"/>
      <w:bookmarkStart w:id="103" w:name="_Toc21174592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98"/>
      <w:bookmarkEnd w:id="99"/>
      <w:bookmarkEnd w:id="100"/>
      <w:bookmarkEnd w:id="101"/>
      <w:bookmarkEnd w:id="102"/>
      <w:bookmarkEnd w:id="103"/>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r>
        <w:rPr>
          <w:rStyle w:val="CharDefText"/>
        </w:rPr>
        <w:t>rise</w:t>
      </w:r>
      <w:r>
        <w:rPr>
          <w:rStyle w:val="CharDefText"/>
        </w:rPr>
        <w:noBreakHyphen/>
        <w:t>and</w:t>
      </w:r>
      <w:r>
        <w:rPr>
          <w:rStyle w:val="CharDefText"/>
        </w:rPr>
        <w:noBreakHyphen/>
        <w:t>fall clause</w:t>
      </w:r>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104" w:name="_Toc521487152"/>
      <w:bookmarkStart w:id="105" w:name="_Toc522337180"/>
      <w:bookmarkStart w:id="106" w:name="_Toc527365398"/>
      <w:bookmarkStart w:id="107" w:name="_Toc530458606"/>
      <w:bookmarkStart w:id="108" w:name="_Toc530460468"/>
      <w:bookmarkStart w:id="109" w:name="_Toc211745925"/>
      <w:r>
        <w:rPr>
          <w:rStyle w:val="CharSectno"/>
        </w:rPr>
        <w:t>14</w:t>
      </w:r>
      <w:r>
        <w:rPr>
          <w:snapToGrid w:val="0"/>
        </w:rPr>
        <w:t>.</w:t>
      </w:r>
      <w:r>
        <w:rPr>
          <w:snapToGrid w:val="0"/>
        </w:rPr>
        <w:tab/>
        <w:t>Cost plus contracts</w:t>
      </w:r>
      <w:bookmarkEnd w:id="104"/>
      <w:bookmarkEnd w:id="105"/>
      <w:bookmarkEnd w:id="106"/>
      <w:bookmarkEnd w:id="107"/>
      <w:bookmarkEnd w:id="108"/>
      <w:bookmarkEnd w:id="109"/>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110" w:name="_Toc521487153"/>
      <w:bookmarkStart w:id="111" w:name="_Toc522337181"/>
      <w:bookmarkStart w:id="112" w:name="_Toc527365399"/>
      <w:bookmarkStart w:id="113" w:name="_Toc530458607"/>
      <w:bookmarkStart w:id="114" w:name="_Toc530460469"/>
      <w:bookmarkStart w:id="115" w:name="_Toc211745926"/>
      <w:r>
        <w:rPr>
          <w:rStyle w:val="CharSectno"/>
        </w:rPr>
        <w:t>15</w:t>
      </w:r>
      <w:r>
        <w:rPr>
          <w:snapToGrid w:val="0"/>
        </w:rPr>
        <w:t>.</w:t>
      </w:r>
      <w:r>
        <w:rPr>
          <w:snapToGrid w:val="0"/>
        </w:rPr>
        <w:tab/>
        <w:t>Conduct or terms of contract that are unconscionable etc.</w:t>
      </w:r>
      <w:bookmarkEnd w:id="110"/>
      <w:bookmarkEnd w:id="111"/>
      <w:bookmarkEnd w:id="112"/>
      <w:bookmarkEnd w:id="113"/>
      <w:bookmarkEnd w:id="114"/>
      <w:bookmarkEnd w:id="115"/>
    </w:p>
    <w:p>
      <w:pPr>
        <w:pStyle w:val="Subsection"/>
        <w:rPr>
          <w:snapToGrid w:val="0"/>
        </w:rPr>
      </w:pPr>
      <w:r>
        <w:rPr>
          <w:snapToGrid w:val="0"/>
        </w:rPr>
        <w:tab/>
        <w:t>(1)</w:t>
      </w:r>
      <w:r>
        <w:rPr>
          <w:snapToGrid w:val="0"/>
        </w:rPr>
        <w:tab/>
        <w:t>A builder must not —</w:t>
      </w:r>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116" w:name="_Toc521487154"/>
      <w:bookmarkStart w:id="117" w:name="_Toc522337182"/>
      <w:bookmarkStart w:id="118" w:name="_Toc527365400"/>
      <w:bookmarkStart w:id="119" w:name="_Toc530458608"/>
      <w:bookmarkStart w:id="120" w:name="_Toc530460470"/>
      <w:bookmarkStart w:id="121" w:name="_Toc211745927"/>
      <w:r>
        <w:rPr>
          <w:rStyle w:val="CharSectno"/>
        </w:rPr>
        <w:t>15A</w:t>
      </w:r>
      <w:r>
        <w:t>.</w:t>
      </w:r>
      <w:r>
        <w:tab/>
        <w:t>Misleading or deceptive conduct</w:t>
      </w:r>
      <w:bookmarkEnd w:id="116"/>
      <w:bookmarkEnd w:id="117"/>
      <w:bookmarkEnd w:id="118"/>
      <w:bookmarkEnd w:id="119"/>
      <w:bookmarkEnd w:id="120"/>
      <w:bookmarkEnd w:id="121"/>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122" w:name="_Toc89521542"/>
      <w:bookmarkStart w:id="123" w:name="_Toc89521611"/>
      <w:bookmarkStart w:id="124" w:name="_Toc96246657"/>
      <w:bookmarkStart w:id="125" w:name="_Toc97107126"/>
      <w:bookmarkStart w:id="126" w:name="_Toc102365975"/>
      <w:bookmarkStart w:id="127" w:name="_Toc103066998"/>
      <w:bookmarkStart w:id="128" w:name="_Toc124730095"/>
      <w:bookmarkStart w:id="129" w:name="_Toc124734148"/>
      <w:bookmarkStart w:id="130" w:name="_Toc124748230"/>
      <w:bookmarkStart w:id="131" w:name="_Toc127681779"/>
      <w:bookmarkStart w:id="132" w:name="_Toc129579991"/>
      <w:bookmarkStart w:id="133" w:name="_Toc211745928"/>
      <w:r>
        <w:rPr>
          <w:rStyle w:val="CharPartNo"/>
        </w:rPr>
        <w:t>Part 3</w:t>
      </w:r>
      <w:r>
        <w:rPr>
          <w:rStyle w:val="CharDivNo"/>
        </w:rPr>
        <w:t> </w:t>
      </w:r>
      <w:r>
        <w:t>—</w:t>
      </w:r>
      <w:r>
        <w:rPr>
          <w:rStyle w:val="CharDivText"/>
        </w:rPr>
        <w:t> </w:t>
      </w:r>
      <w:r>
        <w:rPr>
          <w:rStyle w:val="CharPartText"/>
        </w:rPr>
        <w:t>Remedies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521487155"/>
      <w:bookmarkStart w:id="135" w:name="_Toc522337183"/>
      <w:bookmarkStart w:id="136" w:name="_Toc527365401"/>
      <w:bookmarkStart w:id="137" w:name="_Toc530458609"/>
      <w:bookmarkStart w:id="138" w:name="_Toc530460471"/>
      <w:bookmarkStart w:id="139" w:name="_Toc211745929"/>
      <w:r>
        <w:rPr>
          <w:rStyle w:val="CharSectno"/>
        </w:rPr>
        <w:t>16</w:t>
      </w:r>
      <w:r>
        <w:rPr>
          <w:snapToGrid w:val="0"/>
        </w:rPr>
        <w:t>.</w:t>
      </w:r>
      <w:r>
        <w:rPr>
          <w:snapToGrid w:val="0"/>
        </w:rPr>
        <w:tab/>
        <w:t>Disputes Tribunal’s jurisdiction limited</w:t>
      </w:r>
      <w:bookmarkEnd w:id="134"/>
      <w:bookmarkEnd w:id="135"/>
      <w:bookmarkEnd w:id="136"/>
      <w:bookmarkEnd w:id="137"/>
      <w:bookmarkEnd w:id="138"/>
      <w:bookmarkEnd w:id="139"/>
    </w:p>
    <w:p>
      <w:pPr>
        <w:pStyle w:val="Subsection"/>
        <w:rPr>
          <w:snapToGrid w:val="0"/>
        </w:rPr>
      </w:pPr>
      <w:r>
        <w:rPr>
          <w:snapToGrid w:val="0"/>
        </w:rPr>
        <w:tab/>
        <w:t>(1)</w:t>
      </w:r>
      <w:r>
        <w:rPr>
          <w:snapToGrid w:val="0"/>
        </w:rPr>
        <w:tab/>
        <w:t>The Disputes Tribunal does not have jurisdiction under this Part to order —</w:t>
      </w:r>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r>
        <w:rPr>
          <w:rStyle w:val="CharDefText"/>
        </w:rPr>
        <w:t>the prescribed amount</w:t>
      </w:r>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140" w:name="_Toc521487156"/>
      <w:bookmarkStart w:id="141" w:name="_Toc522337184"/>
      <w:bookmarkStart w:id="142" w:name="_Toc527365402"/>
      <w:bookmarkStart w:id="143" w:name="_Toc530458610"/>
      <w:bookmarkStart w:id="144" w:name="_Toc530460472"/>
      <w:bookmarkStart w:id="145" w:name="_Toc211745930"/>
      <w:r>
        <w:rPr>
          <w:rStyle w:val="CharSectno"/>
        </w:rPr>
        <w:t>17</w:t>
      </w:r>
      <w:r>
        <w:rPr>
          <w:snapToGrid w:val="0"/>
        </w:rPr>
        <w:t>.</w:t>
      </w:r>
      <w:r>
        <w:rPr>
          <w:snapToGrid w:val="0"/>
        </w:rPr>
        <w:tab/>
        <w:t>Applications for relief, and orders</w:t>
      </w:r>
      <w:bookmarkEnd w:id="140"/>
      <w:bookmarkEnd w:id="141"/>
      <w:bookmarkEnd w:id="142"/>
      <w:bookmarkEnd w:id="143"/>
      <w:bookmarkEnd w:id="144"/>
      <w:bookmarkEnd w:id="145"/>
    </w:p>
    <w:p>
      <w:pPr>
        <w:pStyle w:val="Subsection"/>
        <w:rPr>
          <w:snapToGrid w:val="0"/>
        </w:rPr>
      </w:pPr>
      <w:r>
        <w:rPr>
          <w:snapToGrid w:val="0"/>
        </w:rPr>
        <w:tab/>
        <w:t>(1)</w:t>
      </w:r>
      <w:r>
        <w:rPr>
          <w:snapToGrid w:val="0"/>
        </w:rPr>
        <w:tab/>
        <w:t>Where an owner or a builder under a contract claims that —</w:t>
      </w:r>
    </w:p>
    <w:p>
      <w:pPr>
        <w:pStyle w:val="Indenta"/>
        <w:rPr>
          <w:snapToGrid w:val="0"/>
        </w:rPr>
      </w:pPr>
      <w:r>
        <w:rPr>
          <w:snapToGrid w:val="0"/>
        </w:rPr>
        <w:tab/>
        <w:t>(a)</w:t>
      </w:r>
      <w:r>
        <w:rPr>
          <w:snapToGrid w:val="0"/>
        </w:rPr>
        <w:tab/>
        <w:t>there has been a breach of —</w:t>
      </w:r>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p>
    <w:p>
      <w:pPr>
        <w:pStyle w:val="Indenta"/>
        <w:rPr>
          <w:snapToGrid w:val="0"/>
        </w:rPr>
      </w:pPr>
      <w:r>
        <w:rPr>
          <w:snapToGrid w:val="0"/>
        </w:rPr>
        <w:tab/>
        <w:t>(a)</w:t>
      </w:r>
      <w:r>
        <w:rPr>
          <w:snapToGrid w:val="0"/>
        </w:rPr>
        <w:tab/>
        <w:t>by such order as it considers appropriate in the circumstances —</w:t>
      </w:r>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146" w:name="_Toc521487157"/>
      <w:bookmarkStart w:id="147" w:name="_Toc522337185"/>
      <w:bookmarkStart w:id="148" w:name="_Toc527365403"/>
      <w:bookmarkStart w:id="149" w:name="_Toc530458611"/>
      <w:bookmarkStart w:id="150" w:name="_Toc530460473"/>
      <w:bookmarkStart w:id="151" w:name="_Toc211745931"/>
      <w:r>
        <w:rPr>
          <w:rStyle w:val="CharSectno"/>
        </w:rPr>
        <w:t>18</w:t>
      </w:r>
      <w:r>
        <w:rPr>
          <w:snapToGrid w:val="0"/>
        </w:rPr>
        <w:t>.</w:t>
      </w:r>
      <w:r>
        <w:rPr>
          <w:snapToGrid w:val="0"/>
        </w:rPr>
        <w:tab/>
        <w:t>Orders for payment while case pending</w:t>
      </w:r>
      <w:bookmarkEnd w:id="146"/>
      <w:bookmarkEnd w:id="147"/>
      <w:bookmarkEnd w:id="148"/>
      <w:bookmarkEnd w:id="149"/>
      <w:bookmarkEnd w:id="150"/>
      <w:bookmarkEnd w:id="151"/>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p>
    <w:p>
      <w:pPr>
        <w:pStyle w:val="Heading5"/>
        <w:rPr>
          <w:snapToGrid w:val="0"/>
        </w:rPr>
      </w:pPr>
      <w:bookmarkStart w:id="152" w:name="_Toc521487158"/>
      <w:bookmarkStart w:id="153" w:name="_Toc522337186"/>
      <w:bookmarkStart w:id="154" w:name="_Toc527365404"/>
      <w:bookmarkStart w:id="155" w:name="_Toc530458612"/>
      <w:bookmarkStart w:id="156" w:name="_Toc530460474"/>
      <w:bookmarkStart w:id="157" w:name="_Toc211745932"/>
      <w:r>
        <w:rPr>
          <w:rStyle w:val="CharSectno"/>
        </w:rPr>
        <w:t>19</w:t>
      </w:r>
      <w:r>
        <w:rPr>
          <w:snapToGrid w:val="0"/>
        </w:rPr>
        <w:t>.</w:t>
      </w:r>
      <w:r>
        <w:rPr>
          <w:snapToGrid w:val="0"/>
        </w:rPr>
        <w:tab/>
        <w:t>How contract terminated</w:t>
      </w:r>
      <w:bookmarkEnd w:id="152"/>
      <w:bookmarkEnd w:id="153"/>
      <w:bookmarkEnd w:id="154"/>
      <w:bookmarkEnd w:id="155"/>
      <w:bookmarkEnd w:id="156"/>
      <w:bookmarkEnd w:id="157"/>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158" w:name="_Toc521487159"/>
      <w:bookmarkStart w:id="159" w:name="_Toc522337187"/>
      <w:bookmarkStart w:id="160" w:name="_Toc527365405"/>
      <w:bookmarkStart w:id="161" w:name="_Toc530458613"/>
      <w:bookmarkStart w:id="162" w:name="_Toc530460475"/>
      <w:bookmarkStart w:id="163" w:name="_Toc211745933"/>
      <w:r>
        <w:rPr>
          <w:rStyle w:val="CharSectno"/>
        </w:rPr>
        <w:t>20</w:t>
      </w:r>
      <w:r>
        <w:rPr>
          <w:snapToGrid w:val="0"/>
        </w:rPr>
        <w:t>.</w:t>
      </w:r>
      <w:r>
        <w:rPr>
          <w:snapToGrid w:val="0"/>
        </w:rPr>
        <w:tab/>
        <w:t>Adjustment of rights in certain cases</w:t>
      </w:r>
      <w:bookmarkEnd w:id="158"/>
      <w:bookmarkEnd w:id="159"/>
      <w:bookmarkEnd w:id="160"/>
      <w:bookmarkEnd w:id="161"/>
      <w:bookmarkEnd w:id="162"/>
      <w:bookmarkEnd w:id="163"/>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164" w:name="_Toc521487160"/>
      <w:bookmarkStart w:id="165" w:name="_Toc522337188"/>
      <w:bookmarkStart w:id="166" w:name="_Toc527365406"/>
      <w:bookmarkStart w:id="167" w:name="_Toc530458614"/>
      <w:bookmarkStart w:id="168" w:name="_Toc530460476"/>
      <w:bookmarkStart w:id="169" w:name="_Toc211745934"/>
      <w:r>
        <w:rPr>
          <w:rStyle w:val="CharSectno"/>
        </w:rPr>
        <w:t>21</w:t>
      </w:r>
      <w:r>
        <w:rPr>
          <w:snapToGrid w:val="0"/>
        </w:rPr>
        <w:t>.</w:t>
      </w:r>
      <w:r>
        <w:rPr>
          <w:snapToGrid w:val="0"/>
        </w:rPr>
        <w:tab/>
        <w:t>Remedy for breach of section 15</w:t>
      </w:r>
      <w:bookmarkEnd w:id="164"/>
      <w:bookmarkEnd w:id="165"/>
      <w:bookmarkEnd w:id="166"/>
      <w:bookmarkEnd w:id="167"/>
      <w:bookmarkEnd w:id="168"/>
      <w:bookmarkEnd w:id="169"/>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170" w:name="_Toc521487161"/>
      <w:bookmarkStart w:id="171" w:name="_Toc522337189"/>
      <w:bookmarkStart w:id="172" w:name="_Toc527365407"/>
      <w:bookmarkStart w:id="173" w:name="_Toc530458615"/>
      <w:bookmarkStart w:id="174" w:name="_Toc530460477"/>
      <w:bookmarkStart w:id="175" w:name="_Toc211745935"/>
      <w:r>
        <w:rPr>
          <w:rStyle w:val="CharSectno"/>
        </w:rPr>
        <w:t>22</w:t>
      </w:r>
      <w:r>
        <w:rPr>
          <w:snapToGrid w:val="0"/>
        </w:rPr>
        <w:t>.</w:t>
      </w:r>
      <w:r>
        <w:rPr>
          <w:snapToGrid w:val="0"/>
        </w:rPr>
        <w:tab/>
        <w:t>Avoidance of concurrent proceedings</w:t>
      </w:r>
      <w:bookmarkEnd w:id="170"/>
      <w:bookmarkEnd w:id="171"/>
      <w:bookmarkEnd w:id="172"/>
      <w:bookmarkEnd w:id="173"/>
      <w:bookmarkEnd w:id="174"/>
      <w:bookmarkEnd w:id="175"/>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176" w:name="_Toc521487162"/>
      <w:bookmarkStart w:id="177" w:name="_Toc522337190"/>
      <w:bookmarkStart w:id="178" w:name="_Toc527365408"/>
      <w:bookmarkStart w:id="179" w:name="_Toc530458616"/>
      <w:bookmarkStart w:id="180" w:name="_Toc530460478"/>
      <w:bookmarkStart w:id="181" w:name="_Toc211745936"/>
      <w:r>
        <w:rPr>
          <w:rStyle w:val="CharSectno"/>
        </w:rPr>
        <w:t>23</w:t>
      </w:r>
      <w:r>
        <w:rPr>
          <w:snapToGrid w:val="0"/>
        </w:rPr>
        <w:t>.</w:t>
      </w:r>
      <w:r>
        <w:rPr>
          <w:snapToGrid w:val="0"/>
        </w:rPr>
        <w:tab/>
        <w:t>Transfer of proceedings</w:t>
      </w:r>
      <w:bookmarkEnd w:id="176"/>
      <w:bookmarkEnd w:id="177"/>
      <w:bookmarkEnd w:id="178"/>
      <w:bookmarkEnd w:id="179"/>
      <w:bookmarkEnd w:id="180"/>
      <w:bookmarkEnd w:id="181"/>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182" w:name="_Toc521487163"/>
      <w:bookmarkStart w:id="183" w:name="_Toc522337191"/>
      <w:bookmarkStart w:id="184" w:name="_Toc527365409"/>
      <w:bookmarkStart w:id="185" w:name="_Toc530458617"/>
      <w:bookmarkStart w:id="186" w:name="_Toc530460479"/>
      <w:bookmarkStart w:id="187" w:name="_Toc211745937"/>
      <w:r>
        <w:rPr>
          <w:rStyle w:val="CharSectno"/>
        </w:rPr>
        <w:t>24</w:t>
      </w:r>
      <w:r>
        <w:rPr>
          <w:snapToGrid w:val="0"/>
        </w:rPr>
        <w:t>.</w:t>
      </w:r>
      <w:r>
        <w:rPr>
          <w:snapToGrid w:val="0"/>
        </w:rPr>
        <w:tab/>
        <w:t>Settlement</w:t>
      </w:r>
      <w:bookmarkEnd w:id="182"/>
      <w:bookmarkEnd w:id="183"/>
      <w:bookmarkEnd w:id="184"/>
      <w:bookmarkEnd w:id="185"/>
      <w:bookmarkEnd w:id="186"/>
      <w:bookmarkEnd w:id="187"/>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Deleted by No. 76 of 2000 s. 55.]</w:t>
      </w:r>
    </w:p>
    <w:p>
      <w:pPr>
        <w:pStyle w:val="Heading2"/>
      </w:pPr>
      <w:bookmarkStart w:id="188" w:name="_Toc89521552"/>
      <w:bookmarkStart w:id="189" w:name="_Toc89521621"/>
      <w:bookmarkStart w:id="190" w:name="_Toc96246667"/>
      <w:bookmarkStart w:id="191" w:name="_Toc97107136"/>
      <w:bookmarkStart w:id="192" w:name="_Toc102365985"/>
      <w:bookmarkStart w:id="193" w:name="_Toc103067008"/>
      <w:bookmarkStart w:id="194" w:name="_Toc124730105"/>
      <w:bookmarkStart w:id="195" w:name="_Toc124734158"/>
      <w:bookmarkStart w:id="196" w:name="_Toc124748240"/>
      <w:bookmarkStart w:id="197" w:name="_Toc127681789"/>
      <w:bookmarkStart w:id="198" w:name="_Toc129580001"/>
      <w:bookmarkStart w:id="199" w:name="_Toc211745938"/>
      <w:r>
        <w:rPr>
          <w:rStyle w:val="CharPartNo"/>
        </w:rPr>
        <w:t>Part 3A</w:t>
      </w:r>
      <w:r>
        <w:t> — </w:t>
      </w:r>
      <w:r>
        <w:rPr>
          <w:rStyle w:val="CharPartText"/>
        </w:rPr>
        <w:t>Home indemnity insurance and corresponding cover</w:t>
      </w:r>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rPr>
          <w:snapToGrid w:val="0"/>
        </w:rPr>
      </w:pPr>
      <w:r>
        <w:rPr>
          <w:snapToGrid w:val="0"/>
        </w:rPr>
        <w:tab/>
        <w:t>[Heading inserted by No. 72 of 1996 s. 5; amended by No. 37 of 2002 s. 8.]</w:t>
      </w:r>
    </w:p>
    <w:p>
      <w:pPr>
        <w:pStyle w:val="Heading3"/>
      </w:pPr>
      <w:bookmarkStart w:id="200" w:name="_Toc89521553"/>
      <w:bookmarkStart w:id="201" w:name="_Toc89521622"/>
      <w:bookmarkStart w:id="202" w:name="_Toc96246668"/>
      <w:bookmarkStart w:id="203" w:name="_Toc97107137"/>
      <w:bookmarkStart w:id="204" w:name="_Toc102365986"/>
      <w:bookmarkStart w:id="205" w:name="_Toc103067009"/>
      <w:bookmarkStart w:id="206" w:name="_Toc124730106"/>
      <w:bookmarkStart w:id="207" w:name="_Toc124734159"/>
      <w:bookmarkStart w:id="208" w:name="_Toc124748241"/>
      <w:bookmarkStart w:id="209" w:name="_Toc127681790"/>
      <w:bookmarkStart w:id="210" w:name="_Toc129580002"/>
      <w:bookmarkStart w:id="211" w:name="_Toc211745939"/>
      <w:r>
        <w:rPr>
          <w:rStyle w:val="CharDivNo"/>
        </w:rPr>
        <w:t>Division 1</w:t>
      </w:r>
      <w:r>
        <w:rPr>
          <w:snapToGrid w:val="0"/>
        </w:rPr>
        <w:t> — </w:t>
      </w:r>
      <w:r>
        <w:rPr>
          <w:rStyle w:val="CharDivText"/>
        </w:rPr>
        <w:t>Introduction</w:t>
      </w:r>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rPr>
          <w:snapToGrid w:val="0"/>
        </w:rPr>
      </w:pPr>
      <w:r>
        <w:rPr>
          <w:snapToGrid w:val="0"/>
        </w:rPr>
        <w:tab/>
        <w:t>[Heading inserted by No. 72 of 1996 s. 5.]</w:t>
      </w:r>
    </w:p>
    <w:p>
      <w:pPr>
        <w:pStyle w:val="Heading5"/>
        <w:rPr>
          <w:snapToGrid w:val="0"/>
        </w:rPr>
      </w:pPr>
      <w:bookmarkStart w:id="212" w:name="_Toc521487164"/>
      <w:bookmarkStart w:id="213" w:name="_Toc522337192"/>
      <w:bookmarkStart w:id="214" w:name="_Toc527365410"/>
      <w:bookmarkStart w:id="215" w:name="_Toc530458618"/>
      <w:bookmarkStart w:id="216" w:name="_Toc530460480"/>
      <w:bookmarkStart w:id="217" w:name="_Toc211745940"/>
      <w:r>
        <w:rPr>
          <w:rStyle w:val="CharSectno"/>
        </w:rPr>
        <w:t>25A</w:t>
      </w:r>
      <w:r>
        <w:rPr>
          <w:snapToGrid w:val="0"/>
        </w:rPr>
        <w:t xml:space="preserve">. </w:t>
      </w:r>
      <w:r>
        <w:rPr>
          <w:snapToGrid w:val="0"/>
        </w:rPr>
        <w:tab/>
        <w:t>Interpretation</w:t>
      </w:r>
      <w:bookmarkEnd w:id="212"/>
      <w:bookmarkEnd w:id="213"/>
      <w:bookmarkEnd w:id="214"/>
      <w:bookmarkEnd w:id="215"/>
      <w:bookmarkEnd w:id="216"/>
      <w:bookmarkEnd w:id="217"/>
    </w:p>
    <w:p>
      <w:pPr>
        <w:pStyle w:val="Subsection"/>
        <w:rPr>
          <w:snapToGrid w:val="0"/>
        </w:rPr>
      </w:pPr>
      <w:r>
        <w:rPr>
          <w:snapToGrid w:val="0"/>
        </w:rPr>
        <w:tab/>
      </w:r>
      <w:r>
        <w:rPr>
          <w:snapToGrid w:val="0"/>
        </w:rPr>
        <w:tab/>
        <w:t>In this Part —</w:t>
      </w:r>
    </w:p>
    <w:p>
      <w:pPr>
        <w:pStyle w:val="Defstart"/>
      </w:pPr>
      <w:r>
        <w:tab/>
      </w:r>
      <w:r>
        <w:rPr>
          <w:rStyle w:val="CharDefText"/>
        </w:rPr>
        <w:t>approved fund</w:t>
      </w:r>
      <w:r>
        <w:t xml:space="preserve"> means a fund that is approved under section 25GB;</w:t>
      </w:r>
    </w:p>
    <w:p>
      <w:pPr>
        <w:pStyle w:val="Defstart"/>
      </w:pPr>
      <w:r>
        <w:rPr>
          <w:b/>
        </w:rPr>
        <w:tab/>
      </w:r>
      <w:r>
        <w:rPr>
          <w:rStyle w:val="CharDefText"/>
        </w:rPr>
        <w:t>builder</w:t>
      </w:r>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r>
        <w:rPr>
          <w:rStyle w:val="CharDefText"/>
        </w:rPr>
        <w:t>building contract</w:t>
      </w:r>
      <w:r>
        <w:t xml:space="preserve"> means —</w:t>
      </w:r>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corresponding cover</w:t>
      </w:r>
      <w:r>
        <w:t> —</w:t>
      </w:r>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r>
        <w:rPr>
          <w:rStyle w:val="CharDefText"/>
        </w:rPr>
        <w:t>cost of the building work</w:t>
      </w:r>
      <w:r>
        <w:t xml:space="preserve"> means —</w:t>
      </w:r>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r>
        <w:rPr>
          <w:rStyle w:val="CharDefText"/>
        </w:rPr>
        <w:t>developer</w:t>
      </w:r>
      <w:r>
        <w:t xml:space="preserve"> means a person for whom residential building work is performed under a building contract in relation to 4 or more dwellings;</w:t>
      </w:r>
    </w:p>
    <w:p>
      <w:pPr>
        <w:pStyle w:val="Defstart"/>
      </w:pPr>
      <w:r>
        <w:rPr>
          <w:b/>
        </w:rPr>
        <w:tab/>
      </w:r>
      <w:r>
        <w:rPr>
          <w:rStyle w:val="CharDefText"/>
        </w:rPr>
        <w:t>insolvency</w:t>
      </w:r>
      <w:r>
        <w:t xml:space="preserve"> means —</w:t>
      </w:r>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r>
        <w:rPr>
          <w:rStyle w:val="CharDefText"/>
        </w:rPr>
        <w:t>minimum amount</w:t>
      </w:r>
      <w:r>
        <w:t xml:space="preserve"> means $10 000 or such other amount as is prescribed to be the minimum amount for the purposes of this section;</w:t>
      </w:r>
    </w:p>
    <w:p>
      <w:pPr>
        <w:pStyle w:val="Defstart"/>
      </w:pPr>
      <w:r>
        <w:tab/>
      </w:r>
      <w:r>
        <w:rPr>
          <w:rStyle w:val="CharDefText"/>
        </w:rPr>
        <w:t>owner-builder</w:t>
      </w:r>
      <w:r>
        <w:t>,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r>
        <w:rPr>
          <w:rStyle w:val="CharDefText"/>
        </w:rPr>
        <w:t>rescind</w:t>
      </w:r>
      <w:r>
        <w:t>, in relation to a contract, means to avoid the contract as from its beginning;</w:t>
      </w:r>
    </w:p>
    <w:p>
      <w:pPr>
        <w:pStyle w:val="Defstart"/>
      </w:pPr>
      <w:r>
        <w:rPr>
          <w:b/>
        </w:rPr>
        <w:tab/>
      </w:r>
      <w:r>
        <w:rPr>
          <w:rStyle w:val="CharDefText"/>
        </w:rPr>
        <w:t>residential building work</w:t>
      </w:r>
      <w:r>
        <w:t xml:space="preserve"> means home building work that is —</w:t>
      </w:r>
    </w:p>
    <w:p>
      <w:pPr>
        <w:pStyle w:val="Defpara"/>
      </w:pPr>
      <w:r>
        <w:tab/>
        <w:t>(a)</w:t>
      </w:r>
      <w:r>
        <w:tab/>
        <w:t>home building work described in paragraph (a), (b) or (c) of the definition of that term in section 3; or</w:t>
      </w:r>
    </w:p>
    <w:p>
      <w:pPr>
        <w:pStyle w:val="Defpara"/>
      </w:pPr>
      <w:r>
        <w:tab/>
        <w:t>(b)</w:t>
      </w:r>
      <w:r>
        <w:tab/>
        <w:t>home building work described in paragraph (d) of the definition of that term in section 3, when —</w:t>
      </w:r>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p>
    <w:p>
      <w:pPr>
        <w:pStyle w:val="Defpara"/>
      </w:pPr>
      <w:r>
        <w:tab/>
      </w:r>
      <w:r>
        <w:tab/>
        <w:t>but does not include home building work where the cost of the building work is the minimum amount or less;</w:t>
      </w:r>
    </w:p>
    <w:p>
      <w:pPr>
        <w:pStyle w:val="Defstart"/>
      </w:pPr>
      <w:r>
        <w:rPr>
          <w:b/>
        </w:rPr>
        <w:tab/>
      </w:r>
      <w:r>
        <w:rPr>
          <w:rStyle w:val="CharDefText"/>
        </w:rPr>
        <w:t>residential building work contract</w:t>
      </w:r>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r>
        <w:rPr>
          <w:rStyle w:val="CharDefText"/>
        </w:rPr>
        <w:t>sale contract</w:t>
      </w:r>
      <w:r>
        <w:t>, in respect of residential building work performed by a builder or owner</w:t>
      </w:r>
      <w:r>
        <w:noBreakHyphen/>
        <w:t>builder, means a contract to sell or otherwise dispose of —</w:t>
      </w:r>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r>
        <w:rPr>
          <w:rStyle w:val="CharDefText"/>
        </w:rPr>
        <w:t>settlement</w:t>
      </w:r>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p>
    <w:p>
      <w:pPr>
        <w:pStyle w:val="Heading3"/>
      </w:pPr>
      <w:bookmarkStart w:id="218" w:name="_Toc89521555"/>
      <w:bookmarkStart w:id="219" w:name="_Toc89521624"/>
      <w:bookmarkStart w:id="220" w:name="_Toc96246670"/>
      <w:bookmarkStart w:id="221" w:name="_Toc97107139"/>
      <w:bookmarkStart w:id="222" w:name="_Toc102365988"/>
      <w:bookmarkStart w:id="223" w:name="_Toc103067011"/>
      <w:bookmarkStart w:id="224" w:name="_Toc124730108"/>
      <w:bookmarkStart w:id="225" w:name="_Toc124734161"/>
      <w:bookmarkStart w:id="226" w:name="_Toc124748243"/>
      <w:bookmarkStart w:id="227" w:name="_Toc127681792"/>
      <w:bookmarkStart w:id="228" w:name="_Toc129580004"/>
      <w:bookmarkStart w:id="229" w:name="_Toc211745941"/>
      <w:r>
        <w:rPr>
          <w:rStyle w:val="CharDivNo"/>
        </w:rPr>
        <w:t>Division 2</w:t>
      </w:r>
      <w:r>
        <w:rPr>
          <w:snapToGrid w:val="0"/>
        </w:rPr>
        <w:t> — </w:t>
      </w:r>
      <w:r>
        <w:rPr>
          <w:rStyle w:val="CharDivText"/>
        </w:rPr>
        <w:t>Builders</w:t>
      </w:r>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rPr>
          <w:snapToGrid w:val="0"/>
        </w:rPr>
      </w:pPr>
      <w:r>
        <w:rPr>
          <w:snapToGrid w:val="0"/>
        </w:rPr>
        <w:tab/>
        <w:t>[Heading inserted by No. 72 of 1996 s. 5.]</w:t>
      </w:r>
    </w:p>
    <w:p>
      <w:pPr>
        <w:pStyle w:val="Heading5"/>
        <w:rPr>
          <w:snapToGrid w:val="0"/>
        </w:rPr>
      </w:pPr>
      <w:bookmarkStart w:id="230" w:name="_Toc521487165"/>
      <w:bookmarkStart w:id="231" w:name="_Toc522337193"/>
      <w:bookmarkStart w:id="232" w:name="_Toc527365411"/>
      <w:bookmarkStart w:id="233" w:name="_Toc530458619"/>
      <w:bookmarkStart w:id="234" w:name="_Toc530460481"/>
      <w:bookmarkStart w:id="235" w:name="_Toc211745942"/>
      <w:r>
        <w:rPr>
          <w:rStyle w:val="CharSectno"/>
        </w:rPr>
        <w:t>25B</w:t>
      </w:r>
      <w:r>
        <w:rPr>
          <w:snapToGrid w:val="0"/>
        </w:rPr>
        <w:t xml:space="preserve">. </w:t>
      </w:r>
      <w:r>
        <w:rPr>
          <w:snapToGrid w:val="0"/>
        </w:rPr>
        <w:tab/>
        <w:t>Application of this Division</w:t>
      </w:r>
      <w:bookmarkEnd w:id="230"/>
      <w:bookmarkEnd w:id="231"/>
      <w:bookmarkEnd w:id="232"/>
      <w:bookmarkEnd w:id="233"/>
      <w:bookmarkEnd w:id="234"/>
      <w:bookmarkEnd w:id="235"/>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r>
        <w:rPr>
          <w:rStyle w:val="CharDefText"/>
        </w:rPr>
        <w:t>insurance</w:t>
      </w:r>
      <w:r>
        <w:t xml:space="preserve"> means a policy of insurance that complies with Division 2, or corresponding cover provided by an approved fund.</w:t>
      </w:r>
    </w:p>
    <w:p>
      <w:pPr>
        <w:pStyle w:val="Footnotesection"/>
      </w:pPr>
      <w:r>
        <w:tab/>
        <w:t>[Section 25B inserted by No. 72 of 1996 s. 5; amended by No. 37 of 2002 s. 10.]</w:t>
      </w:r>
    </w:p>
    <w:p>
      <w:pPr>
        <w:pStyle w:val="Heading5"/>
        <w:rPr>
          <w:snapToGrid w:val="0"/>
        </w:rPr>
      </w:pPr>
      <w:bookmarkStart w:id="236" w:name="_Toc521487166"/>
      <w:bookmarkStart w:id="237" w:name="_Toc522337194"/>
      <w:bookmarkStart w:id="238" w:name="_Toc527365412"/>
      <w:bookmarkStart w:id="239" w:name="_Toc530458620"/>
      <w:bookmarkStart w:id="240" w:name="_Toc530460482"/>
      <w:bookmarkStart w:id="241" w:name="_Toc211745943"/>
      <w:r>
        <w:rPr>
          <w:rStyle w:val="CharSectno"/>
        </w:rPr>
        <w:t>25C</w:t>
      </w:r>
      <w:r>
        <w:rPr>
          <w:snapToGrid w:val="0"/>
        </w:rPr>
        <w:t xml:space="preserve">. </w:t>
      </w:r>
      <w:r>
        <w:rPr>
          <w:snapToGrid w:val="0"/>
        </w:rPr>
        <w:tab/>
        <w:t>Offence if no insurance</w:t>
      </w:r>
      <w:bookmarkEnd w:id="236"/>
      <w:bookmarkEnd w:id="237"/>
      <w:bookmarkEnd w:id="238"/>
      <w:bookmarkEnd w:id="239"/>
      <w:bookmarkEnd w:id="240"/>
      <w:r>
        <w:rPr>
          <w:snapToGrid w:val="0"/>
        </w:rPr>
        <w:t xml:space="preserve"> or no corresponding cover</w:t>
      </w:r>
      <w:bookmarkEnd w:id="241"/>
    </w:p>
    <w:p>
      <w:pPr>
        <w:pStyle w:val="Subsection"/>
      </w:pPr>
      <w:r>
        <w:tab/>
        <w:t>(1)</w:t>
      </w:r>
      <w:r>
        <w:tab/>
        <w:t>A builder must not perform residential building work to which this Division applies unless —</w:t>
      </w:r>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p>
    <w:p>
      <w:pPr>
        <w:pStyle w:val="Heading5"/>
        <w:rPr>
          <w:snapToGrid w:val="0"/>
        </w:rPr>
      </w:pPr>
      <w:bookmarkStart w:id="242" w:name="_Toc521487167"/>
      <w:bookmarkStart w:id="243" w:name="_Toc522337195"/>
      <w:bookmarkStart w:id="244" w:name="_Toc527365413"/>
      <w:bookmarkStart w:id="245" w:name="_Toc530458621"/>
      <w:bookmarkStart w:id="246" w:name="_Toc530460483"/>
      <w:bookmarkStart w:id="247" w:name="_Toc211745944"/>
      <w:r>
        <w:rPr>
          <w:rStyle w:val="CharSectno"/>
        </w:rPr>
        <w:t>25D</w:t>
      </w:r>
      <w:r>
        <w:rPr>
          <w:snapToGrid w:val="0"/>
        </w:rPr>
        <w:t xml:space="preserve">. </w:t>
      </w:r>
      <w:r>
        <w:rPr>
          <w:snapToGrid w:val="0"/>
        </w:rPr>
        <w:tab/>
        <w:t>Requirements of insurance policy</w:t>
      </w:r>
      <w:bookmarkEnd w:id="242"/>
      <w:bookmarkEnd w:id="243"/>
      <w:bookmarkEnd w:id="244"/>
      <w:bookmarkEnd w:id="245"/>
      <w:bookmarkEnd w:id="246"/>
      <w:bookmarkEnd w:id="247"/>
    </w:p>
    <w:p>
      <w:pPr>
        <w:pStyle w:val="Subsection"/>
        <w:rPr>
          <w:snapToGrid w:val="0"/>
        </w:rPr>
      </w:pPr>
      <w:r>
        <w:rPr>
          <w:snapToGrid w:val="0"/>
        </w:rPr>
        <w:tab/>
        <w:t>(1)</w:t>
      </w:r>
      <w:r>
        <w:rPr>
          <w:snapToGrid w:val="0"/>
        </w:rPr>
        <w:tab/>
        <w:t>A policy of insurance complies with this Division if —</w:t>
      </w:r>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p>
    <w:p>
      <w:pPr>
        <w:pStyle w:val="Heading5"/>
      </w:pPr>
      <w:bookmarkStart w:id="248" w:name="_Toc211745945"/>
      <w:r>
        <w:rPr>
          <w:rStyle w:val="CharSectno"/>
        </w:rPr>
        <w:t>25DA</w:t>
      </w:r>
      <w:r>
        <w:t>.</w:t>
      </w:r>
      <w:r>
        <w:tab/>
        <w:t>Corresponding cover by an approved fund — builders</w:t>
      </w:r>
      <w:bookmarkEnd w:id="248"/>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249" w:name="_Toc89521560"/>
      <w:bookmarkStart w:id="250" w:name="_Toc89521629"/>
      <w:bookmarkStart w:id="251" w:name="_Toc96246675"/>
      <w:bookmarkStart w:id="252" w:name="_Toc97107144"/>
      <w:bookmarkStart w:id="253" w:name="_Toc102365993"/>
      <w:bookmarkStart w:id="254" w:name="_Toc103067016"/>
      <w:bookmarkStart w:id="255" w:name="_Toc124730113"/>
      <w:bookmarkStart w:id="256" w:name="_Toc124734166"/>
      <w:bookmarkStart w:id="257" w:name="_Toc124748248"/>
      <w:bookmarkStart w:id="258" w:name="_Toc127681797"/>
      <w:bookmarkStart w:id="259" w:name="_Toc129580009"/>
      <w:bookmarkStart w:id="260" w:name="_Toc211745946"/>
      <w:r>
        <w:rPr>
          <w:rStyle w:val="CharDivNo"/>
        </w:rPr>
        <w:t>Division 3</w:t>
      </w:r>
      <w:r>
        <w:rPr>
          <w:snapToGrid w:val="0"/>
        </w:rPr>
        <w:t> — </w:t>
      </w:r>
      <w:r>
        <w:rPr>
          <w:rStyle w:val="CharDivText"/>
        </w:rPr>
        <w:t>Owner</w:t>
      </w:r>
      <w:r>
        <w:rPr>
          <w:rStyle w:val="CharDivText"/>
        </w:rPr>
        <w:noBreakHyphen/>
        <w:t>builders</w:t>
      </w:r>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keepNext/>
        <w:rPr>
          <w:snapToGrid w:val="0"/>
        </w:rPr>
      </w:pPr>
      <w:r>
        <w:rPr>
          <w:snapToGrid w:val="0"/>
        </w:rPr>
        <w:tab/>
        <w:t>[Heading inserted by No. 72 of 1996 s. 5.]</w:t>
      </w:r>
    </w:p>
    <w:p>
      <w:pPr>
        <w:pStyle w:val="Heading5"/>
        <w:rPr>
          <w:snapToGrid w:val="0"/>
        </w:rPr>
      </w:pPr>
      <w:bookmarkStart w:id="261" w:name="_Toc521487168"/>
      <w:bookmarkStart w:id="262" w:name="_Toc522337196"/>
      <w:bookmarkStart w:id="263" w:name="_Toc527365414"/>
      <w:bookmarkStart w:id="264" w:name="_Toc530458622"/>
      <w:bookmarkStart w:id="265" w:name="_Toc530460484"/>
      <w:bookmarkStart w:id="266" w:name="_Toc211745947"/>
      <w:r>
        <w:rPr>
          <w:rStyle w:val="CharSectno"/>
        </w:rPr>
        <w:t>25E</w:t>
      </w:r>
      <w:r>
        <w:rPr>
          <w:snapToGrid w:val="0"/>
        </w:rPr>
        <w:t xml:space="preserve">. </w:t>
      </w:r>
      <w:r>
        <w:rPr>
          <w:snapToGrid w:val="0"/>
        </w:rPr>
        <w:tab/>
        <w:t>Application of this Division</w:t>
      </w:r>
      <w:bookmarkEnd w:id="261"/>
      <w:bookmarkEnd w:id="262"/>
      <w:bookmarkEnd w:id="263"/>
      <w:bookmarkEnd w:id="264"/>
      <w:bookmarkEnd w:id="265"/>
      <w:bookmarkEnd w:id="266"/>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w:t>
      </w:r>
      <w:r>
        <w:t xml:space="preserve">before the commencement of the </w:t>
      </w:r>
      <w:r>
        <w:rPr>
          <w:i/>
          <w:iCs/>
        </w:rPr>
        <w:t>Home Building Contracts Amendment Act 1996</w:t>
      </w:r>
      <w:r>
        <w:t>.</w:t>
      </w:r>
    </w:p>
    <w:p>
      <w:pPr>
        <w:pStyle w:val="Footnotesection"/>
      </w:pPr>
      <w:r>
        <w:tab/>
        <w:t>[Section 25E inserted by No. 72 of 1996 s. 5; amended by No. 74 of 2003 s. 66; No. 8 of 2009 s. 75.]</w:t>
      </w:r>
    </w:p>
    <w:p>
      <w:pPr>
        <w:pStyle w:val="Heading5"/>
      </w:pPr>
      <w:bookmarkStart w:id="267" w:name="_Toc211745948"/>
      <w:bookmarkStart w:id="268" w:name="_Toc521487170"/>
      <w:bookmarkStart w:id="269" w:name="_Toc522337198"/>
      <w:bookmarkStart w:id="270" w:name="_Toc527365416"/>
      <w:bookmarkStart w:id="271" w:name="_Toc530458624"/>
      <w:bookmarkStart w:id="272" w:name="_Toc530460486"/>
      <w:r>
        <w:rPr>
          <w:rStyle w:val="CharSectno"/>
        </w:rPr>
        <w:t>25F</w:t>
      </w:r>
      <w:r>
        <w:t>.</w:t>
      </w:r>
      <w:r>
        <w:tab/>
        <w:t>Restriction on sale by owner</w:t>
      </w:r>
      <w:r>
        <w:noBreakHyphen/>
        <w:t>builder</w:t>
      </w:r>
      <w:bookmarkEnd w:id="267"/>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p>
    <w:p>
      <w:pPr>
        <w:pStyle w:val="Indenta"/>
      </w:pPr>
      <w:r>
        <w:tab/>
        <w:t>(a)</w:t>
      </w:r>
      <w:r>
        <w:tab/>
        <w:t>either —</w:t>
      </w:r>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273" w:name="_Toc211745949"/>
      <w:r>
        <w:rPr>
          <w:rStyle w:val="CharSectno"/>
        </w:rPr>
        <w:t>25FA</w:t>
      </w:r>
      <w:r>
        <w:t>.</w:t>
      </w:r>
      <w:r>
        <w:tab/>
        <w:t>Further restrictions on sale by certain owner-builders</w:t>
      </w:r>
      <w:bookmarkEnd w:id="273"/>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274" w:name="_Toc211745950"/>
      <w:r>
        <w:rPr>
          <w:rStyle w:val="CharSectno"/>
        </w:rPr>
        <w:t>25G</w:t>
      </w:r>
      <w:r>
        <w:rPr>
          <w:snapToGrid w:val="0"/>
        </w:rPr>
        <w:t xml:space="preserve">. </w:t>
      </w:r>
      <w:r>
        <w:rPr>
          <w:snapToGrid w:val="0"/>
        </w:rPr>
        <w:tab/>
        <w:t>Requirements of insurance policy</w:t>
      </w:r>
      <w:bookmarkEnd w:id="268"/>
      <w:bookmarkEnd w:id="269"/>
      <w:bookmarkEnd w:id="270"/>
      <w:bookmarkEnd w:id="271"/>
      <w:bookmarkEnd w:id="272"/>
      <w:bookmarkEnd w:id="274"/>
    </w:p>
    <w:p>
      <w:pPr>
        <w:pStyle w:val="Subsection"/>
        <w:rPr>
          <w:snapToGrid w:val="0"/>
        </w:rPr>
      </w:pPr>
      <w:r>
        <w:rPr>
          <w:snapToGrid w:val="0"/>
        </w:rPr>
        <w:tab/>
        <w:t>(1)</w:t>
      </w:r>
      <w:r>
        <w:rPr>
          <w:snapToGrid w:val="0"/>
        </w:rPr>
        <w:tab/>
        <w:t>A policy of insurance complies with this Division if —</w:t>
      </w:r>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p>
    <w:p>
      <w:pPr>
        <w:pStyle w:val="Heading5"/>
      </w:pPr>
      <w:bookmarkStart w:id="275" w:name="_Toc211745951"/>
      <w:r>
        <w:rPr>
          <w:rStyle w:val="CharSectno"/>
        </w:rPr>
        <w:t>25GA</w:t>
      </w:r>
      <w:r>
        <w:t>.</w:t>
      </w:r>
      <w:r>
        <w:tab/>
        <w:t>Corresponding cover by an approved fund — owner</w:t>
      </w:r>
      <w:r>
        <w:noBreakHyphen/>
        <w:t>builders</w:t>
      </w:r>
      <w:bookmarkEnd w:id="275"/>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276" w:name="_Toc89521566"/>
      <w:bookmarkStart w:id="277" w:name="_Toc89521635"/>
      <w:bookmarkStart w:id="278" w:name="_Toc96246681"/>
      <w:bookmarkStart w:id="279" w:name="_Toc97107150"/>
      <w:bookmarkStart w:id="280" w:name="_Toc102365999"/>
      <w:bookmarkStart w:id="281" w:name="_Toc103067022"/>
      <w:bookmarkStart w:id="282" w:name="_Toc124730119"/>
      <w:bookmarkStart w:id="283" w:name="_Toc124734172"/>
      <w:bookmarkStart w:id="284" w:name="_Toc124748254"/>
      <w:bookmarkStart w:id="285" w:name="_Toc127681803"/>
      <w:bookmarkStart w:id="286" w:name="_Toc129580015"/>
      <w:bookmarkStart w:id="287" w:name="_Toc211745952"/>
      <w:r>
        <w:rPr>
          <w:rStyle w:val="CharDivNo"/>
        </w:rPr>
        <w:t>Division 3A</w:t>
      </w:r>
      <w:r>
        <w:t> — </w:t>
      </w:r>
      <w:r>
        <w:rPr>
          <w:rStyle w:val="CharDivText"/>
        </w:rPr>
        <w:t>Approved funds</w:t>
      </w:r>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keepNext/>
        <w:rPr>
          <w:snapToGrid w:val="0"/>
        </w:rPr>
      </w:pPr>
      <w:r>
        <w:rPr>
          <w:snapToGrid w:val="0"/>
        </w:rPr>
        <w:tab/>
        <w:t>[Heading inserted by No. 37 of 2002 s. 16.]</w:t>
      </w:r>
    </w:p>
    <w:p>
      <w:pPr>
        <w:pStyle w:val="Heading5"/>
      </w:pPr>
      <w:bookmarkStart w:id="288" w:name="_Toc211745953"/>
      <w:r>
        <w:rPr>
          <w:rStyle w:val="CharSectno"/>
        </w:rPr>
        <w:t>25GB</w:t>
      </w:r>
      <w:r>
        <w:t>.</w:t>
      </w:r>
      <w:r>
        <w:tab/>
        <w:t>Minister’s approval of a fund</w:t>
      </w:r>
      <w:bookmarkEnd w:id="288"/>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289" w:name="_Toc211745954"/>
      <w:r>
        <w:rPr>
          <w:rStyle w:val="CharSectno"/>
        </w:rPr>
        <w:t>25GC</w:t>
      </w:r>
      <w:r>
        <w:t>.</w:t>
      </w:r>
      <w:r>
        <w:tab/>
        <w:t>Minister’s consent to changes to an approved fund</w:t>
      </w:r>
      <w:bookmarkEnd w:id="289"/>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290" w:name="_Toc211745955"/>
      <w:r>
        <w:rPr>
          <w:rStyle w:val="CharSectno"/>
        </w:rPr>
        <w:t>25GD</w:t>
      </w:r>
      <w:r>
        <w:t>.</w:t>
      </w:r>
      <w:r>
        <w:tab/>
        <w:t>Revocation of Minister’s approval of a fund</w:t>
      </w:r>
      <w:bookmarkEnd w:id="290"/>
    </w:p>
    <w:p>
      <w:pPr>
        <w:pStyle w:val="Subsection"/>
      </w:pPr>
      <w:r>
        <w:tab/>
      </w:r>
      <w:r>
        <w:tab/>
        <w:t xml:space="preserve">The Minister may, by order published in the </w:t>
      </w:r>
      <w:r>
        <w:rPr>
          <w:i/>
        </w:rPr>
        <w:t>Gazette</w:t>
      </w:r>
      <w:r>
        <w:t>, revoke the Minister’s approval of a fund if —</w:t>
      </w:r>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291" w:name="_Toc89521570"/>
      <w:bookmarkStart w:id="292" w:name="_Toc89521639"/>
      <w:bookmarkStart w:id="293" w:name="_Toc96246685"/>
      <w:bookmarkStart w:id="294" w:name="_Toc97107154"/>
      <w:bookmarkStart w:id="295" w:name="_Toc102366003"/>
      <w:bookmarkStart w:id="296" w:name="_Toc103067026"/>
      <w:bookmarkStart w:id="297" w:name="_Toc124730123"/>
      <w:bookmarkStart w:id="298" w:name="_Toc124734176"/>
      <w:bookmarkStart w:id="299" w:name="_Toc124748258"/>
      <w:bookmarkStart w:id="300" w:name="_Toc127681807"/>
      <w:bookmarkStart w:id="301" w:name="_Toc129580019"/>
      <w:bookmarkStart w:id="302" w:name="_Toc211745956"/>
      <w:r>
        <w:rPr>
          <w:rStyle w:val="CharDivNo"/>
        </w:rPr>
        <w:t>Division 4</w:t>
      </w:r>
      <w:r>
        <w:rPr>
          <w:snapToGrid w:val="0"/>
        </w:rPr>
        <w:t> — </w:t>
      </w:r>
      <w:r>
        <w:rPr>
          <w:rStyle w:val="CharDivText"/>
        </w:rPr>
        <w:t>Review</w:t>
      </w:r>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keepNext/>
        <w:rPr>
          <w:snapToGrid w:val="0"/>
        </w:rPr>
      </w:pPr>
      <w:r>
        <w:rPr>
          <w:snapToGrid w:val="0"/>
        </w:rPr>
        <w:tab/>
        <w:t>[Heading inserted by No. 72 of 1996 s. 5.]</w:t>
      </w:r>
    </w:p>
    <w:p>
      <w:pPr>
        <w:pStyle w:val="Heading5"/>
        <w:rPr>
          <w:snapToGrid w:val="0"/>
        </w:rPr>
      </w:pPr>
      <w:bookmarkStart w:id="303" w:name="_Toc521487171"/>
      <w:bookmarkStart w:id="304" w:name="_Toc522337199"/>
      <w:bookmarkStart w:id="305" w:name="_Toc527365417"/>
      <w:bookmarkStart w:id="306" w:name="_Toc530458625"/>
      <w:bookmarkStart w:id="307" w:name="_Toc530460487"/>
      <w:bookmarkStart w:id="308" w:name="_Toc211745957"/>
      <w:r>
        <w:rPr>
          <w:rStyle w:val="CharSectno"/>
        </w:rPr>
        <w:t>25H</w:t>
      </w:r>
      <w:r>
        <w:rPr>
          <w:snapToGrid w:val="0"/>
        </w:rPr>
        <w:t xml:space="preserve">. </w:t>
      </w:r>
      <w:r>
        <w:rPr>
          <w:snapToGrid w:val="0"/>
        </w:rPr>
        <w:tab/>
        <w:t>Review of insurance scheme</w:t>
      </w:r>
      <w:bookmarkEnd w:id="303"/>
      <w:bookmarkEnd w:id="304"/>
      <w:bookmarkEnd w:id="305"/>
      <w:bookmarkEnd w:id="306"/>
      <w:bookmarkEnd w:id="307"/>
      <w:bookmarkEnd w:id="308"/>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p>
    <w:p>
      <w:pPr>
        <w:pStyle w:val="Heading3"/>
      </w:pPr>
      <w:bookmarkStart w:id="309" w:name="_Toc89521572"/>
      <w:bookmarkStart w:id="310" w:name="_Toc89521641"/>
      <w:bookmarkStart w:id="311" w:name="_Toc96246687"/>
      <w:bookmarkStart w:id="312" w:name="_Toc97107156"/>
      <w:bookmarkStart w:id="313" w:name="_Toc102366005"/>
      <w:bookmarkStart w:id="314" w:name="_Toc103067028"/>
      <w:bookmarkStart w:id="315" w:name="_Toc124730125"/>
      <w:bookmarkStart w:id="316" w:name="_Toc124734178"/>
      <w:bookmarkStart w:id="317" w:name="_Toc124748260"/>
      <w:bookmarkStart w:id="318" w:name="_Toc127681809"/>
      <w:bookmarkStart w:id="319" w:name="_Toc129580021"/>
      <w:bookmarkStart w:id="320" w:name="_Toc211745958"/>
      <w:r>
        <w:rPr>
          <w:rStyle w:val="CharDivNo"/>
        </w:rPr>
        <w:t>Division 5</w:t>
      </w:r>
      <w:r>
        <w:t> — </w:t>
      </w:r>
      <w:r>
        <w:rPr>
          <w:rStyle w:val="CharDivText"/>
        </w:rPr>
        <w:t>Provisions about non</w:t>
      </w:r>
      <w:r>
        <w:rPr>
          <w:rStyle w:val="CharDivText"/>
        </w:rPr>
        <w:noBreakHyphen/>
        <w:t>application of sections 25C(1) and (2) and 25F(1)</w:t>
      </w:r>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keepNext/>
        <w:rPr>
          <w:snapToGrid w:val="0"/>
        </w:rPr>
      </w:pPr>
      <w:r>
        <w:rPr>
          <w:snapToGrid w:val="0"/>
        </w:rPr>
        <w:tab/>
        <w:t>[Heading inserted by No. 37 of 2002 s. 17.]</w:t>
      </w:r>
    </w:p>
    <w:p>
      <w:pPr>
        <w:pStyle w:val="Heading5"/>
      </w:pPr>
      <w:bookmarkStart w:id="321" w:name="_Toc211745959"/>
      <w:r>
        <w:rPr>
          <w:rStyle w:val="CharSectno"/>
        </w:rPr>
        <w:t>25I</w:t>
      </w:r>
      <w:r>
        <w:t>.</w:t>
      </w:r>
      <w:r>
        <w:tab/>
        <w:t>Minister may make orders specifying periods</w:t>
      </w:r>
      <w:bookmarkEnd w:id="321"/>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322" w:name="_Toc211745960"/>
      <w:r>
        <w:rPr>
          <w:rStyle w:val="CharSectno"/>
        </w:rPr>
        <w:t>25J</w:t>
      </w:r>
      <w:r>
        <w:t>.</w:t>
      </w:r>
      <w:r>
        <w:tab/>
        <w:t>Notice requirements — builders</w:t>
      </w:r>
      <w:bookmarkEnd w:id="322"/>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323" w:name="_Toc211745961"/>
      <w:r>
        <w:rPr>
          <w:rStyle w:val="CharSectno"/>
        </w:rPr>
        <w:t>25K</w:t>
      </w:r>
      <w:r>
        <w:t>.</w:t>
      </w:r>
      <w:r>
        <w:tab/>
        <w:t>Notice requirements — owner</w:t>
      </w:r>
      <w:r>
        <w:noBreakHyphen/>
        <w:t>builders</w:t>
      </w:r>
      <w:bookmarkEnd w:id="323"/>
    </w:p>
    <w:p>
      <w:pPr>
        <w:pStyle w:val="Subsection"/>
      </w:pPr>
      <w:r>
        <w:tab/>
        <w:t>(1)</w:t>
      </w:r>
      <w:r>
        <w:tab/>
        <w:t>In this section —</w:t>
      </w:r>
    </w:p>
    <w:p>
      <w:pPr>
        <w:pStyle w:val="Defstart"/>
      </w:pPr>
      <w:r>
        <w:tab/>
      </w:r>
      <w:r>
        <w:rPr>
          <w:rStyle w:val="CharDefText"/>
        </w:rPr>
        <w:t>specified period</w:t>
      </w:r>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324"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325" w:name="_Toc211745962"/>
      <w:r>
        <w:rPr>
          <w:rStyle w:val="CharSectno"/>
        </w:rPr>
        <w:t>25L</w:t>
      </w:r>
      <w:r>
        <w:t>.</w:t>
      </w:r>
      <w:r>
        <w:tab/>
        <w:t>Giving a copy of the notice to a subsequent purchaser</w:t>
      </w:r>
      <w:bookmarkEnd w:id="324"/>
      <w:bookmarkEnd w:id="325"/>
    </w:p>
    <w:p>
      <w:pPr>
        <w:pStyle w:val="Subsection"/>
      </w:pPr>
      <w:r>
        <w:tab/>
        <w:t>(1)</w:t>
      </w:r>
      <w:r>
        <w:tab/>
        <w:t xml:space="preserve">If a person to whom a notice is given under section 25J is a developer in respect of the residential building work, the person (the </w:t>
      </w:r>
      <w:r>
        <w:rPr>
          <w:rStyle w:val="CharDefText"/>
        </w:rPr>
        <w:t>developer</w:t>
      </w:r>
      <w:r>
        <w:t xml:space="preserve">) must, before entering into a sale contract in respect of the residential building work, give a copy of the notice to the other party to the sale contract (the </w:t>
      </w:r>
      <w:r>
        <w:rPr>
          <w:rStyle w:val="CharDefText"/>
        </w:rPr>
        <w:t>purchaser</w:t>
      </w:r>
      <w:r>
        <w:t>)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326" w:name="_Toc89521577"/>
      <w:bookmarkStart w:id="327" w:name="_Toc89521646"/>
      <w:bookmarkStart w:id="328" w:name="_Toc96246692"/>
      <w:bookmarkStart w:id="329" w:name="_Toc97107161"/>
      <w:bookmarkStart w:id="330" w:name="_Toc102366010"/>
      <w:bookmarkStart w:id="331" w:name="_Toc103067033"/>
      <w:bookmarkStart w:id="332" w:name="_Toc124730130"/>
      <w:bookmarkStart w:id="333" w:name="_Toc124734183"/>
      <w:bookmarkStart w:id="334" w:name="_Toc124748265"/>
      <w:bookmarkStart w:id="335" w:name="_Toc127681814"/>
      <w:bookmarkStart w:id="336" w:name="_Toc129580026"/>
      <w:bookmarkStart w:id="337" w:name="_Toc211745963"/>
      <w:r>
        <w:rPr>
          <w:rStyle w:val="CharPartNo"/>
        </w:rPr>
        <w:t>Part 4</w:t>
      </w:r>
      <w:r>
        <w:rPr>
          <w:rStyle w:val="CharDivNo"/>
        </w:rPr>
        <w:t> </w:t>
      </w:r>
      <w:r>
        <w:t>—</w:t>
      </w:r>
      <w:r>
        <w:rPr>
          <w:rStyle w:val="CharDivText"/>
        </w:rPr>
        <w:t> </w:t>
      </w:r>
      <w:r>
        <w:rPr>
          <w:rStyle w:val="CharPartText"/>
        </w:rPr>
        <w:t>General</w:t>
      </w:r>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521487172"/>
      <w:bookmarkStart w:id="339" w:name="_Toc522337200"/>
      <w:bookmarkStart w:id="340" w:name="_Toc527365418"/>
      <w:bookmarkStart w:id="341" w:name="_Toc530458626"/>
      <w:bookmarkStart w:id="342" w:name="_Toc530460488"/>
      <w:bookmarkStart w:id="343" w:name="_Toc211745964"/>
      <w:r>
        <w:rPr>
          <w:rStyle w:val="CharSectno"/>
        </w:rPr>
        <w:t>26</w:t>
      </w:r>
      <w:r>
        <w:rPr>
          <w:snapToGrid w:val="0"/>
        </w:rPr>
        <w:t>.</w:t>
      </w:r>
      <w:r>
        <w:rPr>
          <w:snapToGrid w:val="0"/>
        </w:rPr>
        <w:tab/>
        <w:t>Access for inspection of building work</w:t>
      </w:r>
      <w:bookmarkEnd w:id="338"/>
      <w:bookmarkEnd w:id="339"/>
      <w:bookmarkEnd w:id="340"/>
      <w:bookmarkEnd w:id="341"/>
      <w:bookmarkEnd w:id="342"/>
      <w:bookmarkEnd w:id="343"/>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r>
        <w:rPr>
          <w:rStyle w:val="CharDefText"/>
        </w:rPr>
        <w:t>authorised person</w:t>
      </w:r>
      <w:r>
        <w:rPr>
          <w:snapToGrid w:val="0"/>
        </w:rPr>
        <w:t xml:space="preserve"> means —</w:t>
      </w:r>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344" w:name="_Toc521487173"/>
      <w:bookmarkStart w:id="345" w:name="_Toc522337201"/>
      <w:bookmarkStart w:id="346" w:name="_Toc527365419"/>
      <w:bookmarkStart w:id="347" w:name="_Toc530458627"/>
      <w:bookmarkStart w:id="348" w:name="_Toc530460489"/>
      <w:bookmarkStart w:id="349" w:name="_Toc211745965"/>
      <w:r>
        <w:rPr>
          <w:rStyle w:val="CharSectno"/>
        </w:rPr>
        <w:t>27</w:t>
      </w:r>
      <w:r>
        <w:rPr>
          <w:snapToGrid w:val="0"/>
        </w:rPr>
        <w:t>.</w:t>
      </w:r>
      <w:r>
        <w:rPr>
          <w:snapToGrid w:val="0"/>
        </w:rPr>
        <w:tab/>
        <w:t>Effect of breach of Act on contract</w:t>
      </w:r>
      <w:bookmarkEnd w:id="344"/>
      <w:bookmarkEnd w:id="345"/>
      <w:bookmarkEnd w:id="346"/>
      <w:bookmarkEnd w:id="347"/>
      <w:bookmarkEnd w:id="348"/>
      <w:bookmarkEnd w:id="349"/>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350" w:name="_Toc521487174"/>
      <w:bookmarkStart w:id="351" w:name="_Toc522337202"/>
      <w:bookmarkStart w:id="352" w:name="_Toc527365420"/>
      <w:bookmarkStart w:id="353" w:name="_Toc530458628"/>
      <w:bookmarkStart w:id="354" w:name="_Toc530460490"/>
      <w:bookmarkStart w:id="355" w:name="_Toc211745966"/>
      <w:r>
        <w:rPr>
          <w:rStyle w:val="CharSectno"/>
        </w:rPr>
        <w:t>28</w:t>
      </w:r>
      <w:r>
        <w:rPr>
          <w:snapToGrid w:val="0"/>
        </w:rPr>
        <w:t>.</w:t>
      </w:r>
      <w:r>
        <w:rPr>
          <w:snapToGrid w:val="0"/>
        </w:rPr>
        <w:tab/>
        <w:t>Contracting out forbidden</w:t>
      </w:r>
      <w:bookmarkEnd w:id="350"/>
      <w:bookmarkEnd w:id="351"/>
      <w:bookmarkEnd w:id="352"/>
      <w:bookmarkEnd w:id="353"/>
      <w:bookmarkEnd w:id="354"/>
      <w:bookmarkEnd w:id="355"/>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356" w:name="_Toc521487175"/>
      <w:bookmarkStart w:id="357" w:name="_Toc522337203"/>
      <w:bookmarkStart w:id="358" w:name="_Toc527365421"/>
      <w:bookmarkStart w:id="359" w:name="_Toc530458629"/>
      <w:bookmarkStart w:id="360" w:name="_Toc530460491"/>
      <w:bookmarkStart w:id="361" w:name="_Toc211745967"/>
      <w:r>
        <w:rPr>
          <w:rStyle w:val="CharSectno"/>
        </w:rPr>
        <w:t>29</w:t>
      </w:r>
      <w:r>
        <w:rPr>
          <w:snapToGrid w:val="0"/>
        </w:rPr>
        <w:t>.</w:t>
      </w:r>
      <w:r>
        <w:rPr>
          <w:snapToGrid w:val="0"/>
        </w:rPr>
        <w:tab/>
        <w:t>Saving</w:t>
      </w:r>
      <w:bookmarkEnd w:id="356"/>
      <w:bookmarkEnd w:id="357"/>
      <w:bookmarkEnd w:id="358"/>
      <w:bookmarkEnd w:id="359"/>
      <w:bookmarkEnd w:id="360"/>
      <w:bookmarkEnd w:id="361"/>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362" w:name="_Toc521487176"/>
      <w:bookmarkStart w:id="363" w:name="_Toc522337204"/>
      <w:bookmarkStart w:id="364" w:name="_Toc527365422"/>
      <w:bookmarkStart w:id="365" w:name="_Toc530458630"/>
      <w:bookmarkStart w:id="366" w:name="_Toc530460492"/>
      <w:bookmarkStart w:id="367" w:name="_Toc211745968"/>
      <w:r>
        <w:rPr>
          <w:rStyle w:val="CharSectno"/>
        </w:rPr>
        <w:t>30</w:t>
      </w:r>
      <w:r>
        <w:rPr>
          <w:snapToGrid w:val="0"/>
        </w:rPr>
        <w:t>.</w:t>
      </w:r>
      <w:r>
        <w:rPr>
          <w:snapToGrid w:val="0"/>
        </w:rPr>
        <w:tab/>
        <w:t>Liability of directors etc.</w:t>
      </w:r>
      <w:bookmarkEnd w:id="362"/>
      <w:bookmarkEnd w:id="363"/>
      <w:bookmarkEnd w:id="364"/>
      <w:bookmarkEnd w:id="365"/>
      <w:bookmarkEnd w:id="366"/>
      <w:bookmarkEnd w:id="367"/>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368" w:name="_Toc521487177"/>
      <w:bookmarkStart w:id="369" w:name="_Toc522337205"/>
      <w:bookmarkStart w:id="370" w:name="_Toc527365423"/>
      <w:bookmarkStart w:id="371" w:name="_Toc530458631"/>
      <w:bookmarkStart w:id="372" w:name="_Toc530460493"/>
      <w:bookmarkStart w:id="373" w:name="_Toc211745969"/>
      <w:r>
        <w:rPr>
          <w:rStyle w:val="CharSectno"/>
        </w:rPr>
        <w:t>31</w:t>
      </w:r>
      <w:r>
        <w:rPr>
          <w:snapToGrid w:val="0"/>
        </w:rPr>
        <w:t>.</w:t>
      </w:r>
      <w:r>
        <w:rPr>
          <w:snapToGrid w:val="0"/>
        </w:rPr>
        <w:tab/>
        <w:t>Prosecutions</w:t>
      </w:r>
      <w:bookmarkEnd w:id="368"/>
      <w:bookmarkEnd w:id="369"/>
      <w:bookmarkEnd w:id="370"/>
      <w:bookmarkEnd w:id="371"/>
      <w:bookmarkEnd w:id="372"/>
      <w:bookmarkEnd w:id="373"/>
    </w:p>
    <w:p>
      <w:pPr>
        <w:pStyle w:val="Subsection"/>
        <w:spacing w:before="120"/>
        <w:rPr>
          <w:snapToGrid w:val="0"/>
        </w:rPr>
      </w:pPr>
      <w:r>
        <w:rPr>
          <w:snapToGrid w:val="0"/>
        </w:rPr>
        <w:tab/>
        <w:t>(1)</w:t>
      </w:r>
      <w:r>
        <w:rPr>
          <w:snapToGrid w:val="0"/>
        </w:rPr>
        <w:tab/>
        <w:t>Prosecutions for offences against this Act —</w:t>
      </w:r>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374" w:name="_Toc521487178"/>
      <w:bookmarkStart w:id="375" w:name="_Toc522337206"/>
      <w:bookmarkStart w:id="376" w:name="_Toc527365424"/>
      <w:bookmarkStart w:id="377" w:name="_Toc530458632"/>
      <w:bookmarkStart w:id="378" w:name="_Toc530460494"/>
      <w:r>
        <w:tab/>
        <w:t>[Section 31 amended by No. 84 of 2004 s. 80.]</w:t>
      </w:r>
    </w:p>
    <w:p>
      <w:pPr>
        <w:pStyle w:val="Heading5"/>
        <w:spacing w:before="180"/>
      </w:pPr>
      <w:bookmarkStart w:id="379" w:name="_Toc211745970"/>
      <w:r>
        <w:rPr>
          <w:rStyle w:val="CharSectno"/>
        </w:rPr>
        <w:t>31A</w:t>
      </w:r>
      <w:r>
        <w:rPr>
          <w:snapToGrid w:val="0"/>
        </w:rPr>
        <w:t>.</w:t>
      </w:r>
      <w:r>
        <w:rPr>
          <w:snapToGrid w:val="0"/>
        </w:rPr>
        <w:tab/>
        <w:t>Penalties and costs</w:t>
      </w:r>
      <w:bookmarkEnd w:id="374"/>
      <w:bookmarkEnd w:id="375"/>
      <w:bookmarkEnd w:id="376"/>
      <w:bookmarkEnd w:id="377"/>
      <w:bookmarkEnd w:id="378"/>
      <w:bookmarkEnd w:id="379"/>
    </w:p>
    <w:p>
      <w:pPr>
        <w:pStyle w:val="Subsection"/>
      </w:pPr>
      <w:r>
        <w:tab/>
      </w:r>
      <w:r>
        <w:tab/>
        <w:t>All penalties or costs paid or recovered under this Act must be paid to the Builders’ Registration Board.</w:t>
      </w:r>
    </w:p>
    <w:p>
      <w:pPr>
        <w:pStyle w:val="Footnotesection"/>
        <w:spacing w:before="100"/>
        <w:ind w:left="890" w:hanging="890"/>
      </w:pPr>
      <w:r>
        <w:tab/>
        <w:t>[Section 31A inserted by No. 76 of 2000 s. 56; amended by No. 37 of 2002 s. 20; No. 84 of 2004 s. 80.]</w:t>
      </w:r>
    </w:p>
    <w:p>
      <w:pPr>
        <w:pStyle w:val="Heading5"/>
        <w:spacing w:before="180"/>
        <w:rPr>
          <w:snapToGrid w:val="0"/>
        </w:rPr>
      </w:pPr>
      <w:bookmarkStart w:id="380" w:name="_Toc521487179"/>
      <w:bookmarkStart w:id="381" w:name="_Toc522337207"/>
      <w:bookmarkStart w:id="382" w:name="_Toc527365425"/>
      <w:bookmarkStart w:id="383" w:name="_Toc530458633"/>
      <w:bookmarkStart w:id="384" w:name="_Toc530460495"/>
      <w:bookmarkStart w:id="385" w:name="_Toc211745971"/>
      <w:r>
        <w:rPr>
          <w:rStyle w:val="CharSectno"/>
        </w:rPr>
        <w:t>31B</w:t>
      </w:r>
      <w:r>
        <w:t>.</w:t>
      </w:r>
      <w:r>
        <w:tab/>
      </w:r>
      <w:r>
        <w:rPr>
          <w:snapToGrid w:val="0"/>
        </w:rPr>
        <w:t>Infringement notices</w:t>
      </w:r>
      <w:bookmarkEnd w:id="380"/>
      <w:bookmarkEnd w:id="381"/>
      <w:bookmarkEnd w:id="382"/>
      <w:bookmarkEnd w:id="383"/>
      <w:bookmarkEnd w:id="384"/>
      <w:bookmarkEnd w:id="385"/>
    </w:p>
    <w:p>
      <w:pPr>
        <w:pStyle w:val="Subsection"/>
        <w:spacing w:before="120"/>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386" w:name="_Toc521487180"/>
      <w:bookmarkStart w:id="387" w:name="_Toc522337208"/>
      <w:bookmarkStart w:id="388" w:name="_Toc527365426"/>
      <w:bookmarkStart w:id="389" w:name="_Toc530458634"/>
      <w:bookmarkStart w:id="390" w:name="_Toc530460496"/>
      <w:bookmarkStart w:id="391" w:name="_Toc211745972"/>
      <w:r>
        <w:rPr>
          <w:rStyle w:val="CharSectno"/>
        </w:rPr>
        <w:t>32</w:t>
      </w:r>
      <w:r>
        <w:rPr>
          <w:snapToGrid w:val="0"/>
        </w:rPr>
        <w:t>.</w:t>
      </w:r>
      <w:r>
        <w:rPr>
          <w:snapToGrid w:val="0"/>
        </w:rPr>
        <w:tab/>
        <w:t>Regulations</w:t>
      </w:r>
      <w:bookmarkEnd w:id="386"/>
      <w:bookmarkEnd w:id="387"/>
      <w:bookmarkEnd w:id="388"/>
      <w:bookmarkEnd w:id="389"/>
      <w:bookmarkEnd w:id="390"/>
      <w:bookmarkEnd w:id="391"/>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p>
    <w:p>
      <w:pPr>
        <w:pStyle w:val="Heading5"/>
        <w:spacing w:before="180"/>
        <w:rPr>
          <w:snapToGrid w:val="0"/>
        </w:rPr>
      </w:pPr>
      <w:bookmarkStart w:id="392" w:name="_Toc521487181"/>
      <w:bookmarkStart w:id="393" w:name="_Toc522337209"/>
      <w:bookmarkStart w:id="394" w:name="_Toc527365427"/>
      <w:bookmarkStart w:id="395" w:name="_Toc530458635"/>
      <w:bookmarkStart w:id="396" w:name="_Toc530460497"/>
      <w:bookmarkStart w:id="397" w:name="_Toc211745973"/>
      <w:r>
        <w:rPr>
          <w:rStyle w:val="CharSectno"/>
        </w:rPr>
        <w:t>33</w:t>
      </w:r>
      <w:r>
        <w:rPr>
          <w:snapToGrid w:val="0"/>
        </w:rPr>
        <w:t>.</w:t>
      </w:r>
      <w:r>
        <w:rPr>
          <w:snapToGrid w:val="0"/>
        </w:rPr>
        <w:tab/>
        <w:t>Application not retrospective</w:t>
      </w:r>
      <w:bookmarkEnd w:id="392"/>
      <w:bookmarkEnd w:id="393"/>
      <w:bookmarkEnd w:id="394"/>
      <w:bookmarkEnd w:id="395"/>
      <w:bookmarkEnd w:id="396"/>
      <w:bookmarkEnd w:id="397"/>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398" w:name="_Toc521487182"/>
      <w:bookmarkStart w:id="399" w:name="_Toc522337210"/>
      <w:bookmarkStart w:id="400" w:name="_Toc527365428"/>
      <w:bookmarkStart w:id="401" w:name="_Toc530458636"/>
      <w:bookmarkStart w:id="402" w:name="_Toc530460498"/>
      <w:bookmarkStart w:id="403" w:name="_Toc211745974"/>
      <w:r>
        <w:rPr>
          <w:rStyle w:val="CharSectno"/>
        </w:rPr>
        <w:t>34</w:t>
      </w:r>
      <w:r>
        <w:rPr>
          <w:snapToGrid w:val="0"/>
        </w:rPr>
        <w:t>.</w:t>
      </w:r>
      <w:r>
        <w:rPr>
          <w:snapToGrid w:val="0"/>
        </w:rPr>
        <w:tab/>
        <w:t>Review of Act</w:t>
      </w:r>
      <w:bookmarkEnd w:id="398"/>
      <w:bookmarkEnd w:id="399"/>
      <w:bookmarkEnd w:id="400"/>
      <w:bookmarkEnd w:id="401"/>
      <w:bookmarkEnd w:id="402"/>
      <w:bookmarkEnd w:id="403"/>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04" w:name="_Toc527365429"/>
      <w:bookmarkStart w:id="405" w:name="_Toc530458637"/>
      <w:bookmarkStart w:id="406" w:name="_Toc530460499"/>
      <w:bookmarkStart w:id="407" w:name="_Toc124730142"/>
      <w:bookmarkStart w:id="408" w:name="_Toc124734195"/>
      <w:bookmarkStart w:id="409" w:name="_Toc124748277"/>
      <w:bookmarkStart w:id="410" w:name="_Toc127681826"/>
      <w:bookmarkStart w:id="411" w:name="_Toc129580038"/>
      <w:bookmarkStart w:id="412" w:name="_Toc211745975"/>
      <w:r>
        <w:rPr>
          <w:rStyle w:val="CharSchNo"/>
        </w:rPr>
        <w:t>Schedule 1</w:t>
      </w:r>
      <w:bookmarkEnd w:id="404"/>
      <w:bookmarkEnd w:id="405"/>
      <w:bookmarkEnd w:id="406"/>
      <w:bookmarkEnd w:id="407"/>
      <w:bookmarkEnd w:id="408"/>
      <w:bookmarkEnd w:id="409"/>
      <w:bookmarkEnd w:id="410"/>
      <w:bookmarkEnd w:id="411"/>
      <w:bookmarkEnd w:id="412"/>
    </w:p>
    <w:p>
      <w:pPr>
        <w:pStyle w:val="yShoulderClause"/>
        <w:rPr>
          <w:snapToGrid w:val="0"/>
        </w:rPr>
      </w:pPr>
      <w:r>
        <w:rPr>
          <w:snapToGrid w:val="0"/>
        </w:rPr>
        <w:t>(Sections 7(4), 8(4), 9(4), 13(5), 19 and 20)</w:t>
      </w:r>
    </w:p>
    <w:p>
      <w:pPr>
        <w:pStyle w:val="yMiscellaneousHeading"/>
      </w:pPr>
      <w:r>
        <w:rPr>
          <w:rStyle w:val="CharSchText"/>
          <w:b/>
          <w:bCs/>
          <w:i/>
          <w:iCs/>
        </w:rPr>
        <w:t>Consequences of non</w:t>
      </w:r>
      <w:r>
        <w:rPr>
          <w:rStyle w:val="CharSchText"/>
          <w:b/>
          <w:bCs/>
          <w:i/>
          <w:iCs/>
        </w:rPr>
        <w:noBreakHyphen/>
        <w:t>fulfilment of conditions</w:t>
      </w:r>
    </w:p>
    <w:p>
      <w:pPr>
        <w:pStyle w:val="yMiscellaneousBody"/>
        <w:ind w:left="879" w:hanging="879"/>
        <w:rPr>
          <w:snapToGrid w:val="0"/>
        </w:rPr>
      </w:pPr>
      <w:r>
        <w:rPr>
          <w:snapToGrid w:val="0"/>
        </w:rPr>
        <w:t>1.</w:t>
      </w:r>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MiscellaneousBody"/>
        <w:ind w:left="879" w:hanging="879"/>
        <w:rPr>
          <w:snapToGrid w:val="0"/>
        </w:rPr>
      </w:pPr>
      <w:r>
        <w:rPr>
          <w:snapToGrid w:val="0"/>
        </w:rPr>
        <w:t>2.</w:t>
      </w:r>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3.</w:t>
      </w:r>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MiscellaneousBody"/>
        <w:ind w:left="879" w:hanging="879"/>
        <w:rPr>
          <w:snapToGrid w:val="0"/>
        </w:rPr>
      </w:pPr>
      <w:r>
        <w:rPr>
          <w:snapToGrid w:val="0"/>
        </w:rPr>
        <w:t>4.</w:t>
      </w:r>
      <w:r>
        <w:rPr>
          <w:snapToGrid w:val="0"/>
        </w:rPr>
        <w:tab/>
        <w:t>Where clause 2 or 3 or section 13(4)(c) applies —</w:t>
      </w:r>
    </w:p>
    <w:p>
      <w:pPr>
        <w:pStyle w:val="yIndenta"/>
        <w:rPr>
          <w:snapToGrid w:val="0"/>
        </w:rPr>
      </w:pPr>
      <w:r>
        <w:rPr>
          <w:snapToGrid w:val="0"/>
        </w:rPr>
        <w:tab/>
        <w:t>(a)</w:t>
      </w:r>
      <w:r>
        <w:rPr>
          <w:snapToGrid w:val="0"/>
        </w:rPr>
        <w:tab/>
        <w:t>the builder may by notice in writing to the owner —</w:t>
      </w:r>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Subsection"/>
        <w:rPr>
          <w:snapToGrid w:val="0"/>
        </w:rPr>
      </w:pPr>
      <w:r>
        <w:rPr>
          <w:snapToGrid w:val="0"/>
        </w:rPr>
        <w:t>5.</w:t>
      </w: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[Schedule 1 amended by No. 57 of 1997 s. 73; No. 76 of 2000 s. 57 and 58; No. 37 of 2002 s. 20.]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13" w:name="_Toc89521590"/>
      <w:bookmarkStart w:id="414" w:name="_Toc89521659"/>
      <w:bookmarkStart w:id="415" w:name="_Toc96246705"/>
      <w:bookmarkStart w:id="416" w:name="_Toc97107174"/>
      <w:bookmarkStart w:id="417" w:name="_Toc102366023"/>
      <w:bookmarkStart w:id="418" w:name="_Toc103067046"/>
      <w:bookmarkStart w:id="419" w:name="_Toc124730147"/>
      <w:bookmarkStart w:id="420" w:name="_Toc124734196"/>
      <w:bookmarkStart w:id="421" w:name="_Toc124748278"/>
      <w:bookmarkStart w:id="422" w:name="_Toc127681827"/>
      <w:bookmarkStart w:id="423" w:name="_Toc129580039"/>
      <w:bookmarkStart w:id="424" w:name="_Toc211745976"/>
      <w:r>
        <w:t>Notes</w:t>
      </w:r>
      <w:bookmarkEnd w:id="413"/>
      <w:bookmarkEnd w:id="414"/>
      <w:bookmarkEnd w:id="415"/>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is a compilation of the </w:t>
      </w:r>
      <w:r>
        <w:rPr>
          <w:i/>
          <w:noProof/>
          <w:snapToGrid w:val="0"/>
        </w:rPr>
        <w:t>Home Building Contracts Act 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The table also contains information about any reprint.</w:t>
      </w:r>
    </w:p>
    <w:p>
      <w:pPr>
        <w:pStyle w:val="nHeading3"/>
        <w:rPr>
          <w:snapToGrid w:val="0"/>
        </w:rPr>
      </w:pPr>
      <w:bookmarkStart w:id="425" w:name="_Toc211745977"/>
      <w:r>
        <w:rPr>
          <w:snapToGrid w:val="0"/>
        </w:rPr>
        <w:t>Compilation table</w:t>
      </w:r>
      <w:bookmarkEnd w:id="4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Home Building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Home Building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30 Oct 1998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 xml:space="preserve">Corporations (Consequential Amendments) Act 2001 </w:t>
            </w:r>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sz w:val="19"/>
              </w:rPr>
            </w:pPr>
            <w:r>
              <w:rPr>
                <w:i/>
                <w:sz w:val="19"/>
              </w:rPr>
              <w:t>Home Building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Home Building Contracts Act 1991</w:t>
            </w:r>
            <w:r>
              <w:rPr>
                <w:b/>
                <w:sz w:val="19"/>
              </w:rPr>
              <w:t xml:space="preserve"> as at 10 Feb 2006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26" w:name="_Hlt507390729"/>
      <w:bookmarkEnd w:id="42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27" w:name="_Toc211745978"/>
      <w:r>
        <w:rPr>
          <w:snapToGrid w:val="0"/>
        </w:rPr>
        <w:t>Provisions that have not come into operation</w:t>
      </w:r>
      <w:bookmarkEnd w:id="4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i/>
                <w:sz w:val="19"/>
              </w:rPr>
            </w:pPr>
            <w:r>
              <w:rPr>
                <w:i/>
                <w:sz w:val="19"/>
              </w:rPr>
              <w:t xml:space="preserve">Caravan Parks and Camping Grounds Act 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tcBorders>
          </w:tcPr>
          <w:p>
            <w:pPr>
              <w:pStyle w:val="nTable"/>
              <w:spacing w:after="40"/>
              <w:rPr>
                <w:sz w:val="19"/>
              </w:rPr>
            </w:pPr>
            <w:r>
              <w:rPr>
                <w:sz w:val="19"/>
              </w:rPr>
              <w:t>34 of 1995</w:t>
            </w:r>
          </w:p>
        </w:tc>
        <w:tc>
          <w:tcPr>
            <w:tcW w:w="1134" w:type="dxa"/>
            <w:tcBorders>
              <w:top w:val="single" w:sz="8" w:space="0" w:color="auto"/>
            </w:tcBorders>
          </w:tcPr>
          <w:p>
            <w:pPr>
              <w:pStyle w:val="nTable"/>
              <w:spacing w:after="40"/>
              <w:rPr>
                <w:sz w:val="19"/>
              </w:rPr>
            </w:pPr>
            <w:r>
              <w:rPr>
                <w:sz w:val="19"/>
              </w:rPr>
              <w:t>29 Sep 1995</w:t>
            </w:r>
          </w:p>
        </w:tc>
        <w:tc>
          <w:tcPr>
            <w:tcW w:w="2551" w:type="dxa"/>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ind w:right="113"/>
              <w:rPr>
                <w:sz w:val="19"/>
                <w:vertAlign w:val="superscript"/>
              </w:rPr>
            </w:pPr>
            <w:r>
              <w:rPr>
                <w:i/>
                <w:snapToGrid w:val="0"/>
                <w:sz w:val="19"/>
                <w:lang w:val="en-US"/>
              </w:rPr>
              <w:t>Standardisation of Formatting Act 2010</w:t>
            </w:r>
            <w:r>
              <w:rPr>
                <w:i/>
                <w:iCs/>
                <w:snapToGrid w:val="0"/>
                <w:sz w:val="19"/>
                <w:lang w:val="en-US"/>
              </w:rPr>
              <w:t xml:space="preserve"> </w:t>
            </w:r>
            <w:r>
              <w:rPr>
                <w:snapToGrid w:val="0"/>
                <w:sz w:val="19"/>
                <w:lang w:val="en-US"/>
              </w:rPr>
              <w:t>s. 4 and 51 </w:t>
            </w:r>
            <w:r>
              <w:rPr>
                <w:snapToGrid w:val="0"/>
                <w:sz w:val="19"/>
                <w:vertAlign w:val="superscript"/>
                <w:lang w:val="en-US"/>
              </w:rPr>
              <w:t>4</w:t>
            </w:r>
          </w:p>
        </w:tc>
        <w:tc>
          <w:tcPr>
            <w:tcW w:w="1134" w:type="dxa"/>
            <w:tcBorders>
              <w:bottom w:val="single" w:sz="8" w:space="0" w:color="auto"/>
            </w:tcBorders>
          </w:tcPr>
          <w:p>
            <w:pPr>
              <w:pStyle w:val="nTable"/>
              <w:spacing w:after="40"/>
              <w:rPr>
                <w:sz w:val="19"/>
              </w:rPr>
            </w:pPr>
            <w:r>
              <w:rPr>
                <w:snapToGrid w:val="0"/>
                <w:sz w:val="19"/>
                <w:lang w:val="en-US"/>
              </w:rPr>
              <w:t>19 of 2010</w:t>
            </w:r>
          </w:p>
        </w:tc>
        <w:tc>
          <w:tcPr>
            <w:tcW w:w="1134" w:type="dxa"/>
            <w:tcBorders>
              <w:bottom w:val="single" w:sz="8" w:space="0" w:color="auto"/>
            </w:tcBorders>
          </w:tcPr>
          <w:p>
            <w:pPr>
              <w:pStyle w:val="nTable"/>
              <w:spacing w:after="40"/>
              <w:rPr>
                <w:sz w:val="19"/>
              </w:rPr>
            </w:pPr>
            <w:r>
              <w:rPr>
                <w:snapToGrid w:val="0"/>
                <w:sz w:val="19"/>
                <w:lang w:val="en-US"/>
              </w:rPr>
              <w:t>28 Jun 2010</w:t>
            </w:r>
          </w:p>
        </w:tc>
        <w:tc>
          <w:tcPr>
            <w:tcW w:w="2551"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428" w:name="_Toc450021088"/>
      <w:bookmarkStart w:id="429" w:name="_Toc482608244"/>
      <w:r>
        <w:rPr>
          <w:rStyle w:val="CharSectno"/>
        </w:rPr>
        <w:t>59</w:t>
      </w:r>
      <w:r>
        <w:rPr>
          <w:snapToGrid w:val="0"/>
        </w:rPr>
        <w:t>.</w:t>
      </w:r>
      <w:r>
        <w:rPr>
          <w:snapToGrid w:val="0"/>
        </w:rPr>
        <w:tab/>
        <w:t>References to Committee in other written laws</w:t>
      </w:r>
      <w:bookmarkEnd w:id="428"/>
      <w:bookmarkEnd w:id="429"/>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430" w:name="_Toc482608247"/>
      <w:r>
        <w:rPr>
          <w:rStyle w:val="CharSectno"/>
        </w:rPr>
        <w:t>62</w:t>
      </w:r>
      <w:r>
        <w:t>.</w:t>
      </w:r>
      <w:r>
        <w:tab/>
        <w:t>Review</w:t>
      </w:r>
      <w:bookmarkEnd w:id="430"/>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compilation was prepared, the</w:t>
      </w:r>
      <w:r>
        <w:rPr>
          <w:iCs/>
        </w:rPr>
        <w:t xml:space="preserve"> </w:t>
      </w:r>
      <w:r>
        <w:rPr>
          <w:i/>
        </w:rPr>
        <w:t>Caravan Parks and Camping Grounds Act 1995</w:t>
      </w:r>
      <w:r>
        <w:rPr>
          <w:iCs/>
        </w:rPr>
        <w:t xml:space="preserve"> </w:t>
      </w:r>
      <w:r>
        <w:t>s. 33, which gives effect to Sch. 2, had not come into operation.  It reads as follows:</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 item 3 reads as follows:</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pStyle w:val="nzTable"/>
            </w:pPr>
            <w:r>
              <w:rPr>
                <w:i/>
              </w:rPr>
              <w:t>Home Building Contracts Act 1991</w:t>
            </w:r>
          </w:p>
        </w:tc>
        <w:tc>
          <w:tcPr>
            <w:tcW w:w="3827" w:type="dxa"/>
          </w:tcPr>
          <w:p>
            <w:pPr>
              <w:pStyle w:val="nzTable"/>
            </w:pPr>
            <w:r>
              <w:t>In the definition of “dwelling” in section 3(1), insert after “residence” the following —</w:t>
            </w:r>
          </w:p>
          <w:p>
            <w:pPr>
              <w:pStyle w:val="nzTable"/>
            </w:pPr>
          </w:p>
          <w:p>
            <w:pPr>
              <w:pStyle w:val="nzTable"/>
              <w:ind w:left="426" w:hanging="426"/>
            </w:pPr>
            <w:r>
              <w:t>“</w:t>
            </w:r>
            <w:r>
              <w:tab/>
              <w:t xml:space="preserve">, but does not include a park home, as defined in the </w:t>
            </w:r>
            <w:r>
              <w:rPr>
                <w:i/>
              </w:rPr>
              <w:t xml:space="preserve">Caravan Parks and Camping Grounds Act 1995              </w:t>
            </w:r>
            <w:r>
              <w:t>”.</w:t>
            </w:r>
          </w:p>
        </w:tc>
      </w:tr>
    </w:tbl>
    <w:p>
      <w:pPr>
        <w:pStyle w:val="MiscClose"/>
      </w:pPr>
      <w:r>
        <w:t>”.</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rPr>
          <w:snapToGrid w:val="0"/>
        </w:rPr>
      </w:pPr>
    </w:p>
    <w:p>
      <w:pPr>
        <w:pStyle w:val="nzHeading5"/>
        <w:rPr>
          <w:rFonts w:eastAsia="MS Mincho"/>
        </w:rPr>
      </w:pPr>
      <w:bookmarkStart w:id="431" w:name="_Toc233107675"/>
      <w:bookmarkStart w:id="432" w:name="_Toc255473698"/>
      <w:bookmarkStart w:id="433" w:name="_Toc265583753"/>
      <w:bookmarkStart w:id="434" w:name="_Toc267907333"/>
      <w:r>
        <w:rPr>
          <w:rStyle w:val="CharSectno"/>
          <w:rFonts w:eastAsia="MS Mincho"/>
        </w:rPr>
        <w:t>4</w:t>
      </w:r>
      <w:r>
        <w:rPr>
          <w:rFonts w:eastAsia="MS Mincho"/>
        </w:rPr>
        <w:t>.</w:t>
      </w:r>
      <w:r>
        <w:rPr>
          <w:rFonts w:eastAsia="MS Mincho"/>
        </w:rPr>
        <w:tab/>
        <w:t>Schedule headings reformatted</w:t>
      </w:r>
      <w:bookmarkEnd w:id="431"/>
      <w:bookmarkEnd w:id="432"/>
      <w:bookmarkEnd w:id="433"/>
      <w:bookmarkEnd w:id="43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Home Building Contracts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435" w:name="_Toc233107854"/>
      <w:bookmarkStart w:id="436" w:name="_Toc255473747"/>
      <w:bookmarkStart w:id="437" w:name="_Toc265583802"/>
      <w:r>
        <w:rPr>
          <w:rStyle w:val="CharSectno"/>
        </w:rPr>
        <w:t>51</w:t>
      </w:r>
      <w:r>
        <w:t>.</w:t>
      </w:r>
      <w:r>
        <w:tab/>
        <w:t>Various written laws amended</w:t>
      </w:r>
      <w:bookmarkEnd w:id="435"/>
      <w:bookmarkEnd w:id="436"/>
      <w:bookmarkEnd w:id="437"/>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29.</w:t>
            </w:r>
            <w:r>
              <w:rPr>
                <w:b/>
                <w:bCs/>
              </w:rPr>
              <w:tab/>
            </w:r>
            <w:r>
              <w:rPr>
                <w:b/>
                <w:bCs/>
                <w:i/>
                <w:iCs/>
              </w:rPr>
              <w:t>Home Building Contracts Act 1991</w:t>
            </w:r>
          </w:p>
        </w:tc>
      </w:tr>
      <w:tr>
        <w:trPr>
          <w:jc w:val="center"/>
        </w:trPr>
        <w:tc>
          <w:tcPr>
            <w:tcW w:w="1702" w:type="dxa"/>
          </w:tcPr>
          <w:p>
            <w:pPr>
              <w:pStyle w:val="TableAm"/>
            </w:pPr>
            <w:r>
              <w:t>Sch. 1 cl. 1</w:t>
            </w:r>
          </w:p>
        </w:tc>
        <w:tc>
          <w:tcPr>
            <w:tcW w:w="2551" w:type="dxa"/>
          </w:tcPr>
          <w:p>
            <w:pPr>
              <w:pStyle w:val="TableAm"/>
              <w:tabs>
                <w:tab w:val="left" w:pos="615"/>
              </w:tabs>
              <w:rPr>
                <w:sz w:val="22"/>
              </w:rPr>
            </w:pPr>
            <w:r>
              <w:rPr>
                <w:snapToGrid w:val="0"/>
                <w:sz w:val="22"/>
              </w:rPr>
              <w:t>1.</w:t>
            </w:r>
            <w:r>
              <w:rPr>
                <w:snapToGrid w:val="0"/>
                <w:sz w:val="22"/>
              </w:rPr>
              <w:tab/>
              <w:t>If any</w:t>
            </w:r>
          </w:p>
        </w:tc>
        <w:tc>
          <w:tcPr>
            <w:tcW w:w="2551" w:type="dxa"/>
          </w:tcPr>
          <w:p>
            <w:pPr>
              <w:pStyle w:val="TableAm"/>
              <w:tabs>
                <w:tab w:val="left" w:pos="567"/>
              </w:tabs>
              <w:ind w:left="567" w:hanging="567"/>
              <w:rPr>
                <w:b/>
                <w:bCs/>
                <w:snapToGrid w:val="0"/>
                <w:sz w:val="22"/>
              </w:rPr>
            </w:pPr>
            <w:r>
              <w:rPr>
                <w:b/>
                <w:bCs/>
                <w:snapToGrid w:val="0"/>
                <w:sz w:val="22"/>
              </w:rPr>
              <w:t>1.</w:t>
            </w:r>
            <w:r>
              <w:rPr>
                <w:b/>
                <w:bCs/>
                <w:snapToGrid w:val="0"/>
                <w:sz w:val="22"/>
              </w:rPr>
              <w:tab/>
              <w:t>Failure by builder</w:t>
            </w:r>
          </w:p>
          <w:p>
            <w:pPr>
              <w:pStyle w:val="TableAm"/>
              <w:tabs>
                <w:tab w:val="left" w:pos="113"/>
                <w:tab w:val="left" w:pos="567"/>
              </w:tabs>
              <w:spacing w:before="0"/>
              <w:ind w:left="567" w:hanging="567"/>
              <w:rPr>
                <w:sz w:val="22"/>
              </w:rPr>
            </w:pPr>
            <w:r>
              <w:rPr>
                <w:snapToGrid w:val="0"/>
                <w:sz w:val="22"/>
              </w:rPr>
              <w:tab/>
            </w:r>
            <w:r>
              <w:rPr>
                <w:snapToGrid w:val="0"/>
                <w:sz w:val="22"/>
              </w:rPr>
              <w:tab/>
              <w:t>If any</w:t>
            </w:r>
          </w:p>
        </w:tc>
      </w:tr>
      <w:tr>
        <w:trPr>
          <w:jc w:val="center"/>
        </w:trPr>
        <w:tc>
          <w:tcPr>
            <w:tcW w:w="1702" w:type="dxa"/>
          </w:tcPr>
          <w:p>
            <w:pPr>
              <w:pStyle w:val="TableAm"/>
            </w:pPr>
            <w:r>
              <w:t>Sch. 1 cl. 2</w:t>
            </w:r>
          </w:p>
        </w:tc>
        <w:tc>
          <w:tcPr>
            <w:tcW w:w="2551" w:type="dxa"/>
          </w:tcPr>
          <w:p>
            <w:pPr>
              <w:pStyle w:val="TableAm"/>
              <w:tabs>
                <w:tab w:val="left" w:pos="615"/>
              </w:tabs>
              <w:rPr>
                <w:sz w:val="22"/>
              </w:rPr>
            </w:pPr>
            <w:r>
              <w:rPr>
                <w:snapToGrid w:val="0"/>
                <w:sz w:val="22"/>
              </w:rPr>
              <w:t>2.</w:t>
            </w:r>
            <w:r>
              <w:rPr>
                <w:snapToGrid w:val="0"/>
                <w:sz w:val="22"/>
              </w:rPr>
              <w:tab/>
              <w:t>If any</w:t>
            </w:r>
          </w:p>
        </w:tc>
        <w:tc>
          <w:tcPr>
            <w:tcW w:w="2551" w:type="dxa"/>
          </w:tcPr>
          <w:p>
            <w:pPr>
              <w:pStyle w:val="TableAm"/>
              <w:tabs>
                <w:tab w:val="left" w:pos="567"/>
              </w:tabs>
              <w:ind w:left="567" w:hanging="567"/>
              <w:rPr>
                <w:b/>
                <w:bCs/>
                <w:snapToGrid w:val="0"/>
                <w:sz w:val="22"/>
              </w:rPr>
            </w:pPr>
            <w:r>
              <w:rPr>
                <w:b/>
                <w:bCs/>
                <w:snapToGrid w:val="0"/>
                <w:sz w:val="22"/>
              </w:rPr>
              <w:t>2.</w:t>
            </w:r>
            <w:r>
              <w:rPr>
                <w:b/>
                <w:bCs/>
                <w:snapToGrid w:val="0"/>
                <w:sz w:val="22"/>
              </w:rPr>
              <w:tab/>
              <w:t>Failure by owner</w:t>
            </w:r>
          </w:p>
          <w:p>
            <w:pPr>
              <w:pStyle w:val="TableAm"/>
              <w:tabs>
                <w:tab w:val="left" w:pos="113"/>
                <w:tab w:val="left" w:pos="567"/>
              </w:tabs>
              <w:spacing w:before="0"/>
              <w:ind w:left="567" w:hanging="567"/>
              <w:rPr>
                <w:sz w:val="22"/>
              </w:rPr>
            </w:pPr>
            <w:r>
              <w:rPr>
                <w:snapToGrid w:val="0"/>
                <w:sz w:val="22"/>
              </w:rPr>
              <w:tab/>
            </w:r>
            <w:r>
              <w:rPr>
                <w:snapToGrid w:val="0"/>
                <w:sz w:val="22"/>
              </w:rPr>
              <w:tab/>
              <w:t>If any</w:t>
            </w:r>
          </w:p>
        </w:tc>
      </w:tr>
      <w:tr>
        <w:trPr>
          <w:jc w:val="center"/>
        </w:trPr>
        <w:tc>
          <w:tcPr>
            <w:tcW w:w="1702" w:type="dxa"/>
          </w:tcPr>
          <w:p>
            <w:pPr>
              <w:pStyle w:val="TableAm"/>
            </w:pPr>
            <w:r>
              <w:t>Sch. 1 cl. 3</w:t>
            </w:r>
          </w:p>
        </w:tc>
        <w:tc>
          <w:tcPr>
            <w:tcW w:w="2551" w:type="dxa"/>
          </w:tcPr>
          <w:p>
            <w:pPr>
              <w:pStyle w:val="TableAm"/>
              <w:tabs>
                <w:tab w:val="left" w:pos="615"/>
              </w:tabs>
              <w:rPr>
                <w:sz w:val="22"/>
              </w:rPr>
            </w:pPr>
            <w:r>
              <w:rPr>
                <w:snapToGrid w:val="0"/>
                <w:sz w:val="22"/>
              </w:rPr>
              <w:t>3.</w:t>
            </w:r>
            <w:r>
              <w:rPr>
                <w:snapToGrid w:val="0"/>
                <w:sz w:val="22"/>
              </w:rPr>
              <w:tab/>
              <w:t>If any</w:t>
            </w:r>
          </w:p>
        </w:tc>
        <w:tc>
          <w:tcPr>
            <w:tcW w:w="2551" w:type="dxa"/>
          </w:tcPr>
          <w:p>
            <w:pPr>
              <w:pStyle w:val="TableAm"/>
              <w:tabs>
                <w:tab w:val="left" w:pos="567"/>
              </w:tabs>
              <w:ind w:left="567" w:hanging="567"/>
              <w:rPr>
                <w:b/>
                <w:bCs/>
                <w:snapToGrid w:val="0"/>
                <w:sz w:val="22"/>
              </w:rPr>
            </w:pPr>
            <w:r>
              <w:rPr>
                <w:b/>
                <w:bCs/>
                <w:snapToGrid w:val="0"/>
                <w:sz w:val="22"/>
              </w:rPr>
              <w:t>3.</w:t>
            </w:r>
            <w:r>
              <w:rPr>
                <w:b/>
                <w:bCs/>
                <w:snapToGrid w:val="0"/>
                <w:sz w:val="22"/>
              </w:rPr>
              <w:tab/>
              <w:t>Failure by builder and owner</w:t>
            </w:r>
          </w:p>
          <w:p>
            <w:pPr>
              <w:pStyle w:val="TableAm"/>
              <w:tabs>
                <w:tab w:val="left" w:pos="113"/>
                <w:tab w:val="left" w:pos="567"/>
              </w:tabs>
              <w:spacing w:before="0"/>
              <w:ind w:left="567" w:hanging="567"/>
              <w:rPr>
                <w:sz w:val="22"/>
              </w:rPr>
            </w:pPr>
            <w:r>
              <w:rPr>
                <w:snapToGrid w:val="0"/>
                <w:sz w:val="22"/>
              </w:rPr>
              <w:tab/>
            </w:r>
            <w:r>
              <w:rPr>
                <w:snapToGrid w:val="0"/>
                <w:sz w:val="22"/>
              </w:rPr>
              <w:tab/>
              <w:t>If any</w:t>
            </w:r>
          </w:p>
        </w:tc>
      </w:tr>
      <w:tr>
        <w:trPr>
          <w:jc w:val="center"/>
        </w:trPr>
        <w:tc>
          <w:tcPr>
            <w:tcW w:w="1702" w:type="dxa"/>
          </w:tcPr>
          <w:p>
            <w:pPr>
              <w:pStyle w:val="TableAm"/>
            </w:pPr>
            <w:r>
              <w:t>Sch. 1 cl. 4</w:t>
            </w:r>
          </w:p>
        </w:tc>
        <w:tc>
          <w:tcPr>
            <w:tcW w:w="2551" w:type="dxa"/>
          </w:tcPr>
          <w:p>
            <w:pPr>
              <w:pStyle w:val="TableAm"/>
              <w:tabs>
                <w:tab w:val="left" w:pos="615"/>
              </w:tabs>
              <w:rPr>
                <w:sz w:val="22"/>
              </w:rPr>
            </w:pPr>
            <w:r>
              <w:rPr>
                <w:snapToGrid w:val="0"/>
                <w:sz w:val="22"/>
              </w:rPr>
              <w:t>4.</w:t>
            </w:r>
            <w:r>
              <w:rPr>
                <w:snapToGrid w:val="0"/>
                <w:sz w:val="22"/>
              </w:rPr>
              <w:tab/>
              <w:t>Where</w:t>
            </w:r>
          </w:p>
        </w:tc>
        <w:tc>
          <w:tcPr>
            <w:tcW w:w="2551" w:type="dxa"/>
          </w:tcPr>
          <w:p>
            <w:pPr>
              <w:pStyle w:val="TableAm"/>
              <w:tabs>
                <w:tab w:val="left" w:pos="567"/>
              </w:tabs>
              <w:ind w:left="567" w:hanging="567"/>
              <w:rPr>
                <w:b/>
                <w:bCs/>
                <w:snapToGrid w:val="0"/>
                <w:sz w:val="22"/>
              </w:rPr>
            </w:pPr>
            <w:r>
              <w:rPr>
                <w:b/>
                <w:bCs/>
                <w:snapToGrid w:val="0"/>
                <w:sz w:val="22"/>
              </w:rPr>
              <w:t>4.</w:t>
            </w:r>
            <w:r>
              <w:rPr>
                <w:b/>
                <w:bCs/>
                <w:snapToGrid w:val="0"/>
                <w:sz w:val="22"/>
              </w:rPr>
              <w:tab/>
              <w:t>Rights of builder and owner</w:t>
            </w:r>
          </w:p>
          <w:p>
            <w:pPr>
              <w:pStyle w:val="TableAm"/>
              <w:tabs>
                <w:tab w:val="left" w:pos="113"/>
                <w:tab w:val="left" w:pos="567"/>
              </w:tabs>
              <w:spacing w:before="0"/>
              <w:ind w:left="567" w:hanging="567"/>
              <w:rPr>
                <w:sz w:val="22"/>
              </w:rPr>
            </w:pPr>
            <w:r>
              <w:rPr>
                <w:snapToGrid w:val="0"/>
                <w:sz w:val="22"/>
              </w:rPr>
              <w:tab/>
            </w:r>
            <w:r>
              <w:rPr>
                <w:snapToGrid w:val="0"/>
                <w:sz w:val="22"/>
              </w:rPr>
              <w:tab/>
              <w:t>Where</w:t>
            </w:r>
          </w:p>
        </w:tc>
      </w:tr>
      <w:tr>
        <w:trPr>
          <w:jc w:val="center"/>
        </w:trPr>
        <w:tc>
          <w:tcPr>
            <w:tcW w:w="1702" w:type="dxa"/>
          </w:tcPr>
          <w:p>
            <w:pPr>
              <w:pStyle w:val="TableAm"/>
            </w:pPr>
            <w:r>
              <w:t>Sch. 1 cl. 5</w:t>
            </w:r>
          </w:p>
        </w:tc>
        <w:tc>
          <w:tcPr>
            <w:tcW w:w="2551" w:type="dxa"/>
          </w:tcPr>
          <w:p>
            <w:pPr>
              <w:pStyle w:val="TableAm"/>
              <w:tabs>
                <w:tab w:val="left" w:pos="615"/>
                <w:tab w:val="left" w:pos="1215"/>
              </w:tabs>
              <w:rPr>
                <w:sz w:val="22"/>
              </w:rPr>
            </w:pPr>
            <w:r>
              <w:rPr>
                <w:snapToGrid w:val="0"/>
                <w:sz w:val="22"/>
              </w:rPr>
              <w:t>5.</w:t>
            </w:r>
            <w:r>
              <w:rPr>
                <w:snapToGrid w:val="0"/>
                <w:sz w:val="22"/>
              </w:rPr>
              <w:tab/>
              <w:t>(1)</w:t>
            </w:r>
            <w:r>
              <w:rPr>
                <w:snapToGrid w:val="0"/>
                <w:sz w:val="22"/>
              </w:rPr>
              <w:tab/>
              <w:t>If the</w:t>
            </w:r>
          </w:p>
        </w:tc>
        <w:tc>
          <w:tcPr>
            <w:tcW w:w="2551" w:type="dxa"/>
          </w:tcPr>
          <w:p>
            <w:pPr>
              <w:pStyle w:val="TableAm"/>
              <w:tabs>
                <w:tab w:val="left" w:pos="567"/>
              </w:tabs>
              <w:ind w:left="567" w:hanging="567"/>
              <w:rPr>
                <w:b/>
                <w:bCs/>
                <w:snapToGrid w:val="0"/>
                <w:sz w:val="22"/>
              </w:rPr>
            </w:pPr>
            <w:r>
              <w:rPr>
                <w:b/>
                <w:bCs/>
                <w:snapToGrid w:val="0"/>
                <w:sz w:val="22"/>
              </w:rPr>
              <w:t>5.</w:t>
            </w:r>
            <w:r>
              <w:rPr>
                <w:b/>
                <w:bCs/>
                <w:snapToGrid w:val="0"/>
                <w:sz w:val="22"/>
              </w:rPr>
              <w:tab/>
              <w:t>Right of review</w:t>
            </w:r>
          </w:p>
          <w:p>
            <w:pPr>
              <w:pStyle w:val="TableAm"/>
              <w:tabs>
                <w:tab w:val="left" w:pos="113"/>
                <w:tab w:val="left" w:pos="567"/>
              </w:tabs>
              <w:spacing w:before="0"/>
              <w:ind w:left="567" w:hanging="567"/>
              <w:rPr>
                <w:sz w:val="22"/>
              </w:rPr>
            </w:pPr>
            <w:r>
              <w:rPr>
                <w:snapToGrid w:val="0"/>
                <w:sz w:val="22"/>
              </w:rPr>
              <w:tab/>
              <w:t>(1)</w:t>
            </w:r>
            <w:r>
              <w:rPr>
                <w:snapToGrid w:val="0"/>
                <w:sz w:val="22"/>
              </w:rPr>
              <w:tab/>
              <w:t>If the</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13959</Words>
  <Characters>65193</Characters>
  <Application>Microsoft Office Word</Application>
  <DocSecurity>0</DocSecurity>
  <Lines>1810</Lines>
  <Paragraphs>1041</Paragraphs>
  <ScaleCrop>false</ScaleCrop>
  <HeadingPairs>
    <vt:vector size="2" baseType="variant">
      <vt:variant>
        <vt:lpstr>Title</vt:lpstr>
      </vt:variant>
      <vt:variant>
        <vt:i4>1</vt:i4>
      </vt:variant>
    </vt:vector>
  </HeadingPairs>
  <TitlesOfParts>
    <vt:vector size="1" baseType="lpstr">
      <vt:lpstr>Home Building Contracts Act 1991</vt:lpstr>
    </vt:vector>
  </TitlesOfParts>
  <Manager/>
  <Company/>
  <LinksUpToDate>false</LinksUpToDate>
  <CharactersWithSpaces>78111</CharactersWithSpaces>
  <SharedDoc>false</SharedDoc>
  <HLinks>
    <vt:vector size="6" baseType="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1991 - 03-c0-01</dc:title>
  <dc:subject/>
  <dc:creator/>
  <cp:keywords/>
  <dc:description/>
  <cp:lastModifiedBy>svcMRProcess</cp:lastModifiedBy>
  <cp:revision>4</cp:revision>
  <cp:lastPrinted>2006-02-16T00:05:00Z</cp:lastPrinted>
  <dcterms:created xsi:type="dcterms:W3CDTF">2018-09-03T00:51:00Z</dcterms:created>
  <dcterms:modified xsi:type="dcterms:W3CDTF">2018-09-03T00:51:00Z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AsAtDate">
    <vt:lpwstr>28 Jun 2010</vt:lpwstr>
  </property>
  <property fmtid="{D5CDD505-2E9C-101B-9397-08002B2CF9AE}" pid="8" name="Suffix">
    <vt:lpwstr>03-c0-01</vt:lpwstr>
  </property>
</Properties>
</file>