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 Standardisation Agreement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_Toc32925453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Interpretation</w:t>
      </w:r>
      <w:r>
        <w:tab/>
      </w:r>
      <w:r>
        <w:fldChar w:fldCharType="begin"/>
      </w:r>
      <w:r>
        <w:instrText xml:space="preserve"> PAGEREF _Toc32925454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Approval of agreement</w:t>
      </w:r>
      <w:r>
        <w:tab/>
      </w:r>
      <w:r>
        <w:fldChar w:fldCharType="begin"/>
      </w:r>
      <w:r>
        <w:instrText xml:space="preserve"> PAGEREF _Toc32925455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Approval of amending agreement</w:t>
      </w:r>
      <w:r>
        <w:tab/>
      </w:r>
      <w:r>
        <w:fldChar w:fldCharType="begin"/>
      </w:r>
      <w:r>
        <w:instrText xml:space="preserve"> PAGEREF _Toc32925456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Appropriation</w:t>
      </w:r>
      <w:r>
        <w:tab/>
      </w:r>
      <w:r>
        <w:fldChar w:fldCharType="begin"/>
      </w:r>
      <w:r>
        <w:instrText xml:space="preserve"> PAGEREF _Toc32925457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The Schedules</w:t>
      </w:r>
    </w:p>
    <w:p>
      <w:pPr>
        <w:pStyle w:val="TOC2"/>
        <w:tabs>
          <w:tab w:val="right" w:pos="7086"/>
        </w:tabs>
        <w:rPr>
          <w:rFonts w:asciiTheme="minorHAnsi" w:eastAsiaTheme="minorEastAsia" w:hAnsiTheme="minorHAnsi" w:cstheme="minorBidi"/>
          <w:b w:val="0"/>
          <w:sz w:val="22"/>
          <w:szCs w:val="22"/>
          <w:lang w:eastAsia="en-AU"/>
        </w:rPr>
      </w:pPr>
      <w:r>
        <w:t>First Schedule</w:t>
      </w:r>
    </w:p>
    <w:p>
      <w:pPr>
        <w:pStyle w:val="TOC2"/>
        <w:tabs>
          <w:tab w:val="right" w:pos="7086"/>
        </w:tabs>
        <w:rPr>
          <w:rFonts w:asciiTheme="minorHAnsi" w:eastAsiaTheme="minorEastAsia" w:hAnsiTheme="minorHAnsi" w:cstheme="minorBidi"/>
          <w:b w:val="0"/>
          <w:sz w:val="22"/>
          <w:szCs w:val="22"/>
          <w:lang w:eastAsia="en-AU"/>
        </w:rPr>
      </w:pPr>
      <w:r>
        <w:t>Second Schedule</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_Toc32925462 \h </w:instrText>
      </w:r>
      <w:r>
        <w:fldChar w:fldCharType="separate"/>
      </w:r>
      <w:r>
        <w:t>21</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_Toc32925463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2" w:name="_Toc459175835"/>
      <w:bookmarkStart w:id="3" w:name="_Toc531407295"/>
      <w:bookmarkStart w:id="4" w:name="_Toc533217159"/>
      <w:bookmarkStart w:id="5" w:name="_Toc125264072"/>
      <w:bookmarkStart w:id="6" w:name="_Toc3292545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7" w:name="_Toc459175836"/>
      <w:bookmarkStart w:id="8" w:name="_Toc531407296"/>
      <w:bookmarkStart w:id="9" w:name="_Toc533217160"/>
      <w:bookmarkStart w:id="10" w:name="_Toc125264073"/>
      <w:bookmarkStart w:id="11" w:name="_Toc32925454"/>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First Schedule;</w:t>
      </w:r>
    </w:p>
    <w:p>
      <w:pPr>
        <w:pStyle w:val="Defstart"/>
      </w:pPr>
      <w:r>
        <w:rPr>
          <w:b/>
        </w:rPr>
        <w:tab/>
      </w:r>
      <w:r>
        <w:rPr>
          <w:rStyle w:val="CharDefText"/>
        </w:rPr>
        <w:t>the 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12" w:name="_Toc459175837"/>
      <w:bookmarkStart w:id="13" w:name="_Toc531407297"/>
      <w:bookmarkStart w:id="14" w:name="_Toc533217161"/>
      <w:bookmarkStart w:id="15" w:name="_Toc125264074"/>
      <w:bookmarkStart w:id="16" w:name="_Toc32925455"/>
      <w:r>
        <w:rPr>
          <w:rStyle w:val="CharSectno"/>
        </w:rPr>
        <w:t>3</w:t>
      </w:r>
      <w:r>
        <w:rPr>
          <w:snapToGrid w:val="0"/>
        </w:rPr>
        <w:t>.</w:t>
      </w:r>
      <w:r>
        <w:rPr>
          <w:snapToGrid w:val="0"/>
        </w:rPr>
        <w:tab/>
        <w:t>Approval of agreement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7" w:name="_Toc459175838"/>
      <w:bookmarkStart w:id="18" w:name="_Toc531407298"/>
      <w:bookmarkStart w:id="19" w:name="_Toc533217162"/>
      <w:bookmarkStart w:id="20" w:name="_Toc125264075"/>
      <w:bookmarkStart w:id="21" w:name="_Toc32925456"/>
      <w:r>
        <w:rPr>
          <w:rStyle w:val="CharSectno"/>
        </w:rPr>
        <w:t>3A</w:t>
      </w:r>
      <w:r>
        <w:rPr>
          <w:snapToGrid w:val="0"/>
        </w:rPr>
        <w:t>.</w:t>
      </w:r>
      <w:r>
        <w:rPr>
          <w:snapToGrid w:val="0"/>
        </w:rPr>
        <w:tab/>
        <w:t>Approval of amending agreement</w:t>
      </w:r>
      <w:bookmarkEnd w:id="17"/>
      <w:bookmarkEnd w:id="18"/>
      <w:bookmarkEnd w:id="19"/>
      <w:bookmarkEnd w:id="20"/>
      <w:bookmarkEnd w:id="21"/>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22" w:name="_Toc459175839"/>
      <w:bookmarkStart w:id="23" w:name="_Toc531407299"/>
      <w:bookmarkStart w:id="24" w:name="_Toc533217163"/>
      <w:bookmarkStart w:id="25" w:name="_Toc125264076"/>
      <w:bookmarkStart w:id="26" w:name="_Toc32925457"/>
      <w:r>
        <w:rPr>
          <w:rStyle w:val="CharSectno"/>
        </w:rPr>
        <w:t>4</w:t>
      </w:r>
      <w:r>
        <w:rPr>
          <w:snapToGrid w:val="0"/>
        </w:rPr>
        <w:t>.</w:t>
      </w:r>
      <w:r>
        <w:rPr>
          <w:snapToGrid w:val="0"/>
        </w:rPr>
        <w:tab/>
        <w:t>Appropriation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 w:name="_Toc531411017"/>
      <w:bookmarkStart w:id="28" w:name="_Toc533217164"/>
      <w:bookmarkStart w:id="29" w:name="_Toc125264077"/>
      <w:bookmarkStart w:id="30" w:name="_Toc156987227"/>
      <w:bookmarkStart w:id="31" w:name="_Toc158002925"/>
      <w:bookmarkStart w:id="32" w:name="_Toc32925458"/>
      <w:r>
        <w:t>The Schedules</w:t>
      </w:r>
      <w:bookmarkEnd w:id="27"/>
      <w:bookmarkEnd w:id="28"/>
      <w:bookmarkEnd w:id="29"/>
      <w:bookmarkEnd w:id="30"/>
      <w:bookmarkEnd w:id="31"/>
      <w:bookmarkEnd w:id="32"/>
    </w:p>
    <w:p>
      <w:pPr>
        <w:pStyle w:val="yScheduleHeading"/>
        <w:pageBreakBefore w:val="0"/>
      </w:pPr>
      <w:bookmarkStart w:id="33" w:name="_Toc533217165"/>
      <w:bookmarkStart w:id="34" w:name="_Toc125264078"/>
      <w:bookmarkStart w:id="35" w:name="_Toc156987228"/>
      <w:bookmarkStart w:id="36" w:name="_Toc158002926"/>
      <w:bookmarkStart w:id="37" w:name="_Toc32925459"/>
      <w:r>
        <w:rPr>
          <w:rStyle w:val="CharSchNo"/>
        </w:rPr>
        <w:t>First Schedule</w:t>
      </w:r>
      <w:bookmarkEnd w:id="33"/>
      <w:bookmarkEnd w:id="34"/>
      <w:bookmarkEnd w:id="35"/>
      <w:bookmarkEnd w:id="36"/>
      <w:bookmarkEnd w:id="37"/>
      <w:r>
        <w:rPr>
          <w:rStyle w:val="CharSchText"/>
        </w:rPr>
        <w:t xml:space="preserve"> </w:t>
      </w:r>
    </w:p>
    <w:p>
      <w:pPr>
        <w:pStyle w:val="yFootnoteheading"/>
        <w:rPr>
          <w:snapToGrid w:val="0"/>
        </w:rPr>
      </w:pPr>
      <w:r>
        <w:rPr>
          <w:snapToGrid w:val="0"/>
        </w:rPr>
        <w:tab/>
        <w:t>[Headings inserted by No. 51 of 1971 s. 5.]</w:t>
      </w:r>
    </w:p>
    <w:p>
      <w:pPr>
        <w:pStyle w:val="yShoulderClause"/>
        <w:rPr>
          <w:snapToGrid w:val="0"/>
        </w:rPr>
      </w:pPr>
      <w:r>
        <w:rPr>
          <w:snapToGrid w:val="0"/>
        </w:rPr>
        <w:t>[Section 2]</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38" w:name="endcomma"/>
      <w:bookmarkEnd w:id="38"/>
      <w:r>
        <w:rPr>
          <w:sz w:val="22"/>
        </w:rPr>
        <w:t xml:space="preserve">the work” </w:t>
      </w:r>
      <w:bookmarkStart w:id="39" w:name="comma"/>
      <w:bookmarkEnd w:id="39"/>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lang w:eastAsia="en-AU"/>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pPr>
    </w:p>
    <w:p>
      <w:pPr>
        <w:pStyle w:val="yFootnotesection"/>
      </w:pPr>
      <w:r>
        <w:tab/>
        <w:t>[First Schedule amended by No. 6 of 1993 s. 12.]</w:t>
      </w:r>
    </w:p>
    <w:p>
      <w:pPr>
        <w:pStyle w:val="yScheduleHeading"/>
        <w:pageBreakBefore w:val="0"/>
      </w:pPr>
      <w:bookmarkStart w:id="40" w:name="_Toc533217166"/>
      <w:bookmarkStart w:id="41" w:name="_Toc125264079"/>
      <w:bookmarkStart w:id="42" w:name="_Toc156987229"/>
      <w:bookmarkStart w:id="43" w:name="_Toc158002927"/>
      <w:bookmarkStart w:id="44" w:name="_Toc32925460"/>
      <w:r>
        <w:rPr>
          <w:rStyle w:val="CharSchNo"/>
        </w:rPr>
        <w:t>Second Schedule</w:t>
      </w:r>
      <w:bookmarkEnd w:id="40"/>
      <w:bookmarkEnd w:id="41"/>
      <w:bookmarkEnd w:id="42"/>
      <w:bookmarkEnd w:id="43"/>
      <w:bookmarkEnd w:id="44"/>
    </w:p>
    <w:p>
      <w:pPr>
        <w:pStyle w:val="yShoulderClause"/>
        <w:rPr>
          <w:snapToGrid w:val="0"/>
        </w:rPr>
      </w:pPr>
      <w:r>
        <w:rPr>
          <w:snapToGrid w:val="0"/>
        </w:rPr>
        <w:t>[S.2]</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 w:name="_Toc125264080"/>
      <w:bookmarkStart w:id="46" w:name="_Toc156987230"/>
      <w:bookmarkStart w:id="47" w:name="_Toc158002928"/>
      <w:bookmarkStart w:id="48" w:name="_Toc32925461"/>
      <w:r>
        <w:t>Notes</w:t>
      </w:r>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Railway Standardisation Agreement Act 1961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 w:name="_Toc32925462"/>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27" w:type="dxa"/>
          <w:cantSplit/>
        </w:trPr>
        <w:tc>
          <w:tcPr>
            <w:tcW w:w="2268" w:type="dxa"/>
            <w:gridSpan w:val="2"/>
          </w:tcPr>
          <w:p>
            <w:pPr>
              <w:pStyle w:val="nTable"/>
              <w:spacing w:after="40"/>
              <w:ind w:right="113"/>
              <w:rPr>
                <w:sz w:val="19"/>
              </w:rPr>
            </w:pPr>
            <w:r>
              <w:rPr>
                <w:i/>
                <w:sz w:val="19"/>
              </w:rPr>
              <w:t>Railway Standardisation Agreement Act 1961</w:t>
            </w:r>
          </w:p>
        </w:tc>
        <w:tc>
          <w:tcPr>
            <w:tcW w:w="1134" w:type="dxa"/>
            <w:gridSpan w:val="2"/>
          </w:tcPr>
          <w:p>
            <w:pPr>
              <w:pStyle w:val="nTable"/>
              <w:spacing w:after="40"/>
              <w:rPr>
                <w:sz w:val="19"/>
              </w:rPr>
            </w:pPr>
            <w:r>
              <w:rPr>
                <w:sz w:val="19"/>
              </w:rPr>
              <w:t>26 of 1961</w:t>
            </w:r>
          </w:p>
        </w:tc>
        <w:tc>
          <w:tcPr>
            <w:tcW w:w="1134" w:type="dxa"/>
            <w:gridSpan w:val="2"/>
          </w:tcPr>
          <w:p>
            <w:pPr>
              <w:pStyle w:val="nTable"/>
              <w:spacing w:after="40"/>
              <w:rPr>
                <w:sz w:val="19"/>
              </w:rPr>
            </w:pPr>
            <w:r>
              <w:rPr>
                <w:sz w:val="19"/>
              </w:rPr>
              <w:t>30 Oct 1961</w:t>
            </w:r>
          </w:p>
        </w:tc>
        <w:tc>
          <w:tcPr>
            <w:tcW w:w="2552" w:type="dxa"/>
            <w:gridSpan w:val="2"/>
          </w:tcPr>
          <w:p>
            <w:pPr>
              <w:pStyle w:val="nTable"/>
              <w:spacing w:after="40"/>
              <w:ind w:left="57"/>
              <w:rPr>
                <w:sz w:val="19"/>
              </w:rPr>
            </w:pPr>
            <w:r>
              <w:rPr>
                <w:sz w:val="19"/>
              </w:rPr>
              <w:t>30 Oct 1961</w:t>
            </w:r>
          </w:p>
        </w:tc>
      </w:tr>
      <w:tr>
        <w:trPr>
          <w:gridAfter w:val="1"/>
          <w:wAfter w:w="27" w:type="dxa"/>
          <w:cantSplit/>
        </w:trPr>
        <w:tc>
          <w:tcPr>
            <w:tcW w:w="2268" w:type="dxa"/>
            <w:gridSpan w:val="2"/>
          </w:tcPr>
          <w:p>
            <w:pPr>
              <w:pStyle w:val="nTable"/>
              <w:spacing w:after="40"/>
              <w:ind w:right="113"/>
              <w:rPr>
                <w:i/>
                <w:sz w:val="19"/>
              </w:rPr>
            </w:pPr>
            <w:r>
              <w:rPr>
                <w:i/>
                <w:sz w:val="19"/>
              </w:rPr>
              <w:t>Railway Standardisation Agreement Act Amendment Act 1971</w:t>
            </w:r>
          </w:p>
        </w:tc>
        <w:tc>
          <w:tcPr>
            <w:tcW w:w="1134" w:type="dxa"/>
            <w:gridSpan w:val="2"/>
          </w:tcPr>
          <w:p>
            <w:pPr>
              <w:pStyle w:val="nTable"/>
              <w:spacing w:after="40"/>
              <w:rPr>
                <w:sz w:val="19"/>
              </w:rPr>
            </w:pPr>
            <w:r>
              <w:rPr>
                <w:sz w:val="19"/>
              </w:rPr>
              <w:t>51 of 1971</w:t>
            </w:r>
          </w:p>
        </w:tc>
        <w:tc>
          <w:tcPr>
            <w:tcW w:w="1134" w:type="dxa"/>
            <w:gridSpan w:val="2"/>
          </w:tcPr>
          <w:p>
            <w:pPr>
              <w:pStyle w:val="nTable"/>
              <w:spacing w:after="40"/>
              <w:rPr>
                <w:sz w:val="19"/>
              </w:rPr>
            </w:pPr>
            <w:r>
              <w:rPr>
                <w:sz w:val="19"/>
              </w:rPr>
              <w:t>10 Dec 1971</w:t>
            </w:r>
          </w:p>
        </w:tc>
        <w:tc>
          <w:tcPr>
            <w:tcW w:w="2552" w:type="dxa"/>
            <w:gridSpan w:val="2"/>
          </w:tcPr>
          <w:p>
            <w:pPr>
              <w:pStyle w:val="nTable"/>
              <w:spacing w:after="40"/>
              <w:ind w:left="57"/>
              <w:rPr>
                <w:sz w:val="19"/>
              </w:rPr>
            </w:pPr>
            <w:r>
              <w:rPr>
                <w:sz w:val="19"/>
              </w:rPr>
              <w:t>10 Dec 1971</w:t>
            </w:r>
          </w:p>
        </w:tc>
      </w:tr>
      <w:tr>
        <w:trPr>
          <w:gridAfter w:val="1"/>
          <w:wAfter w:w="27"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ind w:left="57"/>
              <w:rPr>
                <w:sz w:val="19"/>
              </w:rPr>
            </w:pPr>
            <w:r>
              <w:rPr>
                <w:sz w:val="19"/>
              </w:rPr>
              <w:t>Deemed operative 1 Jul 1993 (see s. 2(1))</w:t>
            </w:r>
          </w:p>
        </w:tc>
      </w:tr>
      <w:tr>
        <w:trPr>
          <w:gridAfter w:val="1"/>
          <w:wAfter w:w="27" w:type="dxa"/>
          <w:cantSplit/>
        </w:trPr>
        <w:tc>
          <w:tcPr>
            <w:tcW w:w="7088" w:type="dxa"/>
            <w:gridSpan w:val="8"/>
          </w:tcPr>
          <w:p>
            <w:pPr>
              <w:pStyle w:val="nTable"/>
              <w:spacing w:after="4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 w:name="_Toc7405065"/>
      <w:bookmarkStart w:id="51" w:name="_Toc32925463"/>
      <w:r>
        <w:t>Provisions that have not come into operation</w:t>
      </w:r>
      <w:bookmarkEnd w:id="50"/>
      <w:bookmarkEnd w:id="5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42(2) had not come into operation.  They read as follows:</w:t>
      </w:r>
    </w:p>
    <w:p>
      <w:pPr>
        <w:pStyle w:val="BlankOpen"/>
      </w:pPr>
    </w:p>
    <w:p>
      <w:pPr>
        <w:pStyle w:val="nzHeading5"/>
        <w:rPr>
          <w:rFonts w:eastAsia="MS Mincho"/>
        </w:rPr>
      </w:pPr>
      <w:bookmarkStart w:id="52" w:name="_Toc233107675"/>
      <w:bookmarkStart w:id="53" w:name="_Toc255473698"/>
      <w:bookmarkStart w:id="54" w:name="_Toc265583753"/>
      <w:bookmarkStart w:id="55" w:name="_Toc267907333"/>
      <w:r>
        <w:rPr>
          <w:rStyle w:val="CharSectno"/>
          <w:rFonts w:eastAsia="MS Mincho"/>
        </w:rPr>
        <w:t>4</w:t>
      </w:r>
      <w:r>
        <w:rPr>
          <w:rFonts w:eastAsia="MS Mincho"/>
        </w:rPr>
        <w:t>.</w:t>
      </w:r>
      <w:r>
        <w:rPr>
          <w:rFonts w:eastAsia="MS Mincho"/>
        </w:rPr>
        <w:tab/>
        <w:t>Schedule headings reformatted</w:t>
      </w:r>
      <w:bookmarkEnd w:id="52"/>
      <w:bookmarkEnd w:id="53"/>
      <w:bookmarkEnd w:id="54"/>
      <w:bookmarkEnd w:id="5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Railway Standardisation Agreement Act 1961</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Railway Standardisation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Amending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r>
            <w:fldChar w:fldCharType="begin"/>
          </w:r>
          <w:r>
            <w:instrText xml:space="preserve"> STYLEREF CharSchText \* MERGEFORMAT </w:instrText>
          </w:r>
          <w:r>
            <w:fldChar w:fldCharType="end"/>
          </w:r>
        </w:p>
      </w:tc>
      <w:tc>
        <w:tcPr>
          <w:tcW w:w="185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6A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88F4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895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0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C0BA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94C2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F0D7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4E9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2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4F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BA231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D94AD1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5602</Words>
  <Characters>28912</Characters>
  <Application>Microsoft Office Word</Application>
  <DocSecurity>0</DocSecurity>
  <Lines>876</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1961 - 01-c0-01</dc:title>
  <dc:subject/>
  <dc:creator/>
  <cp:keywords/>
  <dc:description/>
  <cp:lastModifiedBy>svcMRProcess</cp:lastModifiedBy>
  <cp:revision>4</cp:revision>
  <cp:lastPrinted>2001-12-10T03:42:00Z</cp:lastPrinted>
  <dcterms:created xsi:type="dcterms:W3CDTF">2020-02-18T05:37:00Z</dcterms:created>
  <dcterms:modified xsi:type="dcterms:W3CDTF">2020-02-18T05:37:00Z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661</vt:i4>
  </property>
  <property fmtid="{D5CDD505-2E9C-101B-9397-08002B2CF9AE}" pid="6" name="AsAtDate">
    <vt:lpwstr>28 Jun 2010</vt:lpwstr>
  </property>
  <property fmtid="{D5CDD505-2E9C-101B-9397-08002B2CF9AE}" pid="7" name="Suffix">
    <vt:lpwstr>01-c0-01</vt:lpwstr>
  </property>
</Properties>
</file>