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Arrangement"/>
        <w:ind w:left="2302" w:right="2302"/>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_Toc268095904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_Toc268095905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_Toc268095906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Validation of Agreement</w:t>
      </w:r>
      <w:r>
        <w:tab/>
      </w:r>
      <w:r>
        <w:fldChar w:fldCharType="begin"/>
      </w:r>
      <w:r>
        <w:instrText xml:space="preserve"> PAGEREF _Toc268095907 \h </w:instrText>
      </w:r>
      <w:r>
        <w:fldChar w:fldCharType="separate"/>
      </w:r>
      <w:r>
        <w:t>2</w:t>
      </w:r>
      <w:r>
        <w:fldChar w:fldCharType="end"/>
      </w:r>
    </w:p>
    <w:p>
      <w:pPr>
        <w:pStyle w:val="TOC8"/>
        <w:rPr>
          <w:sz w:val="24"/>
          <w:szCs w:val="24"/>
        </w:rPr>
      </w:pPr>
      <w:r>
        <w:rPr>
          <w:szCs w:val="24"/>
        </w:rPr>
        <w:t>4A</w:t>
      </w:r>
      <w:r>
        <w:rPr>
          <w:snapToGrid w:val="0"/>
          <w:szCs w:val="24"/>
        </w:rPr>
        <w:t>.</w:t>
      </w:r>
      <w:r>
        <w:rPr>
          <w:snapToGrid w:val="0"/>
          <w:szCs w:val="24"/>
        </w:rPr>
        <w:tab/>
        <w:t>Ratification of Variation Agreement</w:t>
      </w:r>
      <w:r>
        <w:tab/>
      </w:r>
      <w:r>
        <w:fldChar w:fldCharType="begin"/>
      </w:r>
      <w:r>
        <w:instrText xml:space="preserve"> PAGEREF _Toc268095908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Cancellation of reserve 12562</w:t>
      </w:r>
      <w:r>
        <w:tab/>
      </w:r>
      <w:r>
        <w:fldChar w:fldCharType="begin"/>
      </w:r>
      <w:r>
        <w:instrText xml:space="preserve"> PAGEREF _Toc268095909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State’s obligations not to be prejudiced</w:t>
      </w:r>
      <w:r>
        <w:tab/>
      </w:r>
      <w:r>
        <w:fldChar w:fldCharType="begin"/>
      </w:r>
      <w:r>
        <w:instrText xml:space="preserve"> PAGEREF _Toc268095910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Act No. 46 of 1952 amended</w:t>
      </w:r>
      <w:r>
        <w:tab/>
      </w:r>
      <w:r>
        <w:fldChar w:fldCharType="begin"/>
      </w:r>
      <w:r>
        <w:instrText xml:space="preserve"> PAGEREF _Toc268095911 \h </w:instrText>
      </w:r>
      <w:r>
        <w:fldChar w:fldCharType="separate"/>
      </w:r>
      <w:r>
        <w:t>3</w:t>
      </w:r>
      <w:r>
        <w:fldChar w:fldCharType="end"/>
      </w:r>
    </w:p>
    <w:p>
      <w:pPr>
        <w:pStyle w:val="TOC2"/>
        <w:tabs>
          <w:tab w:val="right" w:leader="dot" w:pos="7078"/>
        </w:tabs>
        <w:rPr>
          <w:b w:val="0"/>
          <w:sz w:val="24"/>
          <w:szCs w:val="24"/>
        </w:rPr>
      </w:pPr>
      <w:r>
        <w:rPr>
          <w:szCs w:val="28"/>
        </w:rPr>
        <w:t>The Schedules</w:t>
      </w:r>
    </w:p>
    <w:p>
      <w:pPr>
        <w:pStyle w:val="TOC2"/>
        <w:tabs>
          <w:tab w:val="right" w:leader="dot" w:pos="7078"/>
        </w:tabs>
        <w:rPr>
          <w:b w:val="0"/>
          <w:sz w:val="24"/>
          <w:szCs w:val="24"/>
        </w:rPr>
      </w:pPr>
      <w:r>
        <w:rPr>
          <w:szCs w:val="28"/>
        </w:rPr>
        <w:t>First Schedule</w:t>
      </w:r>
    </w:p>
    <w:p>
      <w:pPr>
        <w:pStyle w:val="TOC2"/>
        <w:tabs>
          <w:tab w:val="right" w:leader="dot" w:pos="7078"/>
        </w:tabs>
        <w:rPr>
          <w:b w:val="0"/>
          <w:sz w:val="24"/>
          <w:szCs w:val="24"/>
        </w:rPr>
      </w:pPr>
      <w:r>
        <w:rPr>
          <w:szCs w:val="28"/>
        </w:rPr>
        <w:t>Second Schedule</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_Toc268095916 \h </w:instrText>
      </w:r>
      <w:r>
        <w:fldChar w:fldCharType="separate"/>
      </w:r>
      <w:r>
        <w:t>55</w:t>
      </w:r>
      <w:r>
        <w:fldChar w:fldCharType="end"/>
      </w:r>
    </w:p>
    <w:p>
      <w:pPr>
        <w:pStyle w:val="TOC8"/>
        <w:rPr>
          <w:sz w:val="24"/>
        </w:rPr>
      </w:pPr>
      <w:r>
        <w:tab/>
        <w:t>Provisions that have not come into operation</w:t>
      </w:r>
      <w:r>
        <w:tab/>
      </w:r>
      <w:r>
        <w:fldChar w:fldCharType="begin"/>
      </w:r>
      <w:r>
        <w:instrText xml:space="preserve"> PAGEREF _Toc268095917 \h </w:instrText>
      </w:r>
      <w:r>
        <w:fldChar w:fldCharType="separate"/>
      </w:r>
      <w:r>
        <w:t>55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 xml:space="preserve">An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268095904"/>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8" w:name="_Toc459106986"/>
      <w:bookmarkStart w:id="9" w:name="_Toc532872974"/>
      <w:bookmarkStart w:id="10" w:name="_Toc534795354"/>
      <w:bookmarkStart w:id="11" w:name="_Toc535308474"/>
      <w:bookmarkStart w:id="12" w:name="_Toc44928058"/>
      <w:bookmarkStart w:id="13" w:name="_Toc44928110"/>
      <w:bookmarkStart w:id="14" w:name="_Toc268095905"/>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5" w:name="_Toc459106987"/>
      <w:bookmarkStart w:id="16" w:name="_Toc532872975"/>
      <w:bookmarkStart w:id="17" w:name="_Toc534795355"/>
      <w:bookmarkStart w:id="18" w:name="_Toc535308475"/>
      <w:bookmarkStart w:id="19" w:name="_Toc44928059"/>
      <w:bookmarkStart w:id="20" w:name="_Toc44928111"/>
      <w:bookmarkStart w:id="21" w:name="_Toc268095906"/>
      <w:r>
        <w:rPr>
          <w:rStyle w:val="CharSectno"/>
        </w:rPr>
        <w:t>3</w:t>
      </w:r>
      <w:r>
        <w:rPr>
          <w:snapToGrid w:val="0"/>
        </w:rPr>
        <w:t>.</w:t>
      </w:r>
      <w:r>
        <w:rPr>
          <w:snapToGrid w:val="0"/>
        </w:rPr>
        <w:tab/>
        <w:t>Interpretation</w:t>
      </w:r>
      <w:bookmarkEnd w:id="15"/>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2" w:name="endcomma"/>
      <w:bookmarkEnd w:id="22"/>
      <w:r>
        <w:rPr>
          <w:rStyle w:val="CharDefText"/>
        </w:rPr>
        <w:t>the Variation Agreement</w:t>
      </w:r>
      <w:r>
        <w:t xml:space="preserve"> </w:t>
      </w:r>
      <w:bookmarkStart w:id="23" w:name="comma"/>
      <w:bookmarkEnd w:id="23"/>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4" w:name="_Toc459106988"/>
      <w:bookmarkStart w:id="25" w:name="_Toc532872976"/>
      <w:bookmarkStart w:id="26" w:name="_Toc534795356"/>
      <w:bookmarkStart w:id="27" w:name="_Toc535308476"/>
      <w:bookmarkStart w:id="28" w:name="_Toc44928060"/>
      <w:bookmarkStart w:id="29" w:name="_Toc44928112"/>
      <w:bookmarkStart w:id="30" w:name="_Toc268095907"/>
      <w:r>
        <w:rPr>
          <w:rStyle w:val="CharSectno"/>
        </w:rPr>
        <w:t>4</w:t>
      </w:r>
      <w:r>
        <w:rPr>
          <w:snapToGrid w:val="0"/>
        </w:rPr>
        <w:t>.</w:t>
      </w:r>
      <w:r>
        <w:rPr>
          <w:snapToGrid w:val="0"/>
        </w:rPr>
        <w:tab/>
        <w:t>Validation of Agreement</w:t>
      </w:r>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1" w:name="_Toc459106989"/>
      <w:bookmarkStart w:id="32" w:name="_Toc532872977"/>
      <w:bookmarkStart w:id="33" w:name="_Toc534795357"/>
      <w:bookmarkStart w:id="34" w:name="_Toc535308477"/>
      <w:bookmarkStart w:id="35" w:name="_Toc44928061"/>
      <w:bookmarkStart w:id="36" w:name="_Toc44928113"/>
      <w:bookmarkStart w:id="37" w:name="_Toc268095908"/>
      <w:r>
        <w:rPr>
          <w:rStyle w:val="CharSectno"/>
        </w:rPr>
        <w:t>4A</w:t>
      </w:r>
      <w:r>
        <w:rPr>
          <w:snapToGrid w:val="0"/>
        </w:rPr>
        <w:t>.</w:t>
      </w:r>
      <w:r>
        <w:rPr>
          <w:snapToGrid w:val="0"/>
        </w:rPr>
        <w:tab/>
        <w:t>Ratification of Variation Agreement</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38" w:name="_Toc459106990"/>
      <w:bookmarkStart w:id="39" w:name="_Toc532872978"/>
      <w:bookmarkStart w:id="40" w:name="_Toc534795358"/>
      <w:bookmarkStart w:id="41" w:name="_Toc535308478"/>
      <w:bookmarkStart w:id="42" w:name="_Toc44928062"/>
      <w:bookmarkStart w:id="43" w:name="_Toc44928114"/>
      <w:bookmarkStart w:id="44" w:name="_Toc268095909"/>
      <w:r>
        <w:rPr>
          <w:rStyle w:val="CharSectno"/>
        </w:rPr>
        <w:t>5</w:t>
      </w:r>
      <w:r>
        <w:rPr>
          <w:snapToGrid w:val="0"/>
        </w:rPr>
        <w:t>.</w:t>
      </w:r>
      <w:r>
        <w:rPr>
          <w:snapToGrid w:val="0"/>
        </w:rPr>
        <w:tab/>
        <w:t>Cancellation of reserve 12562</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45" w:name="_Toc459106991"/>
      <w:bookmarkStart w:id="46" w:name="_Toc532872979"/>
      <w:bookmarkStart w:id="47" w:name="_Toc534795359"/>
      <w:bookmarkStart w:id="48" w:name="_Toc535308479"/>
      <w:bookmarkStart w:id="49" w:name="_Toc44928063"/>
      <w:bookmarkStart w:id="50" w:name="_Toc44928115"/>
      <w:bookmarkStart w:id="51" w:name="_Toc268095910"/>
      <w:r>
        <w:rPr>
          <w:rStyle w:val="CharSectno"/>
        </w:rPr>
        <w:t>6</w:t>
      </w:r>
      <w:r>
        <w:rPr>
          <w:snapToGrid w:val="0"/>
        </w:rPr>
        <w:t>.</w:t>
      </w:r>
      <w:r>
        <w:rPr>
          <w:snapToGrid w:val="0"/>
        </w:rPr>
        <w:tab/>
        <w:t>State’s obligations not to be prejudiced</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2" w:name="_Toc459106992"/>
      <w:bookmarkStart w:id="53" w:name="_Toc532872980"/>
      <w:bookmarkStart w:id="54" w:name="_Toc534795360"/>
      <w:bookmarkStart w:id="55" w:name="_Toc535308480"/>
      <w:bookmarkStart w:id="56" w:name="_Toc44928064"/>
      <w:bookmarkStart w:id="57" w:name="_Toc44928116"/>
      <w:bookmarkStart w:id="58" w:name="_Toc268095911"/>
      <w:r>
        <w:rPr>
          <w:rStyle w:val="CharSectno"/>
        </w:rPr>
        <w:t>7</w:t>
      </w:r>
      <w:r>
        <w:rPr>
          <w:snapToGrid w:val="0"/>
        </w:rPr>
        <w:t>.</w:t>
      </w:r>
      <w:r>
        <w:rPr>
          <w:snapToGrid w:val="0"/>
        </w:rPr>
        <w:tab/>
        <w:t>Act No. 46 of 1952 amended</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9" w:name="_Toc533389825"/>
      <w:bookmarkStart w:id="60" w:name="_Toc534795361"/>
      <w:bookmarkStart w:id="61" w:name="_Toc535308481"/>
      <w:bookmarkStart w:id="62" w:name="_Toc44928065"/>
      <w:bookmarkStart w:id="63" w:name="_Toc44928117"/>
      <w:bookmarkStart w:id="64" w:name="_Toc266971629"/>
      <w:bookmarkStart w:id="65" w:name="_Toc268095912"/>
      <w:r>
        <w:t>The Schedules</w:t>
      </w:r>
      <w:bookmarkEnd w:id="59"/>
      <w:bookmarkEnd w:id="60"/>
      <w:bookmarkEnd w:id="61"/>
      <w:bookmarkEnd w:id="62"/>
      <w:bookmarkEnd w:id="63"/>
      <w:bookmarkEnd w:id="64"/>
      <w:bookmarkEnd w:id="65"/>
    </w:p>
    <w:p>
      <w:pPr>
        <w:pStyle w:val="yScheduleHeading"/>
        <w:pageBreakBefore w:val="0"/>
      </w:pPr>
      <w:bookmarkStart w:id="66" w:name="_Toc534795362"/>
      <w:bookmarkStart w:id="67" w:name="_Toc535308482"/>
      <w:bookmarkStart w:id="68" w:name="_Toc44928066"/>
      <w:bookmarkStart w:id="69" w:name="_Toc44928118"/>
      <w:bookmarkStart w:id="70" w:name="_Toc266971630"/>
      <w:bookmarkStart w:id="71" w:name="_Toc268095913"/>
      <w:r>
        <w:rPr>
          <w:rStyle w:val="CharSchNo"/>
        </w:rPr>
        <w:t>First Schedule</w:t>
      </w:r>
      <w:bookmarkEnd w:id="66"/>
      <w:bookmarkEnd w:id="67"/>
      <w:bookmarkEnd w:id="68"/>
      <w:bookmarkEnd w:id="69"/>
      <w:bookmarkEnd w:id="70"/>
      <w:bookmarkEnd w:id="71"/>
    </w:p>
    <w:p>
      <w:pPr>
        <w:pStyle w:val="yFootnoteheading"/>
        <w:rPr>
          <w:snapToGrid w:val="0"/>
        </w:rPr>
      </w:pPr>
      <w:r>
        <w:rPr>
          <w:snapToGrid w:val="0"/>
        </w:rPr>
        <w:t>[Headings inserted by No. 47 of 1973 s. 6.]</w:t>
      </w:r>
    </w:p>
    <w:p>
      <w:pPr>
        <w:pStyle w:val="yShoulderClause"/>
        <w:spacing w:before="80"/>
        <w:rPr>
          <w:snapToGrid w:val="0"/>
        </w:rPr>
      </w:pPr>
      <w:r>
        <w:rPr>
          <w:snapToGrid w:val="0"/>
        </w:rPr>
        <w:t>[S. 3]</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lang w:eastAsia="en-AU"/>
              </w:rPr>
              <w:drawing>
                <wp:inline distT="0" distB="0" distL="0" distR="0">
                  <wp:extent cx="127000" cy="3257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32575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lang w:eastAsia="en-AU"/>
        </w:rPr>
        <w:drawing>
          <wp:inline distT="0" distB="0" distL="0" distR="0">
            <wp:extent cx="3117215" cy="4929505"/>
            <wp:effectExtent l="0" t="0" r="6985" b="444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7215" cy="492950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bookmarkStart w:id="72" w:name="_MON_1072860949"/>
    <w:bookmarkStart w:id="73" w:name="_MON_1243866692"/>
    <w:bookmarkEnd w:id="72"/>
    <w:bookmarkEnd w:id="73"/>
    <w:bookmarkStart w:id="74" w:name="_MON_1072512128"/>
    <w:bookmarkEnd w:id="74"/>
    <w:p>
      <w:pPr>
        <w:pStyle w:val="yTable"/>
        <w:jc w:val="center"/>
      </w:pPr>
      <w:r>
        <w:object w:dxaOrig="7079" w:dyaOrig="7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25pt;height:374.25pt" o:ole="" fillcolor="window">
            <v:imagedata r:id="rId28" o:title=""/>
          </v:shape>
          <o:OLEObject Type="Embed" ProgID="Word.Picture.8" ShapeID="_x0000_i1025" DrawAspect="Content" ObjectID="_1643141722" r:id="rId29"/>
        </w:obje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lang w:eastAsia="en-AU"/>
              </w:rPr>
              <w:drawing>
                <wp:inline distT="0" distB="0" distL="0" distR="0">
                  <wp:extent cx="127000" cy="6756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lang w:eastAsia="en-AU"/>
              </w:rPr>
              <w:drawing>
                <wp:inline distT="0" distB="0" distL="0" distR="0">
                  <wp:extent cx="127000" cy="930275"/>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93027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lang w:eastAsia="en-AU"/>
              </w:rPr>
              <w:drawing>
                <wp:inline distT="0" distB="0" distL="0" distR="0">
                  <wp:extent cx="127000" cy="35750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35750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pPr>
      <w:bookmarkStart w:id="75" w:name="_Toc534795363"/>
      <w:bookmarkStart w:id="76" w:name="_Toc535308483"/>
      <w:bookmarkStart w:id="77" w:name="_Toc44928067"/>
      <w:bookmarkStart w:id="78" w:name="_Toc44928119"/>
      <w:bookmarkStart w:id="79" w:name="_Toc266971631"/>
      <w:bookmarkStart w:id="80" w:name="_Toc268095914"/>
      <w:r>
        <w:rPr>
          <w:rStyle w:val="CharSchNo"/>
        </w:rPr>
        <w:t>Second Schedule</w:t>
      </w:r>
      <w:bookmarkEnd w:id="75"/>
      <w:bookmarkEnd w:id="76"/>
      <w:bookmarkEnd w:id="77"/>
      <w:bookmarkEnd w:id="78"/>
      <w:bookmarkEnd w:id="79"/>
      <w:bookmarkEnd w:id="80"/>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lang w:eastAsia="en-AU"/>
              </w:rPr>
              <w:drawing>
                <wp:inline distT="0" distB="0" distL="0" distR="0">
                  <wp:extent cx="127000" cy="548640"/>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54864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lang w:eastAsia="en-AU"/>
              </w:rPr>
              <w:drawing>
                <wp:inline distT="0" distB="0" distL="0" distR="0">
                  <wp:extent cx="127000" cy="84264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84264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lang w:eastAsia="en-AU"/>
              </w:rPr>
              <w:drawing>
                <wp:inline distT="0" distB="0" distL="0" distR="0">
                  <wp:extent cx="127000" cy="835025"/>
                  <wp:effectExtent l="0" t="0" r="635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000" cy="83502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bookmarkStart w:id="81" w:name="_Toc266971632"/>
      <w:bookmarkStart w:id="82" w:name="_Toc268095915"/>
      <w:r>
        <w:t>Notes</w:t>
      </w:r>
      <w:bookmarkEnd w:id="81"/>
      <w:bookmarkEnd w:id="82"/>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3" w:name="_Toc534795364"/>
      <w:bookmarkStart w:id="84" w:name="_Toc535308484"/>
      <w:bookmarkStart w:id="85" w:name="_Toc44928068"/>
      <w:bookmarkStart w:id="86" w:name="_Toc44928120"/>
      <w:bookmarkStart w:id="87" w:name="_Toc268095916"/>
      <w:r>
        <w:rPr>
          <w:snapToGrid w:val="0"/>
        </w:rPr>
        <w:t>Compilation table</w:t>
      </w:r>
      <w:bookmarkEnd w:id="83"/>
      <w:bookmarkEnd w:id="84"/>
      <w:bookmarkEnd w:id="85"/>
      <w:bookmarkEnd w:id="86"/>
      <w:bookmarkEnd w:id="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4"/>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tcBorders>
              <w:bottom w:val="single" w:sz="4" w:space="0" w:color="auto"/>
            </w:tcBorders>
          </w:tcPr>
          <w:p>
            <w:pPr>
              <w:pStyle w:val="nTable"/>
              <w:spacing w:before="120"/>
              <w:ind w:right="113"/>
              <w:rPr>
                <w:i/>
                <w:sz w:val="19"/>
              </w:rPr>
            </w:pPr>
            <w:r>
              <w:rPr>
                <w:i/>
                <w:sz w:val="19"/>
              </w:rPr>
              <w:t xml:space="preserve">Public Transport Authority Act 2003 </w:t>
            </w:r>
            <w:r>
              <w:rPr>
                <w:sz w:val="19"/>
              </w:rPr>
              <w:t>s. 145</w:t>
            </w:r>
          </w:p>
        </w:tc>
        <w:tc>
          <w:tcPr>
            <w:tcW w:w="1134" w:type="dxa"/>
            <w:tcBorders>
              <w:bottom w:val="single" w:sz="4" w:space="0" w:color="auto"/>
            </w:tcBorders>
          </w:tcPr>
          <w:p>
            <w:pPr>
              <w:pStyle w:val="nTable"/>
              <w:spacing w:before="120"/>
              <w:rPr>
                <w:sz w:val="19"/>
              </w:rPr>
            </w:pPr>
            <w:r>
              <w:rPr>
                <w:sz w:val="19"/>
              </w:rPr>
              <w:t>31 of 2003</w:t>
            </w:r>
          </w:p>
        </w:tc>
        <w:tc>
          <w:tcPr>
            <w:tcW w:w="1134" w:type="dxa"/>
            <w:tcBorders>
              <w:bottom w:val="single" w:sz="4" w:space="0" w:color="auto"/>
            </w:tcBorders>
          </w:tcPr>
          <w:p>
            <w:pPr>
              <w:pStyle w:val="nTable"/>
              <w:spacing w:before="120"/>
              <w:rPr>
                <w:sz w:val="19"/>
              </w:rPr>
            </w:pPr>
            <w:r>
              <w:rPr>
                <w:sz w:val="19"/>
              </w:rPr>
              <w:t>26 May 2003</w:t>
            </w:r>
          </w:p>
        </w:tc>
        <w:tc>
          <w:tcPr>
            <w:tcW w:w="2552" w:type="dxa"/>
            <w:tcBorders>
              <w:bottom w:val="single" w:sz="4" w:space="0" w:color="auto"/>
            </w:tcBorders>
          </w:tcPr>
          <w:p>
            <w:pPr>
              <w:pStyle w:val="nTable"/>
              <w:spacing w:before="120"/>
              <w:rPr>
                <w:sz w:val="19"/>
              </w:rPr>
            </w:pPr>
            <w:r>
              <w:rPr>
                <w:sz w:val="19"/>
              </w:rPr>
              <w:t xml:space="preserve">1 Jul 2003 (see s. 2(1) and </w:t>
            </w:r>
            <w:r>
              <w:rPr>
                <w:i/>
                <w:sz w:val="19"/>
              </w:rPr>
              <w:t xml:space="preserve">Gazette </w:t>
            </w:r>
            <w:r>
              <w:rPr>
                <w:sz w:val="19"/>
              </w:rPr>
              <w:t>27 Jun 2003 p. 2384)</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8" w:name="_Toc7405065"/>
      <w:bookmarkStart w:id="89" w:name="_Toc268095917"/>
      <w:r>
        <w:t>Provisions that have not come into operation</w:t>
      </w:r>
      <w:bookmarkEnd w:id="88"/>
      <w:bookmarkEnd w:id="89"/>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42</w:t>
            </w:r>
            <w:r>
              <w:rPr>
                <w:iCs/>
                <w:snapToGrid w:val="0"/>
                <w:sz w:val="19"/>
                <w:vertAlign w:val="superscript"/>
                <w:lang w:val="en-US"/>
              </w:rPr>
              <w:t> 7</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rPr>
          <w:vertAlign w:val="superscript"/>
        </w:rPr>
      </w:pPr>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42 had not come into operation.  They read as follows:</w:t>
      </w:r>
    </w:p>
    <w:p>
      <w:pPr>
        <w:pStyle w:val="BlankOpen"/>
      </w:pPr>
    </w:p>
    <w:p>
      <w:pPr>
        <w:pStyle w:val="nzHeading5"/>
        <w:rPr>
          <w:rFonts w:eastAsia="MS Mincho"/>
        </w:rPr>
      </w:pPr>
      <w:bookmarkStart w:id="90" w:name="_Toc233107675"/>
      <w:bookmarkStart w:id="91" w:name="_Toc255473698"/>
      <w:bookmarkStart w:id="92" w:name="_Toc265583753"/>
      <w:bookmarkStart w:id="93" w:name="_Toc267907333"/>
      <w:r>
        <w:rPr>
          <w:rStyle w:val="CharSectno"/>
          <w:rFonts w:eastAsia="MS Mincho"/>
        </w:rPr>
        <w:t>4</w:t>
      </w:r>
      <w:r>
        <w:rPr>
          <w:rFonts w:eastAsia="MS Mincho"/>
        </w:rPr>
        <w:t>.</w:t>
      </w:r>
      <w:r>
        <w:rPr>
          <w:rFonts w:eastAsia="MS Mincho"/>
        </w:rPr>
        <w:tab/>
        <w:t>Schedule headings reformatted</w:t>
      </w:r>
      <w:bookmarkEnd w:id="90"/>
      <w:bookmarkEnd w:id="91"/>
      <w:bookmarkEnd w:id="92"/>
      <w:bookmarkEnd w:id="93"/>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p>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Broken Hill Proprietary Company’s Integrated Steel Works Agreement Act 1960</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First Schedule</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Broken Hill Proprietary Company’s Integrated Steel Works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Second Schedule</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Variation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r>
              <w:rPr>
                <w:sz w:val="18"/>
              </w:rPr>
              <w:t>[s. 3]</w:t>
            </w:r>
          </w:p>
        </w:tc>
      </w:tr>
    </w:tbl>
    <w:p>
      <w:pPr>
        <w:pStyle w:val="nzHeading5"/>
        <w:spacing w:before="240"/>
      </w:pPr>
      <w:r>
        <w:rPr>
          <w:rStyle w:val="CharSectno"/>
        </w:rPr>
        <w:t>42</w:t>
      </w:r>
      <w:r>
        <w:t>.</w:t>
      </w:r>
      <w:r>
        <w:tab/>
        <w:t>“The Schedules” and “Schedules” headings deleted</w:t>
      </w:r>
    </w:p>
    <w:p>
      <w:pPr>
        <w:pStyle w:val="nzSubsection"/>
      </w:pPr>
      <w:r>
        <w:tab/>
        <w:t>(1)</w:t>
      </w:r>
      <w:r>
        <w:tab/>
        <w:t>This section amends the Acts listed in Tables 1 and 2.</w:t>
      </w:r>
    </w:p>
    <w:p>
      <w:pPr>
        <w:pStyle w:val="nzSubsection"/>
      </w:pPr>
      <w:r>
        <w:tab/>
        <w:t>(2)</w:t>
      </w:r>
      <w:r>
        <w:tab/>
        <w:t>In each Act listed in Tab</w:t>
      </w:r>
      <w:bookmarkStart w:id="94" w:name="UpToHere"/>
      <w:bookmarkEnd w:id="94"/>
      <w:r>
        <w:t>le 1 before the first of the Schedules to the Act delete “</w:t>
      </w:r>
      <w:r>
        <w:rPr>
          <w:b/>
          <w:sz w:val="28"/>
        </w:rPr>
        <w:t>The Schedules</w:t>
      </w:r>
      <w:r>
        <w:t>”.</w:t>
      </w:r>
    </w:p>
    <w:p>
      <w:pPr>
        <w:pStyle w:val="BlankClose"/>
      </w:pPr>
    </w:p>
    <w:p>
      <w:pPr>
        <w:rPr>
          <w:sz w:val="20"/>
        </w:rPr>
      </w:pPr>
    </w:p>
    <w:p>
      <w:pPr>
        <w:rPr>
          <w:sz w:val="2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sz w:val="20"/>
        </w:rPr>
      </w:pPr>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fldChar w:fldCharType="end"/>
          </w:r>
        </w:p>
      </w:tc>
      <w:tc>
        <w:tcPr>
          <w:tcW w:w="5201"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4892"/>
      <w:gridCol w:w="2371"/>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4892" w:type="dxa"/>
        </w:tcPr>
        <w:p>
          <w:pPr>
            <w:pStyle w:val="HeaderTextRight"/>
          </w:pPr>
        </w:p>
      </w:tc>
      <w:tc>
        <w:tcPr>
          <w:tcW w:w="2371" w:type="dxa"/>
        </w:tcPr>
        <w:p>
          <w:pPr>
            <w:pStyle w:val="HeaderNumberRight"/>
            <w:ind w:right="17"/>
          </w:pPr>
        </w:p>
      </w:tc>
    </w:tr>
    <w:tr>
      <w:tc>
        <w:tcPr>
          <w:tcW w:w="4892" w:type="dxa"/>
        </w:tcPr>
        <w:p>
          <w:pPr>
            <w:pStyle w:val="HeaderTextRight"/>
          </w:pPr>
        </w:p>
      </w:tc>
      <w:tc>
        <w:tcPr>
          <w:tcW w:w="2371" w:type="dxa"/>
        </w:tcPr>
        <w:p>
          <w:pPr>
            <w:pStyle w:val="HeaderNumberRight"/>
            <w:ind w:right="17"/>
          </w:pPr>
        </w:p>
      </w:tc>
    </w:tr>
    <w:tr>
      <w:trPr>
        <w:cantSplit/>
      </w:trPr>
      <w:tc>
        <w:tcPr>
          <w:tcW w:w="4892" w:type="dxa"/>
        </w:tcPr>
        <w:p>
          <w:pPr>
            <w:pStyle w:val="HeaderSectionRight"/>
            <w:ind w:right="17"/>
          </w:pPr>
        </w:p>
      </w:tc>
      <w:tc>
        <w:tcPr>
          <w:tcW w:w="236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Company’s Integrated Steel Works Agreement Act 1960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Company’s Integrated Steel Works Agreement Act 1960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52"/>
    <w:docVar w:name="WAFER_20151207104352" w:val="RemoveTrackChanges"/>
    <w:docVar w:name="WAFER_20151207104352_GUID" w:val="4b97de17-1177-4250-9c87-6bcca4cf0e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19195</Words>
  <Characters>92329</Characters>
  <Application>Microsoft Office Word</Application>
  <DocSecurity>0</DocSecurity>
  <Lines>1964</Lines>
  <Paragraphs>602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110922</CharactersWithSpaces>
  <SharedDoc>false</SharedDoc>
  <HLinks>
    <vt:vector size="6" baseType="variant">
      <vt:variant>
        <vt:i4>65554</vt:i4>
      </vt:variant>
      <vt:variant>
        <vt:i4>102394</vt:i4>
      </vt:variant>
      <vt:variant>
        <vt:i4>1027</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1960 - 01-c0-02</dc:title>
  <dc:subject/>
  <dc:creator/>
  <cp:keywords/>
  <dc:description/>
  <cp:lastModifiedBy>svcMRProcess</cp:lastModifiedBy>
  <cp:revision>4</cp:revision>
  <cp:lastPrinted>2002-01-16T03:55:00Z</cp:lastPrinted>
  <dcterms:created xsi:type="dcterms:W3CDTF">2020-02-13T15:29:00Z</dcterms:created>
  <dcterms:modified xsi:type="dcterms:W3CDTF">2020-02-13T15:29:00Z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01-c0-02</vt:lpwstr>
  </property>
</Properties>
</file>