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Newman)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(Mount Newman) Agreement Act 1964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citation</w:t>
      </w:r>
      <w:r>
        <w:tab/>
      </w:r>
      <w:r>
        <w:fldChar w:fldCharType="begin"/>
      </w:r>
      <w:r>
        <w:instrText xml:space="preserve"> PAGEREF _Toc266972641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_Toc266972642 \h </w:instrText>
      </w:r>
      <w:r>
        <w:fldChar w:fldCharType="separate"/>
      </w:r>
      <w:r>
        <w:t>1</w:t>
      </w:r>
      <w:r>
        <w:fldChar w:fldCharType="end"/>
      </w:r>
    </w:p>
    <w:p>
      <w:pPr>
        <w:pStyle w:val="TOC8"/>
        <w:rPr>
          <w:sz w:val="24"/>
          <w:szCs w:val="24"/>
        </w:rPr>
      </w:pPr>
      <w:r>
        <w:rPr>
          <w:szCs w:val="24"/>
        </w:rPr>
        <w:t>3.</w:t>
      </w:r>
      <w:r>
        <w:rPr>
          <w:szCs w:val="24"/>
        </w:rPr>
        <w:tab/>
        <w:t>Agreement approved and provisions to take effect</w:t>
      </w:r>
      <w:r>
        <w:tab/>
      </w:r>
      <w:r>
        <w:fldChar w:fldCharType="begin"/>
      </w:r>
      <w:r>
        <w:instrText xml:space="preserve"> PAGEREF _Toc266972643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First Variation Agreement approved</w:t>
      </w:r>
      <w:r>
        <w:tab/>
      </w:r>
      <w:r>
        <w:fldChar w:fldCharType="begin"/>
      </w:r>
      <w:r>
        <w:instrText xml:space="preserve"> PAGEREF _Toc266972644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Second Variation Agreement approved and ratified</w:t>
      </w:r>
      <w:r>
        <w:tab/>
      </w:r>
      <w:r>
        <w:fldChar w:fldCharType="begin"/>
      </w:r>
      <w:r>
        <w:instrText xml:space="preserve"> PAGEREF _Toc266972645 \h </w:instrText>
      </w:r>
      <w:r>
        <w:fldChar w:fldCharType="separate"/>
      </w:r>
      <w:r>
        <w:t>2</w:t>
      </w:r>
      <w:r>
        <w:fldChar w:fldCharType="end"/>
      </w:r>
    </w:p>
    <w:p>
      <w:pPr>
        <w:pStyle w:val="TOC8"/>
        <w:rPr>
          <w:sz w:val="24"/>
          <w:szCs w:val="24"/>
        </w:rPr>
      </w:pPr>
      <w:r>
        <w:rPr>
          <w:szCs w:val="24"/>
        </w:rPr>
        <w:t>3C</w:t>
      </w:r>
      <w:r>
        <w:rPr>
          <w:snapToGrid w:val="0"/>
          <w:szCs w:val="24"/>
        </w:rPr>
        <w:t>.</w:t>
      </w:r>
      <w:r>
        <w:rPr>
          <w:snapToGrid w:val="0"/>
          <w:szCs w:val="24"/>
        </w:rPr>
        <w:tab/>
        <w:t>Third Variation Agreement</w:t>
      </w:r>
      <w:r>
        <w:tab/>
      </w:r>
      <w:r>
        <w:fldChar w:fldCharType="begin"/>
      </w:r>
      <w:r>
        <w:instrText xml:space="preserve"> PAGEREF _Toc266972646 \h </w:instrText>
      </w:r>
      <w:r>
        <w:fldChar w:fldCharType="separate"/>
      </w:r>
      <w:r>
        <w:t>3</w:t>
      </w:r>
      <w:r>
        <w:fldChar w:fldCharType="end"/>
      </w:r>
    </w:p>
    <w:p>
      <w:pPr>
        <w:pStyle w:val="TOC8"/>
        <w:rPr>
          <w:sz w:val="24"/>
          <w:szCs w:val="24"/>
        </w:rPr>
      </w:pPr>
      <w:r>
        <w:rPr>
          <w:szCs w:val="24"/>
        </w:rPr>
        <w:t>3D</w:t>
      </w:r>
      <w:r>
        <w:rPr>
          <w:snapToGrid w:val="0"/>
          <w:szCs w:val="24"/>
        </w:rPr>
        <w:t>.</w:t>
      </w:r>
      <w:r>
        <w:rPr>
          <w:snapToGrid w:val="0"/>
          <w:szCs w:val="24"/>
        </w:rPr>
        <w:tab/>
        <w:t>Fourth Variation Agreement</w:t>
      </w:r>
      <w:r>
        <w:tab/>
      </w:r>
      <w:r>
        <w:fldChar w:fldCharType="begin"/>
      </w:r>
      <w:r>
        <w:instrText xml:space="preserve"> PAGEREF _Toc266972647 \h </w:instrText>
      </w:r>
      <w:r>
        <w:fldChar w:fldCharType="separate"/>
      </w:r>
      <w:r>
        <w:t>3</w:t>
      </w:r>
      <w:r>
        <w:fldChar w:fldCharType="end"/>
      </w:r>
    </w:p>
    <w:p>
      <w:pPr>
        <w:pStyle w:val="TOC8"/>
        <w:rPr>
          <w:sz w:val="24"/>
          <w:szCs w:val="24"/>
        </w:rPr>
      </w:pPr>
      <w:r>
        <w:rPr>
          <w:szCs w:val="24"/>
        </w:rPr>
        <w:t>3E.</w:t>
      </w:r>
      <w:r>
        <w:rPr>
          <w:szCs w:val="24"/>
        </w:rPr>
        <w:tab/>
        <w:t>Fifth Variation Agreement</w:t>
      </w:r>
      <w:r>
        <w:tab/>
      </w:r>
      <w:r>
        <w:fldChar w:fldCharType="begin"/>
      </w:r>
      <w:r>
        <w:instrText xml:space="preserve"> PAGEREF _Toc266972648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_Toc266972649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 xml:space="preserve">Certain provisions of </w:t>
      </w:r>
      <w:r>
        <w:rPr>
          <w:i/>
          <w:snapToGrid w:val="0"/>
          <w:szCs w:val="24"/>
        </w:rPr>
        <w:t>Mining Act 1904</w:t>
      </w:r>
      <w:r>
        <w:rPr>
          <w:snapToGrid w:val="0"/>
          <w:szCs w:val="24"/>
        </w:rPr>
        <w:t xml:space="preserve"> </w:t>
      </w:r>
      <w:r>
        <w:rPr>
          <w:snapToGrid w:val="0"/>
          <w:szCs w:val="24"/>
          <w:vertAlign w:val="superscript"/>
        </w:rPr>
        <w:t>2</w:t>
      </w:r>
      <w:r>
        <w:rPr>
          <w:snapToGrid w:val="0"/>
          <w:szCs w:val="24"/>
        </w:rPr>
        <w:t xml:space="preserve">, etc., and </w:t>
      </w:r>
      <w:r>
        <w:rPr>
          <w:i/>
          <w:snapToGrid w:val="0"/>
          <w:szCs w:val="24"/>
        </w:rPr>
        <w:t>Transfer of Land Act 1893</w:t>
      </w:r>
      <w:r>
        <w:rPr>
          <w:snapToGrid w:val="0"/>
          <w:szCs w:val="24"/>
        </w:rPr>
        <w:t>, not to apply to floating charge</w:t>
      </w:r>
      <w:r>
        <w:tab/>
      </w:r>
      <w:r>
        <w:fldChar w:fldCharType="begin"/>
      </w:r>
      <w:r>
        <w:instrText xml:space="preserve"> PAGEREF _Toc266972650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r>
      <w:r>
        <w:rPr>
          <w:i/>
          <w:snapToGrid w:val="0"/>
          <w:szCs w:val="24"/>
        </w:rPr>
        <w:t>Partition Act 1878</w:t>
      </w:r>
      <w:r>
        <w:rPr>
          <w:snapToGrid w:val="0"/>
          <w:szCs w:val="24"/>
        </w:rPr>
        <w:t xml:space="preserve"> </w:t>
      </w:r>
      <w:r>
        <w:rPr>
          <w:snapToGrid w:val="0"/>
          <w:szCs w:val="24"/>
          <w:vertAlign w:val="superscript"/>
        </w:rPr>
        <w:t>6</w:t>
      </w:r>
      <w:r>
        <w:rPr>
          <w:snapToGrid w:val="0"/>
          <w:szCs w:val="24"/>
        </w:rPr>
        <w:t xml:space="preserve"> not to apply to certain fee simple, etc.</w:t>
      </w:r>
      <w:r>
        <w:tab/>
      </w:r>
      <w:r>
        <w:fldChar w:fldCharType="begin"/>
      </w:r>
      <w:r>
        <w:instrText xml:space="preserve"> PAGEREF _Toc266972651 \h </w:instrText>
      </w:r>
      <w:r>
        <w:fldChar w:fldCharType="separate"/>
      </w:r>
      <w:r>
        <w:t>5</w:t>
      </w:r>
      <w:r>
        <w:fldChar w:fldCharType="end"/>
      </w:r>
    </w:p>
    <w:p>
      <w:pPr>
        <w:pStyle w:val="TOC2"/>
        <w:tabs>
          <w:tab w:val="right" w:leader="dot" w:pos="7078"/>
        </w:tabs>
        <w:rPr>
          <w:b w:val="0"/>
          <w:sz w:val="24"/>
          <w:szCs w:val="24"/>
        </w:rPr>
      </w:pPr>
      <w:r>
        <w:rPr>
          <w:szCs w:val="28"/>
        </w:rPr>
        <w:lastRenderedPageBreak/>
        <w:t>The Schedules</w:t>
      </w:r>
    </w:p>
    <w:p>
      <w:pPr>
        <w:pStyle w:val="TOC2"/>
        <w:tabs>
          <w:tab w:val="right" w:leader="dot" w:pos="7078"/>
        </w:tabs>
        <w:rPr>
          <w:b w:val="0"/>
          <w:sz w:val="24"/>
          <w:szCs w:val="24"/>
        </w:rPr>
      </w:pPr>
      <w:r>
        <w:rPr>
          <w:szCs w:val="28"/>
        </w:rPr>
        <w:t>First Schedule</w:t>
      </w:r>
    </w:p>
    <w:p>
      <w:pPr>
        <w:pStyle w:val="TOC2"/>
        <w:tabs>
          <w:tab w:val="right" w:leader="dot" w:pos="7078"/>
        </w:tabs>
        <w:rPr>
          <w:b w:val="0"/>
          <w:sz w:val="24"/>
          <w:szCs w:val="24"/>
        </w:rPr>
      </w:pPr>
      <w:r>
        <w:rPr>
          <w:szCs w:val="28"/>
        </w:rPr>
        <w:t>Second Schedule</w:t>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8"/>
        </w:rPr>
        <w:t>Fourth Schedule</w:t>
      </w:r>
    </w:p>
    <w:p>
      <w:pPr>
        <w:pStyle w:val="TOC2"/>
        <w:tabs>
          <w:tab w:val="right" w:leader="dot" w:pos="7078"/>
        </w:tabs>
        <w:rPr>
          <w:b w:val="0"/>
          <w:sz w:val="24"/>
          <w:szCs w:val="24"/>
        </w:rPr>
      </w:pPr>
      <w:r>
        <w:rPr>
          <w:szCs w:val="28"/>
        </w:rPr>
        <w:t>Fifth Schedule</w:t>
      </w:r>
    </w:p>
    <w:p>
      <w:pPr>
        <w:pStyle w:val="TOC2"/>
        <w:tabs>
          <w:tab w:val="right" w:leader="dot" w:pos="7078"/>
        </w:tabs>
        <w:rPr>
          <w:b w:val="0"/>
          <w:sz w:val="24"/>
          <w:szCs w:val="24"/>
        </w:rPr>
      </w:pPr>
      <w:r>
        <w:rPr>
          <w:szCs w:val="28"/>
        </w:rPr>
        <w:t>Sixth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_Toc266972660 \h </w:instrText>
      </w:r>
      <w:r>
        <w:fldChar w:fldCharType="separate"/>
      </w:r>
      <w:r>
        <w:t>113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600"/>
      </w:pPr>
      <w:r>
        <w:t>Iron Ore (Mount Newman) Agreement Act 1964</w:t>
      </w:r>
    </w:p>
    <w:p>
      <w:pPr>
        <w:pStyle w:val="LongTitle"/>
        <w:spacing w:before="240" w:after="720"/>
        <w:rPr>
          <w:snapToGrid w:val="0"/>
        </w:rPr>
      </w:pPr>
      <w:r>
        <w:rPr>
          <w:snapToGrid w:val="0"/>
        </w:rPr>
        <w:t>An Act to approve an agreement relating to iron ore deposits at or near Mount Newman, and for incidental and other purposes.</w:t>
      </w:r>
    </w:p>
    <w:p>
      <w:pPr>
        <w:pStyle w:val="Heading5"/>
        <w:rPr>
          <w:snapToGrid w:val="0"/>
        </w:rPr>
      </w:pPr>
      <w:bookmarkStart w:id="1" w:name="_Toc501335079"/>
      <w:bookmarkStart w:id="2" w:name="_Toc336339"/>
      <w:bookmarkStart w:id="3" w:name="_Toc336455"/>
      <w:bookmarkStart w:id="4" w:name="_Toc6041903"/>
      <w:bookmarkStart w:id="5" w:name="_Toc266972641"/>
      <w:r>
        <w:rPr>
          <w:rStyle w:val="CharSectno"/>
        </w:rPr>
        <w:t>1</w:t>
      </w:r>
      <w:r>
        <w:rPr>
          <w:snapToGrid w:val="0"/>
        </w:rPr>
        <w:t>.</w:t>
      </w:r>
      <w:r>
        <w:rPr>
          <w:snapToGrid w:val="0"/>
        </w:rPr>
        <w:tab/>
        <w:t>Short title and 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Newman) Agreement Act 1964</w:t>
      </w:r>
      <w:r>
        <w:rPr>
          <w:snapToGrid w:val="0"/>
          <w:vertAlign w:val="superscript"/>
        </w:rPr>
        <w:t> 1</w:t>
      </w:r>
      <w:r>
        <w:rPr>
          <w:snapToGrid w:val="0"/>
        </w:rPr>
        <w:t>.</w:t>
      </w:r>
    </w:p>
    <w:p>
      <w:pPr>
        <w:pStyle w:val="Heading5"/>
        <w:rPr>
          <w:snapToGrid w:val="0"/>
        </w:rPr>
      </w:pPr>
      <w:bookmarkStart w:id="6" w:name="_Toc501335080"/>
      <w:bookmarkStart w:id="7" w:name="_Toc336340"/>
      <w:bookmarkStart w:id="8" w:name="_Toc336456"/>
      <w:bookmarkStart w:id="9" w:name="_Toc6041904"/>
      <w:bookmarkStart w:id="10" w:name="_Toc266972642"/>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and the Second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tab/>
      </w:r>
      <w:r>
        <w:rPr>
          <w:rStyle w:val="CharDefText"/>
        </w:rPr>
        <w:t>the Second Variation Agreement</w:t>
      </w:r>
      <w:r>
        <w:t xml:space="preserve"> means the agreement a copy of which is set forth in the Third Schedule;</w:t>
      </w:r>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 xml:space="preserve">[Section 2 amended by No. 12 of 1979 s. 2; No. 51 of 1990 s. 4; No. 8 of 1994 s. 4; No. 57 of 2000 s. 20.] </w:t>
      </w:r>
    </w:p>
    <w:p>
      <w:pPr>
        <w:pStyle w:val="Heading5"/>
      </w:pPr>
      <w:bookmarkStart w:id="11" w:name="_Toc501335081"/>
      <w:bookmarkStart w:id="12" w:name="_Toc336341"/>
      <w:bookmarkStart w:id="13" w:name="_Toc336457"/>
      <w:bookmarkStart w:id="14" w:name="_Toc6041905"/>
      <w:bookmarkStart w:id="15" w:name="_Toc266972643"/>
      <w:r>
        <w:rPr>
          <w:rStyle w:val="CharSectno"/>
        </w:rPr>
        <w:t>3</w:t>
      </w:r>
      <w:r>
        <w:t>.</w:t>
      </w:r>
      <w:r>
        <w:tab/>
        <w:t>Agreement approved and provisions to take effect</w:t>
      </w:r>
      <w:bookmarkEnd w:id="11"/>
      <w:bookmarkEnd w:id="12"/>
      <w:bookmarkEnd w:id="13"/>
      <w:bookmarkEnd w:id="14"/>
      <w:bookmarkEnd w:id="15"/>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16" w:name="_Toc501335082"/>
      <w:bookmarkStart w:id="17" w:name="_Toc336342"/>
      <w:bookmarkStart w:id="18" w:name="_Toc336458"/>
      <w:bookmarkStart w:id="19" w:name="_Toc6041906"/>
      <w:bookmarkStart w:id="20" w:name="_Toc266972644"/>
      <w:r>
        <w:rPr>
          <w:rStyle w:val="CharSectno"/>
        </w:rPr>
        <w:t>3A</w:t>
      </w:r>
      <w:r>
        <w:rPr>
          <w:snapToGrid w:val="0"/>
        </w:rPr>
        <w:t>.</w:t>
      </w:r>
      <w:r>
        <w:rPr>
          <w:snapToGrid w:val="0"/>
        </w:rPr>
        <w:tab/>
        <w:t>First Variation Agreement approved</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21" w:name="_Toc501335083"/>
      <w:bookmarkStart w:id="22" w:name="_Toc336343"/>
      <w:bookmarkStart w:id="23" w:name="_Toc336459"/>
      <w:bookmarkStart w:id="24" w:name="_Toc6041907"/>
      <w:bookmarkStart w:id="25" w:name="_Toc266972645"/>
      <w:r>
        <w:rPr>
          <w:rStyle w:val="CharSectno"/>
        </w:rPr>
        <w:t>3B</w:t>
      </w:r>
      <w:r>
        <w:rPr>
          <w:snapToGrid w:val="0"/>
        </w:rPr>
        <w:t>.</w:t>
      </w:r>
      <w:r>
        <w:rPr>
          <w:snapToGrid w:val="0"/>
        </w:rPr>
        <w:tab/>
        <w:t>Second Variation Agreement approved and ratified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26" w:name="_Toc501335084"/>
      <w:bookmarkStart w:id="27" w:name="_Toc336344"/>
      <w:bookmarkStart w:id="28" w:name="_Toc336460"/>
      <w:bookmarkStart w:id="29" w:name="_Toc6041908"/>
      <w:bookmarkStart w:id="30" w:name="_Toc266972646"/>
      <w:r>
        <w:rPr>
          <w:rStyle w:val="CharSectno"/>
        </w:rPr>
        <w:t>3C</w:t>
      </w:r>
      <w:r>
        <w:rPr>
          <w:snapToGrid w:val="0"/>
        </w:rPr>
        <w:t>.</w:t>
      </w:r>
      <w:r>
        <w:rPr>
          <w:snapToGrid w:val="0"/>
        </w:rPr>
        <w:tab/>
        <w:t>Third Variation Agreement</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31" w:name="_Toc501335085"/>
      <w:bookmarkStart w:id="32" w:name="_Toc336345"/>
      <w:bookmarkStart w:id="33" w:name="_Toc336461"/>
      <w:bookmarkStart w:id="34" w:name="_Toc6041909"/>
      <w:bookmarkStart w:id="35" w:name="_Toc266972647"/>
      <w:r>
        <w:rPr>
          <w:rStyle w:val="CharSectno"/>
        </w:rPr>
        <w:t>3D</w:t>
      </w:r>
      <w:r>
        <w:rPr>
          <w:snapToGrid w:val="0"/>
        </w:rPr>
        <w:t>.</w:t>
      </w:r>
      <w:r>
        <w:rPr>
          <w:snapToGrid w:val="0"/>
        </w:rPr>
        <w:tab/>
        <w:t>Fourth Variation Agreement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36" w:name="_Toc501335086"/>
      <w:bookmarkStart w:id="37" w:name="_Toc336346"/>
      <w:bookmarkStart w:id="38" w:name="_Toc336462"/>
      <w:bookmarkStart w:id="39" w:name="_Toc6041910"/>
      <w:bookmarkStart w:id="40" w:name="_Toc266972648"/>
      <w:r>
        <w:rPr>
          <w:rStyle w:val="CharSectno"/>
        </w:rPr>
        <w:t>3E</w:t>
      </w:r>
      <w:r>
        <w:t>.</w:t>
      </w:r>
      <w:r>
        <w:tab/>
        <w:t>Fifth Variation Agreement</w:t>
      </w:r>
      <w:bookmarkEnd w:id="36"/>
      <w:bookmarkEnd w:id="37"/>
      <w:bookmarkEnd w:id="38"/>
      <w:bookmarkEnd w:id="39"/>
      <w:bookmarkEnd w:id="40"/>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rPr>
          <w:snapToGrid w:val="0"/>
        </w:rPr>
      </w:pPr>
      <w:bookmarkStart w:id="41" w:name="_Toc501335087"/>
      <w:bookmarkStart w:id="42" w:name="_Toc336347"/>
      <w:bookmarkStart w:id="43" w:name="_Toc336463"/>
      <w:bookmarkStart w:id="44" w:name="_Toc6041911"/>
      <w:bookmarkStart w:id="45" w:name="_Toc266972649"/>
      <w:r>
        <w:rPr>
          <w:rStyle w:val="CharSectno"/>
        </w:rPr>
        <w:t>4</w:t>
      </w:r>
      <w:r>
        <w:rPr>
          <w:snapToGrid w:val="0"/>
        </w:rPr>
        <w:t>.</w:t>
      </w:r>
      <w:r>
        <w:rPr>
          <w:snapToGrid w:val="0"/>
        </w:rPr>
        <w:tab/>
        <w:t>By</w:t>
      </w:r>
      <w:r>
        <w:rPr>
          <w:snapToGrid w:val="0"/>
        </w:rPr>
        <w:noBreakHyphen/>
        <w:t>laws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46" w:name="_Toc501335088"/>
      <w:bookmarkStart w:id="47" w:name="_Toc336348"/>
      <w:bookmarkStart w:id="48" w:name="_Toc336464"/>
      <w:bookmarkStart w:id="49" w:name="_Toc6041912"/>
      <w:bookmarkStart w:id="50" w:name="_Toc266972650"/>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46"/>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51" w:name="_Toc501335089"/>
      <w:bookmarkStart w:id="52" w:name="_Toc336349"/>
      <w:bookmarkStart w:id="53" w:name="_Toc336465"/>
      <w:bookmarkStart w:id="54" w:name="_Toc6041913"/>
      <w:bookmarkStart w:id="55" w:name="_Toc266972651"/>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51"/>
      <w:bookmarkEnd w:id="52"/>
      <w:bookmarkEnd w:id="53"/>
      <w:bookmarkEnd w:id="54"/>
      <w:bookmarkEnd w:id="55"/>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6" w:name="_Toc336466"/>
      <w:bookmarkStart w:id="57" w:name="_Toc3283297"/>
      <w:bookmarkStart w:id="58" w:name="_Toc3619151"/>
      <w:bookmarkStart w:id="59" w:name="_Toc6041914"/>
      <w:bookmarkStart w:id="60" w:name="_Toc266972652"/>
      <w:r>
        <w:t>The Schedules</w:t>
      </w:r>
      <w:bookmarkEnd w:id="56"/>
      <w:bookmarkEnd w:id="57"/>
      <w:bookmarkEnd w:id="58"/>
      <w:bookmarkEnd w:id="59"/>
      <w:bookmarkEnd w:id="60"/>
    </w:p>
    <w:p>
      <w:pPr>
        <w:pStyle w:val="yScheduleHeading"/>
      </w:pPr>
      <w:bookmarkStart w:id="61" w:name="_Toc336467"/>
      <w:bookmarkStart w:id="62" w:name="_Toc6041915"/>
      <w:bookmarkStart w:id="63" w:name="_Toc266972653"/>
      <w:r>
        <w:rPr>
          <w:rStyle w:val="CharSchNo"/>
        </w:rPr>
        <w:t>First Schedule</w:t>
      </w:r>
      <w:bookmarkEnd w:id="61"/>
      <w:bookmarkEnd w:id="62"/>
      <w:bookmarkEnd w:id="63"/>
    </w:p>
    <w:p>
      <w:pPr>
        <w:pStyle w:val="yFootnoteheading"/>
        <w:rPr>
          <w:snapToGrid w:val="0"/>
        </w:rPr>
      </w:pPr>
      <w:r>
        <w:rPr>
          <w:snapToGrid w:val="0"/>
        </w:rPr>
        <w:t>[Headings inserted by No. 63 of 1967 s. 5.]</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The Company having heretofore commenced investigation of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up capital of not less than one million pounds (£1,000,000) notified in writing by the Company to the Minister which is incorporated in the United Kingdom the United States of America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“said State” means the State of Western Australia;</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r>
        <w:rPr>
          <w:sz w:val="22"/>
        </w:rPr>
        <w:t>WESTERN AUSTRALIA</w:t>
      </w:r>
    </w:p>
    <w:p>
      <w:pPr>
        <w:pStyle w:val="MiscellaneousBody"/>
        <w:jc w:val="center"/>
        <w:rPr>
          <w:sz w:val="22"/>
        </w:rPr>
      </w:pPr>
      <w:r>
        <w:rPr>
          <w:i/>
          <w:sz w:val="22"/>
        </w:rPr>
        <w:t>IRON ORE (MOUNT NEWMAN) AGREEMENT ACT 1964</w:t>
      </w:r>
      <w:r>
        <w:rPr>
          <w:sz w:val="22"/>
        </w:rPr>
        <w:br/>
        <w:t>MINERAL LEASE</w:t>
      </w:r>
    </w:p>
    <w:p>
      <w:pPr>
        <w:pStyle w:val="MiscellaneousBody"/>
        <w:rPr>
          <w:sz w:val="22"/>
        </w:rPr>
      </w:pPr>
      <w:r>
        <w:rPr>
          <w:sz w:val="22"/>
        </w:rPr>
        <w:t>Lease No ..................................................................................... Goldfield(s)</w:t>
      </w:r>
    </w:p>
    <w:p>
      <w:pPr>
        <w:pStyle w:val="MiscellaneousBody"/>
        <w:rPr>
          <w:sz w:val="22"/>
        </w:rPr>
      </w:pPr>
      <w:r>
        <w:rPr>
          <w:sz w:val="22"/>
        </w:rPr>
        <w:t>ELIZABETH THE SECOND by the Grace of God of the United Kingdom, Australia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IN WITNESS whereof we have caused our Minister for Mines to affix his seal and set his hand hereto at Perth in our said State of Western Australia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r>
              <w:rPr>
                <w:noProof/>
                <w:sz w:val="22"/>
                <w:lang w:eastAsia="en-AU"/>
              </w:rPr>
              <w:drawing>
                <wp:inline distT="0" distB="0" distL="0" distR="0">
                  <wp:extent cx="123825" cy="666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64" w:name="_Toc336468"/>
      <w:bookmarkStart w:id="65" w:name="_Toc6041916"/>
      <w:bookmarkStart w:id="66" w:name="_Toc266972654"/>
      <w:r>
        <w:rPr>
          <w:rStyle w:val="CharSchNo"/>
        </w:rPr>
        <w:t>Second Schedule</w:t>
      </w:r>
      <w:bookmarkEnd w:id="64"/>
      <w:bookmarkEnd w:id="65"/>
      <w:bookmarkEnd w:id="66"/>
    </w:p>
    <w:p>
      <w:pPr>
        <w:pStyle w:val="MiscellaneousBody"/>
        <w:jc w:val="right"/>
        <w:rPr>
          <w:snapToGrid w:val="0"/>
          <w:sz w:val="22"/>
        </w:rPr>
      </w:pPr>
      <w:r>
        <w:rPr>
          <w:snapToGrid w:val="0"/>
          <w:sz w:val="22"/>
        </w:rPr>
        <w:t>[Section 2]</w:t>
      </w:r>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Iron Ore (Mount Newman)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r>
              <w:rPr>
                <w:sz w:val="22"/>
              </w:rPr>
              <w:t xml:space="preserve">C. W. COURT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r>
              <w:rPr>
                <w:noProof/>
                <w:sz w:val="22"/>
                <w:lang w:eastAsia="en-AU"/>
              </w:rPr>
              <w:drawing>
                <wp:inline distT="0" distB="0" distL="0" distR="0">
                  <wp:extent cx="123825" cy="809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lang w:eastAsia="en-AU"/>
              </w:rPr>
              <w:drawing>
                <wp:inline distT="0" distB="0" distL="0" distR="0">
                  <wp:extent cx="123825" cy="828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28675"/>
                          </a:xfrm>
                          <a:prstGeom prst="rect">
                            <a:avLst/>
                          </a:prstGeom>
                          <a:noFill/>
                          <a:ln>
                            <a:noFill/>
                          </a:ln>
                        </pic:spPr>
                      </pic:pic>
                    </a:graphicData>
                  </a:graphic>
                </wp:inline>
              </w:drawing>
            </w:r>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r>
        <w:t>[Second Schedule inserted by No. 63 of 1967 s. 6.]</w:t>
      </w:r>
    </w:p>
    <w:p>
      <w:pPr>
        <w:pStyle w:val="yScheduleHeading"/>
      </w:pPr>
      <w:bookmarkStart w:id="67" w:name="_Toc336469"/>
      <w:bookmarkStart w:id="68" w:name="_Toc6041917"/>
      <w:bookmarkStart w:id="69" w:name="_Toc266972655"/>
      <w:r>
        <w:rPr>
          <w:rStyle w:val="CharSchNo"/>
        </w:rPr>
        <w:t>Third Schedule</w:t>
      </w:r>
      <w:bookmarkEnd w:id="67"/>
      <w:bookmarkEnd w:id="68"/>
      <w:bookmarkEnd w:id="69"/>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C. ITOH IRON PTY LTD a company incorporated in the State of Western Australia (hereinafter called “Mitsui Iron”) of the Second Part and MT. NEWMAN IRON ORE COMPANY LIMITED a company incorporated in the State of Western Australia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any agreement transfer or other instrument evidencing the sale or transfer to the Company from the Rural and Industries Bank of Western Australia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r>
              <w:rPr>
                <w:noProof/>
                <w:sz w:val="22"/>
                <w:lang w:eastAsia="en-AU"/>
              </w:rPr>
              <w:drawing>
                <wp:inline distT="0" distB="0" distL="0" distR="0">
                  <wp:extent cx="123825" cy="933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CHARLES COURT.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AMAX IRON ORE CORPORATION by being signed in Western Australia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r>
              <w:rPr>
                <w:noProof/>
                <w:sz w:val="22"/>
                <w:lang w:eastAsia="en-AU"/>
              </w:rPr>
              <w:drawing>
                <wp:inline distT="0" distB="0" distL="0" distR="0">
                  <wp:extent cx="123825" cy="11525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1525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PILBARA IRON LIMITED by being signed in Western Australia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DAMPIER MINING COMPANY LIMITED by being signed in Western Australia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for and on behalf of SELTRUST IRON ORE LIMITED by being signed in Western Australia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r>
              <w:rPr>
                <w:noProof/>
                <w:sz w:val="22"/>
                <w:lang w:eastAsia="en-AU"/>
              </w:rPr>
              <w:drawing>
                <wp:inline distT="0" distB="0" distL="0" distR="0">
                  <wp:extent cx="123825" cy="1085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858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Executed by MT. NEWMAN IRON ORE COMPANY LIMITED by being signed in Western Australia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r>
              <w:rPr>
                <w:noProof/>
                <w:sz w:val="22"/>
                <w:lang w:eastAsia="en-AU"/>
              </w:rPr>
              <w:drawing>
                <wp:inline distT="0" distB="0" distL="0" distR="0">
                  <wp:extent cx="123825" cy="1247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477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r>
        <w:t>[Third Schedule inserted by No. 12 of 1979 s. 5.]</w:t>
      </w:r>
    </w:p>
    <w:p>
      <w:pPr>
        <w:pStyle w:val="yScheduleHeading"/>
      </w:pPr>
      <w:bookmarkStart w:id="70" w:name="_Toc336470"/>
      <w:bookmarkStart w:id="71" w:name="_Toc6041918"/>
      <w:bookmarkStart w:id="72" w:name="_Toc266972656"/>
      <w:r>
        <w:rPr>
          <w:rStyle w:val="CharSchNo"/>
        </w:rPr>
        <w:t>Fourth Schedule</w:t>
      </w:r>
      <w:bookmarkEnd w:id="70"/>
      <w:bookmarkEnd w:id="71"/>
      <w:bookmarkEnd w:id="72"/>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C. ITOH IRON PTY. LTD. a company incorporated in the State of Western Australia and CI MINERALS AUSTRALIA PTY. LTD.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(Mount Newman)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provisions of this Agreement shall not come into operation until a Bill to approve and ratify this Agreement is passed by the Legislature of the State of Western Australia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(Western Australia)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(Western Australia)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r>
              <w:rPr>
                <w:noProof/>
                <w:sz w:val="22"/>
                <w:lang w:eastAsia="en-AU"/>
              </w:rPr>
              <w:drawing>
                <wp:inline distT="0" distB="0" distL="0" distR="0">
                  <wp:extent cx="123825" cy="7334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3342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t>ADA LIAN DAVIES</w:t>
            </w:r>
          </w:p>
        </w:tc>
        <w:tc>
          <w:tcPr>
            <w:tcW w:w="355" w:type="dxa"/>
          </w:tcPr>
          <w:p>
            <w:pPr>
              <w:pStyle w:val="MiscellaneousBody"/>
              <w:rPr>
                <w:sz w:val="22"/>
              </w:rPr>
            </w:pPr>
          </w:p>
          <w:p>
            <w:pPr>
              <w:pStyle w:val="MiscellaneousBody"/>
              <w:rPr>
                <w:sz w:val="22"/>
              </w:rPr>
            </w:pPr>
            <w:r>
              <w:rPr>
                <w:noProof/>
                <w:sz w:val="22"/>
                <w:lang w:eastAsia="en-AU"/>
              </w:rPr>
              <w:drawing>
                <wp:inline distT="0" distB="0" distL="0" distR="0">
                  <wp:extent cx="123825" cy="628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r>
              <w:rPr>
                <w:noProof/>
                <w:sz w:val="22"/>
                <w:lang w:eastAsia="en-AU"/>
              </w:rPr>
              <w:drawing>
                <wp:inline distT="0" distB="0" distL="0" distR="0">
                  <wp:extent cx="123825" cy="6096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r>
              <w:rPr>
                <w:noProof/>
                <w:sz w:val="22"/>
                <w:lang w:eastAsia="en-AU"/>
              </w:rPr>
              <w:drawing>
                <wp:inline distT="0" distB="0" distL="0" distR="0">
                  <wp:extent cx="123825" cy="800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r>
        <w:t>[Fourth Schedule inserted by No. 51 of 1990 s. 6.]</w:t>
      </w:r>
    </w:p>
    <w:p>
      <w:pPr>
        <w:pStyle w:val="yScheduleHeading"/>
      </w:pPr>
      <w:bookmarkStart w:id="73" w:name="_Toc336471"/>
      <w:bookmarkStart w:id="74" w:name="_Toc6041919"/>
      <w:bookmarkStart w:id="75" w:name="_Toc266972657"/>
      <w:r>
        <w:rPr>
          <w:rStyle w:val="CharSchNo"/>
        </w:rPr>
        <w:t>Fifth Schedule</w:t>
      </w:r>
      <w:bookmarkEnd w:id="73"/>
      <w:bookmarkEnd w:id="74"/>
      <w:bookmarkEnd w:id="75"/>
    </w:p>
    <w:p>
      <w:pPr>
        <w:pStyle w:val="MiscellaneousBody"/>
        <w:jc w:val="right"/>
        <w:rPr>
          <w:snapToGrid w:val="0"/>
          <w:sz w:val="22"/>
        </w:rPr>
      </w:pPr>
      <w:r>
        <w:rPr>
          <w:snapToGrid w:val="0"/>
          <w:sz w:val="22"/>
        </w:rPr>
        <w:t>[section 2]</w:t>
      </w:r>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Iron Ore (Mount Newman)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Iron Ore (Mount Newman)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Iron Ore (Mount Newman)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76" w:name="endcomma"/>
      <w:bookmarkEnd w:id="76"/>
      <w:r>
        <w:rPr>
          <w:b/>
          <w:sz w:val="22"/>
        </w:rPr>
        <w:t>Pilbara Energy Project Agreement”</w:t>
      </w:r>
      <w:r>
        <w:rPr>
          <w:sz w:val="22"/>
        </w:rPr>
        <w:t xml:space="preserve"> </w:t>
      </w:r>
      <w:bookmarkStart w:id="77" w:name="comma"/>
      <w:bookmarkEnd w:id="77"/>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r>
              <w:rPr>
                <w:sz w:val="22"/>
              </w:rPr>
              <w:t>RICHARD F COURT</w:t>
            </w: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r>
        <w:t xml:space="preserve">[Fifth Schedule inserted by No. 8 of 1994 s. 6.] </w:t>
      </w:r>
    </w:p>
    <w:p>
      <w:pPr>
        <w:pStyle w:val="yScheduleHeading"/>
      </w:pPr>
      <w:bookmarkStart w:id="78" w:name="_Toc336472"/>
      <w:bookmarkStart w:id="79" w:name="_Toc6041920"/>
      <w:bookmarkStart w:id="80" w:name="_Toc266972658"/>
      <w:r>
        <w:rPr>
          <w:rStyle w:val="CharSchNo"/>
        </w:rPr>
        <w:t>Sixth Schedule</w:t>
      </w:r>
      <w:bookmarkEnd w:id="78"/>
      <w:bookmarkEnd w:id="79"/>
      <w:bookmarkEnd w:id="80"/>
      <w:r>
        <w:rPr>
          <w:rStyle w:val="CharSchNo"/>
        </w:rPr>
        <w:t> </w:t>
      </w:r>
    </w:p>
    <w:p>
      <w:pPr>
        <w:pStyle w:val="MiscellaneousBody"/>
        <w:jc w:val="right"/>
        <w:rPr>
          <w:sz w:val="22"/>
        </w:rPr>
      </w:pPr>
      <w:r>
        <w:rPr>
          <w:sz w:val="22"/>
        </w:rPr>
        <w:t>[s. 3E]</w:t>
      </w:r>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Iron Ore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r>
              <w:rPr>
                <w:noProof/>
                <w:sz w:val="22"/>
                <w:lang w:eastAsia="en-AU"/>
              </w:rPr>
              <w:drawing>
                <wp:inline distT="0" distB="0" distL="0" distR="0">
                  <wp:extent cx="123825" cy="5715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r>
              <w:rPr>
                <w:sz w:val="22"/>
              </w:rPr>
              <w:t>RICHARD COURT</w:t>
            </w:r>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r>
              <w:rPr>
                <w:noProof/>
                <w:sz w:val="22"/>
                <w:lang w:eastAsia="en-AU"/>
              </w:rPr>
              <w:drawing>
                <wp:inline distT="0" distB="0" distL="0" distR="0">
                  <wp:extent cx="123825" cy="6858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r>
              <w:rPr>
                <w:noProof/>
                <w:sz w:val="22"/>
                <w:lang w:eastAsia="en-AU"/>
              </w:rPr>
              <w:drawing>
                <wp:inline distT="0" distB="0" distL="0" distR="0">
                  <wp:extent cx="123825" cy="6667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r>
        <w:tab/>
        <w:t>[Sixth Schedule inserted by No. 57 of 2000 s. 22.]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1" w:name="_Toc266972659"/>
      <w:r>
        <w:t>Notes</w:t>
      </w:r>
      <w:bookmarkEnd w:id="81"/>
    </w:p>
    <w:p>
      <w:pPr>
        <w:pStyle w:val="nSubsection"/>
        <w:rPr>
          <w:snapToGrid w:val="0"/>
        </w:rPr>
      </w:pPr>
      <w:r>
        <w:rPr>
          <w:snapToGrid w:val="0"/>
          <w:vertAlign w:val="superscript"/>
        </w:rPr>
        <w:t>1</w:t>
      </w:r>
      <w:r>
        <w:rPr>
          <w:snapToGrid w:val="0"/>
        </w:rPr>
        <w:tab/>
        <w:t xml:space="preserve">This is a compilation of the </w:t>
      </w:r>
      <w:r>
        <w:rPr>
          <w:i/>
          <w:snapToGrid w:val="0"/>
        </w:rPr>
        <w:t>Iron Ore (Mount Newman) Agreement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previous reprint.</w:t>
      </w:r>
    </w:p>
    <w:p>
      <w:pPr>
        <w:pStyle w:val="nHeading3"/>
        <w:rPr>
          <w:snapToGrid w:val="0"/>
        </w:rPr>
      </w:pPr>
      <w:bookmarkStart w:id="82" w:name="_Toc6041921"/>
      <w:bookmarkStart w:id="83" w:name="_Toc266972660"/>
      <w:r>
        <w:rPr>
          <w:snapToGrid w:val="0"/>
        </w:rPr>
        <w:t>Compilation table</w:t>
      </w:r>
      <w:bookmarkEnd w:id="82"/>
      <w:bookmarkEnd w:id="8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Iron Ore (Mount Newman) Agreement Act 1964</w:t>
            </w:r>
          </w:p>
        </w:tc>
        <w:tc>
          <w:tcPr>
            <w:tcW w:w="1134" w:type="dxa"/>
          </w:tcPr>
          <w:p>
            <w:pPr>
              <w:pStyle w:val="nTable"/>
              <w:spacing w:before="120"/>
              <w:rPr>
                <w:sz w:val="19"/>
              </w:rPr>
            </w:pPr>
            <w:r>
              <w:rPr>
                <w:sz w:val="19"/>
              </w:rPr>
              <w:t>75 of 1964</w:t>
            </w:r>
          </w:p>
        </w:tc>
        <w:tc>
          <w:tcPr>
            <w:tcW w:w="1134" w:type="dxa"/>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 balance: 21 Dec 1965 (see s. 2(1))</w:t>
            </w:r>
          </w:p>
        </w:tc>
      </w:tr>
      <w:tr>
        <w:trPr>
          <w:cantSplit/>
        </w:trPr>
        <w:tc>
          <w:tcPr>
            <w:tcW w:w="2268" w:type="dxa"/>
          </w:tcPr>
          <w:p>
            <w:pPr>
              <w:pStyle w:val="nTable"/>
              <w:spacing w:before="120"/>
              <w:ind w:right="113"/>
              <w:rPr>
                <w:sz w:val="19"/>
              </w:rPr>
            </w:pPr>
            <w:r>
              <w:rPr>
                <w:i/>
                <w:sz w:val="19"/>
              </w:rPr>
              <w:t>Iron Ore (Mount Newman) Agreement Act Amendment Act 1967</w:t>
            </w:r>
          </w:p>
        </w:tc>
        <w:tc>
          <w:tcPr>
            <w:tcW w:w="1134" w:type="dxa"/>
          </w:tcPr>
          <w:p>
            <w:pPr>
              <w:pStyle w:val="nTable"/>
              <w:spacing w:before="120"/>
              <w:rPr>
                <w:sz w:val="19"/>
              </w:rPr>
            </w:pPr>
            <w:r>
              <w:rPr>
                <w:sz w:val="19"/>
              </w:rPr>
              <w:t>63 of 1967</w:t>
            </w:r>
          </w:p>
        </w:tc>
        <w:tc>
          <w:tcPr>
            <w:tcW w:w="1134" w:type="dxa"/>
          </w:tcPr>
          <w:p>
            <w:pPr>
              <w:pStyle w:val="nTable"/>
              <w:spacing w:before="120"/>
              <w:rPr>
                <w:sz w:val="19"/>
              </w:rPr>
            </w:pPr>
            <w:r>
              <w:rPr>
                <w:sz w:val="19"/>
              </w:rPr>
              <w:t>5 Dec 1967</w:t>
            </w:r>
          </w:p>
        </w:tc>
        <w:tc>
          <w:tcPr>
            <w:tcW w:w="2552" w:type="dxa"/>
          </w:tcPr>
          <w:p>
            <w:pPr>
              <w:pStyle w:val="nTable"/>
              <w:spacing w:before="120"/>
              <w:rPr>
                <w:sz w:val="19"/>
              </w:rPr>
            </w:pPr>
            <w:r>
              <w:rPr>
                <w:sz w:val="19"/>
              </w:rPr>
              <w:t>5 Dec 1967</w:t>
            </w:r>
          </w:p>
        </w:tc>
      </w:tr>
      <w:tr>
        <w:trPr>
          <w:cantSplit/>
        </w:trPr>
        <w:tc>
          <w:tcPr>
            <w:tcW w:w="7088" w:type="dxa"/>
            <w:gridSpan w:val="4"/>
          </w:tcPr>
          <w:p>
            <w:pPr>
              <w:pStyle w:val="nTable"/>
              <w:spacing w:before="120"/>
              <w:rPr>
                <w:sz w:val="19"/>
              </w:rPr>
            </w:pPr>
            <w:r>
              <w:rPr>
                <w:b/>
                <w:sz w:val="19"/>
              </w:rPr>
              <w:t xml:space="preserve">Reprint of the </w:t>
            </w:r>
            <w:r>
              <w:rPr>
                <w:b/>
                <w:i/>
                <w:sz w:val="19"/>
              </w:rPr>
              <w:t>Iron Ore (Mount Newman) Agreement Act 1964</w:t>
            </w:r>
            <w:r>
              <w:rPr>
                <w:b/>
                <w:sz w:val="19"/>
              </w:rPr>
              <w:t xml:space="preserve"> approved 10 Aug 1971</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Iron Ore (Mount Newman) Agreement Act Amendment Act 1979</w:t>
            </w:r>
          </w:p>
        </w:tc>
        <w:tc>
          <w:tcPr>
            <w:tcW w:w="1134" w:type="dxa"/>
          </w:tcPr>
          <w:p>
            <w:pPr>
              <w:pStyle w:val="nTable"/>
              <w:spacing w:before="120"/>
              <w:rPr>
                <w:sz w:val="19"/>
              </w:rPr>
            </w:pPr>
            <w:r>
              <w:rPr>
                <w:sz w:val="19"/>
              </w:rPr>
              <w:t>12 of 1979</w:t>
            </w:r>
          </w:p>
        </w:tc>
        <w:tc>
          <w:tcPr>
            <w:tcW w:w="1134" w:type="dxa"/>
          </w:tcPr>
          <w:p>
            <w:pPr>
              <w:pStyle w:val="nTable"/>
              <w:spacing w:before="120"/>
              <w:rPr>
                <w:sz w:val="19"/>
              </w:rPr>
            </w:pPr>
            <w:r>
              <w:rPr>
                <w:sz w:val="19"/>
              </w:rPr>
              <w:t>24 May 1979</w:t>
            </w:r>
          </w:p>
        </w:tc>
        <w:tc>
          <w:tcPr>
            <w:tcW w:w="2552" w:type="dxa"/>
          </w:tcPr>
          <w:p>
            <w:pPr>
              <w:pStyle w:val="nTable"/>
              <w:spacing w:before="120"/>
              <w:rPr>
                <w:sz w:val="19"/>
              </w:rPr>
            </w:pPr>
            <w:r>
              <w:rPr>
                <w:sz w:val="19"/>
              </w:rPr>
              <w:t>24 May 1979</w:t>
            </w:r>
          </w:p>
        </w:tc>
      </w:tr>
      <w:tr>
        <w:trPr>
          <w:cantSplit/>
        </w:trPr>
        <w:tc>
          <w:tcPr>
            <w:tcW w:w="2268" w:type="dxa"/>
          </w:tcPr>
          <w:p>
            <w:pPr>
              <w:pStyle w:val="nTable"/>
              <w:spacing w:before="120"/>
              <w:ind w:right="113"/>
              <w:rPr>
                <w:sz w:val="19"/>
              </w:rPr>
            </w:pPr>
            <w:r>
              <w:rPr>
                <w:i/>
                <w:sz w:val="19"/>
              </w:rPr>
              <w:t>Iron Ore (Mount Newman) Agreement Amendment Act 1990</w:t>
            </w:r>
          </w:p>
        </w:tc>
        <w:tc>
          <w:tcPr>
            <w:tcW w:w="1134" w:type="dxa"/>
          </w:tcPr>
          <w:p>
            <w:pPr>
              <w:pStyle w:val="nTable"/>
              <w:spacing w:before="120"/>
              <w:rPr>
                <w:sz w:val="19"/>
              </w:rPr>
            </w:pPr>
            <w:r>
              <w:rPr>
                <w:sz w:val="19"/>
              </w:rPr>
              <w:t>51 of 1990</w:t>
            </w:r>
          </w:p>
        </w:tc>
        <w:tc>
          <w:tcPr>
            <w:tcW w:w="1134" w:type="dxa"/>
          </w:tcPr>
          <w:p>
            <w:pPr>
              <w:pStyle w:val="nTable"/>
              <w:spacing w:before="120"/>
              <w:rPr>
                <w:sz w:val="19"/>
              </w:rPr>
            </w:pPr>
            <w:r>
              <w:rPr>
                <w:sz w:val="19"/>
              </w:rPr>
              <w:t>4 Dec 1990</w:t>
            </w:r>
          </w:p>
        </w:tc>
        <w:tc>
          <w:tcPr>
            <w:tcW w:w="2552" w:type="dxa"/>
          </w:tcPr>
          <w:p>
            <w:pPr>
              <w:pStyle w:val="nTable"/>
              <w:spacing w:before="120"/>
              <w:rPr>
                <w:sz w:val="19"/>
              </w:rPr>
            </w:pPr>
            <w:r>
              <w:rPr>
                <w:sz w:val="19"/>
              </w:rPr>
              <w:t>4 Dec 1990 (see s. 2)</w:t>
            </w:r>
          </w:p>
        </w:tc>
      </w:tr>
      <w:tr>
        <w:trPr>
          <w:cantSplit/>
        </w:trPr>
        <w:tc>
          <w:tcPr>
            <w:tcW w:w="2268" w:type="dxa"/>
          </w:tcPr>
          <w:p>
            <w:pPr>
              <w:pStyle w:val="nTable"/>
              <w:spacing w:before="120"/>
              <w:ind w:right="113"/>
              <w:rPr>
                <w:sz w:val="19"/>
              </w:rPr>
            </w:pPr>
            <w:r>
              <w:rPr>
                <w:i/>
                <w:sz w:val="19"/>
              </w:rPr>
              <w:t>Iron Ore (Mount Newman) Agreement Amendment Act 1994</w:t>
            </w:r>
          </w:p>
        </w:tc>
        <w:tc>
          <w:tcPr>
            <w:tcW w:w="1134" w:type="dxa"/>
          </w:tcPr>
          <w:p>
            <w:pPr>
              <w:pStyle w:val="nTable"/>
              <w:spacing w:before="120"/>
              <w:rPr>
                <w:sz w:val="19"/>
              </w:rPr>
            </w:pPr>
            <w:r>
              <w:rPr>
                <w:sz w:val="19"/>
              </w:rPr>
              <w:t>8 of 1994</w:t>
            </w:r>
          </w:p>
        </w:tc>
        <w:tc>
          <w:tcPr>
            <w:tcW w:w="1134" w:type="dxa"/>
          </w:tcPr>
          <w:p>
            <w:pPr>
              <w:pStyle w:val="nTable"/>
              <w:spacing w:before="120"/>
              <w:rPr>
                <w:sz w:val="19"/>
              </w:rPr>
            </w:pPr>
            <w:r>
              <w:rPr>
                <w:sz w:val="19"/>
              </w:rPr>
              <w:t>15 Apr 1994</w:t>
            </w:r>
          </w:p>
        </w:tc>
        <w:tc>
          <w:tcPr>
            <w:tcW w:w="2552" w:type="dxa"/>
          </w:tcPr>
          <w:p>
            <w:pPr>
              <w:pStyle w:val="nTable"/>
              <w:spacing w:before="120"/>
              <w:rPr>
                <w:sz w:val="19"/>
              </w:rPr>
            </w:pPr>
            <w:r>
              <w:rPr>
                <w:sz w:val="19"/>
              </w:rPr>
              <w:t>15 Apr 1994 (see s. 2)</w:t>
            </w:r>
          </w:p>
        </w:tc>
      </w:tr>
      <w:tr>
        <w:trPr>
          <w:cantSplit/>
        </w:trPr>
        <w:tc>
          <w:tcPr>
            <w:tcW w:w="2268" w:type="dxa"/>
          </w:tcPr>
          <w:p>
            <w:pPr>
              <w:pStyle w:val="nTable"/>
              <w:spacing w:before="120"/>
              <w:ind w:right="113"/>
              <w:rPr>
                <w:sz w:val="19"/>
              </w:rPr>
            </w:pPr>
            <w:r>
              <w:rPr>
                <w:i/>
                <w:sz w:val="19"/>
              </w:rPr>
              <w:t xml:space="preserve">Acts Amendment (Iron Ore Agreements) Act 2000 </w:t>
            </w:r>
            <w:r>
              <w:rPr>
                <w:sz w:val="19"/>
              </w:rPr>
              <w:t>Pt. 6</w:t>
            </w:r>
          </w:p>
        </w:tc>
        <w:tc>
          <w:tcPr>
            <w:tcW w:w="1134" w:type="dxa"/>
          </w:tcPr>
          <w:p>
            <w:pPr>
              <w:pStyle w:val="nTable"/>
              <w:spacing w:before="120"/>
              <w:rPr>
                <w:sz w:val="19"/>
              </w:rPr>
            </w:pPr>
            <w:r>
              <w:rPr>
                <w:sz w:val="19"/>
              </w:rPr>
              <w:t>57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cantSplit/>
        </w:trPr>
        <w:tc>
          <w:tcPr>
            <w:tcW w:w="7088" w:type="dxa"/>
            <w:gridSpan w:val="4"/>
            <w:tcBorders>
              <w:bottom w:val="single" w:sz="4" w:space="0" w:color="auto"/>
            </w:tcBorders>
          </w:tcPr>
          <w:p>
            <w:pPr>
              <w:pStyle w:val="nTable"/>
              <w:spacing w:before="120"/>
              <w:rPr>
                <w:b/>
                <w:sz w:val="19"/>
              </w:rPr>
            </w:pPr>
            <w:r>
              <w:rPr>
                <w:b/>
                <w:sz w:val="19"/>
              </w:rPr>
              <w:t xml:space="preserve">Reprint of the </w:t>
            </w:r>
            <w:r>
              <w:rPr>
                <w:b/>
                <w:i/>
                <w:sz w:val="19"/>
              </w:rPr>
              <w:t>Iron Ore (Mount Newman) Agreement Act 1964 as at 8 Mar 2002</w:t>
            </w:r>
            <w:r>
              <w:rPr>
                <w:b/>
                <w:i/>
                <w:sz w:val="19"/>
              </w:rPr>
              <w:br/>
            </w:r>
            <w:r>
              <w:rPr>
                <w:sz w:val="19"/>
              </w:rPr>
              <w:t>(includes amendments listed above)</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 w:name="_Toc7405065"/>
      <w:r>
        <w:t>Provisions that have not come into operation</w:t>
      </w:r>
      <w:bookmarkEnd w:id="8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r>
        <w:rPr>
          <w:snapToGrid w:val="0"/>
        </w:rPr>
        <w:tab/>
        <w:t>Marginal notes in the agreement set out in the First Schedule have been represented as bold headnotes in this reprint, but that does not change their status as marginal notes.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85" w:name="_Toc233107675"/>
      <w:bookmarkStart w:id="86" w:name="_Toc255473698"/>
      <w:bookmarkStart w:id="87" w:name="_Toc265583753"/>
      <w:bookmarkStart w:id="88" w:name="_Toc267907333"/>
      <w:r>
        <w:rPr>
          <w:rStyle w:val="CharSectno"/>
          <w:rFonts w:eastAsia="MS Mincho"/>
        </w:rPr>
        <w:t>4</w:t>
      </w:r>
      <w:r>
        <w:rPr>
          <w:rFonts w:eastAsia="MS Mincho"/>
        </w:rPr>
        <w:t>.</w:t>
      </w:r>
      <w:r>
        <w:rPr>
          <w:rFonts w:eastAsia="MS Mincho"/>
        </w:rPr>
        <w:tab/>
        <w:t>Schedule headings reformatted</w:t>
      </w:r>
      <w:bookmarkEnd w:id="85"/>
      <w:bookmarkEnd w:id="86"/>
      <w:bookmarkEnd w:id="87"/>
      <w:bookmarkEnd w:id="8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(Mount Newman) Agreement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Iron Ore (Mount Newman)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Third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Fourth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Sixth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Fifth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cxv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Newman)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BE1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09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1EC0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B6B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A43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545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AE47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33357</Words>
  <Characters>161785</Characters>
  <Application>Microsoft Office Word</Application>
  <DocSecurity>0</DocSecurity>
  <Lines>4044</Lines>
  <Paragraphs>1258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1964 - 02-b0-01</dc:title>
  <dc:subject/>
  <dc:creator/>
  <cp:keywords/>
  <dc:description/>
  <cp:lastModifiedBy>svcMRProcess</cp:lastModifiedBy>
  <cp:revision>4</cp:revision>
  <cp:lastPrinted>2002-03-25T06:32:00Z</cp:lastPrinted>
  <dcterms:created xsi:type="dcterms:W3CDTF">2020-02-16T22:59:00Z</dcterms:created>
  <dcterms:modified xsi:type="dcterms:W3CDTF">2020-02-16T22:59:00Z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02-b0-01</vt:lpwstr>
  </property>
</Properties>
</file>