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July 2010</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_Toc416782478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_Toc416782479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_Toc416782480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_Toc416782483 \h </w:instrText>
      </w:r>
      <w:r>
        <w:fldChar w:fldCharType="separate"/>
      </w:r>
      <w:r>
        <w:t>4</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_Toc416782484 \h </w:instrText>
      </w:r>
      <w:r>
        <w:fldChar w:fldCharType="separate"/>
      </w:r>
      <w:r>
        <w:t>4</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_Toc416782485 \h </w:instrText>
      </w:r>
      <w:r>
        <w:fldChar w:fldCharType="separate"/>
      </w:r>
      <w:r>
        <w:t>4</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_Toc416782486 \h </w:instrText>
      </w:r>
      <w:r>
        <w:fldChar w:fldCharType="separate"/>
      </w:r>
      <w:r>
        <w:t>5</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_Toc416782487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_Toc416782489 \h </w:instrText>
      </w:r>
      <w:r>
        <w:fldChar w:fldCharType="separate"/>
      </w:r>
      <w:r>
        <w:t>6</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_Toc416782490 \h </w:instrText>
      </w:r>
      <w:r>
        <w:fldChar w:fldCharType="separate"/>
      </w:r>
      <w:r>
        <w:t>6</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_Toc416782491 \h </w:instrText>
      </w:r>
      <w:r>
        <w:fldChar w:fldCharType="separate"/>
      </w:r>
      <w:r>
        <w:t>7</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_Toc416782492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_Toc416782494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_Toc416782496 \h </w:instrText>
      </w:r>
      <w:r>
        <w:fldChar w:fldCharType="separate"/>
      </w:r>
      <w:r>
        <w:t>10</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_Toc416782497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_Toc416782499 \h </w:instrText>
      </w:r>
      <w:r>
        <w:fldChar w:fldCharType="separate"/>
      </w:r>
      <w:r>
        <w:t>13</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_Toc416782500 \h </w:instrText>
      </w:r>
      <w:r>
        <w:fldChar w:fldCharType="separate"/>
      </w:r>
      <w:r>
        <w:t>14</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_Toc416782501 \h </w:instrText>
      </w:r>
      <w:r>
        <w:fldChar w:fldCharType="separate"/>
      </w:r>
      <w:r>
        <w:t>14</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_Toc416782502 \h </w:instrText>
      </w:r>
      <w:r>
        <w:fldChar w:fldCharType="separate"/>
      </w:r>
      <w:r>
        <w:t>15</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_Toc416782503 \h </w:instrText>
      </w:r>
      <w:r>
        <w:fldChar w:fldCharType="separate"/>
      </w:r>
      <w:r>
        <w:t>15</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_Toc416782504 \h </w:instrText>
      </w:r>
      <w:r>
        <w:fldChar w:fldCharType="separate"/>
      </w:r>
      <w:r>
        <w:t>16</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_Toc416782505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_Toc416782508 \h </w:instrText>
      </w:r>
      <w:r>
        <w:fldChar w:fldCharType="separate"/>
      </w:r>
      <w:r>
        <w:t>17</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_Toc416782509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_Toc416782511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26.</w:t>
      </w:r>
      <w:r>
        <w:tab/>
        <w:t>Annual report on monitoring systems</w:t>
      </w:r>
      <w:r>
        <w:tab/>
      </w:r>
      <w:r>
        <w:fldChar w:fldCharType="begin"/>
      </w:r>
      <w:r>
        <w:instrText xml:space="preserve"> PAGEREF _Toc416782513 \h </w:instrText>
      </w:r>
      <w:r>
        <w:fldChar w:fldCharType="separate"/>
      </w:r>
      <w:r>
        <w:t>18</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_Toc416782514 \h </w:instrText>
      </w:r>
      <w:r>
        <w:fldChar w:fldCharType="separate"/>
      </w:r>
      <w:r>
        <w:t>19</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_Toc416782515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_Toc416782518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July 2010</w:t>
            </w:r>
          </w:p>
        </w:tc>
      </w:tr>
    </w:tbl>
    <w:p>
      <w:pPr>
        <w:pStyle w:val="WA"/>
        <w:spacing w:before="12"/>
      </w:pPr>
      <w:r>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378231757"/>
      <w:bookmarkStart w:id="4" w:name="_Toc416782426"/>
      <w:bookmarkStart w:id="5" w:name="_Toc41678247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231758"/>
      <w:bookmarkStart w:id="7" w:name="_Toc416782478"/>
      <w:r>
        <w:rPr>
          <w:rStyle w:val="CharSectno"/>
        </w:rPr>
        <w:t>1</w:t>
      </w:r>
      <w:r>
        <w:t>.</w:t>
      </w:r>
      <w:r>
        <w:tab/>
        <w:t>Citation</w:t>
      </w:r>
      <w:bookmarkEnd w:id="6"/>
      <w:bookmarkEnd w:id="7"/>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8" w:name="_Toc378231759"/>
      <w:bookmarkStart w:id="9" w:name="_Toc416782479"/>
      <w:r>
        <w:rPr>
          <w:rStyle w:val="CharSectno"/>
        </w:rPr>
        <w:t>2</w:t>
      </w:r>
      <w:r>
        <w:t>.</w:t>
      </w:r>
      <w:r>
        <w:tab/>
        <w:t>Commencement</w:t>
      </w:r>
      <w:bookmarkEnd w:id="8"/>
      <w:bookmarkEnd w:id="9"/>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0" w:name="_Toc378231760"/>
      <w:bookmarkStart w:id="11" w:name="_Toc416782480"/>
      <w:r>
        <w:rPr>
          <w:rStyle w:val="CharSectno"/>
        </w:rPr>
        <w:t>3</w:t>
      </w:r>
      <w:r>
        <w:t>.</w:t>
      </w:r>
      <w:r>
        <w:tab/>
        <w:t>Terms used</w:t>
      </w:r>
      <w:bookmarkEnd w:id="10"/>
      <w:bookmarkEnd w:id="11"/>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unplanned interruption</w:t>
      </w:r>
      <w:r>
        <w:t xml:space="preserve"> means an interruption that is not undertaken in accordance with section 11;</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w:t>
      </w:r>
    </w:p>
    <w:p>
      <w:pPr>
        <w:pStyle w:val="Heading2"/>
      </w:pPr>
      <w:bookmarkStart w:id="12" w:name="_Toc378231761"/>
      <w:bookmarkStart w:id="13" w:name="_Toc416782430"/>
      <w:bookmarkStart w:id="14" w:name="_Toc416782481"/>
      <w:r>
        <w:rPr>
          <w:rStyle w:val="CharPartNo"/>
        </w:rPr>
        <w:t>Part 2</w:t>
      </w:r>
      <w:r>
        <w:t> — </w:t>
      </w:r>
      <w:r>
        <w:rPr>
          <w:rStyle w:val="CharPartText"/>
        </w:rPr>
        <w:t>Quality and reliability standards</w:t>
      </w:r>
      <w:bookmarkEnd w:id="12"/>
      <w:bookmarkEnd w:id="13"/>
      <w:bookmarkEnd w:id="14"/>
    </w:p>
    <w:p>
      <w:pPr>
        <w:pStyle w:val="Heading3"/>
      </w:pPr>
      <w:bookmarkStart w:id="15" w:name="_Toc378231762"/>
      <w:bookmarkStart w:id="16" w:name="_Toc416782431"/>
      <w:bookmarkStart w:id="17" w:name="_Toc416782482"/>
      <w:r>
        <w:rPr>
          <w:rStyle w:val="CharDivNo"/>
        </w:rPr>
        <w:t>Division 1</w:t>
      </w:r>
      <w:r>
        <w:t> — </w:t>
      </w:r>
      <w:r>
        <w:rPr>
          <w:rStyle w:val="CharDivText"/>
        </w:rPr>
        <w:t>Quality standards</w:t>
      </w:r>
      <w:bookmarkEnd w:id="15"/>
      <w:bookmarkEnd w:id="16"/>
      <w:bookmarkEnd w:id="17"/>
    </w:p>
    <w:p>
      <w:pPr>
        <w:pStyle w:val="Heading5"/>
      </w:pPr>
      <w:bookmarkStart w:id="18" w:name="_Toc378231763"/>
      <w:bookmarkStart w:id="19" w:name="_Toc416782483"/>
      <w:r>
        <w:rPr>
          <w:rStyle w:val="CharSectno"/>
        </w:rPr>
        <w:t>4</w:t>
      </w:r>
      <w:r>
        <w:t>.</w:t>
      </w:r>
      <w:r>
        <w:tab/>
        <w:t>Term used: compatibility levels</w:t>
      </w:r>
      <w:bookmarkEnd w:id="18"/>
      <w:bookmarkEnd w:id="19"/>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20" w:name="_Toc378231764"/>
      <w:bookmarkStart w:id="21" w:name="_Toc416782484"/>
      <w:r>
        <w:rPr>
          <w:rStyle w:val="CharSectno"/>
        </w:rPr>
        <w:t>5</w:t>
      </w:r>
      <w:r>
        <w:t>.</w:t>
      </w:r>
      <w:r>
        <w:tab/>
        <w:t>Obligation to observe standards</w:t>
      </w:r>
      <w:bookmarkEnd w:id="20"/>
      <w:bookmarkEnd w:id="21"/>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22" w:name="_Toc378231765"/>
      <w:bookmarkStart w:id="23" w:name="_Toc416782485"/>
      <w:r>
        <w:rPr>
          <w:rStyle w:val="CharSectno"/>
        </w:rPr>
        <w:t>6</w:t>
      </w:r>
      <w:r>
        <w:t>.</w:t>
      </w:r>
      <w:r>
        <w:tab/>
        <w:t>Voltage fluctuations</w:t>
      </w:r>
      <w:bookmarkEnd w:id="22"/>
      <w:bookmarkEnd w:id="23"/>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24" w:name="_Toc378231766"/>
      <w:bookmarkStart w:id="25" w:name="_Toc416782486"/>
      <w:r>
        <w:rPr>
          <w:rStyle w:val="CharSectno"/>
        </w:rPr>
        <w:t>7</w:t>
      </w:r>
      <w:r>
        <w:t>.</w:t>
      </w:r>
      <w:r>
        <w:tab/>
        <w:t>Harmonics</w:t>
      </w:r>
      <w:bookmarkEnd w:id="24"/>
      <w:bookmarkEnd w:id="25"/>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26" w:name="_Toc378231767"/>
      <w:bookmarkStart w:id="27" w:name="_Toc416782487"/>
      <w:r>
        <w:rPr>
          <w:rStyle w:val="CharSectno"/>
        </w:rPr>
        <w:t>8</w:t>
      </w:r>
      <w:r>
        <w:t>.</w:t>
      </w:r>
      <w:r>
        <w:tab/>
        <w:t>Duty to disconnect if damage may result</w:t>
      </w:r>
      <w:bookmarkEnd w:id="26"/>
      <w:bookmarkEnd w:id="27"/>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8" w:name="_Toc378231768"/>
      <w:bookmarkStart w:id="29" w:name="_Toc416782437"/>
      <w:bookmarkStart w:id="30" w:name="_Toc416782488"/>
      <w:r>
        <w:rPr>
          <w:rStyle w:val="CharDivNo"/>
        </w:rPr>
        <w:t>Division 2</w:t>
      </w:r>
      <w:r>
        <w:t> — </w:t>
      </w:r>
      <w:r>
        <w:rPr>
          <w:rStyle w:val="CharDivText"/>
        </w:rPr>
        <w:t>Standards for the interruption of supply to individual customers</w:t>
      </w:r>
      <w:bookmarkEnd w:id="28"/>
      <w:bookmarkEnd w:id="29"/>
      <w:bookmarkEnd w:id="30"/>
    </w:p>
    <w:p>
      <w:pPr>
        <w:pStyle w:val="Heading5"/>
      </w:pPr>
      <w:bookmarkStart w:id="31" w:name="_Toc378231769"/>
      <w:bookmarkStart w:id="32" w:name="_Toc416782489"/>
      <w:r>
        <w:rPr>
          <w:rStyle w:val="CharSectno"/>
        </w:rPr>
        <w:t>9</w:t>
      </w:r>
      <w:r>
        <w:t>.</w:t>
      </w:r>
      <w:r>
        <w:tab/>
        <w:t>General standard of reliability</w:t>
      </w:r>
      <w:bookmarkEnd w:id="31"/>
      <w:bookmarkEnd w:id="32"/>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33" w:name="_Toc378231770"/>
      <w:bookmarkStart w:id="34" w:name="_Toc416782490"/>
      <w:r>
        <w:rPr>
          <w:rStyle w:val="CharSectno"/>
        </w:rPr>
        <w:t>10</w:t>
      </w:r>
      <w:r>
        <w:t>.</w:t>
      </w:r>
      <w:r>
        <w:tab/>
        <w:t>Duty to reduce effect of interruption</w:t>
      </w:r>
      <w:bookmarkEnd w:id="33"/>
      <w:bookmarkEnd w:id="3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35" w:name="_Toc378231771"/>
      <w:bookmarkStart w:id="36" w:name="_Toc416782491"/>
      <w:r>
        <w:rPr>
          <w:rStyle w:val="CharSectno"/>
        </w:rPr>
        <w:t>11</w:t>
      </w:r>
      <w:r>
        <w:t>.</w:t>
      </w:r>
      <w:r>
        <w:tab/>
        <w:t>Planned interruptions</w:t>
      </w:r>
      <w:bookmarkEnd w:id="35"/>
      <w:bookmarkEnd w:id="36"/>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 xml:space="preserve">is sent by post to the customer at the premises concerned or delivered to the customer’s letterbox at those premises; </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Footnotesection"/>
      </w:pPr>
      <w:r>
        <w:tab/>
        <w:t>[Section 11 amended in Gazette 27 Nov 2009 p. 4781.]</w:t>
      </w:r>
    </w:p>
    <w:p>
      <w:pPr>
        <w:pStyle w:val="Heading5"/>
      </w:pPr>
      <w:bookmarkStart w:id="37" w:name="_Toc378231772"/>
      <w:bookmarkStart w:id="38" w:name="_Toc416782492"/>
      <w:r>
        <w:rPr>
          <w:rStyle w:val="CharSectno"/>
        </w:rPr>
        <w:t>12</w:t>
      </w:r>
      <w:r>
        <w:t>.</w:t>
      </w:r>
      <w:r>
        <w:tab/>
        <w:t>Significant interruptions to small use customers</w:t>
      </w:r>
      <w:bookmarkEnd w:id="37"/>
      <w:bookmarkEnd w:id="38"/>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39" w:name="_Toc378231773"/>
      <w:bookmarkStart w:id="40" w:name="_Toc416782442"/>
      <w:bookmarkStart w:id="41" w:name="_Toc416782493"/>
      <w:r>
        <w:rPr>
          <w:rStyle w:val="CharDivNo"/>
        </w:rPr>
        <w:t>Division 3</w:t>
      </w:r>
      <w:r>
        <w:t> — </w:t>
      </w:r>
      <w:r>
        <w:rPr>
          <w:rStyle w:val="CharDivText"/>
        </w:rPr>
        <w:t>Standards for the duration of interruption of supply in particular areas</w:t>
      </w:r>
      <w:bookmarkEnd w:id="39"/>
      <w:bookmarkEnd w:id="40"/>
      <w:bookmarkEnd w:id="41"/>
    </w:p>
    <w:p>
      <w:pPr>
        <w:pStyle w:val="Heading5"/>
      </w:pPr>
      <w:bookmarkStart w:id="42" w:name="_Toc378231774"/>
      <w:bookmarkStart w:id="43" w:name="_Toc416782494"/>
      <w:r>
        <w:rPr>
          <w:rStyle w:val="CharSectno"/>
        </w:rPr>
        <w:t>13</w:t>
      </w:r>
      <w:r>
        <w:t>.</w:t>
      </w:r>
      <w:r>
        <w:tab/>
        <w:t>Standards prescribed for particular areas</w:t>
      </w:r>
      <w:bookmarkEnd w:id="42"/>
      <w:bookmarkEnd w:id="4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44" w:name="_Toc378231775"/>
      <w:bookmarkStart w:id="45" w:name="_Toc416782444"/>
      <w:bookmarkStart w:id="46" w:name="_Toc416782495"/>
      <w:r>
        <w:rPr>
          <w:rStyle w:val="CharDivNo"/>
        </w:rPr>
        <w:t>Division 4</w:t>
      </w:r>
      <w:r>
        <w:t> — </w:t>
      </w:r>
      <w:r>
        <w:rPr>
          <w:rStyle w:val="CharDivText"/>
        </w:rPr>
        <w:t>Variation of obligations under this Part</w:t>
      </w:r>
      <w:bookmarkEnd w:id="44"/>
      <w:bookmarkEnd w:id="45"/>
      <w:bookmarkEnd w:id="46"/>
    </w:p>
    <w:p>
      <w:pPr>
        <w:pStyle w:val="Heading5"/>
      </w:pPr>
      <w:bookmarkStart w:id="47" w:name="_Toc378231776"/>
      <w:bookmarkStart w:id="48" w:name="_Toc416782496"/>
      <w:r>
        <w:rPr>
          <w:rStyle w:val="CharSectno"/>
        </w:rPr>
        <w:t>14</w:t>
      </w:r>
      <w:r>
        <w:t>.</w:t>
      </w:r>
      <w:r>
        <w:tab/>
        <w:t>Alternative provision may be made by Minister on application</w:t>
      </w:r>
      <w:bookmarkEnd w:id="47"/>
      <w:bookmarkEnd w:id="48"/>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49" w:name="_Toc378231777"/>
      <w:bookmarkStart w:id="50" w:name="_Toc416782497"/>
      <w:r>
        <w:rPr>
          <w:rStyle w:val="CharSectno"/>
        </w:rPr>
        <w:t>15</w:t>
      </w:r>
      <w:r>
        <w:t>.</w:t>
      </w:r>
      <w:r>
        <w:tab/>
        <w:t>Provisions may be excluded or modified by agreement</w:t>
      </w:r>
      <w:bookmarkEnd w:id="49"/>
      <w:bookmarkEnd w:id="50"/>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51" w:name="_Toc378231778"/>
      <w:bookmarkStart w:id="52" w:name="_Toc416782447"/>
      <w:bookmarkStart w:id="53" w:name="_Toc416782498"/>
      <w:r>
        <w:rPr>
          <w:rStyle w:val="CharPartNo"/>
        </w:rPr>
        <w:t>Part 3</w:t>
      </w:r>
      <w:r>
        <w:rPr>
          <w:rStyle w:val="CharDivNo"/>
        </w:rPr>
        <w:t> </w:t>
      </w:r>
      <w:r>
        <w:t>—</w:t>
      </w:r>
      <w:r>
        <w:rPr>
          <w:rStyle w:val="CharDivText"/>
        </w:rPr>
        <w:t> </w:t>
      </w:r>
      <w:r>
        <w:rPr>
          <w:rStyle w:val="CharPartText"/>
        </w:rPr>
        <w:t>Payments for failure to meet certain standards</w:t>
      </w:r>
      <w:bookmarkEnd w:id="51"/>
      <w:bookmarkEnd w:id="52"/>
      <w:bookmarkEnd w:id="53"/>
    </w:p>
    <w:p>
      <w:pPr>
        <w:pStyle w:val="Footnoteheading"/>
      </w:pPr>
      <w:r>
        <w:tab/>
        <w:t>[Heading amended in Gazette 27 Nov 2009 p. 4781.]</w:t>
      </w:r>
    </w:p>
    <w:p>
      <w:pPr>
        <w:pStyle w:val="Heading5"/>
      </w:pPr>
      <w:bookmarkStart w:id="54" w:name="_Toc378231779"/>
      <w:bookmarkStart w:id="55" w:name="_Toc416782499"/>
      <w:r>
        <w:rPr>
          <w:rStyle w:val="CharSectno"/>
        </w:rPr>
        <w:t>16</w:t>
      </w:r>
      <w:r>
        <w:t>.</w:t>
      </w:r>
      <w:r>
        <w:tab/>
        <w:t>Terms used</w:t>
      </w:r>
      <w:bookmarkEnd w:id="54"/>
      <w:bookmarkEnd w:id="55"/>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56" w:name="_Toc378231780"/>
      <w:bookmarkStart w:id="57" w:name="_Toc416782500"/>
      <w:r>
        <w:rPr>
          <w:rStyle w:val="CharSectno"/>
        </w:rPr>
        <w:t>17</w:t>
      </w:r>
      <w:r>
        <w:t>.</w:t>
      </w:r>
      <w:r>
        <w:tab/>
        <w:t>Interruptions to which this Part does not apply</w:t>
      </w:r>
      <w:bookmarkEnd w:id="56"/>
      <w:bookmarkEnd w:id="57"/>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58" w:name="_Toc378231781"/>
      <w:bookmarkStart w:id="59" w:name="_Toc416782501"/>
      <w:r>
        <w:rPr>
          <w:rStyle w:val="CharSectno"/>
        </w:rPr>
        <w:t>18</w:t>
      </w:r>
      <w:r>
        <w:t>.</w:t>
      </w:r>
      <w:r>
        <w:tab/>
        <w:t>Payment for failure to give required notice of planned interruption</w:t>
      </w:r>
      <w:bookmarkEnd w:id="58"/>
      <w:bookmarkEnd w:id="59"/>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60" w:name="_Toc378231782"/>
      <w:bookmarkStart w:id="61" w:name="_Toc416782502"/>
      <w:r>
        <w:rPr>
          <w:rStyle w:val="CharSectno"/>
        </w:rPr>
        <w:t>19</w:t>
      </w:r>
      <w:r>
        <w:t>.</w:t>
      </w:r>
      <w:r>
        <w:tab/>
        <w:t>Payment for supply interruptions exceeding 12 hours</w:t>
      </w:r>
      <w:bookmarkEnd w:id="60"/>
      <w:bookmarkEnd w:id="61"/>
    </w:p>
    <w:p>
      <w:pPr>
        <w:pStyle w:val="Subsection"/>
        <w:rPr>
          <w:spacing w:val="-2"/>
        </w:rPr>
      </w:pPr>
      <w:r>
        <w:rPr>
          <w:spacing w:val="-2"/>
        </w:rPr>
        <w:tab/>
        <w:t>(1)</w:t>
      </w:r>
      <w:r>
        <w:rPr>
          <w:spacing w:val="-2"/>
        </w:rPr>
        <w:tab/>
        <w:t xml:space="preserve">If — </w:t>
      </w:r>
    </w:p>
    <w:p>
      <w:pPr>
        <w:pStyle w:val="Indenta"/>
      </w:pPr>
      <w:r>
        <w:tab/>
        <w:t>(a)</w:t>
      </w:r>
      <w:r>
        <w:tab/>
        <w:t>the supply of electricity by a corporation to an eligible person is interrupted for more than 12 hours continuously, whether or not notice has been given to the person under section 11(1); and</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w:t>
      </w:r>
    </w:p>
    <w:p>
      <w:pPr>
        <w:pStyle w:val="Heading5"/>
      </w:pPr>
      <w:bookmarkStart w:id="62" w:name="_Toc378231783"/>
      <w:bookmarkStart w:id="63" w:name="_Toc416782503"/>
      <w:r>
        <w:rPr>
          <w:rStyle w:val="CharSectno"/>
        </w:rPr>
        <w:t>20</w:t>
      </w:r>
      <w:r>
        <w:t>.</w:t>
      </w:r>
      <w:r>
        <w:tab/>
        <w:t>Only one application for each premises</w:t>
      </w:r>
      <w:bookmarkEnd w:id="62"/>
      <w:bookmarkEnd w:id="63"/>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64" w:name="_Toc378231784"/>
      <w:bookmarkStart w:id="65" w:name="_Toc416782504"/>
      <w:r>
        <w:rPr>
          <w:rStyle w:val="CharSectno"/>
        </w:rPr>
        <w:t>21</w:t>
      </w:r>
      <w:r>
        <w:t>.</w:t>
      </w:r>
      <w:r>
        <w:tab/>
        <w:t>Information to be provided</w:t>
      </w:r>
      <w:bookmarkEnd w:id="64"/>
      <w:bookmarkEnd w:id="65"/>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66" w:name="_Toc378231785"/>
      <w:bookmarkStart w:id="67" w:name="_Toc416782505"/>
      <w:r>
        <w:rPr>
          <w:rStyle w:val="CharSectno"/>
        </w:rPr>
        <w:t>22</w:t>
      </w:r>
      <w:r>
        <w:t>.</w:t>
      </w:r>
      <w:r>
        <w:tab/>
        <w:t>Alternative methods of payment</w:t>
      </w:r>
      <w:bookmarkEnd w:id="66"/>
      <w:bookmarkEnd w:id="67"/>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68" w:name="_Toc378231786"/>
      <w:bookmarkStart w:id="69" w:name="_Toc416782455"/>
      <w:bookmarkStart w:id="70" w:name="_Toc416782506"/>
      <w:r>
        <w:rPr>
          <w:rStyle w:val="CharPartNo"/>
        </w:rPr>
        <w:t>Part 4</w:t>
      </w:r>
      <w:r>
        <w:t> — </w:t>
      </w:r>
      <w:r>
        <w:rPr>
          <w:rStyle w:val="CharPartText"/>
        </w:rPr>
        <w:t>Duties incidental to the prescribed standards</w:t>
      </w:r>
      <w:bookmarkEnd w:id="68"/>
      <w:bookmarkEnd w:id="69"/>
      <w:bookmarkEnd w:id="70"/>
    </w:p>
    <w:p>
      <w:pPr>
        <w:pStyle w:val="Heading3"/>
      </w:pPr>
      <w:bookmarkStart w:id="71" w:name="_Toc378231787"/>
      <w:bookmarkStart w:id="72" w:name="_Toc416782456"/>
      <w:bookmarkStart w:id="73" w:name="_Toc416782507"/>
      <w:r>
        <w:rPr>
          <w:rStyle w:val="CharDivNo"/>
        </w:rPr>
        <w:t>Division 1</w:t>
      </w:r>
      <w:r>
        <w:t> — </w:t>
      </w:r>
      <w:r>
        <w:rPr>
          <w:rStyle w:val="CharDivText"/>
        </w:rPr>
        <w:t>Monitoring, record keeping and investigation</w:t>
      </w:r>
      <w:bookmarkEnd w:id="71"/>
      <w:bookmarkEnd w:id="72"/>
      <w:bookmarkEnd w:id="73"/>
    </w:p>
    <w:p>
      <w:pPr>
        <w:pStyle w:val="Heading5"/>
      </w:pPr>
      <w:bookmarkStart w:id="74" w:name="_Toc378231788"/>
      <w:bookmarkStart w:id="75" w:name="_Toc416782508"/>
      <w:r>
        <w:rPr>
          <w:rStyle w:val="CharSectno"/>
        </w:rPr>
        <w:t>23</w:t>
      </w:r>
      <w:r>
        <w:t>.</w:t>
      </w:r>
      <w:r>
        <w:tab/>
        <w:t>Monitoring and record keeping</w:t>
      </w:r>
      <w:bookmarkEnd w:id="74"/>
      <w:bookmarkEnd w:id="75"/>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76" w:name="_Toc378231789"/>
      <w:bookmarkStart w:id="77" w:name="_Toc416782509"/>
      <w:r>
        <w:rPr>
          <w:rStyle w:val="CharSectno"/>
        </w:rPr>
        <w:t>24</w:t>
      </w:r>
      <w:r>
        <w:t>.</w:t>
      </w:r>
      <w:r>
        <w:tab/>
        <w:t>Quality investigations</w:t>
      </w:r>
      <w:bookmarkEnd w:id="76"/>
      <w:bookmarkEnd w:id="77"/>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78" w:name="_Toc378231790"/>
      <w:bookmarkStart w:id="79" w:name="_Toc416782459"/>
      <w:bookmarkStart w:id="80" w:name="_Toc416782510"/>
      <w:r>
        <w:rPr>
          <w:rStyle w:val="CharDivNo"/>
        </w:rPr>
        <w:t>Division 2</w:t>
      </w:r>
      <w:r>
        <w:t> — </w:t>
      </w:r>
      <w:r>
        <w:rPr>
          <w:rStyle w:val="CharDivText"/>
        </w:rPr>
        <w:t>Complaints</w:t>
      </w:r>
      <w:bookmarkEnd w:id="78"/>
      <w:bookmarkEnd w:id="79"/>
      <w:bookmarkEnd w:id="80"/>
    </w:p>
    <w:p>
      <w:pPr>
        <w:pStyle w:val="Heading5"/>
      </w:pPr>
      <w:bookmarkStart w:id="81" w:name="_Toc378231791"/>
      <w:bookmarkStart w:id="82" w:name="_Toc416782511"/>
      <w:r>
        <w:rPr>
          <w:rStyle w:val="CharSectno"/>
        </w:rPr>
        <w:t>25</w:t>
      </w:r>
      <w:r>
        <w:t>.</w:t>
      </w:r>
      <w:r>
        <w:tab/>
        <w:t>Information to be given to small use customers</w:t>
      </w:r>
      <w:bookmarkEnd w:id="81"/>
      <w:bookmarkEnd w:id="82"/>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83" w:name="_Toc378231792"/>
      <w:bookmarkStart w:id="84" w:name="_Toc416782461"/>
      <w:bookmarkStart w:id="85" w:name="_Toc416782512"/>
      <w:r>
        <w:rPr>
          <w:rStyle w:val="CharDivNo"/>
        </w:rPr>
        <w:t>Division 3</w:t>
      </w:r>
      <w:r>
        <w:t> — </w:t>
      </w:r>
      <w:r>
        <w:rPr>
          <w:rStyle w:val="CharDivText"/>
        </w:rPr>
        <w:t>Performance reporting</w:t>
      </w:r>
      <w:bookmarkEnd w:id="83"/>
      <w:bookmarkEnd w:id="84"/>
      <w:bookmarkEnd w:id="85"/>
    </w:p>
    <w:p>
      <w:pPr>
        <w:pStyle w:val="Heading5"/>
      </w:pPr>
      <w:bookmarkStart w:id="86" w:name="_Toc378231793"/>
      <w:bookmarkStart w:id="87" w:name="_Toc416782513"/>
      <w:r>
        <w:rPr>
          <w:rStyle w:val="CharSectno"/>
        </w:rPr>
        <w:t>26</w:t>
      </w:r>
      <w:r>
        <w:t>.</w:t>
      </w:r>
      <w:r>
        <w:tab/>
        <w:t>Annual report on monitoring systems</w:t>
      </w:r>
      <w:bookmarkEnd w:id="86"/>
      <w:bookmarkEnd w:id="87"/>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88" w:name="_Toc378231794"/>
      <w:bookmarkStart w:id="89" w:name="_Toc416782514"/>
      <w:r>
        <w:rPr>
          <w:rStyle w:val="CharSectno"/>
        </w:rPr>
        <w:t>27</w:t>
      </w:r>
      <w:r>
        <w:t>.</w:t>
      </w:r>
      <w:r>
        <w:tab/>
        <w:t>Publication of information about performance</w:t>
      </w:r>
      <w:bookmarkEnd w:id="88"/>
      <w:bookmarkEnd w:id="89"/>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90" w:name="_Toc378231795"/>
      <w:bookmarkStart w:id="91" w:name="_Toc416782515"/>
      <w:r>
        <w:rPr>
          <w:rStyle w:val="CharSectno"/>
        </w:rPr>
        <w:t>28</w:t>
      </w:r>
      <w:r>
        <w:t>.</w:t>
      </w:r>
      <w:r>
        <w:tab/>
        <w:t>Reports not needed if there were no small use customers</w:t>
      </w:r>
      <w:bookmarkEnd w:id="90"/>
      <w:bookmarkEnd w:id="91"/>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2" w:name="_Toc378231796"/>
      <w:bookmarkStart w:id="93" w:name="_Toc416782465"/>
      <w:bookmarkStart w:id="94" w:name="_Toc416782516"/>
      <w:r>
        <w:rPr>
          <w:rStyle w:val="CharSchNo"/>
        </w:rPr>
        <w:t>Schedule 1</w:t>
      </w:r>
      <w:r>
        <w:rPr>
          <w:rStyle w:val="CharSDivNo"/>
        </w:rPr>
        <w:t> </w:t>
      </w:r>
      <w:r>
        <w:t>—</w:t>
      </w:r>
      <w:r>
        <w:rPr>
          <w:rStyle w:val="CharSDivText"/>
        </w:rPr>
        <w:t> </w:t>
      </w:r>
      <w:r>
        <w:rPr>
          <w:rStyle w:val="CharSchText"/>
        </w:rPr>
        <w:t>Information to be published</w:t>
      </w:r>
      <w:bookmarkEnd w:id="92"/>
      <w:bookmarkEnd w:id="93"/>
      <w:bookmarkEnd w:id="94"/>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96" w:name="_Toc378231797"/>
      <w:bookmarkStart w:id="97" w:name="_Toc416782466"/>
      <w:bookmarkStart w:id="98" w:name="_Toc416782517"/>
      <w:r>
        <w:t>Notes</w:t>
      </w:r>
      <w:bookmarkEnd w:id="96"/>
      <w:bookmarkEnd w:id="97"/>
      <w:bookmarkEnd w:id="98"/>
    </w:p>
    <w:p>
      <w:pPr>
        <w:pStyle w:val="nSubsection"/>
        <w:rPr>
          <w:snapToGrid w:val="0"/>
        </w:rPr>
      </w:pPr>
      <w:r>
        <w:rPr>
          <w:snapToGrid w:val="0"/>
          <w:vertAlign w:val="superscript"/>
        </w:rPr>
        <w:t>1</w:t>
      </w:r>
      <w:r>
        <w:rPr>
          <w:snapToGrid w:val="0"/>
        </w:rPr>
        <w:tab/>
        <w:t xml:space="preserve">This reprint is a compilation as at 23 July 2010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The table also contains information about any reprint.</w:t>
      </w:r>
    </w:p>
    <w:p>
      <w:pPr>
        <w:pStyle w:val="nHeading3"/>
      </w:pPr>
      <w:bookmarkStart w:id="99" w:name="_Toc378231798"/>
      <w:bookmarkStart w:id="100" w:name="_Toc416782518"/>
      <w:r>
        <w:t>Compilation table</w:t>
      </w:r>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Borders>
              <w:bottom w:val="single" w:sz="8" w:space="0" w:color="auto"/>
            </w:tcBorders>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9"/>
          <w:headerReference w:type="defaul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2" w:name="_Toc416782519"/>
      <w:r>
        <w:rPr>
          <w:sz w:val="28"/>
        </w:rPr>
        <w:t>Defined terms</w:t>
      </w:r>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customer</w:t>
      </w:r>
      <w:r>
        <w:tab/>
        <w:t>3(1), 11(1A)</w:t>
      </w:r>
    </w:p>
    <w:p>
      <w:pPr>
        <w:pStyle w:val="DefinedTerms"/>
      </w:pPr>
      <w:r>
        <w:t>customer premises</w:t>
      </w:r>
      <w:r>
        <w:tab/>
        <w:t>13(1), Sch. 1</w:t>
      </w:r>
    </w:p>
    <w:p>
      <w:pPr>
        <w:pStyle w:val="DefinedTerms"/>
      </w:pPr>
      <w:r>
        <w:t>customer’s electrical installations</w:t>
      </w:r>
      <w:r>
        <w:tab/>
        <w:t>3(1)</w:t>
      </w:r>
    </w:p>
    <w:p>
      <w:pPr>
        <w:pStyle w:val="DefinedTerms"/>
      </w:pPr>
      <w:r>
        <w:t>distributor</w:t>
      </w:r>
      <w:r>
        <w:tab/>
        <w:t>3(1)</w:t>
      </w:r>
    </w:p>
    <w:p>
      <w:pPr>
        <w:pStyle w:val="DefinedTerms"/>
      </w:pPr>
      <w:r>
        <w:t>eligible person</w:t>
      </w:r>
      <w:r>
        <w:tab/>
        <w:t>16</w:t>
      </w:r>
    </w:p>
    <w:p>
      <w:pPr>
        <w:pStyle w:val="DefinedTerms"/>
      </w:pPr>
      <w:r>
        <w:t>emergency operating state</w:t>
      </w:r>
      <w:r>
        <w:tab/>
        <w:t>16</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separately metered premises</w:t>
      </w:r>
      <w:r>
        <w:tab/>
        <w:t>16</w:t>
      </w:r>
    </w:p>
    <w:p>
      <w:pPr>
        <w:pStyle w:val="DefinedTerms"/>
      </w:pPr>
      <w:r>
        <w:t>small use customer</w:t>
      </w:r>
      <w:r>
        <w:tab/>
        <w:t>3(1)</w:t>
      </w:r>
    </w:p>
    <w:p>
      <w:pPr>
        <w:pStyle w:val="DefinedTerms"/>
      </w:pPr>
      <w:r>
        <w:t>transmitter</w:t>
      </w:r>
      <w:r>
        <w:tab/>
        <w:t>3(1)</w:t>
      </w:r>
    </w:p>
    <w:p>
      <w:pPr>
        <w:pStyle w:val="DefinedTerms"/>
      </w:pPr>
      <w:r>
        <w:t>unplanned interruption</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Jul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01-a0-06</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23 Jul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5" w:name="Schedule"/>
    <w:bookmarkEnd w:id="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 w:name="DefinedTerms"/>
    <w:bookmarkEnd w:id="10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 w:name="Coversheet"/>
    <w:bookmarkEnd w:id="1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854"/>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5717</Words>
  <Characters>28474</Characters>
  <Application>Microsoft Office Word</Application>
  <DocSecurity>0</DocSecurity>
  <Lines>889</Lines>
  <Paragraphs>579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33612</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2005 - 01-a0-06</dc:title>
  <dc:subject/>
  <dc:creator/>
  <cp:keywords/>
  <dc:description/>
  <cp:lastModifiedBy>svcMRProcess</cp:lastModifiedBy>
  <cp:revision>4</cp:revision>
  <cp:lastPrinted>2010-07-20T01:03:00Z</cp:lastPrinted>
  <dcterms:created xsi:type="dcterms:W3CDTF">2018-09-11T06:53:00Z</dcterms:created>
  <dcterms:modified xsi:type="dcterms:W3CDTF">2018-09-11T06:53:00Z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20100723</vt:lpwstr>
  </property>
  <property fmtid="{D5CDD505-2E9C-101B-9397-08002B2CF9AE}" pid="4" name="DocumentType">
    <vt:lpwstr>Reg</vt:lpwstr>
  </property>
  <property fmtid="{D5CDD505-2E9C-101B-9397-08002B2CF9AE}" pid="5" name="OwlsUID">
    <vt:i4>38021</vt:i4>
  </property>
  <property fmtid="{D5CDD505-2E9C-101B-9397-08002B2CF9AE}" pid="6" name="ReprintedAsAt">
    <vt:filetime>2010-07-22T16:00:00Z</vt:filetime>
  </property>
  <property fmtid="{D5CDD505-2E9C-101B-9397-08002B2CF9AE}" pid="7" name="ReprintNo">
    <vt:lpwstr>1</vt:lpwstr>
  </property>
  <property fmtid="{D5CDD505-2E9C-101B-9397-08002B2CF9AE}" pid="8" name="AsAtDate">
    <vt:lpwstr>23 Jul 2010</vt:lpwstr>
  </property>
  <property fmtid="{D5CDD505-2E9C-101B-9397-08002B2CF9AE}" pid="9" name="Suffix">
    <vt:lpwstr>01-a0-06</vt:lpwstr>
  </property>
</Properties>
</file>