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Iron Ore (Marillana Creek) Agreement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(Marillana Creek) Agreement Act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_Toc270603727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_Toc270603728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_Toc270603729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w:t>
      </w:r>
      <w:r>
        <w:tab/>
      </w:r>
      <w:r>
        <w:fldChar w:fldCharType="begin"/>
      </w:r>
      <w:r>
        <w:instrText xml:space="preserve"> PAGEREF _Toc270603730 \h </w:instrText>
      </w:r>
      <w:r>
        <w:fldChar w:fldCharType="separate"/>
      </w:r>
      <w:r>
        <w:t>1</w:t>
      </w:r>
      <w:r>
        <w:fldChar w:fldCharType="end"/>
      </w:r>
    </w:p>
    <w:p>
      <w:pPr>
        <w:pStyle w:val="TOC8"/>
        <w:rPr>
          <w:sz w:val="24"/>
          <w:szCs w:val="24"/>
        </w:rPr>
      </w:pPr>
      <w:r>
        <w:rPr>
          <w:szCs w:val="24"/>
        </w:rPr>
        <w:t>4A</w:t>
      </w:r>
      <w:r>
        <w:rPr>
          <w:snapToGrid w:val="0"/>
          <w:szCs w:val="24"/>
        </w:rPr>
        <w:t>.</w:t>
      </w:r>
      <w:r>
        <w:rPr>
          <w:snapToGrid w:val="0"/>
          <w:szCs w:val="24"/>
        </w:rPr>
        <w:tab/>
        <w:t>Variation Agreement</w:t>
      </w:r>
      <w:r>
        <w:tab/>
      </w:r>
      <w:r>
        <w:fldChar w:fldCharType="begin"/>
      </w:r>
      <w:r>
        <w:instrText xml:space="preserve"> PAGEREF _Toc270603731 \h </w:instrText>
      </w:r>
      <w:r>
        <w:fldChar w:fldCharType="separate"/>
      </w:r>
      <w:r>
        <w:t>2</w:t>
      </w:r>
      <w:r>
        <w:fldChar w:fldCharType="end"/>
      </w:r>
    </w:p>
    <w:p>
      <w:pPr>
        <w:pStyle w:val="TOC8"/>
        <w:rPr>
          <w:sz w:val="24"/>
          <w:szCs w:val="24"/>
        </w:rPr>
      </w:pPr>
      <w:r>
        <w:rPr>
          <w:szCs w:val="24"/>
        </w:rPr>
        <w:t>5.</w:t>
      </w:r>
      <w:r>
        <w:rPr>
          <w:szCs w:val="24"/>
        </w:rPr>
        <w:tab/>
        <w:t>Second Variation Agreement</w:t>
      </w:r>
      <w:r>
        <w:tab/>
      </w:r>
      <w:r>
        <w:fldChar w:fldCharType="begin"/>
      </w:r>
      <w:r>
        <w:instrText xml:space="preserve"> PAGEREF _Toc270603732 \h </w:instrText>
      </w:r>
      <w:r>
        <w:fldChar w:fldCharType="separate"/>
      </w:r>
      <w:r>
        <w:t>2</w:t>
      </w:r>
      <w:r>
        <w:fldChar w:fldCharType="end"/>
      </w:r>
    </w:p>
    <w:p>
      <w:pPr>
        <w:pStyle w:val="TOC8"/>
        <w:rPr>
          <w:sz w:val="24"/>
          <w:szCs w:val="24"/>
        </w:rPr>
      </w:pPr>
      <w:r>
        <w:rPr>
          <w:szCs w:val="24"/>
        </w:rPr>
        <w:t>6.</w:t>
      </w:r>
      <w:r>
        <w:rPr>
          <w:szCs w:val="24"/>
        </w:rPr>
        <w:tab/>
        <w:t>Variation of Agreement to increase rates of royalty</w:t>
      </w:r>
      <w:r>
        <w:tab/>
      </w:r>
      <w:r>
        <w:fldChar w:fldCharType="begin"/>
      </w:r>
      <w:r>
        <w:instrText xml:space="preserve"> PAGEREF _Toc270603733 \h </w:instrText>
      </w:r>
      <w:r>
        <w:fldChar w:fldCharType="separate"/>
      </w:r>
      <w:r>
        <w:t>2</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_Toc270603738 \h </w:instrText>
      </w:r>
      <w:r>
        <w:fldChar w:fldCharType="separate"/>
      </w:r>
      <w:r>
        <w:t>66</w:t>
      </w:r>
      <w:r>
        <w:fldChar w:fldCharType="end"/>
      </w:r>
    </w:p>
    <w:p>
      <w:pPr>
        <w:pStyle w:val="TOC8"/>
        <w:rPr>
          <w:sz w:val="24"/>
        </w:rPr>
      </w:pPr>
      <w:r>
        <w:tab/>
        <w:t>Provisions that have not come into operation</w:t>
      </w:r>
      <w:r>
        <w:tab/>
      </w:r>
      <w:r>
        <w:fldChar w:fldCharType="begin"/>
      </w:r>
      <w:r>
        <w:instrText xml:space="preserve"> PAGEREF _Toc270603739 \h </w:instrText>
      </w:r>
      <w:r>
        <w:fldChar w:fldCharType="separate"/>
      </w:r>
      <w:r>
        <w:t>66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(Marillana Creek) Agreement Act 1991 </w:t>
      </w:r>
    </w:p>
    <w:p>
      <w:pPr>
        <w:pStyle w:val="LongTitle"/>
        <w:rPr>
          <w:snapToGrid w:val="0"/>
        </w:rPr>
      </w:pPr>
      <w:r>
        <w:rPr>
          <w:snapToGrid w:val="0"/>
        </w:rPr>
        <w:t xml:space="preserve">An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2" w:name="_Toc501332000"/>
      <w:bookmarkStart w:id="3" w:name="_Toc3165280"/>
      <w:bookmarkStart w:id="4" w:name="_Toc7595209"/>
      <w:bookmarkStart w:id="5" w:name="_Toc270603727"/>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(Marillana Creek) Agreement Act 1991</w:t>
      </w:r>
      <w:r>
        <w:rPr>
          <w:snapToGrid w:val="0"/>
          <w:vertAlign w:val="superscript"/>
        </w:rPr>
        <w:t> 1</w:t>
      </w:r>
      <w:r>
        <w:rPr>
          <w:snapToGrid w:val="0"/>
        </w:rPr>
        <w:t>.</w:t>
      </w:r>
    </w:p>
    <w:p>
      <w:pPr>
        <w:pStyle w:val="Heading5"/>
        <w:rPr>
          <w:snapToGrid w:val="0"/>
        </w:rPr>
      </w:pPr>
      <w:bookmarkStart w:id="6" w:name="_Toc501332001"/>
      <w:bookmarkStart w:id="7" w:name="_Toc3165281"/>
      <w:bookmarkStart w:id="8" w:name="_Toc7595210"/>
      <w:bookmarkStart w:id="9" w:name="_Toc270603728"/>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0" w:name="_Toc501332002"/>
      <w:bookmarkStart w:id="11" w:name="_Toc3165282"/>
      <w:bookmarkStart w:id="12" w:name="_Toc7595211"/>
      <w:bookmarkStart w:id="13" w:name="_Toc270603729"/>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 3.</w:t>
      </w:r>
    </w:p>
    <w:p>
      <w:pPr>
        <w:pStyle w:val="Footnotesection"/>
      </w:pPr>
      <w:r>
        <w:tab/>
        <w:t xml:space="preserve">[Section 3 amended by No. 29 of 1994 s. 12; No. 57 of 2000 s. 9.] </w:t>
      </w:r>
    </w:p>
    <w:p>
      <w:pPr>
        <w:pStyle w:val="Heading5"/>
        <w:rPr>
          <w:snapToGrid w:val="0"/>
        </w:rPr>
      </w:pPr>
      <w:bookmarkStart w:id="14" w:name="_Toc501332003"/>
      <w:bookmarkStart w:id="15" w:name="_Toc3165283"/>
      <w:bookmarkStart w:id="16" w:name="_Toc7595212"/>
      <w:bookmarkStart w:id="17" w:name="_Toc270603730"/>
      <w:r>
        <w:rPr>
          <w:rStyle w:val="CharSectno"/>
        </w:rPr>
        <w:t>4</w:t>
      </w:r>
      <w:r>
        <w:rPr>
          <w:snapToGrid w:val="0"/>
        </w:rPr>
        <w:t>.</w:t>
      </w:r>
      <w:r>
        <w:rPr>
          <w:snapToGrid w:val="0"/>
        </w:rPr>
        <w:tab/>
        <w:t>Agreement ratified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8" w:name="_Toc501332004"/>
      <w:bookmarkStart w:id="19" w:name="_Toc3165284"/>
      <w:bookmarkStart w:id="20" w:name="_Toc7595213"/>
      <w:bookmarkStart w:id="21" w:name="_Toc270603731"/>
      <w:r>
        <w:rPr>
          <w:rStyle w:val="CharSectno"/>
        </w:rPr>
        <w:t>4A</w:t>
      </w:r>
      <w:r>
        <w:rPr>
          <w:snapToGrid w:val="0"/>
        </w:rPr>
        <w:t>.</w:t>
      </w:r>
      <w:r>
        <w:rPr>
          <w:snapToGrid w:val="0"/>
        </w:rPr>
        <w:tab/>
        <w:t>Variation Agreement</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by No. 29 of 1994 s. 13; amended by No. 8 of 2009 s. 80.] </w:t>
      </w:r>
    </w:p>
    <w:p>
      <w:pPr>
        <w:pStyle w:val="Heading5"/>
      </w:pPr>
      <w:bookmarkStart w:id="22" w:name="_Toc501332005"/>
      <w:bookmarkStart w:id="23" w:name="_Toc3165285"/>
      <w:bookmarkStart w:id="24" w:name="_Toc7595214"/>
      <w:bookmarkStart w:id="25" w:name="_Toc270603732"/>
      <w:r>
        <w:rPr>
          <w:rStyle w:val="CharSectno"/>
        </w:rPr>
        <w:t>5</w:t>
      </w:r>
      <w:r>
        <w:t>.</w:t>
      </w:r>
      <w:r>
        <w:tab/>
        <w:t>Second Variation Agreement</w:t>
      </w:r>
      <w:bookmarkEnd w:id="22"/>
      <w:bookmarkEnd w:id="23"/>
      <w:bookmarkEnd w:id="24"/>
      <w:bookmarkEnd w:id="25"/>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pStyle w:val="Heading5"/>
      </w:pPr>
      <w:bookmarkStart w:id="26" w:name="_Toc270333555"/>
      <w:bookmarkStart w:id="27" w:name="_Toc270602726"/>
      <w:bookmarkStart w:id="28" w:name="_Toc270603733"/>
      <w:r>
        <w:t>6.</w:t>
      </w:r>
      <w:r>
        <w:tab/>
        <w:t>Variation of Agreement to increase rates of royalty</w:t>
      </w:r>
      <w:bookmarkEnd w:id="26"/>
      <w:bookmarkEnd w:id="27"/>
      <w:bookmarkEnd w:id="28"/>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Subsection"/>
      </w:pPr>
      <w:r>
        <w:tab/>
        <w:t>(2)</w:t>
      </w:r>
      <w:r>
        <w:tab/>
        <w:t xml:space="preserve">Clause 1 of the Agreement is varied by inserting in alphabetical order — </w:t>
      </w:r>
    </w:p>
    <w:p>
      <w:pPr>
        <w:pStyle w:val="BlankOpen"/>
      </w:pPr>
    </w:p>
    <w:p>
      <w:pPr>
        <w:pStyle w:val="Subsection"/>
      </w:pPr>
      <w:r>
        <w:tab/>
      </w:r>
      <w:r>
        <w:tab/>
      </w:r>
      <w:r>
        <w:rPr>
          <w:sz w:val="22"/>
        </w:rPr>
        <w:t>“fine ore” means iron ore excluding beneficiated ore which is nominally sized minus six millimetres;</w:t>
      </w:r>
    </w:p>
    <w:p>
      <w:pPr>
        <w:pStyle w:val="Subsection"/>
      </w:pPr>
      <w:r>
        <w:tab/>
      </w:r>
      <w:r>
        <w:tab/>
        <w:t>“lump ore” means iron ore excluding beneficiated ore which is nominally sized plus six millimetres minus thirty millimetres;</w:t>
      </w:r>
    </w:p>
    <w:p>
      <w:pPr>
        <w:pStyle w:val="BlankClose"/>
      </w:pPr>
    </w:p>
    <w:p>
      <w:pPr>
        <w:pStyle w:val="Subsection"/>
      </w:pPr>
      <w:r>
        <w:tab/>
        <w:t>(3)</w:t>
      </w:r>
      <w:r>
        <w:tab/>
        <w:t xml:space="preserve">Clause 13(1) of the Agreement is varied — </w:t>
      </w:r>
    </w:p>
    <w:p>
      <w:pPr>
        <w:pStyle w:val="Indenta"/>
      </w:pPr>
      <w:r>
        <w:tab/>
        <w:t>(a)</w:t>
      </w:r>
      <w:r>
        <w:tab/>
        <w:t>in paragraph (a)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Indenta"/>
      </w:pPr>
      <w:r>
        <w:tab/>
        <w:t>(b)</w:t>
      </w:r>
      <w:r>
        <w:tab/>
        <w:t>in paragraph (aa)(i) by deleting “</w:t>
      </w:r>
      <w:r>
        <w:rPr>
          <w:sz w:val="22"/>
        </w:rPr>
        <w:t>5.625%</w:t>
      </w:r>
      <w:r>
        <w:t xml:space="preserve">” and inserting — </w:t>
      </w:r>
    </w:p>
    <w:p>
      <w:pPr>
        <w:pStyle w:val="BlankOpen"/>
      </w:pPr>
    </w:p>
    <w:p>
      <w:pPr>
        <w:pStyle w:val="Indenta"/>
      </w:pPr>
      <w:r>
        <w:tab/>
      </w:r>
      <w:r>
        <w:tab/>
      </w:r>
      <w:r>
        <w:rPr>
          <w:sz w:val="22"/>
        </w:rPr>
        <w:t>7.5%</w:t>
      </w:r>
    </w:p>
    <w:p>
      <w:pPr>
        <w:pStyle w:val="BlankClose"/>
      </w:pPr>
    </w:p>
    <w:p>
      <w:pPr>
        <w:pStyle w:val="Indenta"/>
      </w:pPr>
      <w:r>
        <w:tab/>
        <w:t>(c)</w:t>
      </w:r>
      <w:r>
        <w:tab/>
        <w:t xml:space="preserve">after paragraph (aa) by inserting — </w:t>
      </w:r>
    </w:p>
    <w:p>
      <w:pPr>
        <w:pStyle w:val="BlankOpen"/>
      </w:pPr>
    </w:p>
    <w:p>
      <w:pPr>
        <w:pStyle w:val="zyMiscellaneousBody"/>
        <w:tabs>
          <w:tab w:val="left" w:pos="2268"/>
        </w:tabs>
        <w:spacing w:before="80"/>
        <w:ind w:left="2835" w:hanging="1134"/>
      </w:pPr>
      <w:r>
        <w:tab/>
        <w:t>(ab)</w:t>
      </w:r>
      <w:r>
        <w:tab/>
        <w:t>on lump ore at the rate of 7.5% of the f.o.b. value;</w:t>
      </w:r>
    </w:p>
    <w:p>
      <w:pPr>
        <w:pStyle w:val="zyMiscellaneousBody"/>
        <w:tabs>
          <w:tab w:val="left" w:pos="2268"/>
        </w:tabs>
        <w:spacing w:before="80"/>
        <w:ind w:left="2835" w:hanging="1134"/>
      </w:pPr>
      <w:r>
        <w:tab/>
        <w:t>(ac)</w:t>
      </w:r>
      <w:r>
        <w:tab/>
        <w:t>on fine ore at the rate of 5.625% of the f.o.b. value;</w:t>
      </w:r>
    </w:p>
    <w:p>
      <w:pPr>
        <w:pStyle w:val="BlankClose"/>
      </w:pPr>
    </w:p>
    <w:p>
      <w:pPr>
        <w:pStyle w:val="Subsection"/>
      </w:pPr>
      <w:r>
        <w:tab/>
        <w:t>(4)</w:t>
      </w:r>
      <w:r>
        <w:tab/>
        <w:t xml:space="preserve">Clause 13(1)(a) and (aa)(i) of the Agreement as varied, and clause 13(1)(ab) and (ac) as inserted in the Agreement,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 xml:space="preserve">Nothing in this section affects the amount of royalty payable under clause 13 of the Agreement in respect of any period before the commencement of the </w:t>
      </w:r>
      <w:r>
        <w:rPr>
          <w:i/>
        </w:rPr>
        <w:t>Iron Ore Agreements Legislation Amendment Act 2010</w:t>
      </w:r>
      <w:r>
        <w:t xml:space="preserve"> Part 4.</w:t>
      </w:r>
    </w:p>
    <w:p>
      <w:pPr>
        <w:pStyle w:val="Footnotesection"/>
      </w:pPr>
      <w:r>
        <w:tab/>
        <w:t>[Section 6 inserted by No. 34 of 2010 s. 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9" w:name="_Toc7595215"/>
      <w:bookmarkStart w:id="30" w:name="_Toc267920785"/>
      <w:bookmarkStart w:id="31" w:name="_Toc270603734"/>
      <w:r>
        <w:rPr>
          <w:rStyle w:val="CharSchNo"/>
        </w:rPr>
        <w:t>Schedule 1</w:t>
      </w:r>
      <w:bookmarkEnd w:id="29"/>
      <w:bookmarkEnd w:id="30"/>
      <w:bookmarkEnd w:id="31"/>
      <w:r>
        <w:t xml:space="preserve"> </w:t>
      </w:r>
    </w:p>
    <w:p>
      <w:pPr>
        <w:pStyle w:val="yFootnoteheading"/>
        <w:rPr>
          <w:snapToGrid w:val="0"/>
        </w:rPr>
      </w:pPr>
      <w:r>
        <w:rPr>
          <w:snapToGrid w:val="0"/>
        </w:rPr>
        <w:tab/>
        <w:t>[Heading amended by No. 29 of 1994 s. 14.]</w:t>
      </w:r>
    </w:p>
    <w:p>
      <w:pPr>
        <w:pStyle w:val="yShoulderClause"/>
        <w:rPr>
          <w:snapToGrid w:val="0"/>
        </w:rPr>
      </w:pPr>
      <w:r>
        <w:rPr>
          <w:snapToGrid w:val="0"/>
        </w:rPr>
        <w:t>[Section 3]</w:t>
      </w:r>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“loading port” means the port of Port Hedland or if iron ore is not shipped, or is not shipped from that port, then such port (which may include the port of Port Hedland)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 xml:space="preserve">“Mount Newman Participants” means the parties (or party) for the time being constituting “the Company” under the agreement defined in section 2 of the </w:t>
      </w:r>
      <w:r>
        <w:rPr>
          <w:i/>
        </w:rPr>
        <w:t>Iron Ore (Mount Newman)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“said State” means the State of Western Australia;</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(Western Australia)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an open town or other appropriate housing and accommodation arrangements to service the iron ore mines and other developments in the central Hamersley Range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The Company shall lodge with the Department of Mines at Perth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(Western Australia)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This Agreement shall be interpreted according to the law for the time being in force in the State of Western Australia.</w:t>
      </w:r>
    </w:p>
    <w:p>
      <w:pPr>
        <w:pStyle w:val="yMiscellaneousBody"/>
        <w:keepNext/>
        <w:spacing w:before="3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keepNext/>
        <w:jc w:val="center"/>
      </w:pPr>
      <w:r>
        <w:rPr>
          <w:i/>
        </w:rPr>
        <w:t>IRON ORE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BHP MINERALS LIMITED a company incorporated in the State of Western Australia and having its registered office at Level 18, 200 St. George’s Terrace, Perth.</w:t>
      </w:r>
    </w:p>
    <w:p>
      <w:pPr>
        <w:pStyle w:val="yMiscellaneousHeading"/>
        <w:spacing w:before="240"/>
      </w:pPr>
      <w:r>
        <w:t>SECOND SCHEDULE</w:t>
      </w:r>
    </w:p>
    <w:p>
      <w:pPr>
        <w:pStyle w:val="yMiscellaneousBody"/>
      </w:pPr>
      <w:r>
        <w:t xml:space="preserve">The Agreement made between the State of Western Australia and BHP Minerals Limited and ratified by the </w:t>
      </w:r>
      <w:r>
        <w:rPr>
          <w:i/>
        </w:rPr>
        <w:t>Iron Ore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recorded in the Department of Mines, Perth.</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lang w:eastAsia="en-AU"/>
              </w:rPr>
              <w:drawing>
                <wp:inline distT="0" distB="0" distL="0" distR="0">
                  <wp:extent cx="123825" cy="1095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9537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tabs>
          <w:tab w:val="clear" w:pos="893"/>
        </w:tabs>
        <w:spacing w:before="240"/>
        <w:ind w:left="0" w:firstLine="720"/>
      </w:pPr>
      <w:r>
        <w:t xml:space="preserve">[Schedule 1 amended by No. 29 of 1994 s. 14.] </w:t>
      </w:r>
    </w:p>
    <w:p>
      <w:pPr>
        <w:pStyle w:val="yScheduleHeading"/>
      </w:pPr>
      <w:bookmarkStart w:id="32" w:name="_Toc7595216"/>
      <w:bookmarkStart w:id="33" w:name="_Toc267920786"/>
      <w:bookmarkStart w:id="34" w:name="_Toc270603735"/>
      <w:r>
        <w:rPr>
          <w:rStyle w:val="CharSchNo"/>
        </w:rPr>
        <w:t>Schedule 2</w:t>
      </w:r>
      <w:bookmarkEnd w:id="32"/>
      <w:bookmarkEnd w:id="33"/>
      <w:bookmarkEnd w:id="34"/>
      <w:r>
        <w:t xml:space="preserve"> </w:t>
      </w:r>
    </w:p>
    <w:p>
      <w:pPr>
        <w:pStyle w:val="yShoulderClause"/>
      </w:pPr>
      <w:r>
        <w:t>[section 3]</w:t>
      </w:r>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35" w:name="endcomma"/>
      <w:bookmarkEnd w:id="35"/>
      <w:r>
        <w:rPr>
          <w:rStyle w:val="CharDefText"/>
        </w:rPr>
        <w:t>combined  limit</w:t>
      </w:r>
      <w:r>
        <w:t xml:space="preserve"> </w:t>
      </w:r>
      <w:bookmarkStart w:id="36" w:name="comma"/>
      <w:bookmarkEnd w:id="36"/>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spacing w:before="240"/>
      </w:pPr>
      <w:r>
        <w:tab/>
        <w:t xml:space="preserve">[Schedule 2 inserted by No. 29 of 1994 s. 15.] </w:t>
      </w:r>
    </w:p>
    <w:p>
      <w:pPr>
        <w:pStyle w:val="yScheduleHeading"/>
      </w:pPr>
      <w:bookmarkStart w:id="37" w:name="_Toc7595217"/>
      <w:bookmarkStart w:id="38" w:name="_Toc267920787"/>
      <w:bookmarkStart w:id="39" w:name="_Toc270603736"/>
      <w:r>
        <w:rPr>
          <w:rStyle w:val="CharSchNo"/>
        </w:rPr>
        <w:t>Schedule 3</w:t>
      </w:r>
      <w:bookmarkEnd w:id="37"/>
      <w:bookmarkEnd w:id="38"/>
      <w:bookmarkEnd w:id="39"/>
      <w:r>
        <w:rPr>
          <w:rStyle w:val="CharSchNo"/>
        </w:rPr>
        <w:t> </w:t>
      </w:r>
    </w:p>
    <w:p>
      <w:pPr>
        <w:pStyle w:val="yShoulderClause"/>
      </w:pPr>
      <w:r>
        <w:t>[s. 5]</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Iron Ore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lang w:eastAsia="en-AU"/>
              </w:rPr>
              <w:drawing>
                <wp:inline distT="0" distB="0" distL="0" distR="0">
                  <wp:extent cx="12382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lang w:eastAsia="en-AU"/>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lang w:eastAsia="en-AU"/>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lang w:eastAsia="en-AU"/>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 by No. 57 of 2000 s. 11.]</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0" w:name="_Toc267920788"/>
      <w:bookmarkStart w:id="41" w:name="_Toc270603737"/>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(Marillana Creek) Agreement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 w:name="_Toc270603738"/>
      <w:r>
        <w:rPr>
          <w:snapToGrid w:val="0"/>
        </w:rPr>
        <w:t>Compilation table</w:t>
      </w:r>
      <w:bookmarkEnd w:id="42"/>
    </w:p>
    <w:tbl>
      <w:tblPr>
        <w:tblW w:w="7086" w:type="dxa"/>
        <w:tblInd w:w="70" w:type="dxa"/>
        <w:tblLayout w:type="fixed"/>
        <w:tblCellMar>
          <w:left w:w="56" w:type="dxa"/>
          <w:right w:w="56" w:type="dxa"/>
        </w:tblCellMar>
        <w:tblLook w:val="0000" w:firstRow="0" w:lastRow="0" w:firstColumn="0" w:lastColumn="0" w:noHBand="0" w:noVBand="0"/>
      </w:tblPr>
      <w:tblGrid>
        <w:gridCol w:w="2266"/>
        <w:gridCol w:w="1134"/>
        <w:gridCol w:w="1135"/>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Iron Ore (Marillana Creek) Agreement Act 1991</w:t>
            </w:r>
          </w:p>
        </w:tc>
        <w:tc>
          <w:tcPr>
            <w:tcW w:w="1134" w:type="dxa"/>
          </w:tcPr>
          <w:p>
            <w:pPr>
              <w:pStyle w:val="nTable"/>
              <w:spacing w:after="40"/>
              <w:rPr>
                <w:sz w:val="19"/>
              </w:rPr>
            </w:pPr>
            <w:r>
              <w:rPr>
                <w:sz w:val="19"/>
              </w:rPr>
              <w:t>2 of 1991</w:t>
            </w:r>
          </w:p>
        </w:tc>
        <w:tc>
          <w:tcPr>
            <w:tcW w:w="1135" w:type="dxa"/>
          </w:tcPr>
          <w:p>
            <w:pPr>
              <w:pStyle w:val="nTable"/>
              <w:spacing w:after="40"/>
              <w:rPr>
                <w:sz w:val="19"/>
              </w:rPr>
            </w:pPr>
            <w:r>
              <w:rPr>
                <w:sz w:val="19"/>
              </w:rPr>
              <w:t>27 May 1991</w:t>
            </w:r>
          </w:p>
        </w:tc>
        <w:tc>
          <w:tcPr>
            <w:tcW w:w="2551" w:type="dxa"/>
          </w:tcPr>
          <w:p>
            <w:pPr>
              <w:pStyle w:val="nTable"/>
              <w:spacing w:after="40"/>
              <w:rPr>
                <w:sz w:val="19"/>
              </w:rPr>
            </w:pPr>
            <w:r>
              <w:rPr>
                <w:sz w:val="19"/>
              </w:rPr>
              <w:t>27 May 1991 (see s. 2)</w:t>
            </w:r>
          </w:p>
        </w:tc>
      </w:tr>
      <w:tr>
        <w:trPr>
          <w:cantSplit/>
        </w:trPr>
        <w:tc>
          <w:tcPr>
            <w:tcW w:w="2266" w:type="dxa"/>
          </w:tcPr>
          <w:p>
            <w:pPr>
              <w:pStyle w:val="nTable"/>
              <w:spacing w:after="40"/>
              <w:ind w:right="113"/>
              <w:rPr>
                <w:sz w:val="19"/>
              </w:rPr>
            </w:pPr>
            <w:r>
              <w:rPr>
                <w:i/>
                <w:sz w:val="19"/>
              </w:rPr>
              <w:t>Acts Amendment (Mount Goldsworthy, McCamey’s Monster and Marillana Creek Iron Ore Agreements) Act 1994</w:t>
            </w:r>
            <w:r>
              <w:rPr>
                <w:sz w:val="19"/>
              </w:rPr>
              <w:t xml:space="preserve"> Pt. 4</w:t>
            </w:r>
          </w:p>
        </w:tc>
        <w:tc>
          <w:tcPr>
            <w:tcW w:w="1134" w:type="dxa"/>
          </w:tcPr>
          <w:p>
            <w:pPr>
              <w:pStyle w:val="nTable"/>
              <w:spacing w:after="40"/>
              <w:rPr>
                <w:sz w:val="19"/>
              </w:rPr>
            </w:pPr>
            <w:r>
              <w:rPr>
                <w:sz w:val="19"/>
              </w:rPr>
              <w:t>29 of 1994</w:t>
            </w:r>
          </w:p>
        </w:tc>
        <w:tc>
          <w:tcPr>
            <w:tcW w:w="1135"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6" w:type="dxa"/>
          </w:tcPr>
          <w:p>
            <w:pPr>
              <w:pStyle w:val="nTable"/>
              <w:spacing w:after="40"/>
              <w:ind w:right="113"/>
              <w:rPr>
                <w:sz w:val="19"/>
              </w:rPr>
            </w:pPr>
            <w:r>
              <w:rPr>
                <w:i/>
                <w:sz w:val="19"/>
              </w:rPr>
              <w:t xml:space="preserve">Acts Amendment (Iron Ore Agreements) Act 2000 </w:t>
            </w:r>
            <w:r>
              <w:rPr>
                <w:sz w:val="19"/>
              </w:rPr>
              <w:t>Pt. 3</w:t>
            </w:r>
          </w:p>
        </w:tc>
        <w:tc>
          <w:tcPr>
            <w:tcW w:w="1134" w:type="dxa"/>
          </w:tcPr>
          <w:p>
            <w:pPr>
              <w:pStyle w:val="nTable"/>
              <w:spacing w:after="40"/>
              <w:rPr>
                <w:sz w:val="19"/>
              </w:rPr>
            </w:pPr>
            <w:r>
              <w:rPr>
                <w:sz w:val="19"/>
              </w:rPr>
              <w:t>57 of 2000</w:t>
            </w:r>
          </w:p>
        </w:tc>
        <w:tc>
          <w:tcPr>
            <w:tcW w:w="1135" w:type="dxa"/>
          </w:tcPr>
          <w:p>
            <w:pPr>
              <w:pStyle w:val="nTable"/>
              <w:spacing w:after="40"/>
              <w:rPr>
                <w:sz w:val="19"/>
              </w:rPr>
            </w:pPr>
            <w:r>
              <w:rPr>
                <w:sz w:val="19"/>
              </w:rPr>
              <w:t>7 Dec 2000</w:t>
            </w:r>
          </w:p>
        </w:tc>
        <w:tc>
          <w:tcPr>
            <w:tcW w:w="2551" w:type="dxa"/>
          </w:tcPr>
          <w:p>
            <w:pPr>
              <w:pStyle w:val="nTable"/>
              <w:spacing w:after="40"/>
              <w:rPr>
                <w:sz w:val="19"/>
              </w:rPr>
            </w:pPr>
            <w:r>
              <w:rPr>
                <w:sz w:val="19"/>
              </w:rPr>
              <w:t>7 Dec 2000 (see s. 2)</w:t>
            </w:r>
          </w:p>
        </w:tc>
      </w:tr>
      <w:tr>
        <w:trPr>
          <w:cantSplit/>
        </w:trPr>
        <w:tc>
          <w:tcPr>
            <w:tcW w:w="7086" w:type="dxa"/>
            <w:gridSpan w:val="4"/>
          </w:tcPr>
          <w:p>
            <w:pPr>
              <w:pStyle w:val="nTable"/>
              <w:spacing w:after="40"/>
              <w:rPr>
                <w:sz w:val="19"/>
              </w:rPr>
            </w:pPr>
            <w:r>
              <w:rPr>
                <w:b/>
                <w:sz w:val="19"/>
              </w:rPr>
              <w:t xml:space="preserve">Reprint of the </w:t>
            </w:r>
            <w:r>
              <w:rPr>
                <w:b/>
                <w:i/>
                <w:sz w:val="19"/>
              </w:rPr>
              <w:t>Iron Ore (Marillana Creek) Agreement Act 1991</w:t>
            </w:r>
            <w:r>
              <w:rPr>
                <w:b/>
                <w:sz w:val="19"/>
              </w:rPr>
              <w:t xml:space="preserve"> at 5 Apr 2002</w:t>
            </w:r>
            <w:r>
              <w:rPr>
                <w:sz w:val="19"/>
              </w:rPr>
              <w:br/>
              <w:t>(includes amendments listed above)</w:t>
            </w:r>
          </w:p>
        </w:tc>
      </w:tr>
      <w:tr>
        <w:trPr>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80</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blPrEx>
          <w:tblBorders>
            <w:top w:val="single" w:sz="4" w:space="0" w:color="auto"/>
            <w:bottom w:val="single" w:sz="4" w:space="0" w:color="auto"/>
            <w:insideH w:val="single" w:sz="4" w:space="0" w:color="auto"/>
          </w:tblBorders>
        </w:tblPrEx>
        <w:tc>
          <w:tcPr>
            <w:tcW w:w="2266" w:type="dxa"/>
            <w:tcBorders>
              <w:top w:val="nil"/>
              <w:bottom w:val="single" w:sz="8" w:space="0" w:color="auto"/>
            </w:tcBorders>
          </w:tcPr>
          <w:p>
            <w:pPr>
              <w:pStyle w:val="nTable"/>
              <w:spacing w:after="40"/>
              <w:ind w:right="170"/>
              <w:rPr>
                <w:iCs/>
                <w:sz w:val="19"/>
              </w:rPr>
            </w:pPr>
            <w:r>
              <w:rPr>
                <w:i/>
                <w:sz w:val="19"/>
              </w:rPr>
              <w:t>Iron Ore Agreements Legislation Amendment Act 2010</w:t>
            </w:r>
            <w:r>
              <w:rPr>
                <w:iCs/>
                <w:sz w:val="19"/>
              </w:rPr>
              <w:t xml:space="preserve"> Pt. 4</w:t>
            </w:r>
          </w:p>
        </w:tc>
        <w:tc>
          <w:tcPr>
            <w:tcW w:w="1134" w:type="dxa"/>
            <w:tcBorders>
              <w:top w:val="nil"/>
              <w:bottom w:val="single" w:sz="8" w:space="0" w:color="auto"/>
            </w:tcBorders>
          </w:tcPr>
          <w:p>
            <w:pPr>
              <w:pStyle w:val="nTable"/>
              <w:spacing w:after="40"/>
              <w:ind w:right="170"/>
              <w:rPr>
                <w:sz w:val="19"/>
              </w:rPr>
            </w:pPr>
            <w:r>
              <w:rPr>
                <w:sz w:val="19"/>
              </w:rPr>
              <w:t>34 of 2010</w:t>
            </w:r>
          </w:p>
        </w:tc>
        <w:tc>
          <w:tcPr>
            <w:tcW w:w="1135" w:type="dxa"/>
            <w:tcBorders>
              <w:top w:val="nil"/>
              <w:bottom w:val="single" w:sz="8" w:space="0" w:color="auto"/>
            </w:tcBorders>
          </w:tcPr>
          <w:p>
            <w:pPr>
              <w:pStyle w:val="nTable"/>
              <w:spacing w:after="40"/>
              <w:rPr>
                <w:sz w:val="19"/>
              </w:rPr>
            </w:pPr>
            <w:r>
              <w:rPr>
                <w:sz w:val="19"/>
              </w:rPr>
              <w:t>26 Aug 2010</w:t>
            </w:r>
          </w:p>
        </w:tc>
        <w:tc>
          <w:tcPr>
            <w:tcW w:w="2551" w:type="dxa"/>
            <w:tcBorders>
              <w:top w:val="nil"/>
              <w:bottom w:val="single" w:sz="8" w:space="0" w:color="auto"/>
            </w:tcBorders>
          </w:tcPr>
          <w:p>
            <w:pPr>
              <w:pStyle w:val="nTable"/>
              <w:spacing w:after="40"/>
              <w:rPr>
                <w:sz w:val="19"/>
              </w:rPr>
            </w:pPr>
            <w:r>
              <w:rPr>
                <w:sz w:val="19"/>
              </w:rPr>
              <w:t>1 Jul 2010 (see s. 2(b)(ii))</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 w:name="_Toc7405065"/>
      <w:bookmarkStart w:id="44" w:name="_Toc270603739"/>
      <w:r>
        <w:t>Provisions that have not come into operation</w:t>
      </w:r>
      <w:bookmarkEnd w:id="43"/>
      <w:bookmarkEnd w:id="4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5" w:name="_Toc233107675"/>
      <w:bookmarkStart w:id="46" w:name="_Toc255473698"/>
      <w:bookmarkStart w:id="47" w:name="_Toc265583753"/>
      <w:r>
        <w:rPr>
          <w:rStyle w:val="CharSectno"/>
          <w:rFonts w:eastAsia="MS Mincho"/>
        </w:rPr>
        <w:t>4</w:t>
      </w:r>
      <w:r>
        <w:rPr>
          <w:rFonts w:eastAsia="MS Mincho"/>
        </w:rPr>
        <w:t>.</w:t>
      </w:r>
      <w:r>
        <w:rPr>
          <w:rFonts w:eastAsia="MS Mincho"/>
        </w:rPr>
        <w:tab/>
        <w:t>Schedule headings reformatted</w:t>
      </w:r>
      <w:bookmarkEnd w:id="45"/>
      <w:bookmarkEnd w:id="46"/>
      <w:bookmarkEnd w:id="4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(Marillana Creek) Agreement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(Marillana Creek)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(Marillana Creek) Agreement Act 1991</w:t>
          </w:r>
          <w:r>
            <w:rPr>
              <w:i w:val="0"/>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8CA1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B18EE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6EB1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224FB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DA13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CC0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94C98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2C13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31038DC"/>
    <w:lvl w:ilvl="0">
      <w:start w:val="1"/>
      <w:numFmt w:val="decimal"/>
      <w:pStyle w:val="ListNumber"/>
      <w:lvlText w:val="%1."/>
      <w:lvlJc w:val="left"/>
      <w:pPr>
        <w:tabs>
          <w:tab w:val="num" w:pos="360"/>
        </w:tabs>
        <w:ind w:left="360" w:hanging="360"/>
      </w:pPr>
    </w:lvl>
  </w:abstractNum>
  <w:abstractNum w:abstractNumId="9">
    <w:nsid w:val="FFFFFF89"/>
    <w:multiLevelType w:val="singleLevel"/>
    <w:tmpl w:val="C6A677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3C23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9EE1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14"/>
    <w:docVar w:name="WAFER_20151203162914" w:val="RemoveTrackChanges"/>
    <w:docVar w:name="WAFER_20151203162914_GUID" w:val="4f45f89c-fea0-4970-9b15-a3fabd7e38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20574</Words>
  <Characters>101844</Characters>
  <Application>Microsoft Office Word</Application>
  <DocSecurity>0</DocSecurity>
  <Lines>2314</Lines>
  <Paragraphs>838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1991 - 01-d0-02</dc:title>
  <dc:subject/>
  <dc:creator/>
  <cp:keywords/>
  <dc:description/>
  <cp:lastModifiedBy>svcMRProcess</cp:lastModifiedBy>
  <cp:revision>4</cp:revision>
  <cp:lastPrinted>2002-04-09T03:30:00Z</cp:lastPrinted>
  <dcterms:created xsi:type="dcterms:W3CDTF">2020-02-17T00:22:00Z</dcterms:created>
  <dcterms:modified xsi:type="dcterms:W3CDTF">2020-02-17T00:22:00Z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20100701</vt:lpwstr>
  </property>
  <property fmtid="{D5CDD505-2E9C-101B-9397-08002B2CF9AE}" pid="4" name="DocumentType">
    <vt:lpwstr>Act</vt:lpwstr>
  </property>
  <property fmtid="{D5CDD505-2E9C-101B-9397-08002B2CF9AE}" pid="5" name="AsAtDate">
    <vt:lpwstr>01 Jul 2010</vt:lpwstr>
  </property>
  <property fmtid="{D5CDD505-2E9C-101B-9397-08002B2CF9AE}" pid="6" name="Suffix">
    <vt:lpwstr>01-d0-02</vt:lpwstr>
  </property>
</Properties>
</file>