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Nurses and Midwives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Nurses and Midwives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_Toc271200329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_Toc271200330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_Toc271200331 \h </w:instrText>
      </w:r>
      <w:r>
        <w:fldChar w:fldCharType="separate"/>
      </w:r>
      <w:r>
        <w:t>2</w:t>
      </w:r>
      <w:r>
        <w:fldChar w:fldCharType="end"/>
      </w:r>
    </w:p>
    <w:p>
      <w:pPr>
        <w:pStyle w:val="TOC8"/>
        <w:rPr>
          <w:sz w:val="24"/>
          <w:szCs w:val="24"/>
        </w:rPr>
      </w:pPr>
      <w:r>
        <w:rPr>
          <w:szCs w:val="24"/>
        </w:rPr>
        <w:t>4.</w:t>
      </w:r>
      <w:r>
        <w:rPr>
          <w:szCs w:val="24"/>
        </w:rPr>
        <w:tab/>
        <w:t>Application</w:t>
      </w:r>
      <w:r>
        <w:tab/>
      </w:r>
      <w:r>
        <w:fldChar w:fldCharType="begin"/>
      </w:r>
      <w:r>
        <w:instrText xml:space="preserve"> PAGEREF _Toc271200332 \h </w:instrText>
      </w:r>
      <w:r>
        <w:fldChar w:fldCharType="separate"/>
      </w:r>
      <w:r>
        <w:t>4</w:t>
      </w:r>
      <w:r>
        <w:fldChar w:fldCharType="end"/>
      </w:r>
    </w:p>
    <w:p>
      <w:pPr>
        <w:pStyle w:val="TOC2"/>
        <w:tabs>
          <w:tab w:val="right" w:leader="dot" w:pos="7086"/>
        </w:tabs>
        <w:rPr>
          <w:b w:val="0"/>
          <w:sz w:val="24"/>
          <w:szCs w:val="24"/>
        </w:rPr>
      </w:pPr>
      <w:r>
        <w:rPr>
          <w:szCs w:val="30"/>
        </w:rPr>
        <w:t>Part 2 — Nurses and Midwives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5.</w:t>
      </w:r>
      <w:r>
        <w:rPr>
          <w:szCs w:val="24"/>
        </w:rPr>
        <w:tab/>
      </w:r>
      <w:r>
        <w:rPr>
          <w:snapToGrid w:val="0"/>
          <w:szCs w:val="24"/>
        </w:rPr>
        <w:t>Board established</w:t>
      </w:r>
      <w:r>
        <w:tab/>
      </w:r>
      <w:r>
        <w:fldChar w:fldCharType="begin"/>
      </w:r>
      <w:r>
        <w:instrText xml:space="preserve"> PAGEREF _Toc271200335 \h </w:instrText>
      </w:r>
      <w:r>
        <w:fldChar w:fldCharType="separate"/>
      </w:r>
      <w:r>
        <w:t>6</w:t>
      </w:r>
      <w:r>
        <w:fldChar w:fldCharType="end"/>
      </w:r>
    </w:p>
    <w:p>
      <w:pPr>
        <w:pStyle w:val="TOC8"/>
        <w:rPr>
          <w:sz w:val="24"/>
          <w:szCs w:val="24"/>
        </w:rPr>
      </w:pPr>
      <w:r>
        <w:rPr>
          <w:szCs w:val="24"/>
        </w:rPr>
        <w:t>6.</w:t>
      </w:r>
      <w:r>
        <w:rPr>
          <w:szCs w:val="24"/>
        </w:rPr>
        <w:tab/>
      </w:r>
      <w:r>
        <w:rPr>
          <w:snapToGrid w:val="0"/>
          <w:szCs w:val="24"/>
        </w:rPr>
        <w:t>Membership of Board</w:t>
      </w:r>
      <w:r>
        <w:tab/>
      </w:r>
      <w:r>
        <w:fldChar w:fldCharType="begin"/>
      </w:r>
      <w:r>
        <w:instrText xml:space="preserve"> PAGEREF _Toc271200336 \h </w:instrText>
      </w:r>
      <w:r>
        <w:fldChar w:fldCharType="separate"/>
      </w:r>
      <w:r>
        <w:t>6</w:t>
      </w:r>
      <w:r>
        <w:fldChar w:fldCharType="end"/>
      </w:r>
    </w:p>
    <w:p>
      <w:pPr>
        <w:pStyle w:val="TOC8"/>
        <w:rPr>
          <w:sz w:val="24"/>
          <w:szCs w:val="24"/>
        </w:rPr>
      </w:pPr>
      <w:r>
        <w:rPr>
          <w:szCs w:val="24"/>
        </w:rPr>
        <w:t>7.</w:t>
      </w:r>
      <w:r>
        <w:rPr>
          <w:szCs w:val="24"/>
        </w:rPr>
        <w:tab/>
      </w:r>
      <w:r>
        <w:rPr>
          <w:snapToGrid w:val="0"/>
          <w:szCs w:val="24"/>
        </w:rPr>
        <w:t>Presiding member and deputy presiding member</w:t>
      </w:r>
      <w:r>
        <w:tab/>
      </w:r>
      <w:r>
        <w:fldChar w:fldCharType="begin"/>
      </w:r>
      <w:r>
        <w:instrText xml:space="preserve"> PAGEREF _Toc271200337 \h </w:instrText>
      </w:r>
      <w:r>
        <w:fldChar w:fldCharType="separate"/>
      </w:r>
      <w:r>
        <w:t>7</w:t>
      </w:r>
      <w:r>
        <w:fldChar w:fldCharType="end"/>
      </w:r>
    </w:p>
    <w:p>
      <w:pPr>
        <w:pStyle w:val="TOC8"/>
        <w:rPr>
          <w:sz w:val="24"/>
          <w:szCs w:val="24"/>
        </w:rPr>
      </w:pPr>
      <w:r>
        <w:rPr>
          <w:szCs w:val="24"/>
        </w:rPr>
        <w:t>8.</w:t>
      </w:r>
      <w:r>
        <w:rPr>
          <w:szCs w:val="24"/>
        </w:rPr>
        <w:tab/>
      </w:r>
      <w:r>
        <w:rPr>
          <w:snapToGrid w:val="0"/>
          <w:szCs w:val="24"/>
        </w:rPr>
        <w:t>Constitution and proceedings</w:t>
      </w:r>
      <w:r>
        <w:tab/>
      </w:r>
      <w:r>
        <w:fldChar w:fldCharType="begin"/>
      </w:r>
      <w:r>
        <w:instrText xml:space="preserve"> PAGEREF _Toc271200338 \h </w:instrText>
      </w:r>
      <w:r>
        <w:fldChar w:fldCharType="separate"/>
      </w:r>
      <w:r>
        <w:t>7</w:t>
      </w:r>
      <w:r>
        <w:fldChar w:fldCharType="end"/>
      </w:r>
    </w:p>
    <w:p>
      <w:pPr>
        <w:pStyle w:val="TOC8"/>
        <w:rPr>
          <w:sz w:val="24"/>
          <w:szCs w:val="24"/>
        </w:rPr>
      </w:pPr>
      <w:r>
        <w:rPr>
          <w:szCs w:val="24"/>
        </w:rPr>
        <w:t>9.</w:t>
      </w:r>
      <w:r>
        <w:rPr>
          <w:szCs w:val="24"/>
        </w:rPr>
        <w:tab/>
      </w:r>
      <w:r>
        <w:rPr>
          <w:snapToGrid w:val="0"/>
          <w:szCs w:val="24"/>
        </w:rPr>
        <w:t>Remuneration and allowances</w:t>
      </w:r>
      <w:r>
        <w:tab/>
      </w:r>
      <w:r>
        <w:fldChar w:fldCharType="begin"/>
      </w:r>
      <w:r>
        <w:instrText xml:space="preserve"> PAGEREF _Toc271200339 \h </w:instrText>
      </w:r>
      <w:r>
        <w:fldChar w:fldCharType="separate"/>
      </w:r>
      <w:r>
        <w:t>7</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10.</w:t>
      </w:r>
      <w:r>
        <w:rPr>
          <w:szCs w:val="24"/>
        </w:rPr>
        <w:tab/>
        <w:t>Functions</w:t>
      </w:r>
      <w:r>
        <w:tab/>
      </w:r>
      <w:r>
        <w:fldChar w:fldCharType="begin"/>
      </w:r>
      <w:r>
        <w:instrText xml:space="preserve"> PAGEREF _Toc271200341 \h </w:instrText>
      </w:r>
      <w:r>
        <w:fldChar w:fldCharType="separate"/>
      </w:r>
      <w:r>
        <w:t>7</w:t>
      </w:r>
      <w:r>
        <w:fldChar w:fldCharType="end"/>
      </w:r>
    </w:p>
    <w:p>
      <w:pPr>
        <w:pStyle w:val="TOC8"/>
        <w:rPr>
          <w:sz w:val="24"/>
          <w:szCs w:val="24"/>
        </w:rPr>
      </w:pPr>
      <w:r>
        <w:rPr>
          <w:szCs w:val="24"/>
        </w:rPr>
        <w:t>11.</w:t>
      </w:r>
      <w:r>
        <w:rPr>
          <w:szCs w:val="24"/>
        </w:rPr>
        <w:tab/>
        <w:t>Powers</w:t>
      </w:r>
      <w:r>
        <w:tab/>
      </w:r>
      <w:r>
        <w:fldChar w:fldCharType="begin"/>
      </w:r>
      <w:r>
        <w:instrText xml:space="preserve"> PAGEREF _Toc271200342 \h </w:instrText>
      </w:r>
      <w:r>
        <w:fldChar w:fldCharType="separate"/>
      </w:r>
      <w:r>
        <w:t>8</w:t>
      </w:r>
      <w:r>
        <w:fldChar w:fldCharType="end"/>
      </w:r>
    </w:p>
    <w:p>
      <w:pPr>
        <w:pStyle w:val="TOC8"/>
        <w:rPr>
          <w:sz w:val="24"/>
          <w:szCs w:val="24"/>
        </w:rPr>
      </w:pPr>
      <w:r>
        <w:rPr>
          <w:szCs w:val="24"/>
        </w:rPr>
        <w:t>12.</w:t>
      </w:r>
      <w:r>
        <w:rPr>
          <w:szCs w:val="24"/>
        </w:rPr>
        <w:tab/>
      </w:r>
      <w:r>
        <w:rPr>
          <w:snapToGrid w:val="0"/>
          <w:szCs w:val="24"/>
        </w:rPr>
        <w:t>Delegation by Board</w:t>
      </w:r>
      <w:r>
        <w:tab/>
      </w:r>
      <w:r>
        <w:fldChar w:fldCharType="begin"/>
      </w:r>
      <w:r>
        <w:instrText xml:space="preserve"> PAGEREF _Toc271200343 \h </w:instrText>
      </w:r>
      <w:r>
        <w:fldChar w:fldCharType="separate"/>
      </w:r>
      <w:r>
        <w:t>8</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13.</w:t>
      </w:r>
      <w:r>
        <w:rPr>
          <w:szCs w:val="24"/>
        </w:rPr>
        <w:tab/>
      </w:r>
      <w:r>
        <w:rPr>
          <w:snapToGrid w:val="0"/>
          <w:szCs w:val="24"/>
        </w:rPr>
        <w:t>Directions by Minister</w:t>
      </w:r>
      <w:r>
        <w:tab/>
      </w:r>
      <w:r>
        <w:fldChar w:fldCharType="begin"/>
      </w:r>
      <w:r>
        <w:instrText xml:space="preserve"> PAGEREF _Toc271200345 \h </w:instrText>
      </w:r>
      <w:r>
        <w:fldChar w:fldCharType="separate"/>
      </w:r>
      <w:r>
        <w:t>9</w:t>
      </w:r>
      <w:r>
        <w:fldChar w:fldCharType="end"/>
      </w:r>
    </w:p>
    <w:p>
      <w:pPr>
        <w:pStyle w:val="TOC8"/>
        <w:rPr>
          <w:sz w:val="24"/>
          <w:szCs w:val="24"/>
        </w:rPr>
      </w:pPr>
      <w:r>
        <w:rPr>
          <w:szCs w:val="24"/>
        </w:rPr>
        <w:t>14.</w:t>
      </w:r>
      <w:r>
        <w:rPr>
          <w:szCs w:val="24"/>
        </w:rPr>
        <w:tab/>
      </w:r>
      <w:r>
        <w:rPr>
          <w:snapToGrid w:val="0"/>
          <w:szCs w:val="24"/>
        </w:rPr>
        <w:t>Minister to have access to information</w:t>
      </w:r>
      <w:r>
        <w:tab/>
      </w:r>
      <w:r>
        <w:fldChar w:fldCharType="begin"/>
      </w:r>
      <w:r>
        <w:instrText xml:space="preserve"> PAGEREF _Toc271200346 \h </w:instrText>
      </w:r>
      <w:r>
        <w:fldChar w:fldCharType="separate"/>
      </w:r>
      <w:r>
        <w:t>9</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15.</w:t>
      </w:r>
      <w:r>
        <w:rPr>
          <w:szCs w:val="24"/>
        </w:rPr>
        <w:tab/>
      </w:r>
      <w:r>
        <w:rPr>
          <w:snapToGrid w:val="0"/>
          <w:szCs w:val="24"/>
        </w:rPr>
        <w:t>Committees</w:t>
      </w:r>
      <w:r>
        <w:tab/>
      </w:r>
      <w:r>
        <w:fldChar w:fldCharType="begin"/>
      </w:r>
      <w:r>
        <w:instrText xml:space="preserve"> PAGEREF _Toc271200348 \h </w:instrText>
      </w:r>
      <w:r>
        <w:fldChar w:fldCharType="separate"/>
      </w:r>
      <w:r>
        <w:t>10</w:t>
      </w:r>
      <w:r>
        <w:fldChar w:fldCharType="end"/>
      </w:r>
    </w:p>
    <w:p>
      <w:pPr>
        <w:pStyle w:val="TOC8"/>
        <w:rPr>
          <w:sz w:val="24"/>
          <w:szCs w:val="24"/>
        </w:rPr>
      </w:pPr>
      <w:r>
        <w:rPr>
          <w:szCs w:val="24"/>
        </w:rPr>
        <w:t>16.</w:t>
      </w:r>
      <w:r>
        <w:rPr>
          <w:szCs w:val="24"/>
        </w:rPr>
        <w:tab/>
      </w:r>
      <w:r>
        <w:rPr>
          <w:snapToGrid w:val="0"/>
          <w:szCs w:val="24"/>
        </w:rPr>
        <w:t>Provisions relating to committees</w:t>
      </w:r>
      <w:r>
        <w:tab/>
      </w:r>
      <w:r>
        <w:fldChar w:fldCharType="begin"/>
      </w:r>
      <w:r>
        <w:instrText xml:space="preserve"> PAGEREF _Toc271200349 \h </w:instrText>
      </w:r>
      <w:r>
        <w:fldChar w:fldCharType="separate"/>
      </w:r>
      <w:r>
        <w:t>11</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17.</w:t>
      </w:r>
      <w:r>
        <w:rPr>
          <w:szCs w:val="24"/>
        </w:rPr>
        <w:tab/>
        <w:t>R</w:t>
      </w:r>
      <w:r>
        <w:rPr>
          <w:snapToGrid w:val="0"/>
          <w:szCs w:val="24"/>
        </w:rPr>
        <w:t>egistrar</w:t>
      </w:r>
      <w:r>
        <w:tab/>
      </w:r>
      <w:r>
        <w:fldChar w:fldCharType="begin"/>
      </w:r>
      <w:r>
        <w:instrText xml:space="preserve"> PAGEREF _Toc271200351 \h </w:instrText>
      </w:r>
      <w:r>
        <w:fldChar w:fldCharType="separate"/>
      </w:r>
      <w:r>
        <w:t>11</w:t>
      </w:r>
      <w:r>
        <w:fldChar w:fldCharType="end"/>
      </w:r>
    </w:p>
    <w:p>
      <w:pPr>
        <w:pStyle w:val="TOC8"/>
        <w:rPr>
          <w:sz w:val="24"/>
          <w:szCs w:val="24"/>
        </w:rPr>
      </w:pPr>
      <w:r>
        <w:rPr>
          <w:szCs w:val="24"/>
        </w:rPr>
        <w:t>18.</w:t>
      </w:r>
      <w:r>
        <w:rPr>
          <w:szCs w:val="24"/>
        </w:rPr>
        <w:tab/>
        <w:t>Other staff</w:t>
      </w:r>
      <w:r>
        <w:tab/>
      </w:r>
      <w:r>
        <w:fldChar w:fldCharType="begin"/>
      </w:r>
      <w:r>
        <w:instrText xml:space="preserve"> PAGEREF _Toc271200352 \h </w:instrText>
      </w:r>
      <w:r>
        <w:fldChar w:fldCharType="separate"/>
      </w:r>
      <w:r>
        <w:t>12</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_Toc271200354 \h </w:instrText>
      </w:r>
      <w:r>
        <w:fldChar w:fldCharType="separate"/>
      </w:r>
      <w:r>
        <w:t>12</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_Toc271200355 \h </w:instrText>
      </w:r>
      <w:r>
        <w:fldChar w:fldCharType="separate"/>
      </w:r>
      <w:r>
        <w:t>12</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_Toc271200356 \h </w:instrText>
      </w:r>
      <w:r>
        <w:fldChar w:fldCharType="separate"/>
      </w:r>
      <w:r>
        <w:t>13</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_Toc271200358 \h </w:instrText>
      </w:r>
      <w:r>
        <w:fldChar w:fldCharType="separate"/>
      </w:r>
      <w:r>
        <w:t>15</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_Toc271200359 \h </w:instrText>
      </w:r>
      <w:r>
        <w:fldChar w:fldCharType="separate"/>
      </w:r>
      <w:r>
        <w:t>15</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_Toc271200360 \h </w:instrText>
      </w:r>
      <w:r>
        <w:fldChar w:fldCharType="separate"/>
      </w:r>
      <w:r>
        <w:t>16</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_Toc271200361 \h </w:instrText>
      </w:r>
      <w:r>
        <w:fldChar w:fldCharType="separate"/>
      </w:r>
      <w:r>
        <w:t>16</w:t>
      </w:r>
      <w:r>
        <w:fldChar w:fldCharType="end"/>
      </w:r>
    </w:p>
    <w:p>
      <w:pPr>
        <w:pStyle w:val="TOC2"/>
        <w:tabs>
          <w:tab w:val="right" w:leader="dot" w:pos="7086"/>
        </w:tabs>
        <w:rPr>
          <w:b w:val="0"/>
          <w:sz w:val="24"/>
          <w:szCs w:val="24"/>
        </w:rPr>
      </w:pPr>
      <w:r>
        <w:rPr>
          <w:szCs w:val="30"/>
        </w:rPr>
        <w:t>Part 4 — Registration of nurses and midwives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_Toc271200364 \h </w:instrText>
      </w:r>
      <w:r>
        <w:fldChar w:fldCharType="separate"/>
      </w:r>
      <w:r>
        <w:t>18</w:t>
      </w:r>
      <w:r>
        <w:fldChar w:fldCharType="end"/>
      </w:r>
    </w:p>
    <w:p>
      <w:pPr>
        <w:pStyle w:val="TOC8"/>
        <w:rPr>
          <w:sz w:val="24"/>
          <w:szCs w:val="24"/>
        </w:rPr>
      </w:pPr>
      <w:r>
        <w:rPr>
          <w:szCs w:val="24"/>
        </w:rPr>
        <w:t>27.</w:t>
      </w:r>
      <w:r>
        <w:rPr>
          <w:szCs w:val="24"/>
        </w:rPr>
        <w:tab/>
        <w:t>Registration as an enrolled nurse, midwife or registered nurse</w:t>
      </w:r>
      <w:r>
        <w:tab/>
      </w:r>
      <w:r>
        <w:fldChar w:fldCharType="begin"/>
      </w:r>
      <w:r>
        <w:instrText xml:space="preserve"> PAGEREF _Toc271200365 \h </w:instrText>
      </w:r>
      <w:r>
        <w:fldChar w:fldCharType="separate"/>
      </w:r>
      <w:r>
        <w:t>18</w:t>
      </w:r>
      <w:r>
        <w:fldChar w:fldCharType="end"/>
      </w:r>
    </w:p>
    <w:p>
      <w:pPr>
        <w:pStyle w:val="TOC8"/>
        <w:rPr>
          <w:sz w:val="24"/>
          <w:szCs w:val="24"/>
        </w:rPr>
      </w:pPr>
      <w:r>
        <w:rPr>
          <w:szCs w:val="24"/>
        </w:rPr>
        <w:t>28.</w:t>
      </w:r>
      <w:r>
        <w:rPr>
          <w:szCs w:val="24"/>
        </w:rPr>
        <w:tab/>
        <w:t>Registration as a nurse practitioner</w:t>
      </w:r>
      <w:r>
        <w:tab/>
      </w:r>
      <w:r>
        <w:fldChar w:fldCharType="begin"/>
      </w:r>
      <w:r>
        <w:instrText xml:space="preserve"> PAGEREF _Toc271200366 \h </w:instrText>
      </w:r>
      <w:r>
        <w:fldChar w:fldCharType="separate"/>
      </w:r>
      <w:r>
        <w:t>19</w:t>
      </w:r>
      <w:r>
        <w:fldChar w:fldCharType="end"/>
      </w:r>
    </w:p>
    <w:p>
      <w:pPr>
        <w:pStyle w:val="TOC8"/>
        <w:rPr>
          <w:sz w:val="24"/>
          <w:szCs w:val="24"/>
        </w:rPr>
      </w:pPr>
      <w:r>
        <w:rPr>
          <w:szCs w:val="24"/>
        </w:rPr>
        <w:t>29.</w:t>
      </w:r>
      <w:r>
        <w:rPr>
          <w:szCs w:val="24"/>
        </w:rPr>
        <w:tab/>
        <w:t>Provisional registration</w:t>
      </w:r>
      <w:r>
        <w:tab/>
      </w:r>
      <w:r>
        <w:fldChar w:fldCharType="begin"/>
      </w:r>
      <w:r>
        <w:instrText xml:space="preserve"> PAGEREF _Toc271200367 \h </w:instrText>
      </w:r>
      <w:r>
        <w:fldChar w:fldCharType="separate"/>
      </w:r>
      <w:r>
        <w:t>20</w:t>
      </w:r>
      <w:r>
        <w:fldChar w:fldCharType="end"/>
      </w:r>
    </w:p>
    <w:p>
      <w:pPr>
        <w:pStyle w:val="TOC8"/>
        <w:rPr>
          <w:sz w:val="24"/>
          <w:szCs w:val="24"/>
        </w:rPr>
      </w:pPr>
      <w:r>
        <w:rPr>
          <w:szCs w:val="24"/>
        </w:rPr>
        <w:t>30.</w:t>
      </w:r>
      <w:r>
        <w:rPr>
          <w:szCs w:val="24"/>
        </w:rPr>
        <w:tab/>
      </w:r>
      <w:r>
        <w:rPr>
          <w:snapToGrid w:val="0"/>
          <w:szCs w:val="24"/>
        </w:rPr>
        <w:t>Conditional registration as an enrolled nurse, midwife, nurse practitioner or registered nurse at the discretion of the Board</w:t>
      </w:r>
      <w:r>
        <w:tab/>
      </w:r>
      <w:r>
        <w:fldChar w:fldCharType="begin"/>
      </w:r>
      <w:r>
        <w:instrText xml:space="preserve"> PAGEREF _Toc271200368 \h </w:instrText>
      </w:r>
      <w:r>
        <w:fldChar w:fldCharType="separate"/>
      </w:r>
      <w:r>
        <w:t>21</w:t>
      </w:r>
      <w:r>
        <w:fldChar w:fldCharType="end"/>
      </w:r>
    </w:p>
    <w:p>
      <w:pPr>
        <w:pStyle w:val="TOC8"/>
        <w:rPr>
          <w:sz w:val="24"/>
          <w:szCs w:val="24"/>
        </w:rPr>
      </w:pPr>
      <w:r>
        <w:rPr>
          <w:szCs w:val="24"/>
        </w:rPr>
        <w:t>31.</w:t>
      </w:r>
      <w:r>
        <w:rPr>
          <w:szCs w:val="24"/>
        </w:rPr>
        <w:tab/>
        <w:t>Registration as specialists</w:t>
      </w:r>
      <w:r>
        <w:tab/>
      </w:r>
      <w:r>
        <w:fldChar w:fldCharType="begin"/>
      </w:r>
      <w:r>
        <w:instrText xml:space="preserve"> PAGEREF _Toc271200369 \h </w:instrText>
      </w:r>
      <w:r>
        <w:fldChar w:fldCharType="separate"/>
      </w:r>
      <w:r>
        <w:t>23</w:t>
      </w:r>
      <w:r>
        <w:fldChar w:fldCharType="end"/>
      </w:r>
    </w:p>
    <w:p>
      <w:pPr>
        <w:pStyle w:val="TOC8"/>
        <w:rPr>
          <w:sz w:val="24"/>
          <w:szCs w:val="24"/>
        </w:rPr>
      </w:pPr>
      <w:r>
        <w:rPr>
          <w:szCs w:val="24"/>
        </w:rPr>
        <w:t>32.</w:t>
      </w:r>
      <w:r>
        <w:rPr>
          <w:szCs w:val="24"/>
        </w:rPr>
        <w:tab/>
        <w:t>Professional indemnity insurance</w:t>
      </w:r>
      <w:r>
        <w:tab/>
      </w:r>
      <w:r>
        <w:fldChar w:fldCharType="begin"/>
      </w:r>
      <w:r>
        <w:instrText xml:space="preserve"> PAGEREF _Toc271200370 \h </w:instrText>
      </w:r>
      <w:r>
        <w:fldChar w:fldCharType="separate"/>
      </w:r>
      <w:r>
        <w:t>24</w:t>
      </w:r>
      <w:r>
        <w:fldChar w:fldCharType="end"/>
      </w:r>
    </w:p>
    <w:p>
      <w:pPr>
        <w:pStyle w:val="TOC8"/>
        <w:rPr>
          <w:sz w:val="24"/>
          <w:szCs w:val="24"/>
        </w:rPr>
      </w:pPr>
      <w:r>
        <w:rPr>
          <w:szCs w:val="24"/>
        </w:rPr>
        <w:t>33.</w:t>
      </w:r>
      <w:r>
        <w:rPr>
          <w:szCs w:val="24"/>
        </w:rPr>
        <w:tab/>
      </w:r>
      <w:r>
        <w:rPr>
          <w:snapToGrid w:val="0"/>
          <w:szCs w:val="24"/>
        </w:rPr>
        <w:t>Application</w:t>
      </w:r>
      <w:r>
        <w:tab/>
      </w:r>
      <w:r>
        <w:fldChar w:fldCharType="begin"/>
      </w:r>
      <w:r>
        <w:instrText xml:space="preserve"> PAGEREF _Toc271200371 \h </w:instrText>
      </w:r>
      <w:r>
        <w:fldChar w:fldCharType="separate"/>
      </w:r>
      <w:r>
        <w:t>25</w:t>
      </w:r>
      <w:r>
        <w:fldChar w:fldCharType="end"/>
      </w:r>
    </w:p>
    <w:p>
      <w:pPr>
        <w:pStyle w:val="TOC8"/>
        <w:rPr>
          <w:sz w:val="24"/>
          <w:szCs w:val="24"/>
        </w:rPr>
      </w:pPr>
      <w:r>
        <w:rPr>
          <w:szCs w:val="24"/>
        </w:rPr>
        <w:t>34.</w:t>
      </w:r>
      <w:r>
        <w:rPr>
          <w:szCs w:val="24"/>
        </w:rPr>
        <w:tab/>
      </w:r>
      <w:r>
        <w:rPr>
          <w:snapToGrid w:val="0"/>
          <w:szCs w:val="24"/>
        </w:rPr>
        <w:t>Effect of registration</w:t>
      </w:r>
      <w:r>
        <w:tab/>
      </w:r>
      <w:r>
        <w:fldChar w:fldCharType="begin"/>
      </w:r>
      <w:r>
        <w:instrText xml:space="preserve"> PAGEREF _Toc271200372 \h </w:instrText>
      </w:r>
      <w:r>
        <w:fldChar w:fldCharType="separate"/>
      </w:r>
      <w:r>
        <w:t>25</w:t>
      </w:r>
      <w:r>
        <w:fldChar w:fldCharType="end"/>
      </w:r>
    </w:p>
    <w:p>
      <w:pPr>
        <w:pStyle w:val="TOC8"/>
        <w:rPr>
          <w:sz w:val="24"/>
          <w:szCs w:val="24"/>
        </w:rPr>
      </w:pPr>
      <w:r>
        <w:rPr>
          <w:szCs w:val="24"/>
        </w:rPr>
        <w:t>35.</w:t>
      </w:r>
      <w:r>
        <w:rPr>
          <w:szCs w:val="24"/>
        </w:rPr>
        <w:tab/>
      </w:r>
      <w:r>
        <w:rPr>
          <w:snapToGrid w:val="0"/>
          <w:szCs w:val="24"/>
        </w:rPr>
        <w:t>Duration of registration</w:t>
      </w:r>
      <w:r>
        <w:tab/>
      </w:r>
      <w:r>
        <w:fldChar w:fldCharType="begin"/>
      </w:r>
      <w:r>
        <w:instrText xml:space="preserve"> PAGEREF _Toc271200373 \h </w:instrText>
      </w:r>
      <w:r>
        <w:fldChar w:fldCharType="separate"/>
      </w:r>
      <w:r>
        <w:t>26</w:t>
      </w:r>
      <w:r>
        <w:fldChar w:fldCharType="end"/>
      </w:r>
    </w:p>
    <w:p>
      <w:pPr>
        <w:pStyle w:val="TOC8"/>
        <w:rPr>
          <w:sz w:val="24"/>
          <w:szCs w:val="24"/>
        </w:rPr>
      </w:pPr>
      <w:r>
        <w:rPr>
          <w:szCs w:val="24"/>
        </w:rPr>
        <w:t>36.</w:t>
      </w:r>
      <w:r>
        <w:rPr>
          <w:szCs w:val="24"/>
        </w:rPr>
        <w:tab/>
      </w:r>
      <w:r>
        <w:rPr>
          <w:snapToGrid w:val="0"/>
          <w:szCs w:val="24"/>
        </w:rPr>
        <w:t>Renewal of registration</w:t>
      </w:r>
      <w:r>
        <w:tab/>
      </w:r>
      <w:r>
        <w:fldChar w:fldCharType="begin"/>
      </w:r>
      <w:r>
        <w:instrText xml:space="preserve"> PAGEREF _Toc271200374 \h </w:instrText>
      </w:r>
      <w:r>
        <w:fldChar w:fldCharType="separate"/>
      </w:r>
      <w:r>
        <w:t>26</w:t>
      </w:r>
      <w:r>
        <w:fldChar w:fldCharType="end"/>
      </w:r>
    </w:p>
    <w:p>
      <w:pPr>
        <w:pStyle w:val="TOC8"/>
        <w:rPr>
          <w:sz w:val="24"/>
          <w:szCs w:val="24"/>
        </w:rPr>
      </w:pPr>
      <w:r>
        <w:rPr>
          <w:szCs w:val="24"/>
        </w:rPr>
        <w:t>37.</w:t>
      </w:r>
      <w:r>
        <w:rPr>
          <w:szCs w:val="24"/>
        </w:rPr>
        <w:tab/>
        <w:t>Application for registration by a person whose type of registration has been cancelled under section </w:t>
      </w:r>
      <w:r>
        <w:rPr>
          <w:snapToGrid w:val="0"/>
          <w:szCs w:val="24"/>
        </w:rPr>
        <w:t>81(1)(i)</w:t>
      </w:r>
      <w:r>
        <w:tab/>
      </w:r>
      <w:r>
        <w:fldChar w:fldCharType="begin"/>
      </w:r>
      <w:r>
        <w:instrText xml:space="preserve"> PAGEREF _Toc271200375 \h </w:instrText>
      </w:r>
      <w:r>
        <w:fldChar w:fldCharType="separate"/>
      </w:r>
      <w:r>
        <w:t>27</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38.</w:t>
      </w:r>
      <w:r>
        <w:rPr>
          <w:szCs w:val="24"/>
        </w:rPr>
        <w:tab/>
      </w:r>
      <w:r>
        <w:rPr>
          <w:snapToGrid w:val="0"/>
          <w:szCs w:val="24"/>
        </w:rPr>
        <w:t>The register</w:t>
      </w:r>
      <w:r>
        <w:tab/>
      </w:r>
      <w:r>
        <w:fldChar w:fldCharType="begin"/>
      </w:r>
      <w:r>
        <w:instrText xml:space="preserve"> PAGEREF _Toc271200377 \h </w:instrText>
      </w:r>
      <w:r>
        <w:fldChar w:fldCharType="separate"/>
      </w:r>
      <w:r>
        <w:t>27</w:t>
      </w:r>
      <w:r>
        <w:fldChar w:fldCharType="end"/>
      </w:r>
    </w:p>
    <w:p>
      <w:pPr>
        <w:pStyle w:val="TOC8"/>
        <w:rPr>
          <w:sz w:val="24"/>
          <w:szCs w:val="24"/>
        </w:rPr>
      </w:pPr>
      <w:r>
        <w:rPr>
          <w:szCs w:val="24"/>
        </w:rPr>
        <w:t>39.</w:t>
      </w:r>
      <w:r>
        <w:rPr>
          <w:szCs w:val="24"/>
        </w:rPr>
        <w:tab/>
      </w:r>
      <w:r>
        <w:rPr>
          <w:snapToGrid w:val="0"/>
          <w:szCs w:val="24"/>
        </w:rPr>
        <w:t>Inspection of register</w:t>
      </w:r>
      <w:r>
        <w:tab/>
      </w:r>
      <w:r>
        <w:fldChar w:fldCharType="begin"/>
      </w:r>
      <w:r>
        <w:instrText xml:space="preserve"> PAGEREF _Toc271200378 \h </w:instrText>
      </w:r>
      <w:r>
        <w:fldChar w:fldCharType="separate"/>
      </w:r>
      <w:r>
        <w:t>28</w:t>
      </w:r>
      <w:r>
        <w:fldChar w:fldCharType="end"/>
      </w:r>
    </w:p>
    <w:p>
      <w:pPr>
        <w:pStyle w:val="TOC8"/>
        <w:rPr>
          <w:sz w:val="24"/>
          <w:szCs w:val="24"/>
        </w:rPr>
      </w:pPr>
      <w:r>
        <w:rPr>
          <w:szCs w:val="24"/>
        </w:rPr>
        <w:t>40.</w:t>
      </w:r>
      <w:r>
        <w:rPr>
          <w:szCs w:val="24"/>
        </w:rPr>
        <w:tab/>
      </w:r>
      <w:r>
        <w:rPr>
          <w:snapToGrid w:val="0"/>
          <w:szCs w:val="24"/>
        </w:rPr>
        <w:t>Certificate of registration</w:t>
      </w:r>
      <w:r>
        <w:tab/>
      </w:r>
      <w:r>
        <w:fldChar w:fldCharType="begin"/>
      </w:r>
      <w:r>
        <w:instrText xml:space="preserve"> PAGEREF _Toc271200379 \h </w:instrText>
      </w:r>
      <w:r>
        <w:fldChar w:fldCharType="separate"/>
      </w:r>
      <w:r>
        <w:t>29</w:t>
      </w:r>
      <w:r>
        <w:fldChar w:fldCharType="end"/>
      </w:r>
    </w:p>
    <w:p>
      <w:pPr>
        <w:pStyle w:val="TOC8"/>
        <w:rPr>
          <w:sz w:val="24"/>
          <w:szCs w:val="24"/>
        </w:rPr>
      </w:pPr>
      <w:r>
        <w:rPr>
          <w:szCs w:val="24"/>
        </w:rPr>
        <w:t>41.</w:t>
      </w:r>
      <w:r>
        <w:rPr>
          <w:szCs w:val="24"/>
        </w:rPr>
        <w:tab/>
      </w:r>
      <w:r>
        <w:rPr>
          <w:snapToGrid w:val="0"/>
          <w:szCs w:val="24"/>
        </w:rPr>
        <w:t>Voluntary removal from register and cancellation of registration</w:t>
      </w:r>
      <w:r>
        <w:tab/>
      </w:r>
      <w:r>
        <w:fldChar w:fldCharType="begin"/>
      </w:r>
      <w:r>
        <w:instrText xml:space="preserve"> PAGEREF _Toc271200380 \h </w:instrText>
      </w:r>
      <w:r>
        <w:fldChar w:fldCharType="separate"/>
      </w:r>
      <w:r>
        <w:t>29</w:t>
      </w:r>
      <w:r>
        <w:fldChar w:fldCharType="end"/>
      </w:r>
    </w:p>
    <w:p>
      <w:pPr>
        <w:pStyle w:val="TOC8"/>
        <w:rPr>
          <w:sz w:val="24"/>
          <w:szCs w:val="24"/>
        </w:rPr>
      </w:pPr>
      <w:r>
        <w:rPr>
          <w:szCs w:val="24"/>
        </w:rPr>
        <w:t>42.</w:t>
      </w:r>
      <w:r>
        <w:rPr>
          <w:szCs w:val="24"/>
        </w:rPr>
        <w:tab/>
      </w:r>
      <w:r>
        <w:rPr>
          <w:snapToGrid w:val="0"/>
          <w:szCs w:val="24"/>
        </w:rPr>
        <w:t>Removal of name and cancellation of registration of person in certain circumstances</w:t>
      </w:r>
      <w:r>
        <w:tab/>
      </w:r>
      <w:r>
        <w:fldChar w:fldCharType="begin"/>
      </w:r>
      <w:r>
        <w:instrText xml:space="preserve"> PAGEREF _Toc271200381 \h </w:instrText>
      </w:r>
      <w:r>
        <w:fldChar w:fldCharType="separate"/>
      </w:r>
      <w:r>
        <w:t>29</w:t>
      </w:r>
      <w:r>
        <w:fldChar w:fldCharType="end"/>
      </w:r>
    </w:p>
    <w:p>
      <w:pPr>
        <w:pStyle w:val="TOC8"/>
        <w:rPr>
          <w:sz w:val="24"/>
          <w:szCs w:val="24"/>
        </w:rPr>
      </w:pPr>
      <w:r>
        <w:rPr>
          <w:szCs w:val="24"/>
        </w:rPr>
        <w:t>43.</w:t>
      </w:r>
      <w:r>
        <w:rPr>
          <w:szCs w:val="24"/>
        </w:rPr>
        <w:tab/>
      </w:r>
      <w:r>
        <w:rPr>
          <w:snapToGrid w:val="0"/>
          <w:szCs w:val="24"/>
        </w:rPr>
        <w:t>Effect of removal of name from register</w:t>
      </w:r>
      <w:r>
        <w:tab/>
      </w:r>
      <w:r>
        <w:fldChar w:fldCharType="begin"/>
      </w:r>
      <w:r>
        <w:instrText xml:space="preserve"> PAGEREF _Toc271200382 \h </w:instrText>
      </w:r>
      <w:r>
        <w:fldChar w:fldCharType="separate"/>
      </w:r>
      <w:r>
        <w:t>30</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44.</w:t>
      </w:r>
      <w:r>
        <w:rPr>
          <w:szCs w:val="24"/>
        </w:rPr>
        <w:tab/>
        <w:t>Change of address</w:t>
      </w:r>
      <w:r>
        <w:tab/>
      </w:r>
      <w:r>
        <w:fldChar w:fldCharType="begin"/>
      </w:r>
      <w:r>
        <w:instrText xml:space="preserve"> PAGEREF _Toc271200384 \h </w:instrText>
      </w:r>
      <w:r>
        <w:fldChar w:fldCharType="separate"/>
      </w:r>
      <w:r>
        <w:t>30</w:t>
      </w:r>
      <w:r>
        <w:fldChar w:fldCharType="end"/>
      </w:r>
    </w:p>
    <w:p>
      <w:pPr>
        <w:pStyle w:val="TOC8"/>
        <w:rPr>
          <w:sz w:val="24"/>
          <w:szCs w:val="24"/>
        </w:rPr>
      </w:pPr>
      <w:r>
        <w:rPr>
          <w:szCs w:val="24"/>
        </w:rPr>
        <w:t>45.</w:t>
      </w:r>
      <w:r>
        <w:rPr>
          <w:szCs w:val="24"/>
        </w:rPr>
        <w:tab/>
        <w:t>Loss of qualifications</w:t>
      </w:r>
      <w:r>
        <w:tab/>
      </w:r>
      <w:r>
        <w:fldChar w:fldCharType="begin"/>
      </w:r>
      <w:r>
        <w:instrText xml:space="preserve"> PAGEREF _Toc271200385 \h </w:instrText>
      </w:r>
      <w:r>
        <w:fldChar w:fldCharType="separate"/>
      </w:r>
      <w:r>
        <w:t>31</w:t>
      </w:r>
      <w:r>
        <w:fldChar w:fldCharType="end"/>
      </w:r>
    </w:p>
    <w:p>
      <w:pPr>
        <w:pStyle w:val="TOC8"/>
        <w:rPr>
          <w:sz w:val="24"/>
          <w:szCs w:val="24"/>
        </w:rPr>
      </w:pPr>
      <w:r>
        <w:rPr>
          <w:szCs w:val="24"/>
        </w:rPr>
        <w:t>46.</w:t>
      </w:r>
      <w:r>
        <w:rPr>
          <w:szCs w:val="24"/>
        </w:rPr>
        <w:tab/>
      </w:r>
      <w:r>
        <w:rPr>
          <w:snapToGrid w:val="0"/>
          <w:szCs w:val="24"/>
        </w:rPr>
        <w:t>Insolvency</w:t>
      </w:r>
      <w:r>
        <w:tab/>
      </w:r>
      <w:r>
        <w:fldChar w:fldCharType="begin"/>
      </w:r>
      <w:r>
        <w:instrText xml:space="preserve"> PAGEREF _Toc271200386 \h </w:instrText>
      </w:r>
      <w:r>
        <w:fldChar w:fldCharType="separate"/>
      </w:r>
      <w:r>
        <w:t>31</w:t>
      </w:r>
      <w:r>
        <w:fldChar w:fldCharType="end"/>
      </w:r>
    </w:p>
    <w:p>
      <w:pPr>
        <w:pStyle w:val="TOC8"/>
        <w:rPr>
          <w:sz w:val="24"/>
          <w:szCs w:val="24"/>
        </w:rPr>
      </w:pPr>
      <w:r>
        <w:rPr>
          <w:szCs w:val="24"/>
        </w:rPr>
        <w:t>47.</w:t>
      </w:r>
      <w:r>
        <w:rPr>
          <w:szCs w:val="24"/>
        </w:rPr>
        <w:tab/>
      </w:r>
      <w:r>
        <w:rPr>
          <w:snapToGrid w:val="0"/>
          <w:szCs w:val="24"/>
        </w:rPr>
        <w:t>Civil or criminal proceedings</w:t>
      </w:r>
      <w:r>
        <w:tab/>
      </w:r>
      <w:r>
        <w:fldChar w:fldCharType="begin"/>
      </w:r>
      <w:r>
        <w:instrText xml:space="preserve"> PAGEREF _Toc271200387 \h </w:instrText>
      </w:r>
      <w:r>
        <w:fldChar w:fldCharType="separate"/>
      </w:r>
      <w:r>
        <w:t>31</w:t>
      </w:r>
      <w:r>
        <w:fldChar w:fldCharType="end"/>
      </w:r>
    </w:p>
    <w:p>
      <w:pPr>
        <w:pStyle w:val="TOC8"/>
        <w:rPr>
          <w:sz w:val="24"/>
          <w:szCs w:val="24"/>
        </w:rPr>
      </w:pPr>
      <w:r>
        <w:rPr>
          <w:szCs w:val="24"/>
        </w:rPr>
        <w:t>48.</w:t>
      </w:r>
      <w:r>
        <w:rPr>
          <w:szCs w:val="24"/>
        </w:rPr>
        <w:tab/>
        <w:t>Information about professional indemnity insurance</w:t>
      </w:r>
      <w:r>
        <w:tab/>
      </w:r>
      <w:r>
        <w:fldChar w:fldCharType="begin"/>
      </w:r>
      <w:r>
        <w:instrText xml:space="preserve"> PAGEREF _Toc271200388 \h </w:instrText>
      </w:r>
      <w:r>
        <w:fldChar w:fldCharType="separate"/>
      </w:r>
      <w:r>
        <w:t>32</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49.</w:t>
      </w:r>
      <w:r>
        <w:rPr>
          <w:szCs w:val="24"/>
        </w:rPr>
        <w:tab/>
        <w:t>Disciplinary matters</w:t>
      </w:r>
      <w:r>
        <w:tab/>
      </w:r>
      <w:r>
        <w:fldChar w:fldCharType="begin"/>
      </w:r>
      <w:r>
        <w:instrText xml:space="preserve"> PAGEREF _Toc271200391 \h </w:instrText>
      </w:r>
      <w:r>
        <w:fldChar w:fldCharType="separate"/>
      </w:r>
      <w:r>
        <w:t>33</w:t>
      </w:r>
      <w:r>
        <w:fldChar w:fldCharType="end"/>
      </w:r>
    </w:p>
    <w:p>
      <w:pPr>
        <w:pStyle w:val="TOC8"/>
        <w:rPr>
          <w:sz w:val="24"/>
          <w:szCs w:val="24"/>
        </w:rPr>
      </w:pPr>
      <w:r>
        <w:rPr>
          <w:szCs w:val="24"/>
        </w:rPr>
        <w:t>50.</w:t>
      </w:r>
      <w:r>
        <w:rPr>
          <w:szCs w:val="24"/>
        </w:rPr>
        <w:tab/>
        <w:t>Impairment matters</w:t>
      </w:r>
      <w:r>
        <w:tab/>
      </w:r>
      <w:r>
        <w:fldChar w:fldCharType="begin"/>
      </w:r>
      <w:r>
        <w:instrText xml:space="preserve"> PAGEREF _Toc271200392 \h </w:instrText>
      </w:r>
      <w:r>
        <w:fldChar w:fldCharType="separate"/>
      </w:r>
      <w:r>
        <w:t>33</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51.</w:t>
      </w:r>
      <w:r>
        <w:rPr>
          <w:szCs w:val="24"/>
        </w:rPr>
        <w:tab/>
      </w:r>
      <w:r>
        <w:rPr>
          <w:snapToGrid w:val="0"/>
          <w:szCs w:val="24"/>
        </w:rPr>
        <w:t>Complaints assessment committee</w:t>
      </w:r>
      <w:r>
        <w:tab/>
      </w:r>
      <w:r>
        <w:fldChar w:fldCharType="begin"/>
      </w:r>
      <w:r>
        <w:instrText xml:space="preserve"> PAGEREF _Toc271200394 \h </w:instrText>
      </w:r>
      <w:r>
        <w:fldChar w:fldCharType="separate"/>
      </w:r>
      <w:r>
        <w:t>34</w:t>
      </w:r>
      <w:r>
        <w:fldChar w:fldCharType="end"/>
      </w:r>
    </w:p>
    <w:p>
      <w:pPr>
        <w:pStyle w:val="TOC8"/>
        <w:rPr>
          <w:sz w:val="24"/>
          <w:szCs w:val="24"/>
        </w:rPr>
      </w:pPr>
      <w:r>
        <w:rPr>
          <w:szCs w:val="24"/>
        </w:rPr>
        <w:t>52.</w:t>
      </w:r>
      <w:r>
        <w:rPr>
          <w:szCs w:val="24"/>
        </w:rPr>
        <w:tab/>
        <w:t>Impairment review committee</w:t>
      </w:r>
      <w:r>
        <w:tab/>
      </w:r>
      <w:r>
        <w:fldChar w:fldCharType="begin"/>
      </w:r>
      <w:r>
        <w:instrText xml:space="preserve"> PAGEREF _Toc271200395 \h </w:instrText>
      </w:r>
      <w:r>
        <w:fldChar w:fldCharType="separate"/>
      </w:r>
      <w:r>
        <w:t>34</w:t>
      </w:r>
      <w:r>
        <w:fldChar w:fldCharType="end"/>
      </w:r>
    </w:p>
    <w:p>
      <w:pPr>
        <w:pStyle w:val="TOC8"/>
        <w:rPr>
          <w:sz w:val="24"/>
          <w:szCs w:val="24"/>
        </w:rPr>
      </w:pPr>
      <w:r>
        <w:rPr>
          <w:szCs w:val="24"/>
        </w:rPr>
        <w:t>53.</w:t>
      </w:r>
      <w:r>
        <w:rPr>
          <w:szCs w:val="24"/>
        </w:rPr>
        <w:tab/>
        <w:t>Deputy member of the complaints assessment committee or the impairment review committee</w:t>
      </w:r>
      <w:r>
        <w:tab/>
      </w:r>
      <w:r>
        <w:fldChar w:fldCharType="begin"/>
      </w:r>
      <w:r>
        <w:instrText xml:space="preserve"> PAGEREF _Toc271200396 \h </w:instrText>
      </w:r>
      <w:r>
        <w:fldChar w:fldCharType="separate"/>
      </w:r>
      <w:r>
        <w:t>35</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54.</w:t>
      </w:r>
      <w:r>
        <w:rPr>
          <w:szCs w:val="24"/>
        </w:rPr>
        <w:tab/>
      </w:r>
      <w:r>
        <w:rPr>
          <w:snapToGrid w:val="0"/>
          <w:szCs w:val="24"/>
        </w:rPr>
        <w:t>Complaints</w:t>
      </w:r>
      <w:r>
        <w:tab/>
      </w:r>
      <w:r>
        <w:fldChar w:fldCharType="begin"/>
      </w:r>
      <w:r>
        <w:instrText xml:space="preserve"> PAGEREF _Toc271200398 \h </w:instrText>
      </w:r>
      <w:r>
        <w:fldChar w:fldCharType="separate"/>
      </w:r>
      <w:r>
        <w:t>36</w:t>
      </w:r>
      <w:r>
        <w:fldChar w:fldCharType="end"/>
      </w:r>
    </w:p>
    <w:p>
      <w:pPr>
        <w:pStyle w:val="TOC8"/>
        <w:rPr>
          <w:sz w:val="24"/>
          <w:szCs w:val="24"/>
        </w:rPr>
      </w:pPr>
      <w:r>
        <w:rPr>
          <w:szCs w:val="24"/>
        </w:rPr>
        <w:t>55.</w:t>
      </w:r>
      <w:r>
        <w:rPr>
          <w:szCs w:val="24"/>
        </w:rPr>
        <w:tab/>
      </w:r>
      <w:r>
        <w:rPr>
          <w:snapToGrid w:val="0"/>
          <w:szCs w:val="24"/>
        </w:rPr>
        <w:t>Complaints assessment committee to determine action required</w:t>
      </w:r>
      <w:r>
        <w:tab/>
      </w:r>
      <w:r>
        <w:fldChar w:fldCharType="begin"/>
      </w:r>
      <w:r>
        <w:instrText xml:space="preserve"> PAGEREF _Toc271200399 \h </w:instrText>
      </w:r>
      <w:r>
        <w:fldChar w:fldCharType="separate"/>
      </w:r>
      <w:r>
        <w:t>37</w:t>
      </w:r>
      <w:r>
        <w:fldChar w:fldCharType="end"/>
      </w:r>
    </w:p>
    <w:p>
      <w:pPr>
        <w:pStyle w:val="TOC8"/>
        <w:rPr>
          <w:sz w:val="24"/>
          <w:szCs w:val="24"/>
        </w:rPr>
      </w:pPr>
      <w:r>
        <w:rPr>
          <w:szCs w:val="24"/>
        </w:rPr>
        <w:t>56.</w:t>
      </w:r>
      <w:r>
        <w:rPr>
          <w:szCs w:val="24"/>
        </w:rPr>
        <w:tab/>
      </w:r>
      <w:r>
        <w:rPr>
          <w:snapToGrid w:val="0"/>
          <w:szCs w:val="24"/>
        </w:rPr>
        <w:t>Complaints assessment committee may reject certain complaints</w:t>
      </w:r>
      <w:r>
        <w:tab/>
      </w:r>
      <w:r>
        <w:fldChar w:fldCharType="begin"/>
      </w:r>
      <w:r>
        <w:instrText xml:space="preserve"> PAGEREF _Toc271200400 \h </w:instrText>
      </w:r>
      <w:r>
        <w:fldChar w:fldCharType="separate"/>
      </w:r>
      <w:r>
        <w:t>38</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57.</w:t>
      </w:r>
      <w:r>
        <w:rPr>
          <w:szCs w:val="24"/>
        </w:rPr>
        <w:tab/>
        <w:t>Interim orders by Board</w:t>
      </w:r>
      <w:r>
        <w:tab/>
      </w:r>
      <w:r>
        <w:fldChar w:fldCharType="begin"/>
      </w:r>
      <w:r>
        <w:instrText xml:space="preserve"> PAGEREF _Toc271200402 \h </w:instrText>
      </w:r>
      <w:r>
        <w:fldChar w:fldCharType="separate"/>
      </w:r>
      <w:r>
        <w:t>38</w:t>
      </w:r>
      <w:r>
        <w:fldChar w:fldCharType="end"/>
      </w:r>
    </w:p>
    <w:p>
      <w:pPr>
        <w:pStyle w:val="TOC8"/>
        <w:rPr>
          <w:sz w:val="24"/>
          <w:szCs w:val="24"/>
        </w:rPr>
      </w:pPr>
      <w:r>
        <w:rPr>
          <w:szCs w:val="24"/>
        </w:rPr>
        <w:t>58.</w:t>
      </w:r>
      <w:r>
        <w:rPr>
          <w:szCs w:val="24"/>
        </w:rPr>
        <w:tab/>
        <w:t>Complaint dealt with summarily to be referred to the State Administrative Tribunal</w:t>
      </w:r>
      <w:r>
        <w:tab/>
      </w:r>
      <w:r>
        <w:fldChar w:fldCharType="begin"/>
      </w:r>
      <w:r>
        <w:instrText xml:space="preserve"> PAGEREF _Toc271200403 \h </w:instrText>
      </w:r>
      <w:r>
        <w:fldChar w:fldCharType="separate"/>
      </w:r>
      <w:r>
        <w:t>40</w:t>
      </w:r>
      <w:r>
        <w:fldChar w:fldCharType="end"/>
      </w:r>
    </w:p>
    <w:p>
      <w:pPr>
        <w:pStyle w:val="TOC8"/>
        <w:rPr>
          <w:sz w:val="24"/>
          <w:szCs w:val="24"/>
        </w:rPr>
      </w:pPr>
      <w:r>
        <w:rPr>
          <w:szCs w:val="24"/>
        </w:rPr>
        <w:t>59.</w:t>
      </w:r>
      <w:r>
        <w:rPr>
          <w:szCs w:val="24"/>
        </w:rPr>
        <w:tab/>
        <w:t>Complaint not dealt with summarily to be referred to relevant committee</w:t>
      </w:r>
      <w:r>
        <w:tab/>
      </w:r>
      <w:r>
        <w:fldChar w:fldCharType="begin"/>
      </w:r>
      <w:r>
        <w:instrText xml:space="preserve"> PAGEREF _Toc271200404 \h </w:instrText>
      </w:r>
      <w:r>
        <w:fldChar w:fldCharType="separate"/>
      </w:r>
      <w:r>
        <w:t>40</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60.</w:t>
      </w:r>
      <w:r>
        <w:rPr>
          <w:szCs w:val="24"/>
        </w:rPr>
        <w:tab/>
        <w:t>Investigation and recommendation</w:t>
      </w:r>
      <w:r>
        <w:tab/>
      </w:r>
      <w:r>
        <w:fldChar w:fldCharType="begin"/>
      </w:r>
      <w:r>
        <w:instrText xml:space="preserve"> PAGEREF _Toc271200406 \h </w:instrText>
      </w:r>
      <w:r>
        <w:fldChar w:fldCharType="separate"/>
      </w:r>
      <w:r>
        <w:t>40</w:t>
      </w:r>
      <w:r>
        <w:fldChar w:fldCharType="end"/>
      </w:r>
    </w:p>
    <w:p>
      <w:pPr>
        <w:pStyle w:val="TOC8"/>
        <w:rPr>
          <w:sz w:val="24"/>
          <w:szCs w:val="24"/>
        </w:rPr>
      </w:pPr>
      <w:r>
        <w:rPr>
          <w:szCs w:val="24"/>
        </w:rPr>
        <w:t>61.</w:t>
      </w:r>
      <w:r>
        <w:rPr>
          <w:szCs w:val="24"/>
        </w:rPr>
        <w:tab/>
        <w:t>Role of Board</w:t>
      </w:r>
      <w:r>
        <w:tab/>
      </w:r>
      <w:r>
        <w:fldChar w:fldCharType="begin"/>
      </w:r>
      <w:r>
        <w:instrText xml:space="preserve"> PAGEREF _Toc271200407 \h </w:instrText>
      </w:r>
      <w:r>
        <w:fldChar w:fldCharType="separate"/>
      </w:r>
      <w:r>
        <w:t>41</w:t>
      </w:r>
      <w:r>
        <w:fldChar w:fldCharType="end"/>
      </w:r>
    </w:p>
    <w:p>
      <w:pPr>
        <w:pStyle w:val="TOC8"/>
        <w:rPr>
          <w:sz w:val="24"/>
          <w:szCs w:val="24"/>
        </w:rPr>
      </w:pPr>
      <w:r>
        <w:rPr>
          <w:szCs w:val="24"/>
        </w:rPr>
        <w:t>62.</w:t>
      </w:r>
      <w:r>
        <w:rPr>
          <w:szCs w:val="24"/>
        </w:rPr>
        <w:tab/>
        <w:t>Alternative to making allegation to the State Administrative Tribunal</w:t>
      </w:r>
      <w:r>
        <w:tab/>
      </w:r>
      <w:r>
        <w:fldChar w:fldCharType="begin"/>
      </w:r>
      <w:r>
        <w:instrText xml:space="preserve"> PAGEREF _Toc271200408 \h </w:instrText>
      </w:r>
      <w:r>
        <w:fldChar w:fldCharType="separate"/>
      </w:r>
      <w:r>
        <w:t>42</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63.</w:t>
      </w:r>
      <w:r>
        <w:rPr>
          <w:szCs w:val="24"/>
        </w:rPr>
        <w:tab/>
        <w:t>Request by nurse or midwife for imposition of condition</w:t>
      </w:r>
      <w:r>
        <w:tab/>
      </w:r>
      <w:r>
        <w:fldChar w:fldCharType="begin"/>
      </w:r>
      <w:r>
        <w:instrText xml:space="preserve"> PAGEREF _Toc271200410 \h </w:instrText>
      </w:r>
      <w:r>
        <w:fldChar w:fldCharType="separate"/>
      </w:r>
      <w:r>
        <w:t>43</w:t>
      </w:r>
      <w:r>
        <w:fldChar w:fldCharType="end"/>
      </w:r>
    </w:p>
    <w:p>
      <w:pPr>
        <w:pStyle w:val="TOC8"/>
        <w:rPr>
          <w:sz w:val="24"/>
          <w:szCs w:val="24"/>
        </w:rPr>
      </w:pPr>
      <w:r>
        <w:rPr>
          <w:szCs w:val="24"/>
        </w:rPr>
        <w:t>64.</w:t>
      </w:r>
      <w:r>
        <w:rPr>
          <w:szCs w:val="24"/>
        </w:rPr>
        <w:tab/>
        <w:t>Revocation of condition</w:t>
      </w:r>
      <w:r>
        <w:tab/>
      </w:r>
      <w:r>
        <w:fldChar w:fldCharType="begin"/>
      </w:r>
      <w:r>
        <w:instrText xml:space="preserve"> PAGEREF _Toc271200411 \h </w:instrText>
      </w:r>
      <w:r>
        <w:fldChar w:fldCharType="separate"/>
      </w:r>
      <w:r>
        <w:t>44</w:t>
      </w:r>
      <w:r>
        <w:fldChar w:fldCharType="end"/>
      </w:r>
    </w:p>
    <w:p>
      <w:pPr>
        <w:pStyle w:val="TOC8"/>
        <w:rPr>
          <w:sz w:val="24"/>
          <w:szCs w:val="24"/>
        </w:rPr>
      </w:pPr>
      <w:r>
        <w:rPr>
          <w:szCs w:val="24"/>
        </w:rPr>
        <w:t>65.</w:t>
      </w:r>
      <w:r>
        <w:rPr>
          <w:szCs w:val="24"/>
        </w:rPr>
        <w:tab/>
        <w:t>Investigation</w:t>
      </w:r>
      <w:r>
        <w:tab/>
      </w:r>
      <w:r>
        <w:fldChar w:fldCharType="begin"/>
      </w:r>
      <w:r>
        <w:instrText xml:space="preserve"> PAGEREF _Toc271200412 \h </w:instrText>
      </w:r>
      <w:r>
        <w:fldChar w:fldCharType="separate"/>
      </w:r>
      <w:r>
        <w:t>44</w:t>
      </w:r>
      <w:r>
        <w:fldChar w:fldCharType="end"/>
      </w:r>
    </w:p>
    <w:p>
      <w:pPr>
        <w:pStyle w:val="TOC8"/>
        <w:rPr>
          <w:sz w:val="24"/>
          <w:szCs w:val="24"/>
        </w:rPr>
      </w:pPr>
      <w:r>
        <w:rPr>
          <w:szCs w:val="24"/>
        </w:rPr>
        <w:t>66.</w:t>
      </w:r>
      <w:r>
        <w:rPr>
          <w:szCs w:val="24"/>
        </w:rPr>
        <w:tab/>
        <w:t>Nurse or midwife to be notified about investigation</w:t>
      </w:r>
      <w:r>
        <w:tab/>
      </w:r>
      <w:r>
        <w:fldChar w:fldCharType="begin"/>
      </w:r>
      <w:r>
        <w:instrText xml:space="preserve"> PAGEREF _Toc271200413 \h </w:instrText>
      </w:r>
      <w:r>
        <w:fldChar w:fldCharType="separate"/>
      </w:r>
      <w:r>
        <w:t>44</w:t>
      </w:r>
      <w:r>
        <w:fldChar w:fldCharType="end"/>
      </w:r>
    </w:p>
    <w:p>
      <w:pPr>
        <w:pStyle w:val="TOC8"/>
        <w:rPr>
          <w:sz w:val="24"/>
          <w:szCs w:val="24"/>
        </w:rPr>
      </w:pPr>
      <w:r>
        <w:rPr>
          <w:szCs w:val="24"/>
        </w:rPr>
        <w:t>67.</w:t>
      </w:r>
      <w:r>
        <w:rPr>
          <w:szCs w:val="24"/>
        </w:rPr>
        <w:tab/>
        <w:t>Examination</w:t>
      </w:r>
      <w:r>
        <w:tab/>
      </w:r>
      <w:r>
        <w:fldChar w:fldCharType="begin"/>
      </w:r>
      <w:r>
        <w:instrText xml:space="preserve"> PAGEREF _Toc271200414 \h </w:instrText>
      </w:r>
      <w:r>
        <w:fldChar w:fldCharType="separate"/>
      </w:r>
      <w:r>
        <w:t>44</w:t>
      </w:r>
      <w:r>
        <w:fldChar w:fldCharType="end"/>
      </w:r>
    </w:p>
    <w:p>
      <w:pPr>
        <w:pStyle w:val="TOC8"/>
        <w:rPr>
          <w:sz w:val="24"/>
          <w:szCs w:val="24"/>
        </w:rPr>
      </w:pPr>
      <w:r>
        <w:rPr>
          <w:szCs w:val="24"/>
        </w:rPr>
        <w:t>68.</w:t>
      </w:r>
      <w:r>
        <w:rPr>
          <w:szCs w:val="24"/>
        </w:rPr>
        <w:tab/>
        <w:t>Report of examination</w:t>
      </w:r>
      <w:r>
        <w:tab/>
      </w:r>
      <w:r>
        <w:fldChar w:fldCharType="begin"/>
      </w:r>
      <w:r>
        <w:instrText xml:space="preserve"> PAGEREF _Toc271200415 \h </w:instrText>
      </w:r>
      <w:r>
        <w:fldChar w:fldCharType="separate"/>
      </w:r>
      <w:r>
        <w:t>45</w:t>
      </w:r>
      <w:r>
        <w:fldChar w:fldCharType="end"/>
      </w:r>
    </w:p>
    <w:p>
      <w:pPr>
        <w:pStyle w:val="TOC8"/>
        <w:rPr>
          <w:sz w:val="24"/>
          <w:szCs w:val="24"/>
        </w:rPr>
      </w:pPr>
      <w:r>
        <w:rPr>
          <w:szCs w:val="24"/>
        </w:rPr>
        <w:t>69.</w:t>
      </w:r>
      <w:r>
        <w:rPr>
          <w:szCs w:val="24"/>
        </w:rPr>
        <w:tab/>
        <w:t>Role of the impairment review committee</w:t>
      </w:r>
      <w:r>
        <w:tab/>
      </w:r>
      <w:r>
        <w:fldChar w:fldCharType="begin"/>
      </w:r>
      <w:r>
        <w:instrText xml:space="preserve"> PAGEREF _Toc271200416 \h </w:instrText>
      </w:r>
      <w:r>
        <w:fldChar w:fldCharType="separate"/>
      </w:r>
      <w:r>
        <w:t>46</w:t>
      </w:r>
      <w:r>
        <w:fldChar w:fldCharType="end"/>
      </w:r>
    </w:p>
    <w:p>
      <w:pPr>
        <w:pStyle w:val="TOC8"/>
        <w:rPr>
          <w:sz w:val="24"/>
          <w:szCs w:val="24"/>
        </w:rPr>
      </w:pPr>
      <w:r>
        <w:rPr>
          <w:szCs w:val="24"/>
        </w:rPr>
        <w:t>70.</w:t>
      </w:r>
      <w:r>
        <w:rPr>
          <w:szCs w:val="24"/>
        </w:rPr>
        <w:tab/>
        <w:t>Recommendation</w:t>
      </w:r>
      <w:r>
        <w:tab/>
      </w:r>
      <w:r>
        <w:fldChar w:fldCharType="begin"/>
      </w:r>
      <w:r>
        <w:instrText xml:space="preserve"> PAGEREF _Toc271200417 \h </w:instrText>
      </w:r>
      <w:r>
        <w:fldChar w:fldCharType="separate"/>
      </w:r>
      <w:r>
        <w:t>47</w:t>
      </w:r>
      <w:r>
        <w:fldChar w:fldCharType="end"/>
      </w:r>
    </w:p>
    <w:p>
      <w:pPr>
        <w:pStyle w:val="TOC8"/>
        <w:rPr>
          <w:sz w:val="24"/>
          <w:szCs w:val="24"/>
        </w:rPr>
      </w:pPr>
      <w:r>
        <w:rPr>
          <w:szCs w:val="24"/>
        </w:rPr>
        <w:t>71.</w:t>
      </w:r>
      <w:r>
        <w:rPr>
          <w:szCs w:val="24"/>
        </w:rPr>
        <w:tab/>
        <w:t>Role of Board</w:t>
      </w:r>
      <w:r>
        <w:tab/>
      </w:r>
      <w:r>
        <w:fldChar w:fldCharType="begin"/>
      </w:r>
      <w:r>
        <w:instrText xml:space="preserve"> PAGEREF _Toc271200418 \h </w:instrText>
      </w:r>
      <w:r>
        <w:fldChar w:fldCharType="separate"/>
      </w:r>
      <w:r>
        <w:t>47</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72.</w:t>
      </w:r>
      <w:r>
        <w:rPr>
          <w:szCs w:val="24"/>
        </w:rPr>
        <w:tab/>
      </w:r>
      <w:r>
        <w:rPr>
          <w:snapToGrid w:val="0"/>
          <w:szCs w:val="24"/>
        </w:rPr>
        <w:t>Interpretation</w:t>
      </w:r>
      <w:r>
        <w:tab/>
      </w:r>
      <w:r>
        <w:fldChar w:fldCharType="begin"/>
      </w:r>
      <w:r>
        <w:instrText xml:space="preserve"> PAGEREF _Toc271200420 \h </w:instrText>
      </w:r>
      <w:r>
        <w:fldChar w:fldCharType="separate"/>
      </w:r>
      <w:r>
        <w:t>48</w:t>
      </w:r>
      <w:r>
        <w:fldChar w:fldCharType="end"/>
      </w:r>
    </w:p>
    <w:p>
      <w:pPr>
        <w:pStyle w:val="TOC8"/>
        <w:rPr>
          <w:sz w:val="24"/>
          <w:szCs w:val="24"/>
        </w:rPr>
      </w:pPr>
      <w:r>
        <w:rPr>
          <w:szCs w:val="24"/>
        </w:rPr>
        <w:t>73.</w:t>
      </w:r>
      <w:r>
        <w:rPr>
          <w:szCs w:val="24"/>
        </w:rPr>
        <w:tab/>
        <w:t>Investigator</w:t>
      </w:r>
      <w:r>
        <w:tab/>
      </w:r>
      <w:r>
        <w:fldChar w:fldCharType="begin"/>
      </w:r>
      <w:r>
        <w:instrText xml:space="preserve"> PAGEREF _Toc271200421 \h </w:instrText>
      </w:r>
      <w:r>
        <w:fldChar w:fldCharType="separate"/>
      </w:r>
      <w:r>
        <w:t>48</w:t>
      </w:r>
      <w:r>
        <w:fldChar w:fldCharType="end"/>
      </w:r>
    </w:p>
    <w:p>
      <w:pPr>
        <w:pStyle w:val="TOC8"/>
        <w:rPr>
          <w:sz w:val="24"/>
          <w:szCs w:val="24"/>
        </w:rPr>
      </w:pPr>
      <w:r>
        <w:rPr>
          <w:szCs w:val="24"/>
        </w:rPr>
        <w:t>74.</w:t>
      </w:r>
      <w:r>
        <w:rPr>
          <w:szCs w:val="24"/>
        </w:rPr>
        <w:tab/>
      </w:r>
      <w:r>
        <w:rPr>
          <w:snapToGrid w:val="0"/>
          <w:szCs w:val="24"/>
        </w:rPr>
        <w:t>Report of investigator</w:t>
      </w:r>
      <w:r>
        <w:tab/>
      </w:r>
      <w:r>
        <w:fldChar w:fldCharType="begin"/>
      </w:r>
      <w:r>
        <w:instrText xml:space="preserve"> PAGEREF _Toc271200422 \h </w:instrText>
      </w:r>
      <w:r>
        <w:fldChar w:fldCharType="separate"/>
      </w:r>
      <w:r>
        <w:t>48</w:t>
      </w:r>
      <w:r>
        <w:fldChar w:fldCharType="end"/>
      </w:r>
    </w:p>
    <w:p>
      <w:pPr>
        <w:pStyle w:val="TOC8"/>
        <w:rPr>
          <w:sz w:val="24"/>
          <w:szCs w:val="24"/>
        </w:rPr>
      </w:pPr>
      <w:r>
        <w:rPr>
          <w:szCs w:val="24"/>
        </w:rPr>
        <w:t>75.</w:t>
      </w:r>
      <w:r>
        <w:rPr>
          <w:szCs w:val="24"/>
        </w:rPr>
        <w:tab/>
      </w:r>
      <w:r>
        <w:rPr>
          <w:snapToGrid w:val="0"/>
          <w:szCs w:val="24"/>
        </w:rPr>
        <w:t>Powers of investigator</w:t>
      </w:r>
      <w:r>
        <w:tab/>
      </w:r>
      <w:r>
        <w:fldChar w:fldCharType="begin"/>
      </w:r>
      <w:r>
        <w:instrText xml:space="preserve"> PAGEREF _Toc271200423 \h </w:instrText>
      </w:r>
      <w:r>
        <w:fldChar w:fldCharType="separate"/>
      </w:r>
      <w:r>
        <w:t>49</w:t>
      </w:r>
      <w:r>
        <w:fldChar w:fldCharType="end"/>
      </w:r>
    </w:p>
    <w:p>
      <w:pPr>
        <w:pStyle w:val="TOC8"/>
        <w:rPr>
          <w:sz w:val="24"/>
          <w:szCs w:val="24"/>
        </w:rPr>
      </w:pPr>
      <w:r>
        <w:rPr>
          <w:szCs w:val="24"/>
        </w:rPr>
        <w:t>76.</w:t>
      </w:r>
      <w:r>
        <w:rPr>
          <w:szCs w:val="24"/>
        </w:rPr>
        <w:tab/>
      </w:r>
      <w:r>
        <w:rPr>
          <w:snapToGrid w:val="0"/>
          <w:szCs w:val="24"/>
        </w:rPr>
        <w:t>Warrant to enter premises</w:t>
      </w:r>
      <w:r>
        <w:tab/>
      </w:r>
      <w:r>
        <w:fldChar w:fldCharType="begin"/>
      </w:r>
      <w:r>
        <w:instrText xml:space="preserve"> PAGEREF _Toc271200424 \h </w:instrText>
      </w:r>
      <w:r>
        <w:fldChar w:fldCharType="separate"/>
      </w:r>
      <w:r>
        <w:t>51</w:t>
      </w:r>
      <w:r>
        <w:fldChar w:fldCharType="end"/>
      </w:r>
    </w:p>
    <w:p>
      <w:pPr>
        <w:pStyle w:val="TOC8"/>
        <w:rPr>
          <w:sz w:val="24"/>
          <w:szCs w:val="24"/>
        </w:rPr>
      </w:pPr>
      <w:r>
        <w:rPr>
          <w:szCs w:val="24"/>
        </w:rPr>
        <w:t>77.</w:t>
      </w:r>
      <w:r>
        <w:rPr>
          <w:szCs w:val="24"/>
        </w:rPr>
        <w:tab/>
      </w:r>
      <w:r>
        <w:rPr>
          <w:snapToGrid w:val="0"/>
          <w:szCs w:val="24"/>
        </w:rPr>
        <w:t>Issue of warrant</w:t>
      </w:r>
      <w:r>
        <w:tab/>
      </w:r>
      <w:r>
        <w:fldChar w:fldCharType="begin"/>
      </w:r>
      <w:r>
        <w:instrText xml:space="preserve"> PAGEREF _Toc271200425 \h </w:instrText>
      </w:r>
      <w:r>
        <w:fldChar w:fldCharType="separate"/>
      </w:r>
      <w:r>
        <w:t>52</w:t>
      </w:r>
      <w:r>
        <w:fldChar w:fldCharType="end"/>
      </w:r>
    </w:p>
    <w:p>
      <w:pPr>
        <w:pStyle w:val="TOC8"/>
        <w:rPr>
          <w:sz w:val="24"/>
          <w:szCs w:val="24"/>
        </w:rPr>
      </w:pPr>
      <w:r>
        <w:rPr>
          <w:szCs w:val="24"/>
        </w:rPr>
        <w:t>78.</w:t>
      </w:r>
      <w:r>
        <w:rPr>
          <w:szCs w:val="24"/>
        </w:rPr>
        <w:tab/>
      </w:r>
      <w:r>
        <w:rPr>
          <w:snapToGrid w:val="0"/>
          <w:szCs w:val="24"/>
        </w:rPr>
        <w:t>Execution of warrant</w:t>
      </w:r>
      <w:r>
        <w:tab/>
      </w:r>
      <w:r>
        <w:fldChar w:fldCharType="begin"/>
      </w:r>
      <w:r>
        <w:instrText xml:space="preserve"> PAGEREF _Toc271200426 \h </w:instrText>
      </w:r>
      <w:r>
        <w:fldChar w:fldCharType="separate"/>
      </w:r>
      <w:r>
        <w:t>52</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79.</w:t>
      </w:r>
      <w:r>
        <w:rPr>
          <w:szCs w:val="24"/>
        </w:rPr>
        <w:tab/>
      </w:r>
      <w:r>
        <w:rPr>
          <w:snapToGrid w:val="0"/>
          <w:szCs w:val="24"/>
        </w:rPr>
        <w:t>Conciliation process</w:t>
      </w:r>
      <w:r>
        <w:tab/>
      </w:r>
      <w:r>
        <w:fldChar w:fldCharType="begin"/>
      </w:r>
      <w:r>
        <w:instrText xml:space="preserve"> PAGEREF _Toc271200428 \h </w:instrText>
      </w:r>
      <w:r>
        <w:fldChar w:fldCharType="separate"/>
      </w:r>
      <w:r>
        <w:t>53</w:t>
      </w:r>
      <w:r>
        <w:fldChar w:fldCharType="end"/>
      </w:r>
    </w:p>
    <w:p>
      <w:pPr>
        <w:pStyle w:val="TOC8"/>
        <w:rPr>
          <w:sz w:val="24"/>
          <w:szCs w:val="24"/>
        </w:rPr>
      </w:pPr>
      <w:r>
        <w:rPr>
          <w:szCs w:val="24"/>
        </w:rPr>
        <w:t>80.</w:t>
      </w:r>
      <w:r>
        <w:rPr>
          <w:szCs w:val="24"/>
        </w:rPr>
        <w:tab/>
      </w:r>
      <w:r>
        <w:rPr>
          <w:snapToGrid w:val="0"/>
          <w:szCs w:val="24"/>
        </w:rPr>
        <w:t>Action if conciliation fails</w:t>
      </w:r>
      <w:r>
        <w:tab/>
      </w:r>
      <w:r>
        <w:fldChar w:fldCharType="begin"/>
      </w:r>
      <w:r>
        <w:instrText xml:space="preserve"> PAGEREF _Toc271200429 \h </w:instrText>
      </w:r>
      <w:r>
        <w:fldChar w:fldCharType="separate"/>
      </w:r>
      <w:r>
        <w:t>54</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81.</w:t>
      </w:r>
      <w:r>
        <w:rPr>
          <w:szCs w:val="24"/>
        </w:rPr>
        <w:tab/>
      </w:r>
      <w:r>
        <w:rPr>
          <w:snapToGrid w:val="0"/>
          <w:szCs w:val="24"/>
        </w:rPr>
        <w:t>Powers of the State Administrative Tribunal on dealing with a disciplinary matter</w:t>
      </w:r>
      <w:r>
        <w:tab/>
      </w:r>
      <w:r>
        <w:fldChar w:fldCharType="begin"/>
      </w:r>
      <w:r>
        <w:instrText xml:space="preserve"> PAGEREF _Toc271200431 \h </w:instrText>
      </w:r>
      <w:r>
        <w:fldChar w:fldCharType="separate"/>
      </w:r>
      <w:r>
        <w:t>54</w:t>
      </w:r>
      <w:r>
        <w:fldChar w:fldCharType="end"/>
      </w:r>
    </w:p>
    <w:p>
      <w:pPr>
        <w:pStyle w:val="TOC8"/>
        <w:rPr>
          <w:sz w:val="24"/>
          <w:szCs w:val="24"/>
        </w:rPr>
      </w:pPr>
      <w:r>
        <w:rPr>
          <w:szCs w:val="24"/>
        </w:rPr>
        <w:t>82.</w:t>
      </w:r>
      <w:r>
        <w:rPr>
          <w:szCs w:val="24"/>
        </w:rPr>
        <w:tab/>
        <w:t>Powers of the State Administrative Tribunal on dealing with an impairment matter</w:t>
      </w:r>
      <w:r>
        <w:tab/>
      </w:r>
      <w:r>
        <w:fldChar w:fldCharType="begin"/>
      </w:r>
      <w:r>
        <w:instrText xml:space="preserve"> PAGEREF _Toc271200432 \h </w:instrText>
      </w:r>
      <w:r>
        <w:fldChar w:fldCharType="separate"/>
      </w:r>
      <w:r>
        <w:t>56</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83.</w:t>
      </w:r>
      <w:r>
        <w:rPr>
          <w:szCs w:val="24"/>
        </w:rPr>
        <w:tab/>
      </w:r>
      <w:r>
        <w:rPr>
          <w:snapToGrid w:val="0"/>
          <w:szCs w:val="24"/>
        </w:rPr>
        <w:t>Suspension</w:t>
      </w:r>
      <w:r>
        <w:tab/>
      </w:r>
      <w:r>
        <w:fldChar w:fldCharType="begin"/>
      </w:r>
      <w:r>
        <w:instrText xml:space="preserve"> PAGEREF _Toc271200434 \h </w:instrText>
      </w:r>
      <w:r>
        <w:fldChar w:fldCharType="separate"/>
      </w:r>
      <w:r>
        <w:t>57</w:t>
      </w:r>
      <w:r>
        <w:fldChar w:fldCharType="end"/>
      </w:r>
    </w:p>
    <w:p>
      <w:pPr>
        <w:pStyle w:val="TOC8"/>
        <w:rPr>
          <w:sz w:val="24"/>
          <w:szCs w:val="24"/>
        </w:rPr>
      </w:pPr>
      <w:r>
        <w:rPr>
          <w:szCs w:val="24"/>
        </w:rPr>
        <w:t>84.</w:t>
      </w:r>
      <w:r>
        <w:rPr>
          <w:szCs w:val="24"/>
        </w:rPr>
        <w:tab/>
        <w:t>Costs and recovery</w:t>
      </w:r>
      <w:r>
        <w:tab/>
      </w:r>
      <w:r>
        <w:fldChar w:fldCharType="begin"/>
      </w:r>
      <w:r>
        <w:instrText xml:space="preserve"> PAGEREF _Toc271200435 \h </w:instrText>
      </w:r>
      <w:r>
        <w:fldChar w:fldCharType="separate"/>
      </w:r>
      <w:r>
        <w:t>57</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85.</w:t>
      </w:r>
      <w:r>
        <w:rPr>
          <w:szCs w:val="24"/>
        </w:rPr>
        <w:tab/>
        <w:t>Persons who may practise nursing or midwifery or a specialty</w:t>
      </w:r>
      <w:r>
        <w:tab/>
      </w:r>
      <w:r>
        <w:fldChar w:fldCharType="begin"/>
      </w:r>
      <w:r>
        <w:instrText xml:space="preserve"> PAGEREF _Toc271200437 \h </w:instrText>
      </w:r>
      <w:r>
        <w:fldChar w:fldCharType="separate"/>
      </w:r>
      <w:r>
        <w:t>59</w:t>
      </w:r>
      <w:r>
        <w:fldChar w:fldCharType="end"/>
      </w:r>
    </w:p>
    <w:p>
      <w:pPr>
        <w:pStyle w:val="TOC8"/>
        <w:rPr>
          <w:sz w:val="24"/>
          <w:szCs w:val="24"/>
        </w:rPr>
      </w:pPr>
      <w:r>
        <w:rPr>
          <w:szCs w:val="24"/>
        </w:rPr>
        <w:t>86.</w:t>
      </w:r>
      <w:r>
        <w:rPr>
          <w:szCs w:val="24"/>
        </w:rPr>
        <w:tab/>
        <w:t>Persons who may be employed or engaged to practise nursing or midwifery or a specialty</w:t>
      </w:r>
      <w:r>
        <w:tab/>
      </w:r>
      <w:r>
        <w:fldChar w:fldCharType="begin"/>
      </w:r>
      <w:r>
        <w:instrText xml:space="preserve"> PAGEREF _Toc271200438 \h </w:instrText>
      </w:r>
      <w:r>
        <w:fldChar w:fldCharType="separate"/>
      </w:r>
      <w:r>
        <w:t>59</w:t>
      </w:r>
      <w:r>
        <w:fldChar w:fldCharType="end"/>
      </w:r>
    </w:p>
    <w:p>
      <w:pPr>
        <w:pStyle w:val="TOC8"/>
        <w:rPr>
          <w:sz w:val="24"/>
          <w:szCs w:val="24"/>
        </w:rPr>
      </w:pPr>
      <w:r>
        <w:rPr>
          <w:szCs w:val="24"/>
        </w:rPr>
        <w:t>87.</w:t>
      </w:r>
      <w:r>
        <w:rPr>
          <w:szCs w:val="24"/>
        </w:rPr>
        <w:tab/>
        <w:t>Exceptions to sections 85 and 86</w:t>
      </w:r>
      <w:r>
        <w:tab/>
      </w:r>
      <w:r>
        <w:fldChar w:fldCharType="begin"/>
      </w:r>
      <w:r>
        <w:instrText xml:space="preserve"> PAGEREF _Toc271200439 \h </w:instrText>
      </w:r>
      <w:r>
        <w:fldChar w:fldCharType="separate"/>
      </w:r>
      <w:r>
        <w:t>60</w:t>
      </w:r>
      <w:r>
        <w:fldChar w:fldCharType="end"/>
      </w:r>
    </w:p>
    <w:p>
      <w:pPr>
        <w:pStyle w:val="TOC8"/>
        <w:rPr>
          <w:sz w:val="24"/>
          <w:szCs w:val="24"/>
        </w:rPr>
      </w:pPr>
      <w:r>
        <w:rPr>
          <w:szCs w:val="24"/>
        </w:rPr>
        <w:t>88.</w:t>
      </w:r>
      <w:r>
        <w:rPr>
          <w:szCs w:val="24"/>
        </w:rPr>
        <w:tab/>
      </w:r>
      <w:r>
        <w:rPr>
          <w:snapToGrid w:val="0"/>
          <w:szCs w:val="24"/>
        </w:rPr>
        <w:t>Use of titles or pretending to be registered</w:t>
      </w:r>
      <w:r>
        <w:tab/>
      </w:r>
      <w:r>
        <w:fldChar w:fldCharType="begin"/>
      </w:r>
      <w:r>
        <w:instrText xml:space="preserve"> PAGEREF _Toc271200440 \h </w:instrText>
      </w:r>
      <w:r>
        <w:fldChar w:fldCharType="separate"/>
      </w:r>
      <w:r>
        <w:t>61</w:t>
      </w:r>
      <w:r>
        <w:fldChar w:fldCharType="end"/>
      </w:r>
    </w:p>
    <w:p>
      <w:pPr>
        <w:pStyle w:val="TOC8"/>
        <w:rPr>
          <w:sz w:val="24"/>
          <w:szCs w:val="24"/>
        </w:rPr>
      </w:pPr>
      <w:r>
        <w:rPr>
          <w:szCs w:val="24"/>
        </w:rPr>
        <w:t>89.</w:t>
      </w:r>
      <w:r>
        <w:rPr>
          <w:szCs w:val="24"/>
        </w:rPr>
        <w:tab/>
        <w:t>Name in which practice may be carried on</w:t>
      </w:r>
      <w:r>
        <w:tab/>
      </w:r>
      <w:r>
        <w:fldChar w:fldCharType="begin"/>
      </w:r>
      <w:r>
        <w:instrText xml:space="preserve"> PAGEREF _Toc271200441 \h </w:instrText>
      </w:r>
      <w:r>
        <w:fldChar w:fldCharType="separate"/>
      </w:r>
      <w:r>
        <w:t>61</w:t>
      </w:r>
      <w:r>
        <w:fldChar w:fldCharType="end"/>
      </w:r>
    </w:p>
    <w:p>
      <w:pPr>
        <w:pStyle w:val="TOC8"/>
        <w:rPr>
          <w:sz w:val="24"/>
          <w:szCs w:val="24"/>
        </w:rPr>
      </w:pPr>
      <w:r>
        <w:rPr>
          <w:szCs w:val="24"/>
        </w:rPr>
        <w:t>90.</w:t>
      </w:r>
      <w:r>
        <w:rPr>
          <w:szCs w:val="24"/>
        </w:rPr>
        <w:tab/>
      </w:r>
      <w:r>
        <w:rPr>
          <w:snapToGrid w:val="0"/>
          <w:szCs w:val="24"/>
        </w:rPr>
        <w:t>Unlawful delegation by registered person</w:t>
      </w:r>
      <w:r>
        <w:tab/>
      </w:r>
      <w:r>
        <w:fldChar w:fldCharType="begin"/>
      </w:r>
      <w:r>
        <w:instrText xml:space="preserve"> PAGEREF _Toc271200442 \h </w:instrText>
      </w:r>
      <w:r>
        <w:fldChar w:fldCharType="separate"/>
      </w:r>
      <w:r>
        <w:t>62</w:t>
      </w:r>
      <w:r>
        <w:fldChar w:fldCharType="end"/>
      </w:r>
    </w:p>
    <w:p>
      <w:pPr>
        <w:pStyle w:val="TOC8"/>
        <w:rPr>
          <w:sz w:val="24"/>
          <w:szCs w:val="24"/>
        </w:rPr>
      </w:pPr>
      <w:r>
        <w:rPr>
          <w:szCs w:val="24"/>
        </w:rPr>
        <w:t>91.</w:t>
      </w:r>
      <w:r>
        <w:rPr>
          <w:szCs w:val="24"/>
        </w:rPr>
        <w:tab/>
        <w:t>Undue influence</w:t>
      </w:r>
      <w:r>
        <w:tab/>
      </w:r>
      <w:r>
        <w:fldChar w:fldCharType="begin"/>
      </w:r>
      <w:r>
        <w:instrText xml:space="preserve"> PAGEREF _Toc271200443 \h </w:instrText>
      </w:r>
      <w:r>
        <w:fldChar w:fldCharType="separate"/>
      </w:r>
      <w:r>
        <w:t>62</w:t>
      </w:r>
      <w:r>
        <w:fldChar w:fldCharType="end"/>
      </w:r>
    </w:p>
    <w:p>
      <w:pPr>
        <w:pStyle w:val="TOC8"/>
        <w:rPr>
          <w:sz w:val="24"/>
          <w:szCs w:val="24"/>
        </w:rPr>
      </w:pPr>
      <w:r>
        <w:rPr>
          <w:szCs w:val="24"/>
        </w:rPr>
        <w:t>92.</w:t>
      </w:r>
      <w:r>
        <w:rPr>
          <w:szCs w:val="24"/>
        </w:rPr>
        <w:tab/>
      </w:r>
      <w:r>
        <w:rPr>
          <w:snapToGrid w:val="0"/>
          <w:szCs w:val="24"/>
        </w:rPr>
        <w:t>Failure to comply with disciplinary action</w:t>
      </w:r>
      <w:r>
        <w:tab/>
      </w:r>
      <w:r>
        <w:fldChar w:fldCharType="begin"/>
      </w:r>
      <w:r>
        <w:instrText xml:space="preserve"> PAGEREF _Toc271200444 \h </w:instrText>
      </w:r>
      <w:r>
        <w:fldChar w:fldCharType="separate"/>
      </w:r>
      <w:r>
        <w:t>63</w:t>
      </w:r>
      <w:r>
        <w:fldChar w:fldCharType="end"/>
      </w:r>
    </w:p>
    <w:p>
      <w:pPr>
        <w:pStyle w:val="TOC8"/>
        <w:rPr>
          <w:sz w:val="24"/>
          <w:szCs w:val="24"/>
        </w:rPr>
      </w:pPr>
      <w:r>
        <w:rPr>
          <w:szCs w:val="24"/>
        </w:rPr>
        <w:t>93.</w:t>
      </w:r>
      <w:r>
        <w:rPr>
          <w:szCs w:val="24"/>
        </w:rPr>
        <w:tab/>
        <w:t>False or misleading information</w:t>
      </w:r>
      <w:r>
        <w:tab/>
      </w:r>
      <w:r>
        <w:fldChar w:fldCharType="begin"/>
      </w:r>
      <w:r>
        <w:instrText xml:space="preserve"> PAGEREF _Toc271200445 \h </w:instrText>
      </w:r>
      <w:r>
        <w:fldChar w:fldCharType="separate"/>
      </w:r>
      <w:r>
        <w:t>63</w:t>
      </w:r>
      <w:r>
        <w:fldChar w:fldCharType="end"/>
      </w:r>
    </w:p>
    <w:p>
      <w:pPr>
        <w:pStyle w:val="TOC8"/>
        <w:rPr>
          <w:sz w:val="24"/>
          <w:szCs w:val="24"/>
        </w:rPr>
      </w:pPr>
      <w:r>
        <w:rPr>
          <w:szCs w:val="24"/>
        </w:rPr>
        <w:t>94.</w:t>
      </w:r>
      <w:r>
        <w:rPr>
          <w:szCs w:val="24"/>
        </w:rPr>
        <w:tab/>
        <w:t>Offences in relation to investigation</w:t>
      </w:r>
      <w:r>
        <w:tab/>
      </w:r>
      <w:r>
        <w:fldChar w:fldCharType="begin"/>
      </w:r>
      <w:r>
        <w:instrText xml:space="preserve"> PAGEREF _Toc271200446 \h </w:instrText>
      </w:r>
      <w:r>
        <w:fldChar w:fldCharType="separate"/>
      </w:r>
      <w:r>
        <w:t>64</w:t>
      </w:r>
      <w:r>
        <w:fldChar w:fldCharType="end"/>
      </w:r>
    </w:p>
    <w:p>
      <w:pPr>
        <w:pStyle w:val="TOC8"/>
        <w:rPr>
          <w:sz w:val="24"/>
          <w:szCs w:val="24"/>
        </w:rPr>
      </w:pPr>
      <w:r>
        <w:rPr>
          <w:szCs w:val="24"/>
        </w:rPr>
        <w:t>95.</w:t>
      </w:r>
      <w:r>
        <w:rPr>
          <w:szCs w:val="24"/>
        </w:rPr>
        <w:tab/>
      </w:r>
      <w:r>
        <w:rPr>
          <w:snapToGrid w:val="0"/>
          <w:szCs w:val="24"/>
        </w:rPr>
        <w:t>Obstruction of investigator</w:t>
      </w:r>
      <w:r>
        <w:tab/>
      </w:r>
      <w:r>
        <w:fldChar w:fldCharType="begin"/>
      </w:r>
      <w:r>
        <w:instrText xml:space="preserve"> PAGEREF _Toc271200447 \h </w:instrText>
      </w:r>
      <w:r>
        <w:fldChar w:fldCharType="separate"/>
      </w:r>
      <w:r>
        <w:t>65</w:t>
      </w:r>
      <w:r>
        <w:fldChar w:fldCharType="end"/>
      </w:r>
    </w:p>
    <w:p>
      <w:pPr>
        <w:pStyle w:val="TOC8"/>
        <w:rPr>
          <w:sz w:val="24"/>
          <w:szCs w:val="24"/>
        </w:rPr>
      </w:pPr>
      <w:r>
        <w:rPr>
          <w:szCs w:val="24"/>
        </w:rPr>
        <w:t>96.</w:t>
      </w:r>
      <w:r>
        <w:rPr>
          <w:szCs w:val="24"/>
        </w:rPr>
        <w:tab/>
      </w:r>
      <w:r>
        <w:rPr>
          <w:snapToGrid w:val="0"/>
          <w:szCs w:val="24"/>
        </w:rPr>
        <w:t>Assistance to execute warrant</w:t>
      </w:r>
      <w:r>
        <w:tab/>
      </w:r>
      <w:r>
        <w:fldChar w:fldCharType="begin"/>
      </w:r>
      <w:r>
        <w:instrText xml:space="preserve"> PAGEREF _Toc271200448 \h </w:instrText>
      </w:r>
      <w:r>
        <w:fldChar w:fldCharType="separate"/>
      </w:r>
      <w:r>
        <w:t>65</w:t>
      </w:r>
      <w:r>
        <w:fldChar w:fldCharType="end"/>
      </w:r>
    </w:p>
    <w:p>
      <w:pPr>
        <w:pStyle w:val="TOC8"/>
        <w:rPr>
          <w:sz w:val="24"/>
          <w:szCs w:val="24"/>
        </w:rPr>
      </w:pPr>
      <w:r>
        <w:rPr>
          <w:szCs w:val="24"/>
        </w:rPr>
        <w:t>97.</w:t>
      </w:r>
      <w:r>
        <w:rPr>
          <w:szCs w:val="24"/>
        </w:rPr>
        <w:tab/>
      </w:r>
      <w:r>
        <w:rPr>
          <w:snapToGrid w:val="0"/>
          <w:szCs w:val="24"/>
        </w:rPr>
        <w:t>Surrender of certificate</w:t>
      </w:r>
      <w:r>
        <w:tab/>
      </w:r>
      <w:r>
        <w:fldChar w:fldCharType="begin"/>
      </w:r>
      <w:r>
        <w:instrText xml:space="preserve"> PAGEREF _Toc271200449 \h </w:instrText>
      </w:r>
      <w:r>
        <w:fldChar w:fldCharType="separate"/>
      </w:r>
      <w:r>
        <w:t>65</w:t>
      </w:r>
      <w:r>
        <w:fldChar w:fldCharType="end"/>
      </w:r>
    </w:p>
    <w:p>
      <w:pPr>
        <w:pStyle w:val="TOC8"/>
        <w:rPr>
          <w:sz w:val="24"/>
          <w:szCs w:val="24"/>
        </w:rPr>
      </w:pPr>
      <w:r>
        <w:rPr>
          <w:szCs w:val="24"/>
        </w:rPr>
        <w:t>98.</w:t>
      </w:r>
      <w:r>
        <w:rPr>
          <w:szCs w:val="24"/>
        </w:rPr>
        <w:tab/>
      </w:r>
      <w:r>
        <w:rPr>
          <w:snapToGrid w:val="0"/>
          <w:szCs w:val="24"/>
        </w:rPr>
        <w:t>Incriminating information, questions, or documents</w:t>
      </w:r>
      <w:r>
        <w:tab/>
      </w:r>
      <w:r>
        <w:fldChar w:fldCharType="begin"/>
      </w:r>
      <w:r>
        <w:instrText xml:space="preserve"> PAGEREF _Toc271200450 \h </w:instrText>
      </w:r>
      <w:r>
        <w:fldChar w:fldCharType="separate"/>
      </w:r>
      <w:r>
        <w:t>66</w:t>
      </w:r>
      <w:r>
        <w:fldChar w:fldCharType="end"/>
      </w:r>
    </w:p>
    <w:p>
      <w:pPr>
        <w:pStyle w:val="TOC8"/>
        <w:rPr>
          <w:sz w:val="24"/>
          <w:szCs w:val="24"/>
        </w:rPr>
      </w:pPr>
      <w:r>
        <w:rPr>
          <w:szCs w:val="24"/>
        </w:rPr>
        <w:t>99.</w:t>
      </w:r>
      <w:r>
        <w:rPr>
          <w:szCs w:val="24"/>
        </w:rPr>
        <w:tab/>
      </w:r>
      <w:r>
        <w:rPr>
          <w:snapToGrid w:val="0"/>
          <w:szCs w:val="24"/>
        </w:rPr>
        <w:t>Legal professional privilege</w:t>
      </w:r>
      <w:r>
        <w:tab/>
      </w:r>
      <w:r>
        <w:fldChar w:fldCharType="begin"/>
      </w:r>
      <w:r>
        <w:instrText xml:space="preserve"> PAGEREF _Toc271200451 \h </w:instrText>
      </w:r>
      <w:r>
        <w:fldChar w:fldCharType="separate"/>
      </w:r>
      <w:r>
        <w:t>66</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100.</w:t>
      </w:r>
      <w:r>
        <w:rPr>
          <w:szCs w:val="24"/>
        </w:rPr>
        <w:tab/>
        <w:t>Codes of practice</w:t>
      </w:r>
      <w:r>
        <w:tab/>
      </w:r>
      <w:r>
        <w:fldChar w:fldCharType="begin"/>
      </w:r>
      <w:r>
        <w:instrText xml:space="preserve"> PAGEREF _Toc271200453 \h </w:instrText>
      </w:r>
      <w:r>
        <w:fldChar w:fldCharType="separate"/>
      </w:r>
      <w:r>
        <w:t>67</w:t>
      </w:r>
      <w:r>
        <w:fldChar w:fldCharType="end"/>
      </w:r>
    </w:p>
    <w:p>
      <w:pPr>
        <w:pStyle w:val="TOC8"/>
        <w:rPr>
          <w:sz w:val="24"/>
          <w:szCs w:val="24"/>
        </w:rPr>
      </w:pPr>
      <w:r>
        <w:rPr>
          <w:szCs w:val="24"/>
        </w:rPr>
        <w:t>101.</w:t>
      </w:r>
      <w:r>
        <w:rPr>
          <w:szCs w:val="24"/>
        </w:rPr>
        <w:tab/>
      </w:r>
      <w:r>
        <w:rPr>
          <w:snapToGrid w:val="0"/>
          <w:szCs w:val="24"/>
        </w:rPr>
        <w:t>Rules</w:t>
      </w:r>
      <w:r>
        <w:tab/>
      </w:r>
      <w:r>
        <w:fldChar w:fldCharType="begin"/>
      </w:r>
      <w:r>
        <w:instrText xml:space="preserve"> PAGEREF _Toc271200454 \h </w:instrText>
      </w:r>
      <w:r>
        <w:fldChar w:fldCharType="separate"/>
      </w:r>
      <w:r>
        <w:t>68</w:t>
      </w:r>
      <w:r>
        <w:fldChar w:fldCharType="end"/>
      </w:r>
    </w:p>
    <w:p>
      <w:pPr>
        <w:pStyle w:val="TOC8"/>
        <w:rPr>
          <w:sz w:val="24"/>
          <w:szCs w:val="24"/>
        </w:rPr>
      </w:pPr>
      <w:r>
        <w:rPr>
          <w:szCs w:val="24"/>
        </w:rPr>
        <w:t>102.</w:t>
      </w:r>
      <w:r>
        <w:rPr>
          <w:szCs w:val="24"/>
        </w:rPr>
        <w:tab/>
      </w:r>
      <w:r>
        <w:rPr>
          <w:snapToGrid w:val="0"/>
          <w:szCs w:val="24"/>
        </w:rPr>
        <w:t>Regulations</w:t>
      </w:r>
      <w:r>
        <w:tab/>
      </w:r>
      <w:r>
        <w:fldChar w:fldCharType="begin"/>
      </w:r>
      <w:r>
        <w:instrText xml:space="preserve"> PAGEREF _Toc271200455 \h </w:instrText>
      </w:r>
      <w:r>
        <w:fldChar w:fldCharType="separate"/>
      </w:r>
      <w:r>
        <w:t>69</w:t>
      </w:r>
      <w:r>
        <w:fldChar w:fldCharType="end"/>
      </w:r>
    </w:p>
    <w:p>
      <w:pPr>
        <w:pStyle w:val="TOC8"/>
        <w:rPr>
          <w:sz w:val="24"/>
          <w:szCs w:val="24"/>
        </w:rPr>
      </w:pPr>
      <w:r>
        <w:rPr>
          <w:szCs w:val="24"/>
        </w:rPr>
        <w:t>103.</w:t>
      </w:r>
      <w:r>
        <w:rPr>
          <w:szCs w:val="24"/>
        </w:rPr>
        <w:tab/>
        <w:t>Forms</w:t>
      </w:r>
      <w:r>
        <w:tab/>
      </w:r>
      <w:r>
        <w:fldChar w:fldCharType="begin"/>
      </w:r>
      <w:r>
        <w:instrText xml:space="preserve"> PAGEREF _Toc271200456 \h </w:instrText>
      </w:r>
      <w:r>
        <w:fldChar w:fldCharType="separate"/>
      </w:r>
      <w:r>
        <w:t>70</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104.</w:t>
      </w:r>
      <w:r>
        <w:rPr>
          <w:szCs w:val="24"/>
        </w:rPr>
        <w:tab/>
      </w:r>
      <w:r>
        <w:rPr>
          <w:snapToGrid w:val="0"/>
          <w:szCs w:val="24"/>
        </w:rPr>
        <w:t>Protection</w:t>
      </w:r>
      <w:r>
        <w:tab/>
      </w:r>
      <w:r>
        <w:fldChar w:fldCharType="begin"/>
      </w:r>
      <w:r>
        <w:instrText xml:space="preserve"> PAGEREF _Toc271200458 \h </w:instrText>
      </w:r>
      <w:r>
        <w:fldChar w:fldCharType="separate"/>
      </w:r>
      <w:r>
        <w:t>71</w:t>
      </w:r>
      <w:r>
        <w:fldChar w:fldCharType="end"/>
      </w:r>
    </w:p>
    <w:p>
      <w:pPr>
        <w:pStyle w:val="TOC8"/>
        <w:rPr>
          <w:sz w:val="24"/>
          <w:szCs w:val="24"/>
        </w:rPr>
      </w:pPr>
      <w:r>
        <w:rPr>
          <w:szCs w:val="24"/>
        </w:rPr>
        <w:t>105.</w:t>
      </w:r>
      <w:r>
        <w:rPr>
          <w:szCs w:val="24"/>
        </w:rPr>
        <w:tab/>
        <w:t>Notice of decision to be given</w:t>
      </w:r>
      <w:r>
        <w:tab/>
      </w:r>
      <w:r>
        <w:fldChar w:fldCharType="begin"/>
      </w:r>
      <w:r>
        <w:instrText xml:space="preserve"> PAGEREF _Toc271200459 \h </w:instrText>
      </w:r>
      <w:r>
        <w:fldChar w:fldCharType="separate"/>
      </w:r>
      <w:r>
        <w:t>71</w:t>
      </w:r>
      <w:r>
        <w:fldChar w:fldCharType="end"/>
      </w:r>
    </w:p>
    <w:p>
      <w:pPr>
        <w:pStyle w:val="TOC8"/>
        <w:rPr>
          <w:sz w:val="24"/>
          <w:szCs w:val="24"/>
        </w:rPr>
      </w:pPr>
      <w:r>
        <w:rPr>
          <w:szCs w:val="24"/>
        </w:rPr>
        <w:t>106.</w:t>
      </w:r>
      <w:r>
        <w:rPr>
          <w:szCs w:val="24"/>
        </w:rPr>
        <w:tab/>
      </w:r>
      <w:r>
        <w:rPr>
          <w:snapToGrid w:val="0"/>
          <w:szCs w:val="24"/>
        </w:rPr>
        <w:t>Review</w:t>
      </w:r>
      <w:r>
        <w:tab/>
      </w:r>
      <w:r>
        <w:fldChar w:fldCharType="begin"/>
      </w:r>
      <w:r>
        <w:instrText xml:space="preserve"> PAGEREF _Toc271200460 \h </w:instrText>
      </w:r>
      <w:r>
        <w:fldChar w:fldCharType="separate"/>
      </w:r>
      <w:r>
        <w:t>72</w:t>
      </w:r>
      <w:r>
        <w:fldChar w:fldCharType="end"/>
      </w:r>
    </w:p>
    <w:p>
      <w:pPr>
        <w:pStyle w:val="TOC8"/>
        <w:rPr>
          <w:sz w:val="24"/>
          <w:szCs w:val="24"/>
        </w:rPr>
      </w:pPr>
      <w:r>
        <w:rPr>
          <w:szCs w:val="24"/>
        </w:rPr>
        <w:t>107.</w:t>
      </w:r>
      <w:r>
        <w:rPr>
          <w:szCs w:val="24"/>
        </w:rPr>
        <w:tab/>
      </w:r>
      <w:r>
        <w:rPr>
          <w:snapToGrid w:val="0"/>
          <w:szCs w:val="24"/>
        </w:rPr>
        <w:t>Publication of proceedings etc.</w:t>
      </w:r>
      <w:r>
        <w:tab/>
      </w:r>
      <w:r>
        <w:fldChar w:fldCharType="begin"/>
      </w:r>
      <w:r>
        <w:instrText xml:space="preserve"> PAGEREF _Toc271200461 \h </w:instrText>
      </w:r>
      <w:r>
        <w:fldChar w:fldCharType="separate"/>
      </w:r>
      <w:r>
        <w:t>72</w:t>
      </w:r>
      <w:r>
        <w:fldChar w:fldCharType="end"/>
      </w:r>
    </w:p>
    <w:p>
      <w:pPr>
        <w:pStyle w:val="TOC8"/>
        <w:rPr>
          <w:sz w:val="24"/>
          <w:szCs w:val="24"/>
        </w:rPr>
      </w:pPr>
      <w:r>
        <w:rPr>
          <w:szCs w:val="24"/>
        </w:rPr>
        <w:t>108.</w:t>
      </w:r>
      <w:r>
        <w:rPr>
          <w:szCs w:val="24"/>
        </w:rPr>
        <w:tab/>
      </w:r>
      <w:r>
        <w:rPr>
          <w:snapToGrid w:val="0"/>
          <w:szCs w:val="24"/>
        </w:rPr>
        <w:t>Legal proceedings</w:t>
      </w:r>
      <w:r>
        <w:tab/>
      </w:r>
      <w:r>
        <w:fldChar w:fldCharType="begin"/>
      </w:r>
      <w:r>
        <w:instrText xml:space="preserve"> PAGEREF _Toc271200462 \h </w:instrText>
      </w:r>
      <w:r>
        <w:fldChar w:fldCharType="separate"/>
      </w:r>
      <w:r>
        <w:t>73</w:t>
      </w:r>
      <w:r>
        <w:fldChar w:fldCharType="end"/>
      </w:r>
    </w:p>
    <w:p>
      <w:pPr>
        <w:pStyle w:val="TOC8"/>
        <w:rPr>
          <w:sz w:val="24"/>
          <w:szCs w:val="24"/>
        </w:rPr>
      </w:pPr>
      <w:r>
        <w:rPr>
          <w:szCs w:val="24"/>
        </w:rPr>
        <w:t>109.</w:t>
      </w:r>
      <w:r>
        <w:rPr>
          <w:szCs w:val="24"/>
        </w:rPr>
        <w:tab/>
        <w:t>Liability of certain officers of body corporate: offences</w:t>
      </w:r>
      <w:r>
        <w:tab/>
      </w:r>
      <w:r>
        <w:fldChar w:fldCharType="begin"/>
      </w:r>
      <w:r>
        <w:instrText xml:space="preserve"> PAGEREF _Toc271200463 \h </w:instrText>
      </w:r>
      <w:r>
        <w:fldChar w:fldCharType="separate"/>
      </w:r>
      <w:r>
        <w:t>74</w:t>
      </w:r>
      <w:r>
        <w:fldChar w:fldCharType="end"/>
      </w:r>
    </w:p>
    <w:p>
      <w:pPr>
        <w:pStyle w:val="TOC8"/>
        <w:rPr>
          <w:sz w:val="24"/>
          <w:szCs w:val="24"/>
        </w:rPr>
      </w:pPr>
      <w:r>
        <w:rPr>
          <w:szCs w:val="24"/>
        </w:rPr>
        <w:t>110.</w:t>
      </w:r>
      <w:r>
        <w:rPr>
          <w:szCs w:val="24"/>
        </w:rPr>
        <w:tab/>
      </w:r>
      <w:r>
        <w:rPr>
          <w:snapToGrid w:val="0"/>
          <w:szCs w:val="24"/>
        </w:rPr>
        <w:t>Review of Act</w:t>
      </w:r>
      <w:r>
        <w:tab/>
      </w:r>
      <w:r>
        <w:fldChar w:fldCharType="begin"/>
      </w:r>
      <w:r>
        <w:instrText xml:space="preserve"> PAGEREF _Toc271200464 \h </w:instrText>
      </w:r>
      <w:r>
        <w:fldChar w:fldCharType="separate"/>
      </w:r>
      <w:r>
        <w:t>75</w:t>
      </w:r>
      <w:r>
        <w:fldChar w:fldCharType="end"/>
      </w:r>
    </w:p>
    <w:p>
      <w:pPr>
        <w:pStyle w:val="TOC8"/>
        <w:rPr>
          <w:sz w:val="24"/>
          <w:szCs w:val="24"/>
        </w:rPr>
      </w:pPr>
      <w:r>
        <w:rPr>
          <w:szCs w:val="24"/>
        </w:rPr>
        <w:t>111.</w:t>
      </w:r>
      <w:r>
        <w:rPr>
          <w:szCs w:val="24"/>
        </w:rPr>
        <w:tab/>
      </w:r>
      <w:r>
        <w:rPr>
          <w:i/>
          <w:szCs w:val="24"/>
        </w:rPr>
        <w:t>Nurses Act 1992</w:t>
      </w:r>
      <w:r>
        <w:rPr>
          <w:szCs w:val="24"/>
        </w:rPr>
        <w:t xml:space="preserve"> repealed</w:t>
      </w:r>
      <w:r>
        <w:tab/>
      </w:r>
      <w:r>
        <w:fldChar w:fldCharType="begin"/>
      </w:r>
      <w:r>
        <w:instrText xml:space="preserve"> PAGEREF _Toc271200465 \h </w:instrText>
      </w:r>
      <w:r>
        <w:fldChar w:fldCharType="separate"/>
      </w:r>
      <w:r>
        <w:t>75</w:t>
      </w:r>
      <w:r>
        <w:fldChar w:fldCharType="end"/>
      </w:r>
    </w:p>
    <w:p>
      <w:pPr>
        <w:pStyle w:val="TOC8"/>
        <w:rPr>
          <w:sz w:val="24"/>
          <w:szCs w:val="24"/>
        </w:rPr>
      </w:pPr>
      <w:r>
        <w:rPr>
          <w:szCs w:val="24"/>
        </w:rPr>
        <w:t>112.</w:t>
      </w:r>
      <w:r>
        <w:rPr>
          <w:szCs w:val="24"/>
        </w:rPr>
        <w:tab/>
      </w:r>
      <w:r>
        <w:rPr>
          <w:i/>
          <w:szCs w:val="24"/>
        </w:rPr>
        <w:t>Nurses Rules 1993</w:t>
      </w:r>
      <w:r>
        <w:rPr>
          <w:szCs w:val="24"/>
        </w:rPr>
        <w:t xml:space="preserve"> repealed</w:t>
      </w:r>
      <w:r>
        <w:tab/>
      </w:r>
      <w:r>
        <w:fldChar w:fldCharType="begin"/>
      </w:r>
      <w:r>
        <w:instrText xml:space="preserve"> PAGEREF _Toc271200466 \h </w:instrText>
      </w:r>
      <w:r>
        <w:fldChar w:fldCharType="separate"/>
      </w:r>
      <w:r>
        <w:t>76</w:t>
      </w:r>
      <w:r>
        <w:fldChar w:fldCharType="end"/>
      </w:r>
    </w:p>
    <w:p>
      <w:pPr>
        <w:pStyle w:val="TOC8"/>
        <w:rPr>
          <w:sz w:val="24"/>
          <w:szCs w:val="24"/>
        </w:rPr>
      </w:pPr>
      <w:r>
        <w:rPr>
          <w:szCs w:val="24"/>
        </w:rPr>
        <w:t>113.</w:t>
      </w:r>
      <w:r>
        <w:rPr>
          <w:szCs w:val="24"/>
        </w:rPr>
        <w:tab/>
      </w:r>
      <w:r>
        <w:rPr>
          <w:snapToGrid w:val="0"/>
          <w:szCs w:val="24"/>
        </w:rPr>
        <w:t>Transitional and savings provisions</w:t>
      </w:r>
      <w:r>
        <w:tab/>
      </w:r>
      <w:r>
        <w:fldChar w:fldCharType="begin"/>
      </w:r>
      <w:r>
        <w:instrText xml:space="preserve"> PAGEREF _Toc271200467 \h </w:instrText>
      </w:r>
      <w:r>
        <w:fldChar w:fldCharType="separate"/>
      </w:r>
      <w:r>
        <w:t>76</w:t>
      </w:r>
      <w:r>
        <w:fldChar w:fldCharType="end"/>
      </w:r>
    </w:p>
    <w:p>
      <w:pPr>
        <w:pStyle w:val="TOC8"/>
        <w:rPr>
          <w:sz w:val="24"/>
          <w:szCs w:val="24"/>
        </w:rPr>
      </w:pPr>
      <w:r>
        <w:rPr>
          <w:szCs w:val="24"/>
        </w:rPr>
        <w:t>114.</w:t>
      </w:r>
      <w:r>
        <w:rPr>
          <w:szCs w:val="24"/>
        </w:rPr>
        <w:tab/>
      </w:r>
      <w:r>
        <w:rPr>
          <w:snapToGrid w:val="0"/>
          <w:szCs w:val="24"/>
        </w:rPr>
        <w:t>Consequential amendments</w:t>
      </w:r>
      <w:r>
        <w:tab/>
      </w:r>
      <w:r>
        <w:fldChar w:fldCharType="begin"/>
      </w:r>
      <w:r>
        <w:instrText xml:space="preserve"> PAGEREF _Toc271200468 \h </w:instrText>
      </w:r>
      <w:r>
        <w:fldChar w:fldCharType="separate"/>
      </w:r>
      <w:r>
        <w:t>76</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_Toc271200471 \h </w:instrText>
      </w:r>
      <w:r>
        <w:fldChar w:fldCharType="separate"/>
      </w:r>
      <w:r>
        <w:t>77</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_Toc271200472 \h </w:instrText>
      </w:r>
      <w:r>
        <w:fldChar w:fldCharType="separate"/>
      </w:r>
      <w:r>
        <w:t>77</w:t>
      </w:r>
      <w:r>
        <w:fldChar w:fldCharType="end"/>
      </w:r>
    </w:p>
    <w:p>
      <w:pPr>
        <w:pStyle w:val="TOC8"/>
        <w:rPr>
          <w:sz w:val="24"/>
          <w:szCs w:val="24"/>
        </w:rPr>
      </w:pPr>
      <w:r>
        <w:rPr>
          <w:szCs w:val="22"/>
        </w:rPr>
        <w:t>3.</w:t>
      </w:r>
      <w:r>
        <w:rPr>
          <w:szCs w:val="22"/>
        </w:rPr>
        <w:tab/>
        <w:t>Deputy members</w:t>
      </w:r>
      <w:r>
        <w:tab/>
      </w:r>
      <w:r>
        <w:fldChar w:fldCharType="begin"/>
      </w:r>
      <w:r>
        <w:instrText xml:space="preserve"> PAGEREF _Toc271200473 \h </w:instrText>
      </w:r>
      <w:r>
        <w:fldChar w:fldCharType="separate"/>
      </w:r>
      <w:r>
        <w:t>77</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_Toc271200474 \h </w:instrText>
      </w:r>
      <w:r>
        <w:fldChar w:fldCharType="separate"/>
      </w:r>
      <w:r>
        <w:t>78</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_Toc271200475 \h </w:instrText>
      </w:r>
      <w:r>
        <w:fldChar w:fldCharType="separate"/>
      </w:r>
      <w:r>
        <w:t>78</w:t>
      </w:r>
      <w:r>
        <w:fldChar w:fldCharType="end"/>
      </w:r>
    </w:p>
    <w:p>
      <w:pPr>
        <w:pStyle w:val="TOC8"/>
        <w:rPr>
          <w:sz w:val="24"/>
          <w:szCs w:val="24"/>
        </w:rPr>
      </w:pPr>
      <w:r>
        <w:rPr>
          <w:szCs w:val="22"/>
        </w:rPr>
        <w:t>6.</w:t>
      </w:r>
      <w:r>
        <w:rPr>
          <w:szCs w:val="22"/>
        </w:rPr>
        <w:tab/>
        <w:t>Voting</w:t>
      </w:r>
      <w:r>
        <w:tab/>
      </w:r>
      <w:r>
        <w:fldChar w:fldCharType="begin"/>
      </w:r>
      <w:r>
        <w:instrText xml:space="preserve"> PAGEREF _Toc271200476 \h </w:instrText>
      </w:r>
      <w:r>
        <w:fldChar w:fldCharType="separate"/>
      </w:r>
      <w:r>
        <w:t>79</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_Toc271200477 \h </w:instrText>
      </w:r>
      <w:r>
        <w:fldChar w:fldCharType="separate"/>
      </w:r>
      <w:r>
        <w:t>79</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_Toc271200478 \h </w:instrText>
      </w:r>
      <w:r>
        <w:fldChar w:fldCharType="separate"/>
      </w:r>
      <w:r>
        <w:t>79</w:t>
      </w:r>
      <w:r>
        <w:fldChar w:fldCharType="end"/>
      </w:r>
    </w:p>
    <w:p>
      <w:pPr>
        <w:pStyle w:val="TOC8"/>
        <w:rPr>
          <w:sz w:val="24"/>
          <w:szCs w:val="24"/>
        </w:rPr>
      </w:pPr>
      <w:r>
        <w:rPr>
          <w:szCs w:val="22"/>
        </w:rPr>
        <w:t>9.</w:t>
      </w:r>
      <w:r>
        <w:rPr>
          <w:szCs w:val="22"/>
        </w:rPr>
        <w:tab/>
        <w:t>Minutes</w:t>
      </w:r>
      <w:r>
        <w:tab/>
      </w:r>
      <w:r>
        <w:fldChar w:fldCharType="begin"/>
      </w:r>
      <w:r>
        <w:instrText xml:space="preserve"> PAGEREF _Toc271200479 \h </w:instrText>
      </w:r>
      <w:r>
        <w:fldChar w:fldCharType="separate"/>
      </w:r>
      <w:r>
        <w:t>79</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_Toc271200481 \h </w:instrText>
      </w:r>
      <w:r>
        <w:fldChar w:fldCharType="separate"/>
      </w:r>
      <w:r>
        <w:t>80</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_Toc271200482 \h </w:instrText>
      </w:r>
      <w:r>
        <w:fldChar w:fldCharType="separate"/>
      </w:r>
      <w:r>
        <w:t>80</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_Toc271200483 \h </w:instrText>
      </w:r>
      <w:r>
        <w:fldChar w:fldCharType="separate"/>
      </w:r>
      <w:r>
        <w:t>80</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_Toc271200484 \h </w:instrText>
      </w:r>
      <w:r>
        <w:fldChar w:fldCharType="separate"/>
      </w:r>
      <w:r>
        <w:t>80</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_Toc271200485 \h </w:instrText>
      </w:r>
      <w:r>
        <w:fldChar w:fldCharType="separate"/>
      </w:r>
      <w:r>
        <w:t>81</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_Toc271200486 \h </w:instrText>
      </w:r>
      <w:r>
        <w:fldChar w:fldCharType="separate"/>
      </w:r>
      <w:r>
        <w:t>81</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_Toc271200488 \h </w:instrText>
      </w:r>
      <w:r>
        <w:fldChar w:fldCharType="separate"/>
      </w:r>
      <w:r>
        <w:t>82</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_Toc271200489 \h </w:instrText>
      </w:r>
      <w:r>
        <w:fldChar w:fldCharType="separate"/>
      </w:r>
      <w:r>
        <w:t>82</w:t>
      </w:r>
      <w:r>
        <w:fldChar w:fldCharType="end"/>
      </w:r>
    </w:p>
    <w:p>
      <w:pPr>
        <w:pStyle w:val="TOC8"/>
        <w:rPr>
          <w:sz w:val="24"/>
          <w:szCs w:val="24"/>
        </w:rPr>
      </w:pPr>
      <w:r>
        <w:rPr>
          <w:szCs w:val="22"/>
        </w:rPr>
        <w:t>3.</w:t>
      </w:r>
      <w:r>
        <w:rPr>
          <w:szCs w:val="22"/>
        </w:rPr>
        <w:tab/>
        <w:t>The Nurses Registration Board continues</w:t>
      </w:r>
      <w:r>
        <w:tab/>
      </w:r>
      <w:r>
        <w:fldChar w:fldCharType="begin"/>
      </w:r>
      <w:r>
        <w:instrText xml:space="preserve"> PAGEREF _Toc271200490 \h </w:instrText>
      </w:r>
      <w:r>
        <w:fldChar w:fldCharType="separate"/>
      </w:r>
      <w:r>
        <w:t>82</w:t>
      </w:r>
      <w:r>
        <w:fldChar w:fldCharType="end"/>
      </w:r>
    </w:p>
    <w:p>
      <w:pPr>
        <w:pStyle w:val="TOC8"/>
        <w:rPr>
          <w:sz w:val="24"/>
          <w:szCs w:val="24"/>
        </w:rPr>
      </w:pPr>
      <w:r>
        <w:rPr>
          <w:szCs w:val="22"/>
        </w:rPr>
        <w:t>4.</w:t>
      </w:r>
      <w:r>
        <w:rPr>
          <w:szCs w:val="22"/>
        </w:rPr>
        <w:tab/>
        <w:t>Board members</w:t>
      </w:r>
      <w:r>
        <w:tab/>
      </w:r>
      <w:r>
        <w:fldChar w:fldCharType="begin"/>
      </w:r>
      <w:r>
        <w:instrText xml:space="preserve"> PAGEREF _Toc271200491 \h </w:instrText>
      </w:r>
      <w:r>
        <w:fldChar w:fldCharType="separate"/>
      </w:r>
      <w:r>
        <w:t>83</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_Toc271200492 \h </w:instrText>
      </w:r>
      <w:r>
        <w:fldChar w:fldCharType="separate"/>
      </w:r>
      <w:r>
        <w:t>83</w:t>
      </w:r>
      <w:r>
        <w:fldChar w:fldCharType="end"/>
      </w:r>
    </w:p>
    <w:p>
      <w:pPr>
        <w:pStyle w:val="TOC8"/>
        <w:rPr>
          <w:sz w:val="24"/>
          <w:szCs w:val="24"/>
        </w:rPr>
      </w:pPr>
      <w:r>
        <w:rPr>
          <w:szCs w:val="22"/>
        </w:rPr>
        <w:t>6.</w:t>
      </w:r>
      <w:r>
        <w:rPr>
          <w:szCs w:val="22"/>
        </w:rPr>
        <w:tab/>
        <w:t>Persons entered in division 1 of the register</w:t>
      </w:r>
      <w:r>
        <w:tab/>
      </w:r>
      <w:r>
        <w:fldChar w:fldCharType="begin"/>
      </w:r>
      <w:r>
        <w:instrText xml:space="preserve"> PAGEREF _Toc271200493 \h </w:instrText>
      </w:r>
      <w:r>
        <w:fldChar w:fldCharType="separate"/>
      </w:r>
      <w:r>
        <w:t>83</w:t>
      </w:r>
      <w:r>
        <w:fldChar w:fldCharType="end"/>
      </w:r>
    </w:p>
    <w:p>
      <w:pPr>
        <w:pStyle w:val="TOC8"/>
        <w:rPr>
          <w:sz w:val="24"/>
          <w:szCs w:val="24"/>
        </w:rPr>
      </w:pPr>
      <w:r>
        <w:rPr>
          <w:szCs w:val="22"/>
        </w:rPr>
        <w:t>7.</w:t>
      </w:r>
      <w:r>
        <w:rPr>
          <w:szCs w:val="22"/>
        </w:rPr>
        <w:tab/>
        <w:t>Persons entered in division 2 of the register under the repealed Act section 34(b)(i)</w:t>
      </w:r>
      <w:r>
        <w:tab/>
      </w:r>
      <w:r>
        <w:fldChar w:fldCharType="begin"/>
      </w:r>
      <w:r>
        <w:instrText xml:space="preserve"> PAGEREF _Toc271200494 \h </w:instrText>
      </w:r>
      <w:r>
        <w:fldChar w:fldCharType="separate"/>
      </w:r>
      <w:r>
        <w:t>84</w:t>
      </w:r>
      <w:r>
        <w:fldChar w:fldCharType="end"/>
      </w:r>
    </w:p>
    <w:p>
      <w:pPr>
        <w:pStyle w:val="TOC8"/>
        <w:rPr>
          <w:sz w:val="24"/>
          <w:szCs w:val="24"/>
        </w:rPr>
      </w:pPr>
      <w:r>
        <w:rPr>
          <w:szCs w:val="22"/>
        </w:rPr>
        <w:t>8.</w:t>
      </w:r>
      <w:r>
        <w:rPr>
          <w:szCs w:val="22"/>
        </w:rPr>
        <w:tab/>
        <w:t>Persons entered in division 2 of the register under the repealed Act section 34(b)(ii)</w:t>
      </w:r>
      <w:r>
        <w:tab/>
      </w:r>
      <w:r>
        <w:fldChar w:fldCharType="begin"/>
      </w:r>
      <w:r>
        <w:instrText xml:space="preserve"> PAGEREF _Toc271200495 \h </w:instrText>
      </w:r>
      <w:r>
        <w:fldChar w:fldCharType="separate"/>
      </w:r>
      <w:r>
        <w:t>85</w:t>
      </w:r>
      <w:r>
        <w:fldChar w:fldCharType="end"/>
      </w:r>
    </w:p>
    <w:p>
      <w:pPr>
        <w:pStyle w:val="TOC8"/>
        <w:rPr>
          <w:sz w:val="24"/>
          <w:szCs w:val="24"/>
        </w:rPr>
      </w:pPr>
      <w:r>
        <w:rPr>
          <w:szCs w:val="22"/>
        </w:rPr>
        <w:t>9.</w:t>
      </w:r>
      <w:r>
        <w:rPr>
          <w:szCs w:val="22"/>
        </w:rPr>
        <w:tab/>
        <w:t>Persons granted honorary or temporary registration under the repealed Act</w:t>
      </w:r>
      <w:r>
        <w:tab/>
      </w:r>
      <w:r>
        <w:fldChar w:fldCharType="begin"/>
      </w:r>
      <w:r>
        <w:instrText xml:space="preserve"> PAGEREF _Toc271200496 \h </w:instrText>
      </w:r>
      <w:r>
        <w:fldChar w:fldCharType="separate"/>
      </w:r>
      <w:r>
        <w:t>85</w:t>
      </w:r>
      <w:r>
        <w:fldChar w:fldCharType="end"/>
      </w:r>
    </w:p>
    <w:p>
      <w:pPr>
        <w:pStyle w:val="TOC8"/>
        <w:rPr>
          <w:sz w:val="24"/>
          <w:szCs w:val="24"/>
        </w:rPr>
      </w:pPr>
      <w:r>
        <w:rPr>
          <w:szCs w:val="22"/>
        </w:rPr>
        <w:t>10.</w:t>
      </w:r>
      <w:r>
        <w:rPr>
          <w:szCs w:val="22"/>
        </w:rPr>
        <w:tab/>
        <w:t>Persons granted provisional registration under the repealed Act</w:t>
      </w:r>
      <w:r>
        <w:tab/>
      </w:r>
      <w:r>
        <w:fldChar w:fldCharType="begin"/>
      </w:r>
      <w:r>
        <w:instrText xml:space="preserve"> PAGEREF _Toc271200497 \h </w:instrText>
      </w:r>
      <w:r>
        <w:fldChar w:fldCharType="separate"/>
      </w:r>
      <w:r>
        <w:t>85</w:t>
      </w:r>
      <w:r>
        <w:fldChar w:fldCharType="end"/>
      </w:r>
    </w:p>
    <w:p>
      <w:pPr>
        <w:pStyle w:val="TOC8"/>
        <w:rPr>
          <w:sz w:val="24"/>
          <w:szCs w:val="24"/>
        </w:rPr>
      </w:pPr>
      <w:r>
        <w:rPr>
          <w:szCs w:val="22"/>
        </w:rPr>
        <w:t>11.</w:t>
      </w:r>
      <w:r>
        <w:rPr>
          <w:szCs w:val="22"/>
        </w:rPr>
        <w:tab/>
        <w:t>Registered body corporate</w:t>
      </w:r>
      <w:r>
        <w:tab/>
      </w:r>
      <w:r>
        <w:fldChar w:fldCharType="begin"/>
      </w:r>
      <w:r>
        <w:instrText xml:space="preserve"> PAGEREF _Toc271200498 \h </w:instrText>
      </w:r>
      <w:r>
        <w:fldChar w:fldCharType="separate"/>
      </w:r>
      <w:r>
        <w:t>86</w:t>
      </w:r>
      <w:r>
        <w:fldChar w:fldCharType="end"/>
      </w:r>
    </w:p>
    <w:p>
      <w:pPr>
        <w:pStyle w:val="TOC8"/>
        <w:rPr>
          <w:sz w:val="24"/>
          <w:szCs w:val="24"/>
        </w:rPr>
      </w:pPr>
      <w:r>
        <w:rPr>
          <w:szCs w:val="22"/>
        </w:rPr>
        <w:t>12.</w:t>
      </w:r>
      <w:r>
        <w:rPr>
          <w:szCs w:val="22"/>
        </w:rPr>
        <w:tab/>
        <w:t>Register</w:t>
      </w:r>
      <w:r>
        <w:tab/>
      </w:r>
      <w:r>
        <w:fldChar w:fldCharType="begin"/>
      </w:r>
      <w:r>
        <w:instrText xml:space="preserve"> PAGEREF _Toc271200499 \h </w:instrText>
      </w:r>
      <w:r>
        <w:fldChar w:fldCharType="separate"/>
      </w:r>
      <w:r>
        <w:t>86</w:t>
      </w:r>
      <w:r>
        <w:fldChar w:fldCharType="end"/>
      </w:r>
    </w:p>
    <w:p>
      <w:pPr>
        <w:pStyle w:val="TOC8"/>
        <w:rPr>
          <w:sz w:val="24"/>
          <w:szCs w:val="24"/>
        </w:rPr>
      </w:pPr>
      <w:r>
        <w:rPr>
          <w:szCs w:val="22"/>
        </w:rPr>
        <w:t>13.</w:t>
      </w:r>
      <w:r>
        <w:rPr>
          <w:szCs w:val="22"/>
        </w:rPr>
        <w:tab/>
        <w:t>Certificates of registration issued under the repealed Act</w:t>
      </w:r>
      <w:r>
        <w:tab/>
      </w:r>
      <w:r>
        <w:fldChar w:fldCharType="begin"/>
      </w:r>
      <w:r>
        <w:instrText xml:space="preserve"> PAGEREF _Toc271200500 \h </w:instrText>
      </w:r>
      <w:r>
        <w:fldChar w:fldCharType="separate"/>
      </w:r>
      <w:r>
        <w:t>86</w:t>
      </w:r>
      <w:r>
        <w:fldChar w:fldCharType="end"/>
      </w:r>
    </w:p>
    <w:p>
      <w:pPr>
        <w:pStyle w:val="TOC8"/>
        <w:rPr>
          <w:sz w:val="24"/>
          <w:szCs w:val="24"/>
        </w:rPr>
      </w:pPr>
      <w:r>
        <w:rPr>
          <w:szCs w:val="22"/>
        </w:rPr>
        <w:t>14.</w:t>
      </w:r>
      <w:r>
        <w:rPr>
          <w:szCs w:val="22"/>
        </w:rPr>
        <w:tab/>
        <w:t>Restoration of certain names to the register</w:t>
      </w:r>
      <w:r>
        <w:tab/>
      </w:r>
      <w:r>
        <w:fldChar w:fldCharType="begin"/>
      </w:r>
      <w:r>
        <w:instrText xml:space="preserve"> PAGEREF _Toc271200501 \h </w:instrText>
      </w:r>
      <w:r>
        <w:fldChar w:fldCharType="separate"/>
      </w:r>
      <w:r>
        <w:t>86</w:t>
      </w:r>
      <w:r>
        <w:fldChar w:fldCharType="end"/>
      </w:r>
    </w:p>
    <w:p>
      <w:pPr>
        <w:pStyle w:val="TOC8"/>
        <w:rPr>
          <w:sz w:val="24"/>
          <w:szCs w:val="24"/>
        </w:rPr>
      </w:pPr>
      <w:r>
        <w:rPr>
          <w:szCs w:val="22"/>
        </w:rPr>
        <w:t>15.</w:t>
      </w:r>
      <w:r>
        <w:rPr>
          <w:szCs w:val="22"/>
        </w:rPr>
        <w:tab/>
        <w:t>Suspensions</w:t>
      </w:r>
      <w:r>
        <w:tab/>
      </w:r>
      <w:r>
        <w:fldChar w:fldCharType="begin"/>
      </w:r>
      <w:r>
        <w:instrText xml:space="preserve"> PAGEREF _Toc271200502 \h </w:instrText>
      </w:r>
      <w:r>
        <w:fldChar w:fldCharType="separate"/>
      </w:r>
      <w:r>
        <w:t>86</w:t>
      </w:r>
      <w:r>
        <w:fldChar w:fldCharType="end"/>
      </w:r>
    </w:p>
    <w:p>
      <w:pPr>
        <w:pStyle w:val="TOC8"/>
        <w:rPr>
          <w:sz w:val="24"/>
          <w:szCs w:val="24"/>
        </w:rPr>
      </w:pPr>
      <w:r>
        <w:rPr>
          <w:szCs w:val="22"/>
        </w:rPr>
        <w:t>16.</w:t>
      </w:r>
      <w:r>
        <w:rPr>
          <w:szCs w:val="22"/>
        </w:rPr>
        <w:tab/>
        <w:t>Undertakings under the repealed Act</w:t>
      </w:r>
      <w:r>
        <w:tab/>
      </w:r>
      <w:r>
        <w:fldChar w:fldCharType="begin"/>
      </w:r>
      <w:r>
        <w:instrText xml:space="preserve"> PAGEREF _Toc271200503 \h </w:instrText>
      </w:r>
      <w:r>
        <w:fldChar w:fldCharType="separate"/>
      </w:r>
      <w:r>
        <w:t>86</w:t>
      </w:r>
      <w:r>
        <w:fldChar w:fldCharType="end"/>
      </w:r>
    </w:p>
    <w:p>
      <w:pPr>
        <w:pStyle w:val="TOC8"/>
        <w:rPr>
          <w:sz w:val="24"/>
          <w:szCs w:val="24"/>
        </w:rPr>
      </w:pPr>
      <w:r>
        <w:rPr>
          <w:szCs w:val="22"/>
        </w:rPr>
        <w:t>17.</w:t>
      </w:r>
      <w:r>
        <w:rPr>
          <w:szCs w:val="22"/>
        </w:rPr>
        <w:tab/>
        <w:t>Interim orders of the former Board</w:t>
      </w:r>
      <w:r>
        <w:tab/>
      </w:r>
      <w:r>
        <w:fldChar w:fldCharType="begin"/>
      </w:r>
      <w:r>
        <w:instrText xml:space="preserve"> PAGEREF _Toc271200504 \h </w:instrText>
      </w:r>
      <w:r>
        <w:fldChar w:fldCharType="separate"/>
      </w:r>
      <w:r>
        <w:t>87</w:t>
      </w:r>
      <w:r>
        <w:fldChar w:fldCharType="end"/>
      </w:r>
    </w:p>
    <w:p>
      <w:pPr>
        <w:pStyle w:val="TOC8"/>
        <w:rPr>
          <w:sz w:val="24"/>
          <w:szCs w:val="24"/>
        </w:rPr>
      </w:pPr>
      <w:r>
        <w:rPr>
          <w:szCs w:val="22"/>
        </w:rPr>
        <w:t>18.</w:t>
      </w:r>
      <w:r>
        <w:rPr>
          <w:szCs w:val="22"/>
        </w:rPr>
        <w:tab/>
        <w:t>Investigations</w:t>
      </w:r>
      <w:r>
        <w:tab/>
      </w:r>
      <w:r>
        <w:fldChar w:fldCharType="begin"/>
      </w:r>
      <w:r>
        <w:instrText xml:space="preserve"> PAGEREF _Toc271200505 \h </w:instrText>
      </w:r>
      <w:r>
        <w:fldChar w:fldCharType="separate"/>
      </w:r>
      <w:r>
        <w:t>87</w:t>
      </w:r>
      <w:r>
        <w:fldChar w:fldCharType="end"/>
      </w:r>
    </w:p>
    <w:p>
      <w:pPr>
        <w:pStyle w:val="TOC8"/>
        <w:rPr>
          <w:sz w:val="24"/>
          <w:szCs w:val="24"/>
        </w:rPr>
      </w:pPr>
      <w:r>
        <w:rPr>
          <w:szCs w:val="22"/>
        </w:rPr>
        <w:t>19.</w:t>
      </w:r>
      <w:r>
        <w:rPr>
          <w:szCs w:val="22"/>
        </w:rPr>
        <w:tab/>
        <w:t>Complaints being dealt with by the former Board</w:t>
      </w:r>
      <w:r>
        <w:tab/>
      </w:r>
      <w:r>
        <w:fldChar w:fldCharType="begin"/>
      </w:r>
      <w:r>
        <w:instrText xml:space="preserve"> PAGEREF _Toc271200506 \h </w:instrText>
      </w:r>
      <w:r>
        <w:fldChar w:fldCharType="separate"/>
      </w:r>
      <w:r>
        <w:t>87</w:t>
      </w:r>
      <w:r>
        <w:fldChar w:fldCharType="end"/>
      </w:r>
    </w:p>
    <w:p>
      <w:pPr>
        <w:pStyle w:val="TOC8"/>
        <w:rPr>
          <w:sz w:val="24"/>
          <w:szCs w:val="24"/>
        </w:rPr>
      </w:pPr>
      <w:r>
        <w:rPr>
          <w:szCs w:val="22"/>
        </w:rPr>
        <w:t>20.</w:t>
      </w:r>
      <w:r>
        <w:rPr>
          <w:szCs w:val="22"/>
        </w:rPr>
        <w:tab/>
        <w:t>Matters referred to the professional standards committee</w:t>
      </w:r>
      <w:r>
        <w:tab/>
      </w:r>
      <w:r>
        <w:fldChar w:fldCharType="begin"/>
      </w:r>
      <w:r>
        <w:instrText xml:space="preserve"> PAGEREF _Toc271200507 \h </w:instrText>
      </w:r>
      <w:r>
        <w:fldChar w:fldCharType="separate"/>
      </w:r>
      <w:r>
        <w:t>87</w:t>
      </w:r>
      <w:r>
        <w:fldChar w:fldCharType="end"/>
      </w:r>
    </w:p>
    <w:p>
      <w:pPr>
        <w:pStyle w:val="TOC8"/>
        <w:rPr>
          <w:sz w:val="24"/>
          <w:szCs w:val="24"/>
        </w:rPr>
      </w:pPr>
      <w:r>
        <w:rPr>
          <w:szCs w:val="22"/>
        </w:rPr>
        <w:t>21.</w:t>
      </w:r>
      <w:r>
        <w:rPr>
          <w:szCs w:val="22"/>
        </w:rPr>
        <w:tab/>
        <w:t>Matters being dealt with by the presiding member of the former Board</w:t>
      </w:r>
      <w:r>
        <w:tab/>
      </w:r>
      <w:r>
        <w:fldChar w:fldCharType="begin"/>
      </w:r>
      <w:r>
        <w:instrText xml:space="preserve"> PAGEREF _Toc271200508 \h </w:instrText>
      </w:r>
      <w:r>
        <w:fldChar w:fldCharType="separate"/>
      </w:r>
      <w:r>
        <w:t>87</w:t>
      </w:r>
      <w:r>
        <w:fldChar w:fldCharType="end"/>
      </w:r>
    </w:p>
    <w:p>
      <w:pPr>
        <w:pStyle w:val="TOC8"/>
        <w:rPr>
          <w:sz w:val="24"/>
          <w:szCs w:val="24"/>
        </w:rPr>
      </w:pPr>
      <w:r>
        <w:rPr>
          <w:szCs w:val="22"/>
        </w:rPr>
        <w:t>22.</w:t>
      </w:r>
      <w:r>
        <w:rPr>
          <w:szCs w:val="22"/>
        </w:rPr>
        <w:tab/>
        <w:t>Failure to comply with an order made under the repealed Act</w:t>
      </w:r>
      <w:r>
        <w:tab/>
      </w:r>
      <w:r>
        <w:fldChar w:fldCharType="begin"/>
      </w:r>
      <w:r>
        <w:instrText xml:space="preserve"> PAGEREF _Toc271200509 \h </w:instrText>
      </w:r>
      <w:r>
        <w:fldChar w:fldCharType="separate"/>
      </w:r>
      <w:r>
        <w:t>88</w:t>
      </w:r>
      <w:r>
        <w:fldChar w:fldCharType="end"/>
      </w:r>
    </w:p>
    <w:p>
      <w:pPr>
        <w:pStyle w:val="TOC8"/>
        <w:rPr>
          <w:sz w:val="24"/>
          <w:szCs w:val="24"/>
        </w:rPr>
      </w:pPr>
      <w:r>
        <w:rPr>
          <w:szCs w:val="22"/>
        </w:rPr>
        <w:t>23.</w:t>
      </w:r>
      <w:r>
        <w:rPr>
          <w:szCs w:val="22"/>
        </w:rPr>
        <w:tab/>
        <w:t>Codes of practice</w:t>
      </w:r>
      <w:r>
        <w:tab/>
      </w:r>
      <w:r>
        <w:fldChar w:fldCharType="begin"/>
      </w:r>
      <w:r>
        <w:instrText xml:space="preserve"> PAGEREF _Toc271200510 \h </w:instrText>
      </w:r>
      <w:r>
        <w:fldChar w:fldCharType="separate"/>
      </w:r>
      <w:r>
        <w:t>88</w:t>
      </w:r>
      <w:r>
        <w:fldChar w:fldCharType="end"/>
      </w:r>
    </w:p>
    <w:p>
      <w:pPr>
        <w:pStyle w:val="TOC8"/>
        <w:rPr>
          <w:sz w:val="24"/>
          <w:szCs w:val="24"/>
        </w:rPr>
      </w:pPr>
      <w:r>
        <w:rPr>
          <w:szCs w:val="22"/>
        </w:rPr>
        <w:t>24.</w:t>
      </w:r>
      <w:r>
        <w:rPr>
          <w:szCs w:val="22"/>
        </w:rPr>
        <w:tab/>
        <w:t>Annual report for part of a year</w:t>
      </w:r>
      <w:r>
        <w:tab/>
      </w:r>
      <w:r>
        <w:fldChar w:fldCharType="begin"/>
      </w:r>
      <w:r>
        <w:instrText xml:space="preserve"> PAGEREF _Toc271200511 \h </w:instrText>
      </w:r>
      <w:r>
        <w:fldChar w:fldCharType="separate"/>
      </w:r>
      <w:r>
        <w:t>88</w:t>
      </w:r>
      <w:r>
        <w:fldChar w:fldCharType="end"/>
      </w:r>
    </w:p>
    <w:p>
      <w:pPr>
        <w:pStyle w:val="TOC8"/>
        <w:rPr>
          <w:sz w:val="24"/>
          <w:szCs w:val="24"/>
        </w:rPr>
      </w:pPr>
      <w:r>
        <w:rPr>
          <w:szCs w:val="22"/>
        </w:rPr>
        <w:t>25.</w:t>
      </w:r>
      <w:r>
        <w:rPr>
          <w:szCs w:val="22"/>
        </w:rPr>
        <w:tab/>
        <w:t>Powers in relation to transitional provision</w:t>
      </w:r>
      <w:r>
        <w:tab/>
      </w:r>
      <w:r>
        <w:fldChar w:fldCharType="begin"/>
      </w:r>
      <w:r>
        <w:instrText xml:space="preserve"> PAGEREF _Toc271200512 \h </w:instrText>
      </w:r>
      <w:r>
        <w:fldChar w:fldCharType="separate"/>
      </w:r>
      <w:r>
        <w:t>88</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iCs/>
          <w:szCs w:val="22"/>
        </w:rPr>
        <w:t xml:space="preserve">Blood Donation (Limitation of Liability) Act 1985 </w:t>
      </w:r>
      <w:r>
        <w:rPr>
          <w:szCs w:val="22"/>
        </w:rPr>
        <w:t>amended</w:t>
      </w:r>
      <w:r>
        <w:tab/>
      </w:r>
      <w:r>
        <w:fldChar w:fldCharType="begin"/>
      </w:r>
      <w:r>
        <w:instrText xml:space="preserve"> PAGEREF _Toc271200514 \h </w:instrText>
      </w:r>
      <w:r>
        <w:fldChar w:fldCharType="separate"/>
      </w:r>
      <w:r>
        <w:t>90</w:t>
      </w:r>
      <w:r>
        <w:fldChar w:fldCharType="end"/>
      </w:r>
    </w:p>
    <w:p>
      <w:pPr>
        <w:pStyle w:val="TOC8"/>
        <w:rPr>
          <w:sz w:val="24"/>
          <w:szCs w:val="24"/>
        </w:rPr>
      </w:pPr>
      <w:r>
        <w:rPr>
          <w:szCs w:val="22"/>
        </w:rPr>
        <w:t>2.</w:t>
      </w:r>
      <w:r>
        <w:rPr>
          <w:szCs w:val="22"/>
        </w:rPr>
        <w:tab/>
      </w:r>
      <w:r>
        <w:rPr>
          <w:i/>
          <w:iCs/>
          <w:szCs w:val="22"/>
        </w:rPr>
        <w:t xml:space="preserve">Civil Liability Act 2002 </w:t>
      </w:r>
      <w:r>
        <w:rPr>
          <w:szCs w:val="22"/>
        </w:rPr>
        <w:t>amended</w:t>
      </w:r>
      <w:r>
        <w:tab/>
      </w:r>
      <w:r>
        <w:fldChar w:fldCharType="begin"/>
      </w:r>
      <w:r>
        <w:instrText xml:space="preserve"> PAGEREF _Toc271200515 \h </w:instrText>
      </w:r>
      <w:r>
        <w:fldChar w:fldCharType="separate"/>
      </w:r>
      <w:r>
        <w:t>90</w:t>
      </w:r>
      <w:r>
        <w:fldChar w:fldCharType="end"/>
      </w:r>
    </w:p>
    <w:p>
      <w:pPr>
        <w:pStyle w:val="TOC8"/>
        <w:rPr>
          <w:sz w:val="24"/>
          <w:szCs w:val="24"/>
        </w:rPr>
      </w:pPr>
      <w:r>
        <w:rPr>
          <w:szCs w:val="22"/>
        </w:rPr>
        <w:t>3.</w:t>
      </w:r>
      <w:r>
        <w:rPr>
          <w:szCs w:val="22"/>
        </w:rPr>
        <w:tab/>
      </w:r>
      <w:r>
        <w:rPr>
          <w:i/>
          <w:iCs/>
          <w:szCs w:val="22"/>
        </w:rPr>
        <w:t>Constitution Acts Amendment Act 1899</w:t>
      </w:r>
      <w:r>
        <w:rPr>
          <w:szCs w:val="22"/>
        </w:rPr>
        <w:t xml:space="preserve"> amended</w:t>
      </w:r>
      <w:r>
        <w:tab/>
      </w:r>
      <w:r>
        <w:fldChar w:fldCharType="begin"/>
      </w:r>
      <w:r>
        <w:instrText xml:space="preserve"> PAGEREF _Toc271200516 \h </w:instrText>
      </w:r>
      <w:r>
        <w:fldChar w:fldCharType="separate"/>
      </w:r>
      <w:r>
        <w:t>90</w:t>
      </w:r>
      <w:r>
        <w:fldChar w:fldCharType="end"/>
      </w:r>
    </w:p>
    <w:p>
      <w:pPr>
        <w:pStyle w:val="TOC8"/>
        <w:rPr>
          <w:sz w:val="24"/>
          <w:szCs w:val="24"/>
        </w:rPr>
      </w:pPr>
      <w:r>
        <w:rPr>
          <w:szCs w:val="22"/>
        </w:rPr>
        <w:t>4.</w:t>
      </w:r>
      <w:r>
        <w:rPr>
          <w:szCs w:val="22"/>
        </w:rPr>
        <w:tab/>
      </w:r>
      <w:r>
        <w:rPr>
          <w:i/>
          <w:szCs w:val="22"/>
        </w:rPr>
        <w:t>Corruption and Crime Commission Act 2003</w:t>
      </w:r>
      <w:r>
        <w:rPr>
          <w:iCs/>
          <w:szCs w:val="22"/>
        </w:rPr>
        <w:t xml:space="preserve"> amended</w:t>
      </w:r>
      <w:r>
        <w:tab/>
      </w:r>
      <w:r>
        <w:fldChar w:fldCharType="begin"/>
      </w:r>
      <w:r>
        <w:instrText xml:space="preserve"> PAGEREF _Toc271200517 \h </w:instrText>
      </w:r>
      <w:r>
        <w:fldChar w:fldCharType="separate"/>
      </w:r>
      <w:r>
        <w:t>91</w:t>
      </w:r>
      <w:r>
        <w:fldChar w:fldCharType="end"/>
      </w:r>
    </w:p>
    <w:p>
      <w:pPr>
        <w:pStyle w:val="TOC8"/>
        <w:rPr>
          <w:sz w:val="24"/>
          <w:szCs w:val="24"/>
        </w:rPr>
      </w:pPr>
      <w:r>
        <w:rPr>
          <w:szCs w:val="22"/>
        </w:rPr>
        <w:t>5.</w:t>
      </w:r>
      <w:r>
        <w:rPr>
          <w:szCs w:val="22"/>
        </w:rPr>
        <w:tab/>
      </w:r>
      <w:r>
        <w:rPr>
          <w:i/>
          <w:iCs/>
          <w:szCs w:val="22"/>
        </w:rPr>
        <w:t>Court Security and Custodial Services Act 1999</w:t>
      </w:r>
      <w:r>
        <w:rPr>
          <w:szCs w:val="22"/>
        </w:rPr>
        <w:t xml:space="preserve"> amended</w:t>
      </w:r>
      <w:r>
        <w:tab/>
      </w:r>
      <w:r>
        <w:fldChar w:fldCharType="begin"/>
      </w:r>
      <w:r>
        <w:instrText xml:space="preserve"> PAGEREF _Toc271200518 \h </w:instrText>
      </w:r>
      <w:r>
        <w:fldChar w:fldCharType="separate"/>
      </w:r>
      <w:r>
        <w:t>91</w:t>
      </w:r>
      <w:r>
        <w:fldChar w:fldCharType="end"/>
      </w:r>
    </w:p>
    <w:p>
      <w:pPr>
        <w:pStyle w:val="TOC8"/>
        <w:rPr>
          <w:sz w:val="24"/>
          <w:szCs w:val="24"/>
        </w:rPr>
      </w:pPr>
      <w:r>
        <w:rPr>
          <w:szCs w:val="22"/>
        </w:rPr>
        <w:t>6.</w:t>
      </w:r>
      <w:r>
        <w:rPr>
          <w:szCs w:val="22"/>
        </w:rPr>
        <w:tab/>
      </w:r>
      <w:r>
        <w:rPr>
          <w:i/>
          <w:iCs/>
          <w:szCs w:val="22"/>
        </w:rPr>
        <w:t>The Criminal Code</w:t>
      </w:r>
      <w:r>
        <w:rPr>
          <w:szCs w:val="22"/>
        </w:rPr>
        <w:t xml:space="preserve"> amended</w:t>
      </w:r>
      <w:r>
        <w:tab/>
      </w:r>
      <w:r>
        <w:fldChar w:fldCharType="begin"/>
      </w:r>
      <w:r>
        <w:instrText xml:space="preserve"> PAGEREF _Toc271200519 \h </w:instrText>
      </w:r>
      <w:r>
        <w:fldChar w:fldCharType="separate"/>
      </w:r>
      <w:r>
        <w:t>92</w:t>
      </w:r>
      <w:r>
        <w:fldChar w:fldCharType="end"/>
      </w:r>
    </w:p>
    <w:p>
      <w:pPr>
        <w:pStyle w:val="TOC8"/>
        <w:rPr>
          <w:sz w:val="24"/>
          <w:szCs w:val="24"/>
        </w:rPr>
      </w:pPr>
      <w:r>
        <w:rPr>
          <w:szCs w:val="22"/>
        </w:rPr>
        <w:t>7.</w:t>
      </w:r>
      <w:r>
        <w:rPr>
          <w:szCs w:val="22"/>
        </w:rPr>
        <w:tab/>
      </w:r>
      <w:r>
        <w:rPr>
          <w:i/>
          <w:szCs w:val="22"/>
        </w:rPr>
        <w:t>Criminal Investigation (Identifying People) Act 2002</w:t>
      </w:r>
      <w:r>
        <w:rPr>
          <w:iCs/>
          <w:szCs w:val="22"/>
        </w:rPr>
        <w:t xml:space="preserve"> amended</w:t>
      </w:r>
      <w:r>
        <w:tab/>
      </w:r>
      <w:r>
        <w:fldChar w:fldCharType="begin"/>
      </w:r>
      <w:r>
        <w:instrText xml:space="preserve"> PAGEREF _Toc271200520 \h </w:instrText>
      </w:r>
      <w:r>
        <w:fldChar w:fldCharType="separate"/>
      </w:r>
      <w:r>
        <w:t>92</w:t>
      </w:r>
      <w:r>
        <w:fldChar w:fldCharType="end"/>
      </w:r>
    </w:p>
    <w:p>
      <w:pPr>
        <w:pStyle w:val="TOC8"/>
        <w:rPr>
          <w:sz w:val="24"/>
          <w:szCs w:val="24"/>
        </w:rPr>
      </w:pPr>
      <w:r>
        <w:rPr>
          <w:szCs w:val="22"/>
        </w:rPr>
        <w:t>8.</w:t>
      </w:r>
      <w:r>
        <w:rPr>
          <w:szCs w:val="22"/>
        </w:rPr>
        <w:tab/>
      </w:r>
      <w:r>
        <w:rPr>
          <w:i/>
          <w:szCs w:val="22"/>
        </w:rPr>
        <w:t>Firearms Act 1973</w:t>
      </w:r>
      <w:r>
        <w:rPr>
          <w:szCs w:val="22"/>
        </w:rPr>
        <w:t xml:space="preserve"> amended</w:t>
      </w:r>
      <w:r>
        <w:tab/>
      </w:r>
      <w:r>
        <w:fldChar w:fldCharType="begin"/>
      </w:r>
      <w:r>
        <w:instrText xml:space="preserve"> PAGEREF _Toc271200521 \h </w:instrText>
      </w:r>
      <w:r>
        <w:fldChar w:fldCharType="separate"/>
      </w:r>
      <w:r>
        <w:t>92</w:t>
      </w:r>
      <w:r>
        <w:fldChar w:fldCharType="end"/>
      </w:r>
    </w:p>
    <w:p>
      <w:pPr>
        <w:pStyle w:val="TOC8"/>
        <w:rPr>
          <w:sz w:val="24"/>
          <w:szCs w:val="24"/>
        </w:rPr>
      </w:pPr>
      <w:r>
        <w:rPr>
          <w:szCs w:val="22"/>
        </w:rPr>
        <w:t>9.</w:t>
      </w:r>
      <w:r>
        <w:rPr>
          <w:szCs w:val="22"/>
        </w:rPr>
        <w:tab/>
      </w:r>
      <w:r>
        <w:rPr>
          <w:i/>
          <w:iCs/>
          <w:szCs w:val="22"/>
        </w:rPr>
        <w:t>Health Act 1911</w:t>
      </w:r>
      <w:r>
        <w:rPr>
          <w:szCs w:val="22"/>
        </w:rPr>
        <w:t xml:space="preserve"> amended</w:t>
      </w:r>
      <w:r>
        <w:tab/>
      </w:r>
      <w:r>
        <w:fldChar w:fldCharType="begin"/>
      </w:r>
      <w:r>
        <w:instrText xml:space="preserve"> PAGEREF _Toc271200522 \h </w:instrText>
      </w:r>
      <w:r>
        <w:fldChar w:fldCharType="separate"/>
      </w:r>
      <w:r>
        <w:t>92</w:t>
      </w:r>
      <w:r>
        <w:fldChar w:fldCharType="end"/>
      </w:r>
    </w:p>
    <w:p>
      <w:pPr>
        <w:pStyle w:val="TOC8"/>
        <w:rPr>
          <w:sz w:val="24"/>
          <w:szCs w:val="24"/>
        </w:rPr>
      </w:pPr>
      <w:r>
        <w:rPr>
          <w:szCs w:val="22"/>
        </w:rPr>
        <w:t>10.</w:t>
      </w:r>
      <w:r>
        <w:rPr>
          <w:szCs w:val="22"/>
        </w:rPr>
        <w:tab/>
      </w:r>
      <w:r>
        <w:rPr>
          <w:i/>
          <w:iCs/>
          <w:szCs w:val="22"/>
        </w:rPr>
        <w:t xml:space="preserve">Health </w:t>
      </w:r>
      <w:r>
        <w:rPr>
          <w:i/>
          <w:szCs w:val="22"/>
        </w:rPr>
        <w:t xml:space="preserve">Professionals (Special Events Exemption) Act 2000 </w:t>
      </w:r>
      <w:r>
        <w:rPr>
          <w:szCs w:val="22"/>
        </w:rPr>
        <w:t>amended</w:t>
      </w:r>
      <w:r>
        <w:tab/>
      </w:r>
      <w:r>
        <w:fldChar w:fldCharType="begin"/>
      </w:r>
      <w:r>
        <w:instrText xml:space="preserve"> PAGEREF _Toc271200523 \h </w:instrText>
      </w:r>
      <w:r>
        <w:fldChar w:fldCharType="separate"/>
      </w:r>
      <w:r>
        <w:t>93</w:t>
      </w:r>
      <w:r>
        <w:fldChar w:fldCharType="end"/>
      </w:r>
    </w:p>
    <w:p>
      <w:pPr>
        <w:pStyle w:val="TOC8"/>
        <w:rPr>
          <w:sz w:val="24"/>
          <w:szCs w:val="24"/>
        </w:rPr>
      </w:pPr>
      <w:r>
        <w:rPr>
          <w:szCs w:val="22"/>
        </w:rPr>
        <w:t>11.</w:t>
      </w:r>
      <w:r>
        <w:rPr>
          <w:szCs w:val="22"/>
        </w:rPr>
        <w:tab/>
      </w:r>
      <w:r>
        <w:rPr>
          <w:i/>
          <w:iCs/>
          <w:szCs w:val="22"/>
        </w:rPr>
        <w:t xml:space="preserve">Health </w:t>
      </w:r>
      <w:r>
        <w:rPr>
          <w:i/>
          <w:szCs w:val="22"/>
        </w:rPr>
        <w:t>Services (Conciliation and Review) Act 1995</w:t>
      </w:r>
      <w:r>
        <w:rPr>
          <w:szCs w:val="22"/>
        </w:rPr>
        <w:t xml:space="preserve"> amended</w:t>
      </w:r>
      <w:r>
        <w:tab/>
      </w:r>
      <w:r>
        <w:fldChar w:fldCharType="begin"/>
      </w:r>
      <w:r>
        <w:instrText xml:space="preserve"> PAGEREF _Toc271200524 \h </w:instrText>
      </w:r>
      <w:r>
        <w:fldChar w:fldCharType="separate"/>
      </w:r>
      <w:r>
        <w:t>93</w:t>
      </w:r>
      <w:r>
        <w:fldChar w:fldCharType="end"/>
      </w:r>
    </w:p>
    <w:p>
      <w:pPr>
        <w:pStyle w:val="TOC8"/>
        <w:rPr>
          <w:sz w:val="24"/>
          <w:szCs w:val="24"/>
        </w:rPr>
      </w:pPr>
      <w:r>
        <w:rPr>
          <w:szCs w:val="22"/>
        </w:rPr>
        <w:t>12.</w:t>
      </w:r>
      <w:r>
        <w:rPr>
          <w:szCs w:val="22"/>
        </w:rPr>
        <w:tab/>
      </w:r>
      <w:r>
        <w:rPr>
          <w:i/>
          <w:iCs/>
          <w:szCs w:val="22"/>
        </w:rPr>
        <w:t xml:space="preserve">Juries </w:t>
      </w:r>
      <w:r>
        <w:rPr>
          <w:i/>
          <w:szCs w:val="22"/>
        </w:rPr>
        <w:t>Act 1957</w:t>
      </w:r>
      <w:r>
        <w:rPr>
          <w:szCs w:val="22"/>
        </w:rPr>
        <w:t xml:space="preserve"> amended</w:t>
      </w:r>
      <w:r>
        <w:tab/>
      </w:r>
      <w:r>
        <w:fldChar w:fldCharType="begin"/>
      </w:r>
      <w:r>
        <w:instrText xml:space="preserve"> PAGEREF _Toc271200525 \h </w:instrText>
      </w:r>
      <w:r>
        <w:fldChar w:fldCharType="separate"/>
      </w:r>
      <w:r>
        <w:t>93</w:t>
      </w:r>
      <w:r>
        <w:fldChar w:fldCharType="end"/>
      </w:r>
    </w:p>
    <w:p>
      <w:pPr>
        <w:pStyle w:val="TOC8"/>
        <w:rPr>
          <w:sz w:val="24"/>
          <w:szCs w:val="24"/>
        </w:rPr>
      </w:pPr>
      <w:r>
        <w:rPr>
          <w:szCs w:val="22"/>
        </w:rPr>
        <w:t>13.</w:t>
      </w:r>
      <w:r>
        <w:rPr>
          <w:szCs w:val="22"/>
        </w:rPr>
        <w:tab/>
      </w:r>
      <w:r>
        <w:rPr>
          <w:i/>
          <w:szCs w:val="22"/>
        </w:rPr>
        <w:t>Medical Act 1894</w:t>
      </w:r>
      <w:r>
        <w:rPr>
          <w:szCs w:val="22"/>
        </w:rPr>
        <w:t xml:space="preserve"> amended</w:t>
      </w:r>
      <w:r>
        <w:tab/>
      </w:r>
      <w:r>
        <w:fldChar w:fldCharType="begin"/>
      </w:r>
      <w:r>
        <w:instrText xml:space="preserve"> PAGEREF _Toc271200526 \h </w:instrText>
      </w:r>
      <w:r>
        <w:fldChar w:fldCharType="separate"/>
      </w:r>
      <w:r>
        <w:t>94</w:t>
      </w:r>
      <w:r>
        <w:fldChar w:fldCharType="end"/>
      </w:r>
    </w:p>
    <w:p>
      <w:pPr>
        <w:pStyle w:val="TOC8"/>
        <w:rPr>
          <w:sz w:val="24"/>
          <w:szCs w:val="24"/>
        </w:rPr>
      </w:pPr>
      <w:r>
        <w:rPr>
          <w:szCs w:val="22"/>
        </w:rPr>
        <w:t>14.</w:t>
      </w:r>
      <w:r>
        <w:rPr>
          <w:szCs w:val="22"/>
        </w:rPr>
        <w:tab/>
      </w:r>
      <w:r>
        <w:rPr>
          <w:i/>
          <w:iCs/>
          <w:szCs w:val="22"/>
        </w:rPr>
        <w:t>Mental Health Act 1996</w:t>
      </w:r>
      <w:r>
        <w:rPr>
          <w:szCs w:val="22"/>
        </w:rPr>
        <w:t xml:space="preserve"> amended</w:t>
      </w:r>
      <w:r>
        <w:tab/>
      </w:r>
      <w:r>
        <w:fldChar w:fldCharType="begin"/>
      </w:r>
      <w:r>
        <w:instrText xml:space="preserve"> PAGEREF _Toc271200527 \h </w:instrText>
      </w:r>
      <w:r>
        <w:fldChar w:fldCharType="separate"/>
      </w:r>
      <w:r>
        <w:t>94</w:t>
      </w:r>
      <w:r>
        <w:fldChar w:fldCharType="end"/>
      </w:r>
    </w:p>
    <w:p>
      <w:pPr>
        <w:pStyle w:val="TOC8"/>
        <w:rPr>
          <w:sz w:val="24"/>
          <w:szCs w:val="24"/>
        </w:rPr>
      </w:pPr>
      <w:r>
        <w:rPr>
          <w:szCs w:val="22"/>
        </w:rPr>
        <w:t>15.</w:t>
      </w:r>
      <w:r>
        <w:rPr>
          <w:szCs w:val="22"/>
        </w:rPr>
        <w:tab/>
      </w:r>
      <w:r>
        <w:rPr>
          <w:i/>
          <w:iCs/>
          <w:szCs w:val="22"/>
        </w:rPr>
        <w:t>Misuse of Drugs Act 1981</w:t>
      </w:r>
      <w:r>
        <w:rPr>
          <w:szCs w:val="22"/>
        </w:rPr>
        <w:t xml:space="preserve"> amended</w:t>
      </w:r>
      <w:r>
        <w:tab/>
      </w:r>
      <w:r>
        <w:fldChar w:fldCharType="begin"/>
      </w:r>
      <w:r>
        <w:instrText xml:space="preserve"> PAGEREF _Toc271200528 \h </w:instrText>
      </w:r>
      <w:r>
        <w:fldChar w:fldCharType="separate"/>
      </w:r>
      <w:r>
        <w:t>94</w:t>
      </w:r>
      <w:r>
        <w:fldChar w:fldCharType="end"/>
      </w:r>
    </w:p>
    <w:p>
      <w:pPr>
        <w:pStyle w:val="TOC8"/>
        <w:rPr>
          <w:sz w:val="24"/>
          <w:szCs w:val="24"/>
        </w:rPr>
      </w:pPr>
      <w:r>
        <w:rPr>
          <w:szCs w:val="22"/>
        </w:rPr>
        <w:t>16.</w:t>
      </w:r>
      <w:r>
        <w:rPr>
          <w:szCs w:val="22"/>
        </w:rPr>
        <w:tab/>
      </w:r>
      <w:r>
        <w:rPr>
          <w:i/>
          <w:iCs/>
          <w:szCs w:val="22"/>
        </w:rPr>
        <w:t>Pharmacy Act 1964</w:t>
      </w:r>
      <w:r>
        <w:rPr>
          <w:szCs w:val="22"/>
        </w:rPr>
        <w:t xml:space="preserve"> amended</w:t>
      </w:r>
      <w:r>
        <w:tab/>
      </w:r>
      <w:r>
        <w:fldChar w:fldCharType="begin"/>
      </w:r>
      <w:r>
        <w:instrText xml:space="preserve"> PAGEREF _Toc271200529 \h </w:instrText>
      </w:r>
      <w:r>
        <w:fldChar w:fldCharType="separate"/>
      </w:r>
      <w:r>
        <w:t>95</w:t>
      </w:r>
      <w:r>
        <w:fldChar w:fldCharType="end"/>
      </w:r>
    </w:p>
    <w:p>
      <w:pPr>
        <w:pStyle w:val="TOC8"/>
        <w:rPr>
          <w:sz w:val="24"/>
          <w:szCs w:val="24"/>
        </w:rPr>
      </w:pPr>
      <w:r>
        <w:rPr>
          <w:szCs w:val="22"/>
        </w:rPr>
        <w:t>17.</w:t>
      </w:r>
      <w:r>
        <w:rPr>
          <w:szCs w:val="22"/>
        </w:rPr>
        <w:tab/>
      </w:r>
      <w:r>
        <w:rPr>
          <w:i/>
          <w:iCs/>
          <w:szCs w:val="22"/>
        </w:rPr>
        <w:t>Poisons Act 1964</w:t>
      </w:r>
      <w:r>
        <w:rPr>
          <w:szCs w:val="22"/>
        </w:rPr>
        <w:t xml:space="preserve"> amended</w:t>
      </w:r>
      <w:r>
        <w:tab/>
      </w:r>
      <w:r>
        <w:fldChar w:fldCharType="begin"/>
      </w:r>
      <w:r>
        <w:instrText xml:space="preserve"> PAGEREF _Toc271200530 \h </w:instrText>
      </w:r>
      <w:r>
        <w:fldChar w:fldCharType="separate"/>
      </w:r>
      <w:r>
        <w:t>95</w:t>
      </w:r>
      <w:r>
        <w:fldChar w:fldCharType="end"/>
      </w:r>
    </w:p>
    <w:p>
      <w:pPr>
        <w:pStyle w:val="TOC8"/>
        <w:rPr>
          <w:sz w:val="24"/>
          <w:szCs w:val="24"/>
        </w:rPr>
      </w:pPr>
      <w:r>
        <w:rPr>
          <w:szCs w:val="22"/>
        </w:rPr>
        <w:t>18.</w:t>
      </w:r>
      <w:r>
        <w:rPr>
          <w:szCs w:val="22"/>
        </w:rPr>
        <w:tab/>
      </w:r>
      <w:r>
        <w:rPr>
          <w:i/>
          <w:iCs/>
          <w:szCs w:val="22"/>
        </w:rPr>
        <w:t>Prostitution Act 2000</w:t>
      </w:r>
      <w:r>
        <w:rPr>
          <w:szCs w:val="22"/>
        </w:rPr>
        <w:t xml:space="preserve"> amended</w:t>
      </w:r>
      <w:r>
        <w:tab/>
      </w:r>
      <w:r>
        <w:fldChar w:fldCharType="begin"/>
      </w:r>
      <w:r>
        <w:instrText xml:space="preserve"> PAGEREF _Toc271200531 \h </w:instrText>
      </w:r>
      <w:r>
        <w:fldChar w:fldCharType="separate"/>
      </w:r>
      <w:r>
        <w:t>96</w:t>
      </w:r>
      <w:r>
        <w:fldChar w:fldCharType="end"/>
      </w:r>
    </w:p>
    <w:p>
      <w:pPr>
        <w:pStyle w:val="TOC8"/>
        <w:rPr>
          <w:sz w:val="24"/>
          <w:szCs w:val="24"/>
        </w:rPr>
      </w:pPr>
      <w:r>
        <w:rPr>
          <w:szCs w:val="22"/>
        </w:rPr>
        <w:t>19.</w:t>
      </w:r>
      <w:r>
        <w:rPr>
          <w:szCs w:val="22"/>
        </w:rPr>
        <w:tab/>
      </w:r>
      <w:r>
        <w:rPr>
          <w:i/>
          <w:iCs/>
          <w:szCs w:val="22"/>
        </w:rPr>
        <w:t>Radiation Safety Act 1975</w:t>
      </w:r>
      <w:r>
        <w:rPr>
          <w:szCs w:val="22"/>
        </w:rPr>
        <w:t xml:space="preserve"> amended</w:t>
      </w:r>
      <w:r>
        <w:tab/>
      </w:r>
      <w:r>
        <w:fldChar w:fldCharType="begin"/>
      </w:r>
      <w:r>
        <w:instrText xml:space="preserve"> PAGEREF _Toc271200532 \h </w:instrText>
      </w:r>
      <w:r>
        <w:fldChar w:fldCharType="separate"/>
      </w:r>
      <w:r>
        <w:t>96</w:t>
      </w:r>
      <w:r>
        <w:fldChar w:fldCharType="end"/>
      </w:r>
    </w:p>
    <w:p>
      <w:pPr>
        <w:pStyle w:val="TOC8"/>
        <w:rPr>
          <w:sz w:val="24"/>
          <w:szCs w:val="24"/>
        </w:rPr>
      </w:pPr>
      <w:r>
        <w:rPr>
          <w:szCs w:val="22"/>
        </w:rPr>
        <w:t>20.</w:t>
      </w:r>
      <w:r>
        <w:rPr>
          <w:szCs w:val="22"/>
        </w:rPr>
        <w:tab/>
      </w:r>
      <w:r>
        <w:rPr>
          <w:i/>
          <w:iCs/>
          <w:szCs w:val="22"/>
        </w:rPr>
        <w:t>Road Traffic Act 1974</w:t>
      </w:r>
      <w:r>
        <w:rPr>
          <w:szCs w:val="22"/>
        </w:rPr>
        <w:t xml:space="preserve"> amended</w:t>
      </w:r>
      <w:r>
        <w:tab/>
      </w:r>
      <w:r>
        <w:fldChar w:fldCharType="begin"/>
      </w:r>
      <w:r>
        <w:instrText xml:space="preserve"> PAGEREF _Toc271200533 \h </w:instrText>
      </w:r>
      <w:r>
        <w:fldChar w:fldCharType="separate"/>
      </w:r>
      <w:r>
        <w:t>96</w:t>
      </w:r>
      <w:r>
        <w:fldChar w:fldCharType="end"/>
      </w:r>
    </w:p>
    <w:p>
      <w:pPr>
        <w:pStyle w:val="TOC8"/>
        <w:rPr>
          <w:sz w:val="24"/>
          <w:szCs w:val="24"/>
        </w:rPr>
      </w:pPr>
      <w:r>
        <w:rPr>
          <w:szCs w:val="22"/>
        </w:rPr>
        <w:t>21.</w:t>
      </w:r>
      <w:r>
        <w:rPr>
          <w:szCs w:val="22"/>
        </w:rPr>
        <w:tab/>
      </w:r>
      <w:r>
        <w:rPr>
          <w:i/>
          <w:szCs w:val="22"/>
        </w:rPr>
        <w:t xml:space="preserve">State Administrative Tribunal Act 2004 </w:t>
      </w:r>
      <w:r>
        <w:rPr>
          <w:szCs w:val="22"/>
        </w:rPr>
        <w:t>amended</w:t>
      </w:r>
      <w:r>
        <w:tab/>
      </w:r>
      <w:r>
        <w:fldChar w:fldCharType="begin"/>
      </w:r>
      <w:r>
        <w:instrText xml:space="preserve"> PAGEREF _Toc271200534 \h </w:instrText>
      </w:r>
      <w:r>
        <w:fldChar w:fldCharType="separate"/>
      </w:r>
      <w:r>
        <w:t>97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_Toc271200536 \h </w:instrText>
      </w:r>
      <w:r>
        <w:fldChar w:fldCharType="separate"/>
      </w:r>
      <w:r>
        <w:t>98</w:t>
      </w:r>
      <w:r>
        <w:fldChar w:fldCharType="end"/>
      </w:r>
    </w:p>
    <w:p>
      <w:pPr>
        <w:pStyle w:val="TOC8"/>
        <w:rPr>
          <w:sz w:val="24"/>
        </w:rPr>
      </w:pPr>
      <w:r>
        <w:tab/>
        <w:t>Provisions that have not come into operation</w:t>
      </w:r>
      <w:r>
        <w:tab/>
      </w:r>
      <w:r>
        <w:fldChar w:fldCharType="begin"/>
      </w:r>
      <w:r>
        <w:instrText xml:space="preserve"> PAGEREF _Toc271200537 \h </w:instrText>
      </w:r>
      <w:r>
        <w:fldChar w:fldCharType="separate"/>
      </w:r>
      <w:r>
        <w:t>98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NameofActReg"/>
        <w:suppressLineNumbers/>
      </w:pPr>
      <w:r>
        <w:t>Nurses and Midwives Act 2006</w:t>
      </w:r>
    </w:p>
    <w:p>
      <w:pPr>
        <w:pStyle w:val="LongTitle"/>
        <w:suppressLineNumbers/>
        <w:outlineLvl w:val="0"/>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sym w:font="Symbol" w:char="F0B7"/>
      </w:r>
      <w:r>
        <w:rPr>
          <w:snapToGrid w:val="0"/>
        </w:rPr>
        <w:tab/>
        <w:t>provide for the regulation of the practice of nursing and midwifery and the registration of persons as nurses and midwives;</w:t>
      </w:r>
    </w:p>
    <w:p>
      <w:pPr>
        <w:pStyle w:val="LongTitle"/>
        <w:suppressLineNumbers/>
        <w:tabs>
          <w:tab w:val="left" w:pos="284"/>
        </w:tabs>
        <w:ind w:left="284" w:hanging="284"/>
        <w:rPr>
          <w:snapToGrid w:val="0"/>
        </w:rPr>
      </w:pPr>
      <w:r>
        <w:rPr>
          <w:snapToGrid w:val="0"/>
        </w:rPr>
        <w:sym w:font="Symbol" w:char="F0B7"/>
      </w:r>
      <w:r>
        <w:rPr>
          <w:snapToGrid w:val="0"/>
        </w:rPr>
        <w:tab/>
        <w:t xml:space="preserve">repeal the </w:t>
      </w:r>
      <w:r>
        <w:rPr>
          <w:i/>
          <w:snapToGrid w:val="0"/>
        </w:rPr>
        <w:t>Nurses Act 1992</w:t>
      </w:r>
      <w:r>
        <w:rPr>
          <w:snapToGrid w:val="0"/>
        </w:rPr>
        <w:t>;</w:t>
      </w:r>
    </w:p>
    <w:p>
      <w:pPr>
        <w:pStyle w:val="LongTitle"/>
        <w:suppressLineNumbers/>
        <w:tabs>
          <w:tab w:val="left" w:pos="284"/>
        </w:tabs>
        <w:ind w:left="284" w:hanging="284"/>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pStyle w:val="Enactment"/>
      </w:pPr>
      <w:r>
        <w:t>The Parliament of Western Australia enacts as follows:</w:t>
      </w: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3669091"/>
      <w:bookmarkStart w:id="146" w:name="_Toc104174608"/>
      <w:bookmarkStart w:id="147" w:name="_Toc104278258"/>
      <w:bookmarkStart w:id="148" w:name="_Toc106769953"/>
      <w:bookmarkStart w:id="149" w:name="_Toc106770482"/>
      <w:bookmarkStart w:id="150" w:name="_Toc106770677"/>
      <w:bookmarkStart w:id="151" w:name="_Toc106772085"/>
      <w:bookmarkStart w:id="152" w:name="_Toc106781160"/>
      <w:bookmarkStart w:id="153" w:name="_Toc106781558"/>
      <w:bookmarkStart w:id="154" w:name="_Toc106781755"/>
      <w:bookmarkStart w:id="155" w:name="_Toc106784532"/>
      <w:bookmarkStart w:id="156" w:name="_Toc107215709"/>
      <w:bookmarkStart w:id="157" w:name="_Toc107384317"/>
      <w:bookmarkStart w:id="158" w:name="_Toc107386017"/>
      <w:bookmarkStart w:id="159" w:name="_Toc107387223"/>
      <w:bookmarkStart w:id="160" w:name="_Toc107387905"/>
      <w:bookmarkStart w:id="161" w:name="_Toc107389301"/>
      <w:bookmarkStart w:id="162" w:name="_Toc107390066"/>
      <w:bookmarkStart w:id="163" w:name="_Toc107621585"/>
      <w:bookmarkStart w:id="164" w:name="_Toc107624114"/>
      <w:bookmarkStart w:id="165" w:name="_Toc107625480"/>
      <w:bookmarkStart w:id="166" w:name="_Toc107626774"/>
      <w:bookmarkStart w:id="167" w:name="_Toc107627587"/>
      <w:bookmarkStart w:id="168" w:name="_Toc108577321"/>
      <w:bookmarkStart w:id="169" w:name="_Toc109181718"/>
      <w:bookmarkStart w:id="170" w:name="_Toc109183352"/>
      <w:bookmarkStart w:id="171" w:name="_Toc109186744"/>
      <w:bookmarkStart w:id="172" w:name="_Toc109198395"/>
      <w:bookmarkStart w:id="173" w:name="_Toc109198638"/>
      <w:bookmarkStart w:id="174" w:name="_Toc109202319"/>
      <w:bookmarkStart w:id="175" w:name="_Toc109203834"/>
      <w:bookmarkStart w:id="176" w:name="_Toc109542057"/>
      <w:bookmarkStart w:id="177" w:name="_Toc109786402"/>
      <w:bookmarkStart w:id="178" w:name="_Toc109789712"/>
      <w:bookmarkStart w:id="179" w:name="_Toc109791098"/>
      <w:bookmarkStart w:id="180" w:name="_Toc109791912"/>
      <w:bookmarkStart w:id="181" w:name="_Toc109792580"/>
      <w:bookmarkStart w:id="182" w:name="_Toc109793003"/>
      <w:bookmarkStart w:id="183" w:name="_Toc109796629"/>
      <w:bookmarkStart w:id="184" w:name="_Toc109802236"/>
      <w:bookmarkStart w:id="185" w:name="_Toc109808865"/>
      <w:bookmarkStart w:id="186" w:name="_Toc110042986"/>
      <w:bookmarkStart w:id="187" w:name="_Toc110044762"/>
      <w:bookmarkStart w:id="188" w:name="_Toc110044966"/>
      <w:bookmarkStart w:id="189" w:name="_Toc110050623"/>
      <w:bookmarkStart w:id="190" w:name="_Toc110060610"/>
      <w:bookmarkStart w:id="191" w:name="_Toc110062939"/>
      <w:bookmarkStart w:id="192" w:name="_Toc110063406"/>
      <w:bookmarkStart w:id="193" w:name="_Toc110066944"/>
      <w:bookmarkStart w:id="194" w:name="_Toc110067506"/>
      <w:bookmarkStart w:id="195" w:name="_Toc110132530"/>
      <w:bookmarkStart w:id="196" w:name="_Toc110135032"/>
      <w:bookmarkStart w:id="197" w:name="_Toc110137409"/>
      <w:bookmarkStart w:id="198" w:name="_Toc110137611"/>
      <w:bookmarkStart w:id="199" w:name="_Toc110738855"/>
      <w:bookmarkStart w:id="200" w:name="_Toc110741095"/>
      <w:bookmarkStart w:id="201" w:name="_Toc110741359"/>
      <w:bookmarkStart w:id="202" w:name="_Toc110741562"/>
      <w:bookmarkStart w:id="203" w:name="_Toc110744607"/>
      <w:bookmarkStart w:id="204" w:name="_Toc110745538"/>
      <w:bookmarkStart w:id="205" w:name="_Toc110747294"/>
      <w:bookmarkStart w:id="206" w:name="_Toc110752135"/>
      <w:bookmarkStart w:id="207" w:name="_Toc110752781"/>
      <w:bookmarkStart w:id="208" w:name="_Toc110754694"/>
      <w:bookmarkStart w:id="209" w:name="_Toc110758655"/>
      <w:bookmarkStart w:id="210" w:name="_Toc110759065"/>
      <w:bookmarkStart w:id="211" w:name="_Toc110822139"/>
      <w:bookmarkStart w:id="212" w:name="_Toc110830916"/>
      <w:bookmarkStart w:id="213" w:name="_Toc110832380"/>
      <w:bookmarkStart w:id="214" w:name="_Toc110938795"/>
      <w:bookmarkStart w:id="215" w:name="_Toc111026622"/>
      <w:bookmarkStart w:id="216" w:name="_Toc111027859"/>
      <w:bookmarkStart w:id="217" w:name="_Toc111352115"/>
      <w:bookmarkStart w:id="218" w:name="_Toc111352317"/>
      <w:bookmarkStart w:id="219" w:name="_Toc111353650"/>
      <w:bookmarkStart w:id="220" w:name="_Toc111358210"/>
      <w:bookmarkStart w:id="221" w:name="_Toc111361911"/>
      <w:bookmarkStart w:id="222" w:name="_Toc111363181"/>
      <w:bookmarkStart w:id="223" w:name="_Toc111435237"/>
      <w:bookmarkStart w:id="224" w:name="_Toc113074941"/>
      <w:bookmarkStart w:id="225" w:name="_Toc113851038"/>
      <w:bookmarkStart w:id="226" w:name="_Toc113852746"/>
      <w:bookmarkStart w:id="227" w:name="_Toc113942859"/>
      <w:bookmarkStart w:id="228" w:name="_Toc114454735"/>
      <w:bookmarkStart w:id="229" w:name="_Toc114468766"/>
      <w:bookmarkStart w:id="230" w:name="_Toc114470716"/>
      <w:bookmarkStart w:id="231" w:name="_Toc114473166"/>
      <w:bookmarkStart w:id="232" w:name="_Toc114533373"/>
      <w:bookmarkStart w:id="233" w:name="_Toc114620062"/>
      <w:bookmarkStart w:id="234" w:name="_Toc114620901"/>
      <w:bookmarkStart w:id="235" w:name="_Toc114621558"/>
      <w:bookmarkStart w:id="236" w:name="_Toc114626367"/>
      <w:bookmarkStart w:id="237" w:name="_Toc114906158"/>
      <w:bookmarkStart w:id="238" w:name="_Toc114964761"/>
      <w:bookmarkStart w:id="239" w:name="_Toc114972520"/>
      <w:bookmarkStart w:id="240" w:name="_Toc114972727"/>
      <w:bookmarkStart w:id="241" w:name="_Toc114983900"/>
      <w:bookmarkStart w:id="242" w:name="_Toc115076346"/>
      <w:bookmarkStart w:id="243" w:name="_Toc115078887"/>
      <w:bookmarkStart w:id="244" w:name="_Toc115157769"/>
      <w:bookmarkStart w:id="245" w:name="_Toc116107593"/>
      <w:bookmarkStart w:id="246" w:name="_Toc116178480"/>
      <w:bookmarkStart w:id="247" w:name="_Toc116178687"/>
      <w:bookmarkStart w:id="248" w:name="_Toc116178894"/>
      <w:bookmarkStart w:id="249" w:name="_Toc116183604"/>
      <w:bookmarkStart w:id="250" w:name="_Toc116207001"/>
      <w:bookmarkStart w:id="251" w:name="_Toc116276259"/>
      <w:bookmarkStart w:id="252" w:name="_Toc116279012"/>
      <w:bookmarkStart w:id="253" w:name="_Toc116346558"/>
      <w:bookmarkStart w:id="254" w:name="_Toc117318078"/>
      <w:bookmarkStart w:id="255" w:name="_Toc117403209"/>
      <w:bookmarkStart w:id="256" w:name="_Toc117403550"/>
      <w:bookmarkStart w:id="257" w:name="_Toc117405075"/>
      <w:bookmarkStart w:id="258" w:name="_Toc117925188"/>
      <w:bookmarkStart w:id="259" w:name="_Toc117925469"/>
      <w:bookmarkStart w:id="260" w:name="_Toc117925773"/>
      <w:bookmarkStart w:id="261" w:name="_Toc119212362"/>
      <w:bookmarkStart w:id="262" w:name="_Toc119216515"/>
      <w:bookmarkStart w:id="263" w:name="_Toc147292939"/>
      <w:bookmarkStart w:id="264" w:name="_Toc147293315"/>
      <w:bookmarkStart w:id="265" w:name="_Toc148158328"/>
      <w:bookmarkStart w:id="266" w:name="_Toc148175572"/>
      <w:bookmarkStart w:id="267" w:name="_Toc148175650"/>
      <w:bookmarkStart w:id="268" w:name="_Toc148175674"/>
      <w:bookmarkStart w:id="269" w:name="_Toc148175718"/>
      <w:bookmarkStart w:id="270" w:name="_Toc177790709"/>
      <w:bookmarkStart w:id="271" w:name="_Toc177790919"/>
      <w:bookmarkStart w:id="272" w:name="_Toc177810516"/>
      <w:bookmarkStart w:id="273" w:name="_Toc196196730"/>
      <w:bookmarkStart w:id="274" w:name="_Toc199820430"/>
      <w:bookmarkStart w:id="275" w:name="_Toc215544778"/>
      <w:bookmarkStart w:id="276" w:name="_Toc223858805"/>
      <w:bookmarkStart w:id="277" w:name="_Toc223859015"/>
      <w:bookmarkStart w:id="278" w:name="_Toc271105391"/>
      <w:bookmarkStart w:id="279" w:name="_Toc27120032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rPr>
          <w:snapToGrid w:val="0"/>
        </w:rPr>
      </w:pPr>
      <w:bookmarkStart w:id="280" w:name="_Toc471793481"/>
      <w:bookmarkStart w:id="281" w:name="_Toc512746194"/>
      <w:bookmarkStart w:id="282" w:name="_Toc515958175"/>
      <w:bookmarkStart w:id="283" w:name="_Toc101250594"/>
      <w:bookmarkStart w:id="284" w:name="_Toc111027860"/>
      <w:bookmarkStart w:id="285" w:name="_Toc147293316"/>
      <w:bookmarkStart w:id="286" w:name="_Toc148175651"/>
      <w:bookmarkStart w:id="287" w:name="_Toc148175675"/>
      <w:bookmarkStart w:id="288" w:name="_Toc271200329"/>
      <w:r>
        <w:rPr>
          <w:rStyle w:val="CharSectno"/>
        </w:rPr>
        <w:t>1</w:t>
      </w:r>
      <w:r>
        <w:rPr>
          <w:snapToGrid w:val="0"/>
        </w:rPr>
        <w:t>.</w:t>
      </w:r>
      <w:r>
        <w:rPr>
          <w:snapToGrid w:val="0"/>
        </w:rPr>
        <w:tab/>
        <w:t>Short title</w:t>
      </w:r>
      <w:bookmarkEnd w:id="280"/>
      <w:bookmarkEnd w:id="281"/>
      <w:bookmarkEnd w:id="282"/>
      <w:bookmarkEnd w:id="283"/>
      <w:bookmarkEnd w:id="284"/>
      <w:bookmarkEnd w:id="285"/>
      <w:bookmarkEnd w:id="286"/>
      <w:bookmarkEnd w:id="287"/>
      <w:bookmarkEnd w:id="288"/>
    </w:p>
    <w:p>
      <w:pPr>
        <w:pStyle w:val="Subsection"/>
      </w:pPr>
      <w:r>
        <w:rPr>
          <w:snapToGrid w:val="0"/>
        </w:rPr>
        <w:tab/>
      </w:r>
      <w:r>
        <w:rPr>
          <w:snapToGrid w:val="0"/>
        </w:rPr>
        <w:tab/>
      </w:r>
      <w:r>
        <w:t>This</w:t>
      </w:r>
      <w:r>
        <w:rPr>
          <w:snapToGrid w:val="0"/>
        </w:rPr>
        <w:t xml:space="preserve"> is the</w:t>
      </w:r>
      <w:r>
        <w:rPr>
          <w:i/>
          <w:snapToGrid w:val="0"/>
        </w:rPr>
        <w:t xml:space="preserve"> Nurses and Midwives Act 2006</w:t>
      </w:r>
      <w:r>
        <w:rPr>
          <w:snapToGrid w:val="0"/>
        </w:rPr>
        <w:t>.</w:t>
      </w:r>
    </w:p>
    <w:p>
      <w:pPr>
        <w:pStyle w:val="Heading5"/>
      </w:pPr>
      <w:bookmarkStart w:id="289" w:name="_Toc101250595"/>
      <w:bookmarkStart w:id="290" w:name="_Toc111027861"/>
      <w:bookmarkStart w:id="291" w:name="_Toc147293317"/>
      <w:bookmarkStart w:id="292" w:name="_Toc148175652"/>
      <w:bookmarkStart w:id="293" w:name="_Toc148175676"/>
      <w:bookmarkStart w:id="294" w:name="_Toc271200330"/>
      <w:r>
        <w:rPr>
          <w:rStyle w:val="CharSectno"/>
        </w:rPr>
        <w:t>2</w:t>
      </w:r>
      <w:r>
        <w:t>.</w:t>
      </w:r>
      <w:r>
        <w:tab/>
        <w:t>Commencement</w:t>
      </w:r>
      <w:bookmarkEnd w:id="289"/>
      <w:bookmarkEnd w:id="290"/>
      <w:bookmarkEnd w:id="291"/>
      <w:bookmarkEnd w:id="292"/>
      <w:bookmarkEnd w:id="293"/>
      <w:bookmarkEnd w:id="294"/>
    </w:p>
    <w:p>
      <w:pPr>
        <w:pStyle w:val="Subsection"/>
      </w:pPr>
      <w:r>
        <w:tab/>
      </w:r>
      <w:r>
        <w:tab/>
        <w:t>This Act comes into operation on a day fixed by proclamation.</w:t>
      </w:r>
    </w:p>
    <w:p>
      <w:pPr>
        <w:pStyle w:val="Heading5"/>
        <w:rPr>
          <w:snapToGrid w:val="0"/>
        </w:rPr>
      </w:pPr>
      <w:bookmarkStart w:id="295" w:name="_Toc271200331"/>
      <w:bookmarkStart w:id="296" w:name="_Toc119746908"/>
      <w:r>
        <w:rPr>
          <w:rStyle w:val="CharSectno"/>
        </w:rPr>
        <w:t>3</w:t>
      </w:r>
      <w:r>
        <w:t>.</w:t>
      </w:r>
      <w:r>
        <w:tab/>
      </w:r>
      <w:r>
        <w:rPr>
          <w:snapToGrid w:val="0"/>
        </w:rPr>
        <w:t>Terms used in this Act</w:t>
      </w:r>
      <w:bookmarkEnd w:id="295"/>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Nurses and Midwives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40;</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54(1)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54(1) or (2);</w:t>
      </w:r>
    </w:p>
    <w:p>
      <w:pPr>
        <w:pStyle w:val="Defpara"/>
      </w:pPr>
      <w:r>
        <w:tab/>
        <w:t>(b)</w:t>
      </w:r>
      <w:r>
        <w:tab/>
        <w:t xml:space="preserve">a complaint referred under section 54(3); </w:t>
      </w:r>
    </w:p>
    <w:p>
      <w:pPr>
        <w:pStyle w:val="Defpara"/>
      </w:pPr>
      <w:r>
        <w:tab/>
        <w:t>(c)</w:t>
      </w:r>
      <w:r>
        <w:tab/>
        <w:t>a matter the complaints assessment committee has determined under section 54(4) to deal with as if it were a complaint; and</w:t>
      </w:r>
    </w:p>
    <w:p>
      <w:pPr>
        <w:pStyle w:val="Defpara"/>
      </w:pPr>
      <w:r>
        <w:tab/>
        <w:t>(d)</w:t>
      </w:r>
      <w:r>
        <w:tab/>
        <w:t>a matter the Board has referred to the impairment review committee under section 63(3);</w:t>
      </w:r>
    </w:p>
    <w:p>
      <w:pPr>
        <w:pStyle w:val="Defstart"/>
      </w:pPr>
      <w:r>
        <w:rPr>
          <w:b/>
        </w:rPr>
        <w:tab/>
      </w:r>
      <w:r>
        <w:rPr>
          <w:rStyle w:val="CharDefText"/>
        </w:rPr>
        <w:t>complaints assessment committee</w:t>
      </w:r>
      <w:r>
        <w:rPr>
          <w:b/>
        </w:rPr>
        <w:t xml:space="preserve"> </w:t>
      </w:r>
      <w:r>
        <w:t>means the committee established under section 51;</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designated area</w:t>
      </w:r>
      <w:r>
        <w:t xml:space="preserve"> means an area designated by the Commissioner of Health under the </w:t>
      </w:r>
      <w:r>
        <w:rPr>
          <w:i/>
        </w:rPr>
        <w:t>Poisons Act 1964</w:t>
      </w:r>
      <w:r>
        <w:t xml:space="preserve"> section 23(2)(e);</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49;</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enrolled nurse</w:t>
      </w:r>
      <w:r>
        <w:t xml:space="preserve"> means a person who is registered as an enrolled nurse;</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50;</w:t>
      </w:r>
    </w:p>
    <w:p>
      <w:pPr>
        <w:pStyle w:val="Defstart"/>
      </w:pPr>
      <w:r>
        <w:rPr>
          <w:b/>
        </w:rPr>
        <w:tab/>
      </w:r>
      <w:r>
        <w:rPr>
          <w:rStyle w:val="CharDefText"/>
        </w:rPr>
        <w:t>impairment review committee</w:t>
      </w:r>
      <w:r>
        <w:t xml:space="preserve"> means any committee established under section 52;</w:t>
      </w:r>
    </w:p>
    <w:p>
      <w:pPr>
        <w:pStyle w:val="Defstart"/>
      </w:pPr>
      <w:r>
        <w:rPr>
          <w:b/>
        </w:rPr>
        <w:tab/>
      </w:r>
      <w:r>
        <w:rPr>
          <w:rStyle w:val="CharDefText"/>
        </w:rPr>
        <w:t>investigator</w:t>
      </w:r>
      <w:r>
        <w:rPr>
          <w:b/>
        </w:rPr>
        <w:t xml:space="preserve"> </w:t>
      </w:r>
      <w:r>
        <w:t>means a person appointed under section 73;</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midwife</w:t>
      </w:r>
      <w:r>
        <w:t xml:space="preserve"> means a person who is registered as a midwife;</w:t>
      </w:r>
    </w:p>
    <w:p>
      <w:pPr>
        <w:pStyle w:val="Defstart"/>
      </w:pPr>
      <w:r>
        <w:rPr>
          <w:b/>
        </w:rPr>
        <w:tab/>
      </w:r>
      <w:r>
        <w:rPr>
          <w:rStyle w:val="CharDefText"/>
        </w:rPr>
        <w:t>midwifery</w:t>
      </w:r>
      <w:r>
        <w:t xml:space="preserve"> means the practice of assisting a woman in childbirth;</w:t>
      </w:r>
    </w:p>
    <w:p>
      <w:pPr>
        <w:pStyle w:val="Defstart"/>
      </w:pPr>
      <w:r>
        <w:rPr>
          <w:b/>
        </w:rPr>
        <w:tab/>
      </w:r>
      <w:r>
        <w:rPr>
          <w:rStyle w:val="CharDefText"/>
        </w:rPr>
        <w:t>nurse</w:t>
      </w:r>
      <w:r>
        <w:t xml:space="preserve"> means a person who is registered as an enrolled nurse, nurse practitioner or registered nurse;</w:t>
      </w:r>
    </w:p>
    <w:p>
      <w:pPr>
        <w:pStyle w:val="Defstart"/>
      </w:pPr>
      <w:r>
        <w:rPr>
          <w:b/>
        </w:rPr>
        <w:tab/>
      </w:r>
      <w:r>
        <w:rPr>
          <w:rStyle w:val="CharDefText"/>
        </w:rPr>
        <w:t>nurse practitioner</w:t>
      </w:r>
      <w:r>
        <w:t xml:space="preserve"> means a person who is registered as a nurse practitioner;</w:t>
      </w:r>
    </w:p>
    <w:p>
      <w:pPr>
        <w:pStyle w:val="Defstart"/>
        <w:rPr>
          <w:bCs/>
        </w:rPr>
      </w:pPr>
      <w:r>
        <w:rPr>
          <w:b/>
        </w:rPr>
        <w:tab/>
      </w:r>
      <w:r>
        <w:rPr>
          <w:rStyle w:val="CharDefText"/>
        </w:rPr>
        <w:t>nursing</w:t>
      </w:r>
      <w:r>
        <w:rPr>
          <w:b/>
        </w:rPr>
        <w:t xml:space="preserve"> </w:t>
      </w:r>
      <w:r>
        <w:rPr>
          <w:bCs/>
        </w:rPr>
        <w:t>does not include midwifery;</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38;</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registered nurse</w:t>
      </w:r>
      <w:r>
        <w:rPr>
          <w:b/>
        </w:rPr>
        <w:t xml:space="preserve"> </w:t>
      </w:r>
      <w:r>
        <w:t>means a person who is registered as a registered nurse;</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registered nurse who is registered under section 31;</w:t>
      </w:r>
    </w:p>
    <w:p>
      <w:pPr>
        <w:pStyle w:val="Defstart"/>
      </w:pPr>
      <w:r>
        <w:rPr>
          <w:b/>
        </w:rPr>
        <w:tab/>
      </w:r>
      <w:r>
        <w:rPr>
          <w:rStyle w:val="CharDefText"/>
        </w:rPr>
        <w:t>specialty</w:t>
      </w:r>
      <w:r>
        <w:t xml:space="preserve"> means a branch of nursing prescribed under section 31(1) as a specialty;</w:t>
      </w:r>
    </w:p>
    <w:p>
      <w:pPr>
        <w:pStyle w:val="Defstart"/>
      </w:pPr>
      <w:r>
        <w:rPr>
          <w:b/>
        </w:rPr>
        <w:tab/>
      </w:r>
      <w:r>
        <w:rPr>
          <w:rStyle w:val="CharDefText"/>
        </w:rPr>
        <w:t>type of registration</w:t>
      </w:r>
      <w:r>
        <w:t xml:space="preserve"> means registration as — </w:t>
      </w:r>
    </w:p>
    <w:p>
      <w:pPr>
        <w:pStyle w:val="Defpara"/>
      </w:pPr>
      <w:r>
        <w:tab/>
        <w:t>(a)</w:t>
      </w:r>
      <w:r>
        <w:tab/>
        <w:t>an enrolled nurse;</w:t>
      </w:r>
    </w:p>
    <w:p>
      <w:pPr>
        <w:pStyle w:val="Defpara"/>
      </w:pPr>
      <w:r>
        <w:tab/>
        <w:t>(b)</w:t>
      </w:r>
      <w:r>
        <w:tab/>
        <w:t>a midwife;</w:t>
      </w:r>
    </w:p>
    <w:p>
      <w:pPr>
        <w:pStyle w:val="Defpara"/>
      </w:pPr>
      <w:r>
        <w:tab/>
        <w:t>(c)</w:t>
      </w:r>
      <w:r>
        <w:tab/>
        <w:t>a nurse practitioner; or</w:t>
      </w:r>
    </w:p>
    <w:p>
      <w:pPr>
        <w:pStyle w:val="Defpara"/>
      </w:pPr>
      <w:r>
        <w:tab/>
        <w:t>(d)</w:t>
      </w:r>
      <w:r>
        <w:tab/>
        <w:t>a registered nurse.</w:t>
      </w:r>
    </w:p>
    <w:p>
      <w:pPr>
        <w:pStyle w:val="Footnotesection"/>
      </w:pPr>
      <w:r>
        <w:tab/>
        <w:t>[Section 3 amended by No. 22 of 2008 s. 162; No. 21 of 2008 s. 683(2).]</w:t>
      </w:r>
    </w:p>
    <w:p>
      <w:pPr>
        <w:pStyle w:val="Heading5"/>
      </w:pPr>
      <w:bookmarkStart w:id="297" w:name="_Toc271200332"/>
      <w:r>
        <w:rPr>
          <w:rStyle w:val="CharSectno"/>
        </w:rPr>
        <w:t>4</w:t>
      </w:r>
      <w:r>
        <w:t>.</w:t>
      </w:r>
      <w:r>
        <w:tab/>
        <w:t>Application</w:t>
      </w:r>
      <w:bookmarkEnd w:id="297"/>
    </w:p>
    <w:p>
      <w:pPr>
        <w:pStyle w:val="Subsection"/>
        <w:keepNext/>
      </w:pPr>
      <w:r>
        <w:tab/>
      </w:r>
      <w:r>
        <w:tab/>
        <w:t xml:space="preserve">This Act does not apply to, or in respect of, or in any way affect — </w:t>
      </w:r>
    </w:p>
    <w:p>
      <w:pPr>
        <w:pStyle w:val="Indenta"/>
      </w:pPr>
      <w:r>
        <w:tab/>
        <w:t>(a)</w:t>
      </w:r>
      <w:r>
        <w:tab/>
        <w:t>the practice of a person’s profession as a medical practitioner;</w:t>
      </w:r>
    </w:p>
    <w:p>
      <w:pPr>
        <w:pStyle w:val="Indenta"/>
      </w:pPr>
      <w:r>
        <w:tab/>
        <w:t>(b)</w:t>
      </w:r>
      <w:r>
        <w:tab/>
        <w:t>a carer performing the usual duties of a carer in relation to a person who is ill, aged, frail or disabled; or</w:t>
      </w:r>
    </w:p>
    <w:p>
      <w:pPr>
        <w:pStyle w:val="Indenta"/>
      </w:pPr>
      <w:r>
        <w:tab/>
        <w:t>(c)</w:t>
      </w:r>
      <w:r>
        <w:tab/>
        <w:t xml:space="preserve">a natural person who is registered as a nurse under the law in force in another State, a Territory or New Zealand who practises nursing for the purpose of the removal of tissue under the </w:t>
      </w:r>
      <w:r>
        <w:rPr>
          <w:i/>
          <w:iCs/>
        </w:rPr>
        <w:t>Human Tissue and Transplant Act 1982.</w:t>
      </w:r>
    </w:p>
    <w:p>
      <w:pPr>
        <w:pStyle w:val="Heading2"/>
      </w:pPr>
      <w:bookmarkStart w:id="298" w:name="_Toc177790714"/>
      <w:bookmarkStart w:id="299" w:name="_Toc177790924"/>
      <w:bookmarkStart w:id="300" w:name="_Toc177810521"/>
      <w:bookmarkStart w:id="301" w:name="_Toc196196735"/>
      <w:bookmarkStart w:id="302" w:name="_Toc199820435"/>
      <w:bookmarkStart w:id="303" w:name="_Toc215544783"/>
      <w:bookmarkStart w:id="304" w:name="_Toc223858810"/>
      <w:bookmarkStart w:id="305" w:name="_Toc223859020"/>
      <w:bookmarkStart w:id="306" w:name="_Toc271105396"/>
      <w:bookmarkStart w:id="307" w:name="_Toc271200333"/>
      <w:r>
        <w:rPr>
          <w:rStyle w:val="CharPartNo"/>
        </w:rPr>
        <w:t>Part 2</w:t>
      </w:r>
      <w:r>
        <w:t> — </w:t>
      </w:r>
      <w:r>
        <w:rPr>
          <w:rStyle w:val="CharPartText"/>
        </w:rPr>
        <w:t>Nurses and Midwives Board and committees</w:t>
      </w:r>
      <w:bookmarkEnd w:id="298"/>
      <w:bookmarkEnd w:id="299"/>
      <w:bookmarkEnd w:id="300"/>
      <w:bookmarkEnd w:id="301"/>
      <w:bookmarkEnd w:id="302"/>
      <w:bookmarkEnd w:id="303"/>
      <w:bookmarkEnd w:id="304"/>
      <w:bookmarkEnd w:id="305"/>
      <w:bookmarkEnd w:id="306"/>
      <w:bookmarkEnd w:id="307"/>
    </w:p>
    <w:p>
      <w:pPr>
        <w:pStyle w:val="Heading3"/>
      </w:pPr>
      <w:bookmarkStart w:id="308" w:name="_Toc177790715"/>
      <w:bookmarkStart w:id="309" w:name="_Toc177790925"/>
      <w:bookmarkStart w:id="310" w:name="_Toc177810522"/>
      <w:bookmarkStart w:id="311" w:name="_Toc196196736"/>
      <w:bookmarkStart w:id="312" w:name="_Toc199820436"/>
      <w:bookmarkStart w:id="313" w:name="_Toc215544784"/>
      <w:bookmarkStart w:id="314" w:name="_Toc223858811"/>
      <w:bookmarkStart w:id="315" w:name="_Toc223859021"/>
      <w:bookmarkStart w:id="316" w:name="_Toc271105397"/>
      <w:bookmarkStart w:id="317" w:name="_Toc271200334"/>
      <w:r>
        <w:rPr>
          <w:rStyle w:val="CharDivNo"/>
        </w:rPr>
        <w:t>Division 1</w:t>
      </w:r>
      <w:r>
        <w:t> — </w:t>
      </w:r>
      <w:r>
        <w:rPr>
          <w:rStyle w:val="CharDivText"/>
        </w:rPr>
        <w:t>The Board</w:t>
      </w:r>
      <w:bookmarkEnd w:id="308"/>
      <w:bookmarkEnd w:id="309"/>
      <w:bookmarkEnd w:id="310"/>
      <w:bookmarkEnd w:id="311"/>
      <w:bookmarkEnd w:id="312"/>
      <w:bookmarkEnd w:id="313"/>
      <w:bookmarkEnd w:id="314"/>
      <w:bookmarkEnd w:id="315"/>
      <w:bookmarkEnd w:id="316"/>
      <w:bookmarkEnd w:id="317"/>
    </w:p>
    <w:p>
      <w:pPr>
        <w:pStyle w:val="Heading5"/>
        <w:rPr>
          <w:snapToGrid w:val="0"/>
        </w:rPr>
      </w:pPr>
      <w:bookmarkStart w:id="318" w:name="_Toc271200335"/>
      <w:r>
        <w:rPr>
          <w:rStyle w:val="CharSectno"/>
        </w:rPr>
        <w:t>5</w:t>
      </w:r>
      <w:r>
        <w:t>.</w:t>
      </w:r>
      <w:r>
        <w:tab/>
      </w:r>
      <w:r>
        <w:rPr>
          <w:snapToGrid w:val="0"/>
        </w:rPr>
        <w:t>Board established</w:t>
      </w:r>
      <w:bookmarkEnd w:id="318"/>
      <w:r>
        <w:rPr>
          <w:snapToGrid w:val="0"/>
        </w:rPr>
        <w:t xml:space="preserve"> </w:t>
      </w:r>
    </w:p>
    <w:p>
      <w:pPr>
        <w:pStyle w:val="Subsection"/>
        <w:rPr>
          <w:snapToGrid w:val="0"/>
        </w:rPr>
      </w:pPr>
      <w:r>
        <w:rPr>
          <w:snapToGrid w:val="0"/>
        </w:rPr>
        <w:tab/>
        <w:t>(1)</w:t>
      </w:r>
      <w:r>
        <w:rPr>
          <w:snapToGrid w:val="0"/>
        </w:rPr>
        <w:tab/>
        <w:t xml:space="preserve">A body called the </w:t>
      </w:r>
      <w:r>
        <w:t xml:space="preserve">Nurses and Midwives </w:t>
      </w:r>
      <w:r>
        <w:rPr>
          <w:snapToGrid w:val="0"/>
        </w:rPr>
        <w:t>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319" w:name="_Toc271200336"/>
      <w:r>
        <w:rPr>
          <w:rStyle w:val="CharSectno"/>
        </w:rPr>
        <w:t>6</w:t>
      </w:r>
      <w:r>
        <w:t>.</w:t>
      </w:r>
      <w:r>
        <w:tab/>
      </w:r>
      <w:r>
        <w:rPr>
          <w:snapToGrid w:val="0"/>
        </w:rPr>
        <w:t>Membership of Board</w:t>
      </w:r>
      <w:bookmarkEnd w:id="319"/>
      <w:r>
        <w:rPr>
          <w:snapToGrid w:val="0"/>
        </w:rPr>
        <w:t xml:space="preserve"> </w:t>
      </w:r>
    </w:p>
    <w:p>
      <w:pPr>
        <w:pStyle w:val="Subsection"/>
        <w:rPr>
          <w:snapToGrid w:val="0"/>
        </w:rPr>
      </w:pPr>
      <w:r>
        <w:rPr>
          <w:snapToGrid w:val="0"/>
        </w:rPr>
        <w:tab/>
        <w:t>(1)</w:t>
      </w:r>
      <w:r>
        <w:rPr>
          <w:snapToGrid w:val="0"/>
        </w:rPr>
        <w:tab/>
        <w:t xml:space="preserve">The Board consists of 13 members appointed by the Minister, of whom — </w:t>
      </w:r>
    </w:p>
    <w:p>
      <w:pPr>
        <w:pStyle w:val="Indenta"/>
        <w:rPr>
          <w:snapToGrid w:val="0"/>
        </w:rPr>
      </w:pPr>
      <w:r>
        <w:rPr>
          <w:snapToGrid w:val="0"/>
        </w:rPr>
        <w:tab/>
        <w:t>(a)</w:t>
      </w:r>
      <w:r>
        <w:rPr>
          <w:snapToGrid w:val="0"/>
        </w:rPr>
        <w:tab/>
        <w:t>5 are to be registered nurses;</w:t>
      </w:r>
    </w:p>
    <w:p>
      <w:pPr>
        <w:pStyle w:val="Indenta"/>
      </w:pPr>
      <w:r>
        <w:tab/>
        <w:t>(b)</w:t>
      </w:r>
      <w:r>
        <w:tab/>
      </w:r>
      <w:r>
        <w:rPr>
          <w:snapToGrid w:val="0"/>
        </w:rPr>
        <w:t>one is to be a registered nurse who teaches nursing in a higher education institution;</w:t>
      </w:r>
    </w:p>
    <w:p>
      <w:pPr>
        <w:pStyle w:val="Indenta"/>
      </w:pPr>
      <w:r>
        <w:tab/>
        <w:t>(c)</w:t>
      </w:r>
      <w:r>
        <w:tab/>
      </w:r>
      <w:r>
        <w:rPr>
          <w:snapToGrid w:val="0"/>
        </w:rPr>
        <w:t>one is to be a registered nurse who practises in the area of mental health nursing;</w:t>
      </w:r>
    </w:p>
    <w:p>
      <w:pPr>
        <w:pStyle w:val="Indenta"/>
      </w:pPr>
      <w:r>
        <w:tab/>
        <w:t>(d)</w:t>
      </w:r>
      <w:r>
        <w:tab/>
      </w:r>
      <w:r>
        <w:rPr>
          <w:snapToGrid w:val="0"/>
        </w:rPr>
        <w:t>2 are to be midwives;</w:t>
      </w:r>
    </w:p>
    <w:p>
      <w:pPr>
        <w:pStyle w:val="Indenta"/>
      </w:pPr>
      <w:r>
        <w:tab/>
        <w:t>(e)</w:t>
      </w:r>
      <w:r>
        <w:tab/>
      </w:r>
      <w:r>
        <w:rPr>
          <w:snapToGrid w:val="0"/>
        </w:rPr>
        <w:t>2 are to be enrolled nurses;</w:t>
      </w:r>
    </w:p>
    <w:p>
      <w:pPr>
        <w:pStyle w:val="Indenta"/>
        <w:rPr>
          <w:snapToGrid w:val="0"/>
        </w:rPr>
      </w:pPr>
      <w:r>
        <w:rPr>
          <w:snapToGrid w:val="0"/>
        </w:rPr>
        <w:tab/>
        <w:t>(f)</w:t>
      </w:r>
      <w:r>
        <w:rPr>
          <w:snapToGrid w:val="0"/>
        </w:rPr>
        <w:tab/>
        <w:t>one is to be a person who has knowledge of and experience in representing the interests of consumers; and</w:t>
      </w:r>
    </w:p>
    <w:p>
      <w:pPr>
        <w:pStyle w:val="Indenta"/>
        <w:rPr>
          <w:snapToGrid w:val="0"/>
        </w:rPr>
      </w:pPr>
      <w:r>
        <w:rPr>
          <w:snapToGrid w:val="0"/>
        </w:rPr>
        <w:tab/>
        <w:t>(g)</w:t>
      </w:r>
      <w:r>
        <w:rPr>
          <w:snapToGrid w:val="0"/>
        </w:rPr>
        <w:tab/>
        <w:t xml:space="preserve">one is to be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(2)</w:t>
      </w:r>
      <w:r>
        <w:rPr>
          <w:snapToGrid w:val="0"/>
        </w:rPr>
        <w:tab/>
        <w:t>Each member of the Board is to be a natural person.</w:t>
      </w:r>
    </w:p>
    <w:p>
      <w:pPr>
        <w:pStyle w:val="Subsection"/>
      </w:pPr>
      <w:r>
        <w:tab/>
        <w:t>(3)</w:t>
      </w:r>
      <w:r>
        <w:tab/>
        <w:t>Before appointing a person under subsection (1)(a) or (e), the Minister is to consult the Australian Nursing Federation, Western Australian Branch or the Australian Liquor, Hospitality and Miscellaneous Workers’ Union, Western Australian Branch, respectively.</w:t>
      </w:r>
    </w:p>
    <w:p>
      <w:pPr>
        <w:pStyle w:val="Footnotesection"/>
      </w:pPr>
      <w:r>
        <w:tab/>
        <w:t>[Section 6 amended by No. 21 of 2008 s. 683(3).]</w:t>
      </w:r>
    </w:p>
    <w:p>
      <w:pPr>
        <w:pStyle w:val="Heading5"/>
        <w:rPr>
          <w:snapToGrid w:val="0"/>
        </w:rPr>
      </w:pPr>
      <w:bookmarkStart w:id="320" w:name="_Toc271200337"/>
      <w:r>
        <w:rPr>
          <w:rStyle w:val="CharSectno"/>
        </w:rPr>
        <w:t>7</w:t>
      </w:r>
      <w:r>
        <w:t>.</w:t>
      </w:r>
      <w:r>
        <w:tab/>
      </w:r>
      <w:r>
        <w:rPr>
          <w:snapToGrid w:val="0"/>
        </w:rPr>
        <w:t>Presiding member and deputy presiding member</w:t>
      </w:r>
      <w:bookmarkEnd w:id="320"/>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321" w:name="_Toc271200338"/>
      <w:r>
        <w:rPr>
          <w:rStyle w:val="CharSectno"/>
        </w:rPr>
        <w:t>8</w:t>
      </w:r>
      <w:r>
        <w:t>.</w:t>
      </w:r>
      <w:r>
        <w:tab/>
      </w:r>
      <w:r>
        <w:rPr>
          <w:snapToGrid w:val="0"/>
        </w:rPr>
        <w:t>Constitution and proceedings</w:t>
      </w:r>
      <w:bookmarkEnd w:id="321"/>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322" w:name="_Toc271200339"/>
      <w:r>
        <w:rPr>
          <w:rStyle w:val="CharSectno"/>
        </w:rPr>
        <w:t>9</w:t>
      </w:r>
      <w:r>
        <w:t>.</w:t>
      </w:r>
      <w:r>
        <w:tab/>
      </w:r>
      <w:r>
        <w:rPr>
          <w:snapToGrid w:val="0"/>
        </w:rPr>
        <w:t>Remuneration and allowances</w:t>
      </w:r>
      <w:bookmarkEnd w:id="322"/>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323" w:name="_Toc177790721"/>
      <w:bookmarkStart w:id="324" w:name="_Toc177790931"/>
      <w:bookmarkStart w:id="325" w:name="_Toc177810528"/>
      <w:bookmarkStart w:id="326" w:name="_Toc196196742"/>
      <w:bookmarkStart w:id="327" w:name="_Toc199820442"/>
      <w:bookmarkStart w:id="328" w:name="_Toc215544790"/>
      <w:bookmarkStart w:id="329" w:name="_Toc223858817"/>
      <w:bookmarkStart w:id="330" w:name="_Toc223859027"/>
      <w:bookmarkStart w:id="331" w:name="_Toc271105403"/>
      <w:bookmarkStart w:id="332" w:name="_Toc271200340"/>
      <w:r>
        <w:rPr>
          <w:rStyle w:val="CharDivNo"/>
        </w:rPr>
        <w:t>Division 2</w:t>
      </w:r>
      <w:r>
        <w:t> — </w:t>
      </w:r>
      <w:r>
        <w:rPr>
          <w:rStyle w:val="CharDivText"/>
        </w:rPr>
        <w:t>Functions and powers</w:t>
      </w:r>
      <w:bookmarkEnd w:id="323"/>
      <w:bookmarkEnd w:id="324"/>
      <w:bookmarkEnd w:id="325"/>
      <w:bookmarkEnd w:id="326"/>
      <w:bookmarkEnd w:id="327"/>
      <w:bookmarkEnd w:id="328"/>
      <w:bookmarkEnd w:id="329"/>
      <w:bookmarkEnd w:id="330"/>
      <w:bookmarkEnd w:id="331"/>
      <w:bookmarkEnd w:id="332"/>
    </w:p>
    <w:p>
      <w:pPr>
        <w:pStyle w:val="Heading5"/>
      </w:pPr>
      <w:bookmarkStart w:id="333" w:name="_Toc271200341"/>
      <w:r>
        <w:rPr>
          <w:rStyle w:val="CharSectno"/>
        </w:rPr>
        <w:t>10</w:t>
      </w:r>
      <w:r>
        <w:t>.</w:t>
      </w:r>
      <w:r>
        <w:tab/>
        <w:t>Functions</w:t>
      </w:r>
      <w:bookmarkEnd w:id="333"/>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facilitate and promote public education and research in relation to the practice of nursing and midwifery; </w:t>
      </w:r>
    </w:p>
    <w:p>
      <w:pPr>
        <w:pStyle w:val="Indenta"/>
        <w:rPr>
          <w:snapToGrid w:val="0"/>
        </w:rPr>
      </w:pPr>
      <w:r>
        <w:rPr>
          <w:snapToGrid w:val="0"/>
        </w:rPr>
        <w:tab/>
        <w:t>(d)</w:t>
      </w:r>
      <w:r>
        <w:rPr>
          <w:snapToGrid w:val="0"/>
        </w:rPr>
        <w:tab/>
        <w:t>to monitor education in nursing and midwifery,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nurses and midwives in the practice of their professions; and</w:t>
      </w:r>
    </w:p>
    <w:p>
      <w:pPr>
        <w:pStyle w:val="Indenti"/>
      </w:pPr>
      <w:r>
        <w:tab/>
        <w:t>(ii)</w:t>
      </w:r>
      <w:r>
        <w:tab/>
        <w:t>increased levels of skill, knowledge and competence in the practice of nursing and midwifery;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334" w:name="_Toc271200342"/>
      <w:r>
        <w:rPr>
          <w:rStyle w:val="CharSectno"/>
        </w:rPr>
        <w:t>11</w:t>
      </w:r>
      <w:r>
        <w:t>.</w:t>
      </w:r>
      <w:r>
        <w:tab/>
        <w:t>Powers</w:t>
      </w:r>
      <w:bookmarkEnd w:id="334"/>
    </w:p>
    <w:p>
      <w:pPr>
        <w:pStyle w:val="Subsection"/>
      </w:pPr>
      <w:r>
        <w:tab/>
      </w:r>
      <w:r>
        <w:tab/>
        <w:t>The Board has all the powers it needs to perform its functions.</w:t>
      </w:r>
    </w:p>
    <w:p>
      <w:pPr>
        <w:pStyle w:val="Heading5"/>
        <w:rPr>
          <w:snapToGrid w:val="0"/>
        </w:rPr>
      </w:pPr>
      <w:bookmarkStart w:id="335" w:name="_Toc271200343"/>
      <w:r>
        <w:rPr>
          <w:rStyle w:val="CharSectno"/>
        </w:rPr>
        <w:t>12</w:t>
      </w:r>
      <w:r>
        <w:t>.</w:t>
      </w:r>
      <w:r>
        <w:tab/>
      </w:r>
      <w:r>
        <w:rPr>
          <w:snapToGrid w:val="0"/>
        </w:rPr>
        <w:t>Delegation by Board</w:t>
      </w:r>
      <w:bookmarkEnd w:id="335"/>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336" w:name="_Toc177790725"/>
      <w:bookmarkStart w:id="337" w:name="_Toc177790935"/>
      <w:bookmarkStart w:id="338" w:name="_Toc177810532"/>
      <w:bookmarkStart w:id="339" w:name="_Toc196196746"/>
      <w:bookmarkStart w:id="340" w:name="_Toc199820446"/>
      <w:bookmarkStart w:id="341" w:name="_Toc215544794"/>
      <w:bookmarkStart w:id="342" w:name="_Toc223858821"/>
      <w:bookmarkStart w:id="343" w:name="_Toc223859031"/>
      <w:bookmarkStart w:id="344" w:name="_Toc271105407"/>
      <w:bookmarkStart w:id="345" w:name="_Toc271200344"/>
      <w:r>
        <w:rPr>
          <w:rStyle w:val="CharDivNo"/>
        </w:rPr>
        <w:t>Division 3</w:t>
      </w:r>
      <w:r>
        <w:t> — </w:t>
      </w:r>
      <w:r>
        <w:rPr>
          <w:rStyle w:val="CharDivText"/>
        </w:rPr>
        <w:t>Relationship of Board with Minister</w:t>
      </w:r>
      <w:bookmarkEnd w:id="336"/>
      <w:bookmarkEnd w:id="337"/>
      <w:bookmarkEnd w:id="338"/>
      <w:bookmarkEnd w:id="339"/>
      <w:bookmarkEnd w:id="340"/>
      <w:bookmarkEnd w:id="341"/>
      <w:bookmarkEnd w:id="342"/>
      <w:bookmarkEnd w:id="343"/>
      <w:bookmarkEnd w:id="344"/>
      <w:bookmarkEnd w:id="345"/>
    </w:p>
    <w:p>
      <w:pPr>
        <w:pStyle w:val="Heading5"/>
        <w:rPr>
          <w:snapToGrid w:val="0"/>
        </w:rPr>
      </w:pPr>
      <w:bookmarkStart w:id="346" w:name="_Toc271200345"/>
      <w:r>
        <w:rPr>
          <w:rStyle w:val="CharSectno"/>
        </w:rPr>
        <w:t>13</w:t>
      </w:r>
      <w:r>
        <w:t>.</w:t>
      </w:r>
      <w:r>
        <w:tab/>
      </w:r>
      <w:r>
        <w:rPr>
          <w:snapToGrid w:val="0"/>
        </w:rPr>
        <w:t>Directions by Minister</w:t>
      </w:r>
      <w:bookmarkEnd w:id="346"/>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347" w:name="_Toc271200346"/>
      <w:r>
        <w:rPr>
          <w:rStyle w:val="CharSectno"/>
        </w:rPr>
        <w:t>14</w:t>
      </w:r>
      <w:r>
        <w:t>.</w:t>
      </w:r>
      <w:r>
        <w:tab/>
      </w:r>
      <w:r>
        <w:rPr>
          <w:snapToGrid w:val="0"/>
        </w:rPr>
        <w:t>Minister to have access to information</w:t>
      </w:r>
      <w:bookmarkEnd w:id="347"/>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348" w:name="_Toc177790728"/>
      <w:bookmarkStart w:id="349" w:name="_Toc177790938"/>
      <w:bookmarkStart w:id="350" w:name="_Toc177810535"/>
      <w:bookmarkStart w:id="351" w:name="_Toc196196749"/>
      <w:bookmarkStart w:id="352" w:name="_Toc199820449"/>
      <w:bookmarkStart w:id="353" w:name="_Toc215544797"/>
      <w:bookmarkStart w:id="354" w:name="_Toc223858824"/>
      <w:bookmarkStart w:id="355" w:name="_Toc223859034"/>
      <w:bookmarkStart w:id="356" w:name="_Toc271105410"/>
      <w:bookmarkStart w:id="357" w:name="_Toc271200347"/>
      <w:r>
        <w:rPr>
          <w:rStyle w:val="CharDivNo"/>
        </w:rPr>
        <w:t>Division 4</w:t>
      </w:r>
      <w:r>
        <w:t> — </w:t>
      </w:r>
      <w:r>
        <w:rPr>
          <w:rStyle w:val="CharDivText"/>
        </w:rPr>
        <w:t>Committees</w:t>
      </w:r>
      <w:bookmarkEnd w:id="348"/>
      <w:bookmarkEnd w:id="349"/>
      <w:bookmarkEnd w:id="350"/>
      <w:bookmarkEnd w:id="351"/>
      <w:bookmarkEnd w:id="352"/>
      <w:bookmarkEnd w:id="353"/>
      <w:bookmarkEnd w:id="354"/>
      <w:bookmarkEnd w:id="355"/>
      <w:bookmarkEnd w:id="356"/>
      <w:bookmarkEnd w:id="357"/>
    </w:p>
    <w:p>
      <w:pPr>
        <w:pStyle w:val="Heading5"/>
        <w:rPr>
          <w:snapToGrid w:val="0"/>
        </w:rPr>
      </w:pPr>
      <w:bookmarkStart w:id="358" w:name="_Toc271200348"/>
      <w:r>
        <w:rPr>
          <w:rStyle w:val="CharSectno"/>
        </w:rPr>
        <w:t>15</w:t>
      </w:r>
      <w:r>
        <w:t>.</w:t>
      </w:r>
      <w:r>
        <w:tab/>
      </w:r>
      <w:r>
        <w:rPr>
          <w:snapToGrid w:val="0"/>
        </w:rPr>
        <w:t>Committees</w:t>
      </w:r>
      <w:bookmarkEnd w:id="358"/>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359" w:name="_Toc271200349"/>
      <w:r>
        <w:rPr>
          <w:rStyle w:val="CharSectno"/>
        </w:rPr>
        <w:t>16</w:t>
      </w:r>
      <w:r>
        <w:t>.</w:t>
      </w:r>
      <w:r>
        <w:tab/>
      </w:r>
      <w:r>
        <w:rPr>
          <w:snapToGrid w:val="0"/>
        </w:rPr>
        <w:t>Provisions relating to committees</w:t>
      </w:r>
      <w:bookmarkEnd w:id="359"/>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360" w:name="_Toc177790731"/>
      <w:bookmarkStart w:id="361" w:name="_Toc177790941"/>
      <w:bookmarkStart w:id="362" w:name="_Toc177810538"/>
      <w:bookmarkStart w:id="363" w:name="_Toc196196752"/>
      <w:bookmarkStart w:id="364" w:name="_Toc199820452"/>
      <w:bookmarkStart w:id="365" w:name="_Toc215544800"/>
      <w:bookmarkStart w:id="366" w:name="_Toc223858827"/>
      <w:bookmarkStart w:id="367" w:name="_Toc223859037"/>
      <w:bookmarkStart w:id="368" w:name="_Toc271105413"/>
      <w:bookmarkStart w:id="369" w:name="_Toc271200350"/>
      <w:r>
        <w:rPr>
          <w:rStyle w:val="CharDivNo"/>
        </w:rPr>
        <w:t>Division 5</w:t>
      </w:r>
      <w:r>
        <w:t> — </w:t>
      </w:r>
      <w:r>
        <w:rPr>
          <w:rStyle w:val="CharDivText"/>
        </w:rPr>
        <w:t>Registrar and other staff</w:t>
      </w:r>
      <w:bookmarkEnd w:id="360"/>
      <w:bookmarkEnd w:id="361"/>
      <w:bookmarkEnd w:id="362"/>
      <w:bookmarkEnd w:id="363"/>
      <w:bookmarkEnd w:id="364"/>
      <w:bookmarkEnd w:id="365"/>
      <w:bookmarkEnd w:id="366"/>
      <w:bookmarkEnd w:id="367"/>
      <w:bookmarkEnd w:id="368"/>
      <w:bookmarkEnd w:id="369"/>
    </w:p>
    <w:p>
      <w:pPr>
        <w:pStyle w:val="Heading5"/>
        <w:rPr>
          <w:snapToGrid w:val="0"/>
        </w:rPr>
      </w:pPr>
      <w:bookmarkStart w:id="370" w:name="_Toc271200351"/>
      <w:r>
        <w:rPr>
          <w:rStyle w:val="CharSectno"/>
        </w:rPr>
        <w:t>17</w:t>
      </w:r>
      <w:r>
        <w:t>.</w:t>
      </w:r>
      <w:r>
        <w:tab/>
        <w:t>R</w:t>
      </w:r>
      <w:r>
        <w:rPr>
          <w:snapToGrid w:val="0"/>
        </w:rPr>
        <w:t>egistrar</w:t>
      </w:r>
      <w:bookmarkEnd w:id="370"/>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371" w:name="_Toc271200352"/>
      <w:r>
        <w:rPr>
          <w:rStyle w:val="CharSectno"/>
        </w:rPr>
        <w:t>18</w:t>
      </w:r>
      <w:r>
        <w:t>.</w:t>
      </w:r>
      <w:r>
        <w:tab/>
        <w:t>Other staff</w:t>
      </w:r>
      <w:bookmarkEnd w:id="371"/>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72" w:name="_Toc177790734"/>
      <w:bookmarkStart w:id="373" w:name="_Toc177790944"/>
      <w:bookmarkStart w:id="374" w:name="_Toc177810541"/>
      <w:bookmarkStart w:id="375" w:name="_Toc196196755"/>
      <w:bookmarkStart w:id="376" w:name="_Toc199820455"/>
      <w:bookmarkStart w:id="377" w:name="_Toc215544803"/>
      <w:bookmarkStart w:id="378" w:name="_Toc223858830"/>
      <w:bookmarkStart w:id="379" w:name="_Toc223859040"/>
      <w:bookmarkStart w:id="380" w:name="_Toc271105416"/>
      <w:bookmarkStart w:id="381" w:name="_Toc271200353"/>
      <w:r>
        <w:rPr>
          <w:rStyle w:val="CharDivNo"/>
        </w:rPr>
        <w:t>Division 6</w:t>
      </w:r>
      <w:r>
        <w:t> — </w:t>
      </w:r>
      <w:r>
        <w:rPr>
          <w:rStyle w:val="CharDivText"/>
        </w:rPr>
        <w:t>General</w:t>
      </w:r>
      <w:bookmarkEnd w:id="372"/>
      <w:bookmarkEnd w:id="373"/>
      <w:bookmarkEnd w:id="374"/>
      <w:bookmarkEnd w:id="375"/>
      <w:bookmarkEnd w:id="376"/>
      <w:bookmarkEnd w:id="377"/>
      <w:bookmarkEnd w:id="378"/>
      <w:bookmarkEnd w:id="379"/>
      <w:bookmarkEnd w:id="380"/>
      <w:bookmarkEnd w:id="381"/>
    </w:p>
    <w:p>
      <w:pPr>
        <w:pStyle w:val="Heading5"/>
        <w:rPr>
          <w:snapToGrid w:val="0"/>
        </w:rPr>
      </w:pPr>
      <w:bookmarkStart w:id="382" w:name="_Toc271200354"/>
      <w:r>
        <w:rPr>
          <w:rStyle w:val="CharSectno"/>
        </w:rPr>
        <w:t>19</w:t>
      </w:r>
      <w:r>
        <w:t>.</w:t>
      </w:r>
      <w:r>
        <w:tab/>
      </w:r>
      <w:r>
        <w:rPr>
          <w:snapToGrid w:val="0"/>
        </w:rPr>
        <w:t>Duty not to make improper use of information</w:t>
      </w:r>
      <w:bookmarkEnd w:id="382"/>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383" w:name="_Toc271200355"/>
      <w:r>
        <w:rPr>
          <w:rStyle w:val="CharSectno"/>
        </w:rPr>
        <w:t>20</w:t>
      </w:r>
      <w:r>
        <w:t>.</w:t>
      </w:r>
      <w:r>
        <w:tab/>
      </w:r>
      <w:r>
        <w:rPr>
          <w:snapToGrid w:val="0"/>
        </w:rPr>
        <w:t>Meetings and minutes of meetings</w:t>
      </w:r>
      <w:bookmarkEnd w:id="383"/>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84" w:name="_Toc271200356"/>
      <w:r>
        <w:rPr>
          <w:rStyle w:val="CharSectno"/>
        </w:rPr>
        <w:t>21</w:t>
      </w:r>
      <w:r>
        <w:t>.</w:t>
      </w:r>
      <w:r>
        <w:tab/>
        <w:t>E</w:t>
      </w:r>
      <w:r>
        <w:rPr>
          <w:snapToGrid w:val="0"/>
        </w:rPr>
        <w:t>xecution of documents by Board</w:t>
      </w:r>
      <w:bookmarkEnd w:id="384"/>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85" w:name="_Toc177790738"/>
      <w:bookmarkStart w:id="386" w:name="_Toc177790948"/>
      <w:bookmarkStart w:id="387" w:name="_Toc177810545"/>
      <w:bookmarkStart w:id="388" w:name="_Toc196196759"/>
      <w:bookmarkStart w:id="389" w:name="_Toc199820459"/>
      <w:bookmarkStart w:id="390" w:name="_Toc215544807"/>
      <w:bookmarkStart w:id="391" w:name="_Toc223858834"/>
      <w:bookmarkStart w:id="392" w:name="_Toc223859044"/>
      <w:bookmarkStart w:id="393" w:name="_Toc271105420"/>
      <w:bookmarkStart w:id="394" w:name="_Toc271200357"/>
      <w:r>
        <w:rPr>
          <w:rStyle w:val="CharPartNo"/>
        </w:rPr>
        <w:t>Part 3</w:t>
      </w:r>
      <w:r>
        <w:rPr>
          <w:rStyle w:val="CharDivNo"/>
        </w:rPr>
        <w:t> </w:t>
      </w:r>
      <w:r>
        <w:t>—</w:t>
      </w:r>
      <w:r>
        <w:rPr>
          <w:rStyle w:val="CharDivText"/>
        </w:rPr>
        <w:t> </w:t>
      </w:r>
      <w:r>
        <w:rPr>
          <w:rStyle w:val="CharPartText"/>
        </w:rPr>
        <w:t>Finance and reports</w:t>
      </w:r>
      <w:bookmarkEnd w:id="385"/>
      <w:bookmarkEnd w:id="386"/>
      <w:bookmarkEnd w:id="387"/>
      <w:bookmarkEnd w:id="388"/>
      <w:bookmarkEnd w:id="389"/>
      <w:bookmarkEnd w:id="390"/>
      <w:bookmarkEnd w:id="391"/>
      <w:bookmarkEnd w:id="392"/>
      <w:bookmarkEnd w:id="393"/>
      <w:bookmarkEnd w:id="394"/>
    </w:p>
    <w:p>
      <w:pPr>
        <w:pStyle w:val="Heading5"/>
        <w:rPr>
          <w:snapToGrid w:val="0"/>
        </w:rPr>
      </w:pPr>
      <w:bookmarkStart w:id="395" w:name="_Toc271200358"/>
      <w:r>
        <w:rPr>
          <w:rStyle w:val="CharSectno"/>
        </w:rPr>
        <w:t>22</w:t>
      </w:r>
      <w:r>
        <w:t>.</w:t>
      </w:r>
      <w:r>
        <w:tab/>
      </w:r>
      <w:r>
        <w:rPr>
          <w:snapToGrid w:val="0"/>
        </w:rPr>
        <w:t>Funds of the Board</w:t>
      </w:r>
      <w:bookmarkEnd w:id="395"/>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62 or 84;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67(3);</w:t>
      </w:r>
    </w:p>
    <w:p>
      <w:pPr>
        <w:pStyle w:val="Indenta"/>
      </w:pPr>
      <w:r>
        <w:tab/>
        <w:t>(c)</w:t>
      </w:r>
      <w:r>
        <w:tab/>
        <w:t>for the payment of costs under section 84(3);</w:t>
      </w:r>
    </w:p>
    <w:p>
      <w:pPr>
        <w:pStyle w:val="Indenta"/>
        <w:rPr>
          <w:snapToGrid w:val="0"/>
        </w:rPr>
      </w:pPr>
      <w:r>
        <w:rPr>
          <w:snapToGrid w:val="0"/>
        </w:rPr>
        <w:tab/>
        <w:t>(d)</w:t>
      </w:r>
      <w:r>
        <w:rPr>
          <w:snapToGrid w:val="0"/>
        </w:rPr>
        <w:tab/>
        <w:t xml:space="preserve">for the furtherance of education, including public education, and research in relation to the practice of nursing and midwifery; </w:t>
      </w:r>
    </w:p>
    <w:p>
      <w:pPr>
        <w:pStyle w:val="Indenta"/>
        <w:rPr>
          <w:snapToGrid w:val="0"/>
        </w:rPr>
      </w:pPr>
      <w:r>
        <w:rPr>
          <w:snapToGrid w:val="0"/>
        </w:rPr>
        <w:tab/>
        <w:t>(e)</w:t>
      </w:r>
      <w:r>
        <w:rPr>
          <w:snapToGrid w:val="0"/>
        </w:rPr>
        <w:tab/>
        <w:t>by way of contribution to any professional body for nurses or midwives for the development by that body of professional standards; and</w:t>
      </w:r>
    </w:p>
    <w:p>
      <w:pPr>
        <w:pStyle w:val="Indenta"/>
        <w:rPr>
          <w:snapToGrid w:val="0"/>
        </w:rPr>
      </w:pPr>
      <w:r>
        <w:rPr>
          <w:snapToGrid w:val="0"/>
        </w:rPr>
        <w:tab/>
        <w:t>(f)</w:t>
      </w:r>
      <w:r>
        <w:rPr>
          <w:snapToGrid w:val="0"/>
        </w:rPr>
        <w:tab/>
        <w:t>for any other purpose that the Board may recommend and the Minister may approve to enable the Board to perform its functions.</w:t>
      </w:r>
    </w:p>
    <w:p>
      <w:pPr>
        <w:pStyle w:val="Heading5"/>
        <w:rPr>
          <w:snapToGrid w:val="0"/>
        </w:rPr>
      </w:pPr>
      <w:bookmarkStart w:id="396" w:name="_Toc271200359"/>
      <w:r>
        <w:rPr>
          <w:rStyle w:val="CharSectno"/>
        </w:rPr>
        <w:t>23</w:t>
      </w:r>
      <w:r>
        <w:t>.</w:t>
      </w:r>
      <w:r>
        <w:tab/>
      </w:r>
      <w:r>
        <w:rPr>
          <w:snapToGrid w:val="0"/>
        </w:rPr>
        <w:t>Accounts</w:t>
      </w:r>
      <w:bookmarkEnd w:id="396"/>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97" w:name="_Toc271200360"/>
      <w:r>
        <w:rPr>
          <w:rStyle w:val="CharSectno"/>
        </w:rPr>
        <w:t>24</w:t>
      </w:r>
      <w:r>
        <w:t>.</w:t>
      </w:r>
      <w:r>
        <w:tab/>
      </w:r>
      <w:r>
        <w:rPr>
          <w:snapToGrid w:val="0"/>
        </w:rPr>
        <w:t>Audit</w:t>
      </w:r>
      <w:bookmarkEnd w:id="397"/>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98" w:name="_Toc271200361"/>
      <w:r>
        <w:rPr>
          <w:rStyle w:val="CharSectno"/>
        </w:rPr>
        <w:t>25</w:t>
      </w:r>
      <w:r>
        <w:t>.</w:t>
      </w:r>
      <w:r>
        <w:tab/>
      </w:r>
      <w:r>
        <w:rPr>
          <w:snapToGrid w:val="0"/>
        </w:rPr>
        <w:t>Annual report and other reports</w:t>
      </w:r>
      <w:bookmarkEnd w:id="398"/>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99" w:name="_Toc177790743"/>
      <w:bookmarkStart w:id="400" w:name="_Toc177790953"/>
      <w:bookmarkStart w:id="401" w:name="_Toc177810550"/>
      <w:bookmarkStart w:id="402" w:name="_Toc196196764"/>
      <w:bookmarkStart w:id="403" w:name="_Toc199820464"/>
      <w:bookmarkStart w:id="404" w:name="_Toc215544812"/>
      <w:bookmarkStart w:id="405" w:name="_Toc223858839"/>
      <w:bookmarkStart w:id="406" w:name="_Toc223859049"/>
      <w:bookmarkStart w:id="407" w:name="_Toc271105425"/>
      <w:bookmarkStart w:id="408" w:name="_Toc271200362"/>
      <w:r>
        <w:rPr>
          <w:rStyle w:val="CharPartNo"/>
        </w:rPr>
        <w:t>Part 4</w:t>
      </w:r>
      <w:r>
        <w:t> — </w:t>
      </w:r>
      <w:r>
        <w:rPr>
          <w:rStyle w:val="CharPartText"/>
        </w:rPr>
        <w:t>Registration of nurses and midwives</w:t>
      </w:r>
      <w:bookmarkEnd w:id="399"/>
      <w:bookmarkEnd w:id="400"/>
      <w:bookmarkEnd w:id="401"/>
      <w:bookmarkEnd w:id="402"/>
      <w:bookmarkEnd w:id="403"/>
      <w:bookmarkEnd w:id="404"/>
      <w:bookmarkEnd w:id="405"/>
      <w:bookmarkEnd w:id="406"/>
      <w:bookmarkEnd w:id="407"/>
      <w:bookmarkEnd w:id="408"/>
    </w:p>
    <w:p>
      <w:pPr>
        <w:pStyle w:val="Heading3"/>
      </w:pPr>
      <w:bookmarkStart w:id="409" w:name="_Toc177790744"/>
      <w:bookmarkStart w:id="410" w:name="_Toc177790954"/>
      <w:bookmarkStart w:id="411" w:name="_Toc177810551"/>
      <w:bookmarkStart w:id="412" w:name="_Toc196196765"/>
      <w:bookmarkStart w:id="413" w:name="_Toc199820465"/>
      <w:bookmarkStart w:id="414" w:name="_Toc215544813"/>
      <w:bookmarkStart w:id="415" w:name="_Toc223858840"/>
      <w:bookmarkStart w:id="416" w:name="_Toc223859050"/>
      <w:bookmarkStart w:id="417" w:name="_Toc271105426"/>
      <w:bookmarkStart w:id="418" w:name="_Toc271200363"/>
      <w:r>
        <w:rPr>
          <w:rStyle w:val="CharDivNo"/>
        </w:rPr>
        <w:t>Division 1</w:t>
      </w:r>
      <w:r>
        <w:t> — </w:t>
      </w:r>
      <w:r>
        <w:rPr>
          <w:rStyle w:val="CharDivText"/>
        </w:rPr>
        <w:t>Registration</w:t>
      </w:r>
      <w:bookmarkEnd w:id="409"/>
      <w:bookmarkEnd w:id="410"/>
      <w:bookmarkEnd w:id="411"/>
      <w:bookmarkEnd w:id="412"/>
      <w:bookmarkEnd w:id="413"/>
      <w:bookmarkEnd w:id="414"/>
      <w:bookmarkEnd w:id="415"/>
      <w:bookmarkEnd w:id="416"/>
      <w:bookmarkEnd w:id="417"/>
      <w:bookmarkEnd w:id="418"/>
    </w:p>
    <w:p>
      <w:pPr>
        <w:pStyle w:val="Heading5"/>
      </w:pPr>
      <w:bookmarkStart w:id="419" w:name="_Toc271200364"/>
      <w:r>
        <w:rPr>
          <w:rStyle w:val="CharSectno"/>
        </w:rPr>
        <w:t>26</w:t>
      </w:r>
      <w:r>
        <w:t>.</w:t>
      </w:r>
      <w:r>
        <w:tab/>
        <w:t>Natural persons may be registered</w:t>
      </w:r>
      <w:bookmarkEnd w:id="419"/>
    </w:p>
    <w:p>
      <w:pPr>
        <w:pStyle w:val="Subsection"/>
      </w:pPr>
      <w:r>
        <w:tab/>
      </w:r>
      <w:r>
        <w:tab/>
        <w:t>Registration under this Act may be granted only to a natural person.</w:t>
      </w:r>
    </w:p>
    <w:p>
      <w:pPr>
        <w:pStyle w:val="Heading5"/>
      </w:pPr>
      <w:bookmarkStart w:id="420" w:name="_Toc271200365"/>
      <w:r>
        <w:rPr>
          <w:rStyle w:val="CharSectno"/>
        </w:rPr>
        <w:t>27</w:t>
      </w:r>
      <w:r>
        <w:t>.</w:t>
      </w:r>
      <w:r>
        <w:tab/>
        <w:t>Registration as an enrolled nurse, midwife or registered nurse</w:t>
      </w:r>
      <w:bookmarkEnd w:id="420"/>
    </w:p>
    <w:p>
      <w:pPr>
        <w:pStyle w:val="Subsection"/>
      </w:pPr>
      <w:r>
        <w:tab/>
        <w:t>(1)</w:t>
      </w:r>
      <w:r>
        <w:tab/>
        <w:t xml:space="preserve">The Board is to register an applicant as an enrolled nurse, midwife or registered nurse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as an enrolled nurse, midwife or registered nurse are that the applicant — </w:t>
      </w:r>
    </w:p>
    <w:p>
      <w:pPr>
        <w:pStyle w:val="Indenta"/>
        <w:rPr>
          <w:snapToGrid w:val="0"/>
        </w:rPr>
      </w:pPr>
      <w:r>
        <w:rPr>
          <w:snapToGrid w:val="0"/>
        </w:rPr>
        <w:tab/>
        <w:t>(a)</w:t>
      </w:r>
      <w:r>
        <w:rPr>
          <w:snapToGrid w:val="0"/>
        </w:rPr>
        <w:tab/>
        <w:t xml:space="preserve">is a fit and proper person to be registered as </w:t>
      </w:r>
      <w:r>
        <w:t>an enrolled nurse</w:t>
      </w:r>
      <w:r>
        <w:rPr>
          <w:snapToGrid w:val="0"/>
        </w:rPr>
        <w:t>, midwife or registered nurse;</w:t>
      </w:r>
    </w:p>
    <w:p>
      <w:pPr>
        <w:pStyle w:val="Indenta"/>
        <w:rPr>
          <w:snapToGrid w:val="0"/>
        </w:rPr>
      </w:pPr>
      <w:r>
        <w:rPr>
          <w:snapToGrid w:val="0"/>
        </w:rPr>
        <w:tab/>
        <w:t>(b)</w:t>
      </w:r>
      <w:r>
        <w:rPr>
          <w:snapToGrid w:val="0"/>
        </w:rPr>
        <w:tab/>
        <w:t>has not been convicted of an offence the nature of which renders the person unfit to practise as a nurse or midwife, as the case may be;</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nursing or midwifery, as the case may be;</w:t>
      </w:r>
    </w:p>
    <w:p>
      <w:pPr>
        <w:pStyle w:val="Indenta"/>
        <w:rPr>
          <w:snapToGrid w:val="0"/>
        </w:rPr>
      </w:pPr>
      <w:r>
        <w:rPr>
          <w:snapToGrid w:val="0"/>
        </w:rPr>
        <w:tab/>
        <w:t>(e)</w:t>
      </w:r>
      <w:r>
        <w:rPr>
          <w:snapToGrid w:val="0"/>
        </w:rPr>
        <w:tab/>
        <w:t>subject to subsection (3), has acquired such knowledge and has such practical experience in nursing or midwifery, as the case may be, as in the opinion of the Board is sufficient to enable that person to perform efficiently the duties of an enrolled nurse, midwife or registered nurse, as the case may be; and</w:t>
      </w:r>
    </w:p>
    <w:p>
      <w:pPr>
        <w:pStyle w:val="Indenta"/>
        <w:rPr>
          <w:snapToGrid w:val="0"/>
        </w:rPr>
      </w:pPr>
      <w:r>
        <w:rPr>
          <w:snapToGrid w:val="0"/>
        </w:rPr>
        <w:tab/>
        <w:t>(f)</w:t>
      </w:r>
      <w:r>
        <w:rPr>
          <w:snapToGrid w:val="0"/>
        </w:rPr>
        <w:tab/>
        <w:t>holds a qualification approved by the Board as a qualification for registration as an enrolled nurse, midwife or registered nurse, as the case may be,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 xml:space="preserve">The Board may impose such conditions on registration under subsection (1) as the Board reasonably requires to ensure the competent and safe practice of — </w:t>
      </w:r>
    </w:p>
    <w:p>
      <w:pPr>
        <w:pStyle w:val="Indenta"/>
      </w:pPr>
      <w:r>
        <w:tab/>
        <w:t>(a)</w:t>
      </w:r>
      <w:r>
        <w:tab/>
        <w:t>nursing by the enrolled nurse or registered nurse; or</w:t>
      </w:r>
    </w:p>
    <w:p>
      <w:pPr>
        <w:pStyle w:val="Indenta"/>
      </w:pPr>
      <w:r>
        <w:tab/>
        <w:t>(b)</w:t>
      </w:r>
      <w:r>
        <w:tab/>
        <w:t>midwifery by the midwife.</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421" w:name="_Toc271200366"/>
      <w:r>
        <w:rPr>
          <w:rStyle w:val="CharSectno"/>
        </w:rPr>
        <w:t>28</w:t>
      </w:r>
      <w:r>
        <w:t>.</w:t>
      </w:r>
      <w:r>
        <w:tab/>
        <w:t>Registration as a nurse practitioner</w:t>
      </w:r>
      <w:bookmarkEnd w:id="421"/>
    </w:p>
    <w:p>
      <w:pPr>
        <w:pStyle w:val="Subsection"/>
      </w:pPr>
      <w:r>
        <w:tab/>
        <w:t>(1)</w:t>
      </w:r>
      <w:r>
        <w:tab/>
        <w:t xml:space="preserve">The Board is to register an applicant as a nurse practitioner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as a nurse practitioner are that the applicant — </w:t>
      </w:r>
    </w:p>
    <w:p>
      <w:pPr>
        <w:pStyle w:val="Indenta"/>
        <w:rPr>
          <w:snapToGrid w:val="0"/>
        </w:rPr>
      </w:pPr>
      <w:r>
        <w:rPr>
          <w:snapToGrid w:val="0"/>
        </w:rPr>
        <w:tab/>
        <w:t>(a)</w:t>
      </w:r>
      <w:r>
        <w:rPr>
          <w:snapToGrid w:val="0"/>
        </w:rPr>
        <w:tab/>
        <w:t>is a registered nurse or the Board is satisfied that the person meets the requirements for registration as a registered nurse; and</w:t>
      </w:r>
    </w:p>
    <w:p>
      <w:pPr>
        <w:pStyle w:val="Indenta"/>
        <w:rPr>
          <w:snapToGrid w:val="0"/>
        </w:rPr>
      </w:pPr>
      <w:r>
        <w:rPr>
          <w:snapToGrid w:val="0"/>
        </w:rPr>
        <w:tab/>
        <w:t>(b)</w:t>
      </w:r>
      <w:r>
        <w:rPr>
          <w:snapToGrid w:val="0"/>
        </w:rPr>
        <w:tab/>
        <w:t>holds a qualification prescribed by the rules as a qualification for registration as a nurse practitioner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nursing by the nurse practitioner.</w:t>
      </w:r>
    </w:p>
    <w:p>
      <w:pPr>
        <w:pStyle w:val="Subsection"/>
      </w:pPr>
      <w:r>
        <w:tab/>
        <w:t>(4)</w:t>
      </w:r>
      <w:r>
        <w:tab/>
        <w:t>A condition imposed under subsection (3) may apply indefinitely or for a period of time specified by the Board in the written notice.</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422" w:name="_Toc271200367"/>
      <w:r>
        <w:rPr>
          <w:rStyle w:val="CharSectno"/>
        </w:rPr>
        <w:t>29</w:t>
      </w:r>
      <w:r>
        <w:t>.</w:t>
      </w:r>
      <w:r>
        <w:tab/>
        <w:t>Provisional registration</w:t>
      </w:r>
      <w:bookmarkEnd w:id="422"/>
    </w:p>
    <w:p>
      <w:pPr>
        <w:pStyle w:val="Subsection"/>
      </w:pPr>
      <w:r>
        <w:tab/>
        <w:t>(1)</w:t>
      </w:r>
      <w:r>
        <w:tab/>
        <w:t>The Board may provisionally register an applicant as an enrolled nurse, midwife, nurse practitioner or registered nurse if satisfied that —</w:t>
      </w:r>
    </w:p>
    <w:p>
      <w:pPr>
        <w:pStyle w:val="Indenta"/>
      </w:pPr>
      <w:r>
        <w:tab/>
        <w:t>(a)</w:t>
      </w:r>
      <w:r>
        <w:tab/>
        <w:t>the applicant has applied to be registered under section 27 or 28;</w:t>
      </w:r>
    </w:p>
    <w:p>
      <w:pPr>
        <w:pStyle w:val="Indenta"/>
      </w:pPr>
      <w:r>
        <w:tab/>
        <w:t>(b)</w:t>
      </w:r>
      <w:r>
        <w:tab/>
        <w:t>the requisite evidence is likely to be produced to enable the Board to be satisfied as to the matters set out in section 27(2) or 28(2) relevant to the type of registration applied for;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nursing or midwifery, as the case may be.</w:t>
      </w:r>
    </w:p>
    <w:p>
      <w:pPr>
        <w:pStyle w:val="Subsection"/>
      </w:pPr>
      <w:r>
        <w:tab/>
        <w:t>(4)</w:t>
      </w:r>
      <w:r>
        <w:tab/>
        <w:t>If the Board, before the period referred to in subsection (2) expires, has reason to believe that a person granted provisional registration is not entitled to be registered under section 27 or 28 as an enrolled nurse, midwife, nurse practitioner or registered nurse, as the case may be, the Board may, without prejudice to the person’s application to be registered, cancel the person’s provisional registration.</w:t>
      </w:r>
    </w:p>
    <w:p>
      <w:pPr>
        <w:pStyle w:val="Heading5"/>
        <w:rPr>
          <w:snapToGrid w:val="0"/>
        </w:rPr>
      </w:pPr>
      <w:bookmarkStart w:id="423" w:name="_Toc271200368"/>
      <w:r>
        <w:rPr>
          <w:rStyle w:val="CharSectno"/>
        </w:rPr>
        <w:t>30</w:t>
      </w:r>
      <w:r>
        <w:t>.</w:t>
      </w:r>
      <w:r>
        <w:tab/>
      </w:r>
      <w:r>
        <w:rPr>
          <w:snapToGrid w:val="0"/>
        </w:rPr>
        <w:t>Conditional registration as an enrolled nurse, midwife, nurse practitioner or registered nurse at the discretion of the Board</w:t>
      </w:r>
      <w:bookmarkEnd w:id="423"/>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enrolled nurse, midwife or registered nurse, as the case may be,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nursing or midwifery, desires registration for the purpose of enabling the person to teach nursing</w:t>
      </w:r>
      <w:r>
        <w:rPr>
          <w:bCs/>
        </w:rPr>
        <w:t xml:space="preserve"> or midwifery, as the case may be, in a clinical setting</w:t>
      </w:r>
      <w:r>
        <w:rPr>
          <w:snapToGrid w:val="0"/>
        </w:rPr>
        <w:t>; or</w:t>
      </w:r>
    </w:p>
    <w:p>
      <w:pPr>
        <w:pStyle w:val="Indenti"/>
        <w:rPr>
          <w:snapToGrid w:val="0"/>
        </w:rPr>
      </w:pPr>
      <w:r>
        <w:rPr>
          <w:snapToGrid w:val="0"/>
        </w:rPr>
        <w:tab/>
        <w:t>(iii)</w:t>
      </w:r>
      <w:r>
        <w:rPr>
          <w:snapToGrid w:val="0"/>
        </w:rPr>
        <w:tab/>
        <w:t>the person desires registration to enable the person to undertake particular nursing duties of limited duration or duties of midwifery of limited duration</w:t>
      </w:r>
      <w:r>
        <w:rPr>
          <w:bCs/>
        </w:rPr>
        <w:t>, as the case may be</w:t>
      </w:r>
      <w:r>
        <w:rPr>
          <w:snapToGrid w:val="0"/>
        </w:rPr>
        <w:t>;</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tab/>
        <w:t>(2)</w:t>
      </w:r>
      <w:r>
        <w:tab/>
      </w:r>
      <w:r>
        <w:rPr>
          <w:snapToGrid w:val="0"/>
        </w:rPr>
        <w:t xml:space="preserve">The Board may grant a person conditional registration as a nurse practitioner if — </w:t>
      </w:r>
    </w:p>
    <w:p>
      <w:pPr>
        <w:pStyle w:val="Indenta"/>
        <w:rPr>
          <w:snapToGrid w:val="0"/>
        </w:rPr>
      </w:pPr>
      <w:r>
        <w:rPr>
          <w:snapToGrid w:val="0"/>
        </w:rPr>
        <w:tab/>
        <w:t>(a)</w:t>
      </w:r>
      <w:r>
        <w:rPr>
          <w:snapToGrid w:val="0"/>
        </w:rPr>
        <w:tab/>
        <w:t xml:space="preserve">the Board is satisfied that — </w:t>
      </w:r>
    </w:p>
    <w:p>
      <w:pPr>
        <w:pStyle w:val="Indenti"/>
      </w:pPr>
      <w:r>
        <w:tab/>
        <w:t>(i)</w:t>
      </w:r>
      <w:r>
        <w:tab/>
      </w:r>
      <w:r>
        <w:rPr>
          <w:snapToGrid w:val="0"/>
        </w:rPr>
        <w:t>the person meets the requirements of section 28(2)(a) and that the requisite evidence is likely to be produced to enable the Board to be satisfied as to the matters set out in section 28(2)(b);</w:t>
      </w:r>
    </w:p>
    <w:p>
      <w:pPr>
        <w:pStyle w:val="Indenti"/>
        <w:rPr>
          <w:snapToGrid w:val="0"/>
        </w:rPr>
      </w:pPr>
      <w:r>
        <w:rPr>
          <w:snapToGrid w:val="0"/>
        </w:rPr>
        <w:tab/>
        <w:t>(ii)</w:t>
      </w:r>
      <w:r>
        <w:rPr>
          <w:snapToGrid w:val="0"/>
        </w:rPr>
        <w:tab/>
        <w:t>the person, recognised by the Board as being a person of eminence within the field of nursing, desires registration for the purpose of enabling the person to teach with respect to the functions of a nurse practitioner; or</w:t>
      </w:r>
    </w:p>
    <w:p>
      <w:pPr>
        <w:pStyle w:val="Indenti"/>
        <w:rPr>
          <w:snapToGrid w:val="0"/>
        </w:rPr>
      </w:pPr>
      <w:r>
        <w:rPr>
          <w:snapToGrid w:val="0"/>
        </w:rPr>
        <w:tab/>
        <w:t>(iii)</w:t>
      </w:r>
      <w:r>
        <w:rPr>
          <w:snapToGrid w:val="0"/>
        </w:rPr>
        <w:tab/>
        <w:t>the person desires registration to enable the person to undertake particular functions of a nurse practitioner of limited duration;</w:t>
      </w:r>
    </w:p>
    <w:p>
      <w:pPr>
        <w:pStyle w:val="Indenta"/>
      </w:pPr>
      <w:r>
        <w:tab/>
      </w:r>
      <w:r>
        <w:tab/>
        <w:t>and</w:t>
      </w:r>
    </w:p>
    <w:p>
      <w:pPr>
        <w:pStyle w:val="Indenta"/>
      </w:pPr>
      <w:r>
        <w:tab/>
        <w:t>(b)</w:t>
      </w:r>
      <w:r>
        <w:tab/>
        <w:t>the applicant has paid the registration fee, if any, prescribed by the regulations.</w:t>
      </w:r>
    </w:p>
    <w:p>
      <w:pPr>
        <w:pStyle w:val="Subsection"/>
        <w:rPr>
          <w:snapToGrid w:val="0"/>
        </w:rPr>
      </w:pPr>
      <w:r>
        <w:rPr>
          <w:snapToGrid w:val="0"/>
        </w:rPr>
        <w:tab/>
        <w:t>(3)</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(4)</w:t>
      </w:r>
      <w:r>
        <w:rPr>
          <w:snapToGrid w:val="0"/>
        </w:rPr>
        <w:tab/>
        <w:t>Conditional registration, and the practice of nursing or midwifery, as the case may be, by a person registered under this section, may be made subject to such conditions as the Board imposes in any particular case.</w:t>
      </w:r>
    </w:p>
    <w:p>
      <w:pPr>
        <w:pStyle w:val="Subsection"/>
      </w:pPr>
      <w:r>
        <w:rPr>
          <w:snapToGrid w:val="0"/>
        </w:rPr>
        <w:tab/>
        <w:t>(5)</w:t>
      </w:r>
      <w:r>
        <w:rPr>
          <w:snapToGrid w:val="0"/>
        </w:rPr>
        <w:tab/>
      </w:r>
      <w:r>
        <w:t>The Board may at any time cancel a conditional registration.</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424" w:name="_Toc271200369"/>
      <w:r>
        <w:rPr>
          <w:rStyle w:val="CharSectno"/>
        </w:rPr>
        <w:t>31</w:t>
      </w:r>
      <w:r>
        <w:t>.</w:t>
      </w:r>
      <w:r>
        <w:tab/>
        <w:t>Registration as specialists</w:t>
      </w:r>
      <w:bookmarkEnd w:id="424"/>
    </w:p>
    <w:p>
      <w:pPr>
        <w:pStyle w:val="Subsection"/>
      </w:pPr>
      <w:r>
        <w:tab/>
        <w:t>(1)</w:t>
      </w:r>
      <w:r>
        <w:tab/>
        <w:t xml:space="preserve">The Board is to register an applicant as a specialist in a branch of nursing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a registered nurse; and</w:t>
      </w:r>
    </w:p>
    <w:p>
      <w:pPr>
        <w:pStyle w:val="Indenta"/>
      </w:pPr>
      <w:r>
        <w:tab/>
        <w:t>(b)</w:t>
      </w:r>
      <w:r>
        <w:tab/>
      </w:r>
      <w:r>
        <w:rPr>
          <w:snapToGrid w:val="0"/>
        </w:rPr>
        <w:t xml:space="preserve">holds a qualification for registration </w:t>
      </w:r>
      <w:r>
        <w:t>in the specialty that is prescribed by the regulations as a qualification for the specialty</w:t>
      </w:r>
      <w:r>
        <w:rPr>
          <w:snapToGrid w:val="0"/>
        </w:rPr>
        <w:t xml:space="preserve">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105.</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rPr>
          <w:snapToGrid w:val="0"/>
        </w:rPr>
      </w:pPr>
      <w:r>
        <w:tab/>
        <w:t>(6)</w:t>
      </w:r>
      <w:r>
        <w:tab/>
      </w:r>
      <w:r>
        <w:rPr>
          <w:snapToGrid w:val="0"/>
        </w:rPr>
        <w:t xml:space="preserve">Subject to this Act, registration of a registered nurse as a specialist confers on that person the right to carry on in the State the practice of the specialty for which the person was granted registration as a specialist under the title or titles prescribed by the regulations as the </w:t>
      </w:r>
      <w:r>
        <w:t>title or titles under which the specialty may be practised.</w:t>
      </w:r>
    </w:p>
    <w:p>
      <w:pPr>
        <w:pStyle w:val="Heading5"/>
      </w:pPr>
      <w:bookmarkStart w:id="425" w:name="_Toc271200370"/>
      <w:r>
        <w:rPr>
          <w:rStyle w:val="CharSectno"/>
        </w:rPr>
        <w:t>32</w:t>
      </w:r>
      <w:r>
        <w:t>.</w:t>
      </w:r>
      <w:r>
        <w:tab/>
        <w:t>Professional indemnity insurance</w:t>
      </w:r>
      <w:bookmarkEnd w:id="425"/>
    </w:p>
    <w:p>
      <w:pPr>
        <w:pStyle w:val="Subsection"/>
        <w:keepNext/>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29, 30 or 31, the Board may impose both of the following conditions as conditions of registration under section 27, 28, 29, 30 or 31 — </w:t>
      </w:r>
    </w:p>
    <w:p>
      <w:pPr>
        <w:pStyle w:val="Indenta"/>
      </w:pPr>
      <w:r>
        <w:tab/>
        <w:t>(a)</w:t>
      </w:r>
      <w:r>
        <w:tab/>
        <w:t>that —</w:t>
      </w:r>
    </w:p>
    <w:p>
      <w:pPr>
        <w:pStyle w:val="Indenti"/>
      </w:pPr>
      <w:r>
        <w:tab/>
        <w:t>(i)</w:t>
      </w:r>
      <w:r>
        <w:tab/>
        <w:t>the nurse or midwife must hold professional indemnity insurance;</w:t>
      </w:r>
    </w:p>
    <w:p>
      <w:pPr>
        <w:pStyle w:val="Indenti"/>
      </w:pPr>
      <w:r>
        <w:tab/>
        <w:t>(ii)</w:t>
      </w:r>
      <w:r>
        <w:tab/>
        <w:t>the professional care provided by the nurse or midwife must be covered by professional indemnity insurance; or</w:t>
      </w:r>
    </w:p>
    <w:p>
      <w:pPr>
        <w:pStyle w:val="Indenti"/>
      </w:pPr>
      <w:r>
        <w:tab/>
        <w:t>(iii)</w:t>
      </w:r>
      <w:r>
        <w:tab/>
        <w:t xml:space="preserve">the nurse or midwife must be specified or referred to in professional indemnity insurance, whether by name or otherwise, as a person to whom the professional indemnity insurance extends even though the nurse or midwife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105.</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426" w:name="_Toc271200371"/>
      <w:r>
        <w:rPr>
          <w:rStyle w:val="CharSectno"/>
        </w:rPr>
        <w:t>33</w:t>
      </w:r>
      <w:r>
        <w:t>.</w:t>
      </w:r>
      <w:r>
        <w:tab/>
      </w:r>
      <w:r>
        <w:rPr>
          <w:snapToGrid w:val="0"/>
        </w:rPr>
        <w:t>Application</w:t>
      </w:r>
      <w:bookmarkEnd w:id="426"/>
    </w:p>
    <w:p>
      <w:pPr>
        <w:pStyle w:val="Subsection"/>
        <w:keepNext/>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427" w:name="_Toc271200372"/>
      <w:r>
        <w:rPr>
          <w:rStyle w:val="CharSectno"/>
        </w:rPr>
        <w:t>34</w:t>
      </w:r>
      <w:r>
        <w:t>.</w:t>
      </w:r>
      <w:r>
        <w:tab/>
      </w:r>
      <w:r>
        <w:rPr>
          <w:snapToGrid w:val="0"/>
        </w:rPr>
        <w:t>Effect of registration</w:t>
      </w:r>
      <w:bookmarkEnd w:id="427"/>
      <w:r>
        <w:rPr>
          <w:snapToGrid w:val="0"/>
        </w:rPr>
        <w:t xml:space="preserve"> </w:t>
      </w:r>
    </w:p>
    <w:p>
      <w:pPr>
        <w:pStyle w:val="Subsection"/>
        <w:rPr>
          <w:snapToGrid w:val="0"/>
        </w:rPr>
      </w:pPr>
      <w:r>
        <w:rPr>
          <w:snapToGrid w:val="0"/>
        </w:rPr>
        <w:tab/>
      </w:r>
      <w:r>
        <w:rPr>
          <w:snapToGrid w:val="0"/>
        </w:rPr>
        <w:tab/>
        <w:t xml:space="preserve">Subject to this Act, registration as — </w:t>
      </w:r>
    </w:p>
    <w:p>
      <w:pPr>
        <w:pStyle w:val="Indenta"/>
        <w:rPr>
          <w:snapToGrid w:val="0"/>
        </w:rPr>
      </w:pPr>
      <w:r>
        <w:rPr>
          <w:snapToGrid w:val="0"/>
        </w:rPr>
        <w:tab/>
        <w:t>(a)</w:t>
      </w:r>
      <w:r>
        <w:rPr>
          <w:snapToGrid w:val="0"/>
        </w:rPr>
        <w:tab/>
        <w:t>an enrolled nurse confers on the person registered the right to carry on in the State the practice of nursing</w:t>
      </w:r>
      <w:r>
        <w:t xml:space="preserve"> under</w:t>
      </w:r>
      <w:r>
        <w:rPr>
          <w:snapToGrid w:val="0"/>
        </w:rPr>
        <w:t xml:space="preserve"> — </w:t>
      </w:r>
    </w:p>
    <w:p>
      <w:pPr>
        <w:pStyle w:val="Indenti"/>
      </w:pPr>
      <w:r>
        <w:tab/>
        <w:t>(i)</w:t>
      </w:r>
      <w:r>
        <w:tab/>
        <w:t>the professional direction of a midwife, nurse practitioner or registered nurse; and</w:t>
      </w:r>
    </w:p>
    <w:p>
      <w:pPr>
        <w:pStyle w:val="Indenti"/>
        <w:rPr>
          <w:snapToGrid w:val="0"/>
        </w:rPr>
      </w:pPr>
      <w:r>
        <w:rPr>
          <w:snapToGrid w:val="0"/>
        </w:rPr>
        <w:tab/>
        <w:t>(ii)</w:t>
      </w:r>
      <w:r>
        <w:rPr>
          <w:snapToGrid w:val="0"/>
        </w:rPr>
        <w:tab/>
        <w:t>the title of “enrolled nurse”;</w:t>
      </w:r>
    </w:p>
    <w:p>
      <w:pPr>
        <w:pStyle w:val="Indenta"/>
        <w:rPr>
          <w:snapToGrid w:val="0"/>
        </w:rPr>
      </w:pPr>
      <w:r>
        <w:tab/>
        <w:t>(b)</w:t>
      </w:r>
      <w:r>
        <w:tab/>
      </w:r>
      <w:r>
        <w:rPr>
          <w:snapToGrid w:val="0"/>
        </w:rPr>
        <w:t xml:space="preserve">a midwife confers on the person registered the right to carry on in the State the practice of midwifery </w:t>
      </w:r>
      <w:r>
        <w:t>under</w:t>
      </w:r>
      <w:r>
        <w:rPr>
          <w:snapToGrid w:val="0"/>
        </w:rPr>
        <w:t xml:space="preserve"> the title of “midwife”;</w:t>
      </w:r>
    </w:p>
    <w:p>
      <w:pPr>
        <w:pStyle w:val="Indenta"/>
        <w:rPr>
          <w:snapToGrid w:val="0"/>
        </w:rPr>
      </w:pPr>
      <w:r>
        <w:tab/>
        <w:t>(c)</w:t>
      </w:r>
      <w:r>
        <w:tab/>
      </w:r>
      <w:r>
        <w:rPr>
          <w:snapToGrid w:val="0"/>
        </w:rPr>
        <w:t xml:space="preserve">a nurse practitioner confers on the person registered the right to carry on at a designated area the practice of nursing as a nurse practitioner </w:t>
      </w:r>
      <w:r>
        <w:t>under</w:t>
      </w:r>
      <w:r>
        <w:rPr>
          <w:snapToGrid w:val="0"/>
        </w:rPr>
        <w:t xml:space="preserve"> the title of “nurse practitioner”; and</w:t>
      </w:r>
    </w:p>
    <w:p>
      <w:pPr>
        <w:pStyle w:val="Indenta"/>
      </w:pPr>
      <w:r>
        <w:tab/>
        <w:t>(d)</w:t>
      </w:r>
      <w:r>
        <w:tab/>
      </w:r>
      <w:r>
        <w:rPr>
          <w:snapToGrid w:val="0"/>
        </w:rPr>
        <w:t>a registered nurse confers on the person registered the right to carry on in the State the practice of nursing</w:t>
      </w:r>
      <w:r>
        <w:t xml:space="preserve"> under</w:t>
      </w:r>
      <w:r>
        <w:rPr>
          <w:snapToGrid w:val="0"/>
        </w:rPr>
        <w:t xml:space="preserve"> the title of “registered nurse”.</w:t>
      </w:r>
    </w:p>
    <w:p>
      <w:pPr>
        <w:pStyle w:val="Heading5"/>
        <w:rPr>
          <w:snapToGrid w:val="0"/>
        </w:rPr>
      </w:pPr>
      <w:bookmarkStart w:id="428" w:name="_Toc271200373"/>
      <w:r>
        <w:rPr>
          <w:rStyle w:val="CharSectno"/>
        </w:rPr>
        <w:t>35</w:t>
      </w:r>
      <w:r>
        <w:t>.</w:t>
      </w:r>
      <w:r>
        <w:tab/>
      </w:r>
      <w:r>
        <w:rPr>
          <w:snapToGrid w:val="0"/>
        </w:rPr>
        <w:t>Duration of registration</w:t>
      </w:r>
      <w:bookmarkEnd w:id="428"/>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429" w:name="_Toc271200374"/>
      <w:r>
        <w:rPr>
          <w:rStyle w:val="CharSectno"/>
        </w:rPr>
        <w:t>36</w:t>
      </w:r>
      <w:r>
        <w:t>.</w:t>
      </w:r>
      <w:r>
        <w:tab/>
      </w:r>
      <w:r>
        <w:rPr>
          <w:snapToGrid w:val="0"/>
        </w:rPr>
        <w:t>Renewal of registration</w:t>
      </w:r>
      <w:bookmarkEnd w:id="429"/>
      <w:r>
        <w:rPr>
          <w:snapToGrid w:val="0"/>
        </w:rPr>
        <w:t xml:space="preserve"> </w:t>
      </w:r>
    </w:p>
    <w:p>
      <w:pPr>
        <w:pStyle w:val="Subsection"/>
        <w:rPr>
          <w:snapToGrid w:val="0"/>
        </w:rPr>
      </w:pPr>
      <w:r>
        <w:rPr>
          <w:snapToGrid w:val="0"/>
        </w:rPr>
        <w:tab/>
        <w:t>(1)</w:t>
      </w:r>
      <w:r>
        <w:rPr>
          <w:snapToGrid w:val="0"/>
        </w:rPr>
        <w:tab/>
        <w:t xml:space="preserve">A nurse or midwife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as an enrolled nurse, midwife, nurse practitioner or registered nurse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nurse or midwife, sent to that person’s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430" w:name="_Toc271200375"/>
      <w:r>
        <w:rPr>
          <w:rStyle w:val="CharSectno"/>
        </w:rPr>
        <w:t>37</w:t>
      </w:r>
      <w:r>
        <w:t>.</w:t>
      </w:r>
      <w:r>
        <w:tab/>
        <w:t>Application for registration by a person whose type of registration has been cancelled under section </w:t>
      </w:r>
      <w:r>
        <w:rPr>
          <w:snapToGrid w:val="0"/>
        </w:rPr>
        <w:t>81(1)(i)</w:t>
      </w:r>
      <w:bookmarkEnd w:id="430"/>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in relation to a type of registration has been cancelled and name removed from the register in relation to that registration under section 81(1)(i).</w:t>
      </w:r>
    </w:p>
    <w:p>
      <w:pPr>
        <w:pStyle w:val="Subsection"/>
        <w:rPr>
          <w:snapToGrid w:val="0"/>
        </w:rPr>
      </w:pPr>
      <w:r>
        <w:rPr>
          <w:snapToGrid w:val="0"/>
        </w:rPr>
        <w:tab/>
        <w:t>(2)</w:t>
      </w:r>
      <w:r>
        <w:rPr>
          <w:snapToGrid w:val="0"/>
        </w:rPr>
        <w:tab/>
        <w:t>A disqualified person may not apply for registration in relation to the type of registration that was cancelled for a period of 2 years after that registration was cancelled.</w:t>
      </w:r>
    </w:p>
    <w:p>
      <w:pPr>
        <w:pStyle w:val="Subsection"/>
        <w:rPr>
          <w:snapToGrid w:val="0"/>
        </w:rPr>
      </w:pPr>
      <w:r>
        <w:rPr>
          <w:snapToGrid w:val="0"/>
        </w:rPr>
        <w:tab/>
        <w:t>(3)</w:t>
      </w:r>
      <w:r>
        <w:rPr>
          <w:snapToGrid w:val="0"/>
        </w:rPr>
        <w:tab/>
        <w:t>The Board cannot grant an application for registration by a disqualified person in relation to the type of registration that was cancelled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nursing or midwifery by, a disqualified person may be made subject to such conditions as the Board in any particular case imposes.</w:t>
      </w:r>
    </w:p>
    <w:p>
      <w:pPr>
        <w:pStyle w:val="Heading3"/>
      </w:pPr>
      <w:bookmarkStart w:id="431" w:name="_Toc177790757"/>
      <w:bookmarkStart w:id="432" w:name="_Toc177790967"/>
      <w:bookmarkStart w:id="433" w:name="_Toc177810564"/>
      <w:bookmarkStart w:id="434" w:name="_Toc196196778"/>
      <w:bookmarkStart w:id="435" w:name="_Toc199820478"/>
      <w:bookmarkStart w:id="436" w:name="_Toc215544826"/>
      <w:bookmarkStart w:id="437" w:name="_Toc223858853"/>
      <w:bookmarkStart w:id="438" w:name="_Toc223859063"/>
      <w:bookmarkStart w:id="439" w:name="_Toc271105439"/>
      <w:bookmarkStart w:id="440" w:name="_Toc271200376"/>
      <w:r>
        <w:rPr>
          <w:rStyle w:val="CharDivNo"/>
        </w:rPr>
        <w:t>Division 2</w:t>
      </w:r>
      <w:r>
        <w:t> — </w:t>
      </w:r>
      <w:r>
        <w:rPr>
          <w:rStyle w:val="CharDivText"/>
        </w:rPr>
        <w:t>The register</w:t>
      </w:r>
      <w:bookmarkEnd w:id="431"/>
      <w:bookmarkEnd w:id="432"/>
      <w:bookmarkEnd w:id="433"/>
      <w:bookmarkEnd w:id="434"/>
      <w:bookmarkEnd w:id="435"/>
      <w:bookmarkEnd w:id="436"/>
      <w:bookmarkEnd w:id="437"/>
      <w:bookmarkEnd w:id="438"/>
      <w:bookmarkEnd w:id="439"/>
      <w:bookmarkEnd w:id="440"/>
    </w:p>
    <w:p>
      <w:pPr>
        <w:pStyle w:val="Heading5"/>
        <w:rPr>
          <w:snapToGrid w:val="0"/>
        </w:rPr>
      </w:pPr>
      <w:bookmarkStart w:id="441" w:name="_Toc271200377"/>
      <w:r>
        <w:rPr>
          <w:rStyle w:val="CharSectno"/>
        </w:rPr>
        <w:t>38</w:t>
      </w:r>
      <w:r>
        <w:t>.</w:t>
      </w:r>
      <w:r>
        <w:tab/>
      </w:r>
      <w:r>
        <w:rPr>
          <w:snapToGrid w:val="0"/>
        </w:rPr>
        <w:t>The register</w:t>
      </w:r>
      <w:bookmarkEnd w:id="441"/>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nurses and midwives in such manner and form as the Board determines and in respect of each nurse or midwife is to record — </w:t>
      </w:r>
    </w:p>
    <w:p>
      <w:pPr>
        <w:pStyle w:val="Indenta"/>
        <w:rPr>
          <w:snapToGrid w:val="0"/>
        </w:rPr>
      </w:pPr>
      <w:r>
        <w:rPr>
          <w:snapToGrid w:val="0"/>
        </w:rPr>
        <w:tab/>
        <w:t>(a)</w:t>
      </w:r>
      <w:r>
        <w:rPr>
          <w:snapToGrid w:val="0"/>
        </w:rPr>
        <w:tab/>
        <w:t>the name of that person;</w:t>
      </w:r>
    </w:p>
    <w:p>
      <w:pPr>
        <w:pStyle w:val="Indenta"/>
        <w:rPr>
          <w:snapToGrid w:val="0"/>
        </w:rPr>
      </w:pPr>
      <w:r>
        <w:rPr>
          <w:snapToGrid w:val="0"/>
        </w:rPr>
        <w:tab/>
        <w:t>(b)</w:t>
      </w:r>
      <w:r>
        <w:rPr>
          <w:snapToGrid w:val="0"/>
        </w:rPr>
        <w:tab/>
        <w:t>the business, or other, address of that person;</w:t>
      </w:r>
    </w:p>
    <w:p>
      <w:pPr>
        <w:pStyle w:val="Indenta"/>
        <w:rPr>
          <w:snapToGrid w:val="0"/>
        </w:rPr>
      </w:pPr>
      <w:r>
        <w:rPr>
          <w:snapToGrid w:val="0"/>
        </w:rPr>
        <w:tab/>
        <w:t>(c)</w:t>
      </w:r>
      <w:r>
        <w:rPr>
          <w:snapToGrid w:val="0"/>
        </w:rPr>
        <w:tab/>
        <w:t>particulars of all of the nursing or midwifery qualifications recognised by the Board and held by that person;</w:t>
      </w:r>
    </w:p>
    <w:p>
      <w:pPr>
        <w:pStyle w:val="Indenta"/>
        <w:rPr>
          <w:snapToGrid w:val="0"/>
        </w:rPr>
      </w:pPr>
      <w:r>
        <w:rPr>
          <w:snapToGrid w:val="0"/>
        </w:rPr>
        <w:tab/>
        <w:t>(d)</w:t>
      </w:r>
      <w:r>
        <w:rPr>
          <w:snapToGrid w:val="0"/>
        </w:rPr>
        <w:tab/>
        <w:t>the type of registration;</w:t>
      </w:r>
    </w:p>
    <w:p>
      <w:pPr>
        <w:pStyle w:val="Indenta"/>
        <w:rPr>
          <w:snapToGrid w:val="0"/>
        </w:rPr>
      </w:pPr>
      <w:r>
        <w:rPr>
          <w:snapToGrid w:val="0"/>
        </w:rPr>
        <w:tab/>
        <w:t>(e)</w:t>
      </w:r>
      <w:r>
        <w:rPr>
          <w:snapToGrid w:val="0"/>
        </w:rPr>
        <w:tab/>
        <w:t>the provision of this Act under which the person is registered;</w:t>
      </w:r>
    </w:p>
    <w:p>
      <w:pPr>
        <w:pStyle w:val="Indenta"/>
        <w:rPr>
          <w:snapToGrid w:val="0"/>
        </w:rPr>
      </w:pPr>
      <w:r>
        <w:rPr>
          <w:snapToGrid w:val="0"/>
        </w:rPr>
        <w:tab/>
        <w:t>(f)</w:t>
      </w:r>
      <w:r>
        <w:rPr>
          <w:snapToGrid w:val="0"/>
        </w:rPr>
        <w:tab/>
        <w:t>any conditions applying to the registration;</w:t>
      </w:r>
    </w:p>
    <w:p>
      <w:pPr>
        <w:pStyle w:val="Indenta"/>
        <w:rPr>
          <w:snapToGrid w:val="0"/>
        </w:rPr>
      </w:pPr>
      <w:r>
        <w:rPr>
          <w:snapToGrid w:val="0"/>
        </w:rPr>
        <w:tab/>
        <w:t>(g)</w:t>
      </w:r>
      <w:r>
        <w:rPr>
          <w:snapToGrid w:val="0"/>
        </w:rPr>
        <w:tab/>
        <w:t>details of the exercise of any power under Part 5 in respect of that person or any order made in respect of that person in a proceeding before the State Administrative Tribunal under Part 5; and</w:t>
      </w:r>
    </w:p>
    <w:p>
      <w:pPr>
        <w:pStyle w:val="Indenta"/>
        <w:rPr>
          <w:snapToGrid w:val="0"/>
        </w:rPr>
      </w:pPr>
      <w:r>
        <w:rPr>
          <w:snapToGrid w:val="0"/>
        </w:rPr>
        <w:tab/>
        <w:t>(h)</w:t>
      </w:r>
      <w:r>
        <w:rPr>
          <w:snapToGrid w:val="0"/>
        </w:rPr>
        <w:tab/>
        <w:t>such other information, if any, as is prescribed by the regulations.</w:t>
      </w:r>
    </w:p>
    <w:p>
      <w:pPr>
        <w:pStyle w:val="Heading5"/>
        <w:rPr>
          <w:snapToGrid w:val="0"/>
        </w:rPr>
      </w:pPr>
      <w:bookmarkStart w:id="442" w:name="_Toc271200378"/>
      <w:r>
        <w:rPr>
          <w:rStyle w:val="CharSectno"/>
        </w:rPr>
        <w:t>39</w:t>
      </w:r>
      <w:r>
        <w:t>.</w:t>
      </w:r>
      <w:r>
        <w:tab/>
      </w:r>
      <w:r>
        <w:rPr>
          <w:snapToGrid w:val="0"/>
        </w:rPr>
        <w:t>Inspection of register</w:t>
      </w:r>
      <w:bookmarkEnd w:id="442"/>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Subsection"/>
      </w:pPr>
      <w:r>
        <w:tab/>
        <w:t>(6)</w:t>
      </w:r>
      <w:r>
        <w:tab/>
        <w:t>Despite subsections (2), (3) and (4), the registrar must not disclose the address of a nurse or midwife to any person without the written consent of the nurse or midwife, other than for the purpose of section 108(4).</w:t>
      </w:r>
    </w:p>
    <w:p>
      <w:pPr>
        <w:pStyle w:val="Heading5"/>
        <w:rPr>
          <w:snapToGrid w:val="0"/>
        </w:rPr>
      </w:pPr>
      <w:bookmarkStart w:id="443" w:name="_Toc271200379"/>
      <w:r>
        <w:rPr>
          <w:rStyle w:val="CharSectno"/>
        </w:rPr>
        <w:t>40</w:t>
      </w:r>
      <w:r>
        <w:t>.</w:t>
      </w:r>
      <w:r>
        <w:tab/>
      </w:r>
      <w:r>
        <w:rPr>
          <w:snapToGrid w:val="0"/>
        </w:rPr>
        <w:t>Certificate of registration</w:t>
      </w:r>
      <w:bookmarkEnd w:id="443"/>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 form approved for that type of registration.</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of registration is issued is registered as specified in the certificate.</w:t>
      </w:r>
    </w:p>
    <w:p>
      <w:pPr>
        <w:pStyle w:val="Heading5"/>
        <w:rPr>
          <w:snapToGrid w:val="0"/>
        </w:rPr>
      </w:pPr>
      <w:bookmarkStart w:id="444" w:name="_Toc271200380"/>
      <w:r>
        <w:rPr>
          <w:rStyle w:val="CharSectno"/>
        </w:rPr>
        <w:t>41</w:t>
      </w:r>
      <w:r>
        <w:t>.</w:t>
      </w:r>
      <w:r>
        <w:tab/>
      </w:r>
      <w:r>
        <w:rPr>
          <w:snapToGrid w:val="0"/>
        </w:rPr>
        <w:t>Voluntary removal from register and cancellation of registration</w:t>
      </w:r>
      <w:bookmarkEnd w:id="444"/>
    </w:p>
    <w:p>
      <w:pPr>
        <w:pStyle w:val="Subsection"/>
        <w:rPr>
          <w:snapToGrid w:val="0"/>
        </w:rPr>
      </w:pPr>
      <w:r>
        <w:rPr>
          <w:snapToGrid w:val="0"/>
        </w:rPr>
        <w:tab/>
        <w:t>(1)</w:t>
      </w:r>
      <w:r>
        <w:rPr>
          <w:snapToGrid w:val="0"/>
        </w:rPr>
        <w:tab/>
        <w:t>A nurse or midwife may, in writing, request the registrar to remove the name of that person from the register in relation to a type of registration and cancel his or her registration in relation to that type of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that person from the register in relation to that type of registration and cancel his or her registration in relation to that type of registration.</w:t>
      </w:r>
    </w:p>
    <w:p>
      <w:pPr>
        <w:pStyle w:val="Subsection"/>
        <w:rPr>
          <w:snapToGrid w:val="0"/>
        </w:rPr>
      </w:pPr>
      <w:r>
        <w:tab/>
        <w:t>(3)</w:t>
      </w:r>
      <w:r>
        <w:tab/>
        <w:t xml:space="preserve">This section does not apply to a nurse or midwife </w:t>
      </w:r>
      <w:r>
        <w:rPr>
          <w:snapToGrid w:val="0"/>
        </w:rPr>
        <w:t>who is the subject of proceedings under Part 5.</w:t>
      </w:r>
    </w:p>
    <w:p>
      <w:pPr>
        <w:pStyle w:val="Heading5"/>
        <w:rPr>
          <w:snapToGrid w:val="0"/>
        </w:rPr>
      </w:pPr>
      <w:bookmarkStart w:id="445" w:name="_Toc271200381"/>
      <w:r>
        <w:rPr>
          <w:rStyle w:val="CharSectno"/>
        </w:rPr>
        <w:t>42</w:t>
      </w:r>
      <w:r>
        <w:t>.</w:t>
      </w:r>
      <w:r>
        <w:tab/>
      </w:r>
      <w:r>
        <w:rPr>
          <w:snapToGrid w:val="0"/>
        </w:rPr>
        <w:t>Removal of name and cancellation of registration of person in certain circumstances</w:t>
      </w:r>
      <w:bookmarkEnd w:id="445"/>
    </w:p>
    <w:p>
      <w:pPr>
        <w:pStyle w:val="Subsection"/>
        <w:rPr>
          <w:snapToGrid w:val="0"/>
        </w:rPr>
      </w:pPr>
      <w:r>
        <w:rPr>
          <w:snapToGrid w:val="0"/>
        </w:rPr>
        <w:tab/>
        <w:t>(1)</w:t>
      </w:r>
      <w:r>
        <w:rPr>
          <w:snapToGrid w:val="0"/>
        </w:rPr>
        <w:tab/>
        <w:t xml:space="preserve">Subject to subsections (3) and (4), the Board is to cancel a type of registration of and direct the registrar to remove from the register the name of a nurse in relation to that type of registration if the Board is satisfied that the nurse — </w:t>
      </w:r>
    </w:p>
    <w:p>
      <w:pPr>
        <w:pStyle w:val="Indenta"/>
        <w:rPr>
          <w:snapToGrid w:val="0"/>
        </w:rPr>
      </w:pPr>
      <w:r>
        <w:rPr>
          <w:snapToGrid w:val="0"/>
        </w:rPr>
        <w:tab/>
        <w:t>(a)</w:t>
      </w:r>
      <w:r>
        <w:rPr>
          <w:snapToGrid w:val="0"/>
        </w:rPr>
        <w:tab/>
        <w:t>has not practised nursing of that type in the preceding period of 5 years; and</w:t>
      </w:r>
    </w:p>
    <w:p>
      <w:pPr>
        <w:pStyle w:val="Indenta"/>
        <w:rPr>
          <w:snapToGrid w:val="0"/>
        </w:rPr>
      </w:pPr>
      <w:r>
        <w:rPr>
          <w:snapToGrid w:val="0"/>
        </w:rPr>
        <w:tab/>
        <w:t>(b)</w:t>
      </w:r>
      <w:r>
        <w:rPr>
          <w:snapToGrid w:val="0"/>
        </w:rPr>
        <w:tab/>
        <w:t>has not maintained current knowledge and skills in nursing at an approved level.</w:t>
      </w:r>
    </w:p>
    <w:p>
      <w:pPr>
        <w:pStyle w:val="Subsection"/>
        <w:rPr>
          <w:snapToGrid w:val="0"/>
        </w:rPr>
      </w:pPr>
      <w:r>
        <w:rPr>
          <w:snapToGrid w:val="0"/>
        </w:rPr>
        <w:tab/>
        <w:t>(2)</w:t>
      </w:r>
      <w:r>
        <w:rPr>
          <w:snapToGrid w:val="0"/>
        </w:rPr>
        <w:tab/>
        <w:t xml:space="preserve">Subject to subsections (3) and (4), the Board is to cancel the registration of and direct the registrar to remove from the register the name of a midwife if the Board is satisfied that the midwife — </w:t>
      </w:r>
    </w:p>
    <w:p>
      <w:pPr>
        <w:pStyle w:val="Indenta"/>
        <w:rPr>
          <w:snapToGrid w:val="0"/>
        </w:rPr>
      </w:pPr>
      <w:r>
        <w:rPr>
          <w:snapToGrid w:val="0"/>
        </w:rPr>
        <w:tab/>
        <w:t>(a)</w:t>
      </w:r>
      <w:r>
        <w:rPr>
          <w:snapToGrid w:val="0"/>
        </w:rPr>
        <w:tab/>
        <w:t>has not practised midwifery in the preceding period of 5 years; and</w:t>
      </w:r>
    </w:p>
    <w:p>
      <w:pPr>
        <w:pStyle w:val="Indenta"/>
        <w:rPr>
          <w:snapToGrid w:val="0"/>
        </w:rPr>
      </w:pPr>
      <w:r>
        <w:rPr>
          <w:snapToGrid w:val="0"/>
        </w:rPr>
        <w:tab/>
        <w:t>(b)</w:t>
      </w:r>
      <w:r>
        <w:rPr>
          <w:snapToGrid w:val="0"/>
        </w:rPr>
        <w:tab/>
        <w:t>has not maintained current knowledge and skills in midwifery at an approved level.</w:t>
      </w:r>
    </w:p>
    <w:p>
      <w:pPr>
        <w:pStyle w:val="Subsection"/>
        <w:rPr>
          <w:snapToGrid w:val="0"/>
        </w:rPr>
      </w:pPr>
      <w:r>
        <w:rPr>
          <w:snapToGrid w:val="0"/>
        </w:rPr>
        <w:tab/>
        <w:t>(3)</w:t>
      </w:r>
      <w:r>
        <w:rPr>
          <w:snapToGrid w:val="0"/>
        </w:rPr>
        <w:tab/>
        <w:t>If the Board proposes to give a direction under subsection (1) or (2), the Board is to give the nurse or midwife written notice of the proposal and the reasons for the proposal.</w:t>
      </w:r>
    </w:p>
    <w:p>
      <w:pPr>
        <w:pStyle w:val="Subsection"/>
        <w:rPr>
          <w:snapToGrid w:val="0"/>
        </w:rPr>
      </w:pPr>
      <w:r>
        <w:rPr>
          <w:snapToGrid w:val="0"/>
        </w:rPr>
        <w:tab/>
        <w:t>(4)</w:t>
      </w:r>
      <w:r>
        <w:rPr>
          <w:snapToGrid w:val="0"/>
        </w:rPr>
        <w:tab/>
        <w:t>A notice given under subsection (3) must state that within 28 days after the notice is given, the nurse or midwife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446" w:name="_Toc271200382"/>
      <w:r>
        <w:rPr>
          <w:rStyle w:val="CharSectno"/>
        </w:rPr>
        <w:t>43</w:t>
      </w:r>
      <w:r>
        <w:t>.</w:t>
      </w:r>
      <w:r>
        <w:tab/>
      </w:r>
      <w:r>
        <w:rPr>
          <w:snapToGrid w:val="0"/>
        </w:rPr>
        <w:t>Effect of removal of name from register</w:t>
      </w:r>
      <w:bookmarkEnd w:id="446"/>
      <w:r>
        <w:rPr>
          <w:snapToGrid w:val="0"/>
        </w:rPr>
        <w:t xml:space="preserve"> </w:t>
      </w:r>
    </w:p>
    <w:p>
      <w:pPr>
        <w:pStyle w:val="Subsection"/>
        <w:rPr>
          <w:snapToGrid w:val="0"/>
        </w:rPr>
      </w:pPr>
      <w:r>
        <w:rPr>
          <w:snapToGrid w:val="0"/>
        </w:rPr>
        <w:tab/>
      </w:r>
      <w:r>
        <w:rPr>
          <w:snapToGrid w:val="0"/>
        </w:rPr>
        <w:tab/>
        <w:t>If the name of a nurse or midwife is removed from the register under a provision of this Act in relation to a type of registration, that person ceases to be registered in relation to that type of registration.</w:t>
      </w:r>
    </w:p>
    <w:p>
      <w:pPr>
        <w:pStyle w:val="Heading3"/>
      </w:pPr>
      <w:bookmarkStart w:id="447" w:name="_Toc177790764"/>
      <w:bookmarkStart w:id="448" w:name="_Toc177790974"/>
      <w:bookmarkStart w:id="449" w:name="_Toc177810571"/>
      <w:bookmarkStart w:id="450" w:name="_Toc196196785"/>
      <w:bookmarkStart w:id="451" w:name="_Toc199820485"/>
      <w:bookmarkStart w:id="452" w:name="_Toc215544833"/>
      <w:bookmarkStart w:id="453" w:name="_Toc223858860"/>
      <w:bookmarkStart w:id="454" w:name="_Toc223859070"/>
      <w:bookmarkStart w:id="455" w:name="_Toc271105446"/>
      <w:bookmarkStart w:id="456" w:name="_Toc271200383"/>
      <w:r>
        <w:rPr>
          <w:rStyle w:val="CharDivNo"/>
        </w:rPr>
        <w:t>Division 3</w:t>
      </w:r>
      <w:r>
        <w:t> — </w:t>
      </w:r>
      <w:r>
        <w:rPr>
          <w:rStyle w:val="CharDivText"/>
        </w:rPr>
        <w:t>Notifications to Board</w:t>
      </w:r>
      <w:bookmarkEnd w:id="447"/>
      <w:bookmarkEnd w:id="448"/>
      <w:bookmarkEnd w:id="449"/>
      <w:bookmarkEnd w:id="450"/>
      <w:bookmarkEnd w:id="451"/>
      <w:bookmarkEnd w:id="452"/>
      <w:bookmarkEnd w:id="453"/>
      <w:bookmarkEnd w:id="454"/>
      <w:bookmarkEnd w:id="455"/>
      <w:bookmarkEnd w:id="456"/>
    </w:p>
    <w:p>
      <w:pPr>
        <w:pStyle w:val="Heading5"/>
      </w:pPr>
      <w:bookmarkStart w:id="457" w:name="_Toc271200384"/>
      <w:r>
        <w:rPr>
          <w:rStyle w:val="CharSectno"/>
        </w:rPr>
        <w:t>44</w:t>
      </w:r>
      <w:r>
        <w:t>.</w:t>
      </w:r>
      <w:r>
        <w:tab/>
        <w:t>Change of address</w:t>
      </w:r>
      <w:bookmarkEnd w:id="457"/>
    </w:p>
    <w:p>
      <w:pPr>
        <w:pStyle w:val="Subsection"/>
      </w:pPr>
      <w:r>
        <w:tab/>
        <w:t>(1)</w:t>
      </w:r>
      <w:r>
        <w:tab/>
        <w:t>A nurse or midwife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458" w:name="_Toc271200385"/>
      <w:r>
        <w:rPr>
          <w:rStyle w:val="CharSectno"/>
        </w:rPr>
        <w:t>45</w:t>
      </w:r>
      <w:r>
        <w:t>.</w:t>
      </w:r>
      <w:r>
        <w:tab/>
        <w:t>Loss of qualifications</w:t>
      </w:r>
      <w:bookmarkEnd w:id="458"/>
    </w:p>
    <w:p>
      <w:pPr>
        <w:pStyle w:val="Subsection"/>
      </w:pPr>
      <w:r>
        <w:tab/>
        <w:t>(1)</w:t>
      </w:r>
      <w:r>
        <w:tab/>
        <w:t>A nurse or midwife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459" w:name="_Toc271200386"/>
      <w:r>
        <w:rPr>
          <w:rStyle w:val="CharSectno"/>
        </w:rPr>
        <w:t>46</w:t>
      </w:r>
      <w:r>
        <w:t>.</w:t>
      </w:r>
      <w:r>
        <w:tab/>
      </w:r>
      <w:r>
        <w:rPr>
          <w:snapToGrid w:val="0"/>
        </w:rPr>
        <w:t>Insolvency</w:t>
      </w:r>
      <w:bookmarkEnd w:id="459"/>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nurse or midwife must, within 30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460" w:name="_Toc271200387"/>
      <w:r>
        <w:rPr>
          <w:rStyle w:val="CharSectno"/>
        </w:rPr>
        <w:t>47</w:t>
      </w:r>
      <w:r>
        <w:t>.</w:t>
      </w:r>
      <w:r>
        <w:tab/>
      </w:r>
      <w:r>
        <w:rPr>
          <w:snapToGrid w:val="0"/>
        </w:rPr>
        <w:t>Civil or criminal proceedings</w:t>
      </w:r>
      <w:bookmarkEnd w:id="460"/>
      <w:r>
        <w:rPr>
          <w:snapToGrid w:val="0"/>
        </w:rPr>
        <w:t xml:space="preserve"> </w:t>
      </w:r>
    </w:p>
    <w:p>
      <w:pPr>
        <w:pStyle w:val="Subsection"/>
        <w:rPr>
          <w:snapToGrid w:val="0"/>
        </w:rPr>
      </w:pPr>
      <w:r>
        <w:rPr>
          <w:snapToGrid w:val="0"/>
        </w:rPr>
        <w:tab/>
        <w:t>(1)</w:t>
      </w:r>
      <w:r>
        <w:rPr>
          <w:snapToGrid w:val="0"/>
        </w:rPr>
        <w:tab/>
        <w:t xml:space="preserve">A </w:t>
      </w:r>
      <w:r>
        <w:t xml:space="preserve">nurse or midwife </w:t>
      </w:r>
      <w:r>
        <w:rPr>
          <w:snapToGrid w:val="0"/>
        </w:rPr>
        <w:t xml:space="preserve">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nursing or midwifery;</w:t>
      </w:r>
    </w:p>
    <w:p>
      <w:pPr>
        <w:pStyle w:val="Indenta"/>
        <w:rPr>
          <w:snapToGrid w:val="0"/>
        </w:rPr>
      </w:pPr>
      <w:r>
        <w:rPr>
          <w:snapToGrid w:val="0"/>
        </w:rPr>
        <w:tab/>
        <w:t>(b)</w:t>
      </w:r>
      <w:r>
        <w:rPr>
          <w:snapToGrid w:val="0"/>
        </w:rPr>
        <w:tab/>
        <w:t>any criminal proceedings for an offence arising out of the practice of nursing or midwifery,</w:t>
      </w:r>
    </w:p>
    <w:p>
      <w:pPr>
        <w:pStyle w:val="Subsection"/>
        <w:rPr>
          <w:snapToGrid w:val="0"/>
        </w:rPr>
      </w:pPr>
      <w:r>
        <w:rPr>
          <w:snapToGrid w:val="0"/>
        </w:rPr>
        <w:tab/>
      </w:r>
      <w:r>
        <w:rPr>
          <w:snapToGrid w:val="0"/>
        </w:rPr>
        <w:tab/>
        <w:t>are commenced against that nurse or midwife.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 xml:space="preserve">A </w:t>
      </w:r>
      <w:r>
        <w:t>nurse or midwife</w:t>
      </w:r>
      <w:r>
        <w:rPr>
          <w:snapToGrid w:val="0"/>
        </w:rPr>
        <w:t xml:space="preserve">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person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461" w:name="_Toc271200388"/>
      <w:r>
        <w:rPr>
          <w:rStyle w:val="CharSectno"/>
        </w:rPr>
        <w:t>48</w:t>
      </w:r>
      <w:r>
        <w:t>.</w:t>
      </w:r>
      <w:r>
        <w:tab/>
        <w:t>Information about professional indemnity insurance</w:t>
      </w:r>
      <w:bookmarkEnd w:id="461"/>
    </w:p>
    <w:p>
      <w:pPr>
        <w:pStyle w:val="Subsection"/>
      </w:pPr>
      <w:r>
        <w:tab/>
        <w:t>(1)</w:t>
      </w:r>
      <w:r>
        <w:tab/>
        <w:t xml:space="preserve">If it is a condition of a person’s registration that — </w:t>
      </w:r>
    </w:p>
    <w:p>
      <w:pPr>
        <w:pStyle w:val="Indenta"/>
      </w:pPr>
      <w:r>
        <w:tab/>
        <w:t>(a)</w:t>
      </w:r>
      <w:r>
        <w:tab/>
        <w:t>the person must hold professional indemnity insurance;</w:t>
      </w:r>
    </w:p>
    <w:p>
      <w:pPr>
        <w:pStyle w:val="Indenta"/>
      </w:pPr>
      <w:r>
        <w:tab/>
        <w:t>(b)</w:t>
      </w:r>
      <w:r>
        <w:tab/>
        <w:t>the professional care provided by the person must be covered by professional indemnity insurance; or</w:t>
      </w:r>
    </w:p>
    <w:p>
      <w:pPr>
        <w:pStyle w:val="Indenta"/>
      </w:pPr>
      <w:r>
        <w:tab/>
        <w:t>(c)</w:t>
      </w:r>
      <w:r>
        <w:tab/>
        <w:t>the person must be specified or referred to in professional indemnity insurance, whether by name or otherwise, as a person to whom the professional indemnity insurance extends even though the person is not a party to the professional indemnity insurance,</w:t>
      </w:r>
    </w:p>
    <w:p>
      <w:pPr>
        <w:pStyle w:val="Subsection"/>
      </w:pPr>
      <w:r>
        <w:tab/>
      </w:r>
      <w:r>
        <w:tab/>
        <w:t xml:space="preserve">the person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462" w:name="_Toc177790770"/>
      <w:bookmarkStart w:id="463" w:name="_Toc177790980"/>
      <w:bookmarkStart w:id="464" w:name="_Toc177810577"/>
      <w:bookmarkStart w:id="465" w:name="_Toc196196791"/>
      <w:bookmarkStart w:id="466" w:name="_Toc199820491"/>
      <w:bookmarkStart w:id="467" w:name="_Toc215544839"/>
      <w:bookmarkStart w:id="468" w:name="_Toc223858866"/>
      <w:bookmarkStart w:id="469" w:name="_Toc223859076"/>
      <w:bookmarkStart w:id="470" w:name="_Toc271105452"/>
      <w:bookmarkStart w:id="471" w:name="_Toc271200389"/>
      <w:r>
        <w:rPr>
          <w:rStyle w:val="CharPartNo"/>
        </w:rPr>
        <w:t>Part 5</w:t>
      </w:r>
      <w:r>
        <w:t> — </w:t>
      </w:r>
      <w:r>
        <w:rPr>
          <w:rStyle w:val="CharPartText"/>
        </w:rPr>
        <w:t>Disciplinary and impairment matters</w:t>
      </w:r>
      <w:bookmarkEnd w:id="462"/>
      <w:bookmarkEnd w:id="463"/>
      <w:bookmarkEnd w:id="464"/>
      <w:bookmarkEnd w:id="465"/>
      <w:bookmarkEnd w:id="466"/>
      <w:bookmarkEnd w:id="467"/>
      <w:bookmarkEnd w:id="468"/>
      <w:bookmarkEnd w:id="469"/>
      <w:bookmarkEnd w:id="470"/>
      <w:bookmarkEnd w:id="471"/>
    </w:p>
    <w:p>
      <w:pPr>
        <w:pStyle w:val="Heading3"/>
        <w:spacing w:before="120"/>
      </w:pPr>
      <w:bookmarkStart w:id="472" w:name="_Toc177790771"/>
      <w:bookmarkStart w:id="473" w:name="_Toc177790981"/>
      <w:bookmarkStart w:id="474" w:name="_Toc177810578"/>
      <w:bookmarkStart w:id="475" w:name="_Toc196196792"/>
      <w:bookmarkStart w:id="476" w:name="_Toc199820492"/>
      <w:bookmarkStart w:id="477" w:name="_Toc215544840"/>
      <w:bookmarkStart w:id="478" w:name="_Toc223858867"/>
      <w:bookmarkStart w:id="479" w:name="_Toc223859077"/>
      <w:bookmarkStart w:id="480" w:name="_Toc271105453"/>
      <w:bookmarkStart w:id="481" w:name="_Toc271200390"/>
      <w:r>
        <w:rPr>
          <w:rStyle w:val="CharDivNo"/>
        </w:rPr>
        <w:t>Division 1</w:t>
      </w:r>
      <w:r>
        <w:t> — </w:t>
      </w:r>
      <w:r>
        <w:rPr>
          <w:rStyle w:val="CharDivText"/>
        </w:rPr>
        <w:t>Preliminary</w:t>
      </w:r>
      <w:bookmarkEnd w:id="472"/>
      <w:bookmarkEnd w:id="473"/>
      <w:bookmarkEnd w:id="474"/>
      <w:bookmarkEnd w:id="475"/>
      <w:bookmarkEnd w:id="476"/>
      <w:bookmarkEnd w:id="477"/>
      <w:bookmarkEnd w:id="478"/>
      <w:bookmarkEnd w:id="479"/>
      <w:bookmarkEnd w:id="480"/>
      <w:bookmarkEnd w:id="481"/>
    </w:p>
    <w:p>
      <w:pPr>
        <w:pStyle w:val="Heading5"/>
        <w:spacing w:before="120"/>
      </w:pPr>
      <w:bookmarkStart w:id="482" w:name="_Toc271200391"/>
      <w:r>
        <w:rPr>
          <w:rStyle w:val="CharSectno"/>
        </w:rPr>
        <w:t>49</w:t>
      </w:r>
      <w:r>
        <w:t>.</w:t>
      </w:r>
      <w:r>
        <w:tab/>
        <w:t>Disciplinary matters</w:t>
      </w:r>
      <w:bookmarkEnd w:id="482"/>
    </w:p>
    <w:p>
      <w:pPr>
        <w:pStyle w:val="Subsection"/>
        <w:spacing w:before="100"/>
      </w:pPr>
      <w:r>
        <w:tab/>
      </w:r>
      <w:r>
        <w:tab/>
        <w:t>The following are disciplinary matters —</w:t>
      </w:r>
    </w:p>
    <w:p>
      <w:pPr>
        <w:pStyle w:val="Indenta"/>
      </w:pPr>
      <w:r>
        <w:tab/>
        <w:t>(a)</w:t>
      </w:r>
      <w:r>
        <w:tab/>
        <w:t>that a person has contravened a condition applying to that person’s registration or the practise of nursing or midwifery by that person;</w:t>
      </w:r>
    </w:p>
    <w:p>
      <w:pPr>
        <w:pStyle w:val="Indenta"/>
      </w:pPr>
      <w:r>
        <w:tab/>
        <w:t>(b)</w:t>
      </w:r>
      <w:r>
        <w:tab/>
        <w:t xml:space="preserve">that a person in the course of his or her practise as a nurse or midwife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nurse or midwife, as the case may be.</w:t>
      </w:r>
    </w:p>
    <w:p>
      <w:pPr>
        <w:pStyle w:val="Heading5"/>
        <w:spacing w:before="120"/>
      </w:pPr>
      <w:bookmarkStart w:id="483" w:name="_Toc271200392"/>
      <w:r>
        <w:rPr>
          <w:rStyle w:val="CharSectno"/>
        </w:rPr>
        <w:t>50</w:t>
      </w:r>
      <w:r>
        <w:t>.</w:t>
      </w:r>
      <w:r>
        <w:tab/>
        <w:t>Impairment matters</w:t>
      </w:r>
      <w:bookmarkEnd w:id="483"/>
    </w:p>
    <w:p>
      <w:pPr>
        <w:pStyle w:val="Subsection"/>
        <w:spacing w:before="100"/>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nurse or midwife, as the case may be, is or is likely to be affected;</w:t>
      </w:r>
    </w:p>
    <w:p>
      <w:pPr>
        <w:pStyle w:val="Indenta"/>
      </w:pPr>
      <w:r>
        <w:tab/>
        <w:t>(b)</w:t>
      </w:r>
      <w:r>
        <w:tab/>
        <w:t>that a person suffers from an impairment to such an extent that the ability of the person to practise as a nurse or midwife, as the case may be, is or is likely to be affected.</w:t>
      </w:r>
    </w:p>
    <w:p>
      <w:pPr>
        <w:pStyle w:val="Heading3"/>
      </w:pPr>
      <w:bookmarkStart w:id="484" w:name="_Toc177790774"/>
      <w:bookmarkStart w:id="485" w:name="_Toc177790984"/>
      <w:bookmarkStart w:id="486" w:name="_Toc177810581"/>
      <w:bookmarkStart w:id="487" w:name="_Toc196196795"/>
      <w:bookmarkStart w:id="488" w:name="_Toc199820495"/>
      <w:bookmarkStart w:id="489" w:name="_Toc215544843"/>
      <w:bookmarkStart w:id="490" w:name="_Toc223858870"/>
      <w:bookmarkStart w:id="491" w:name="_Toc223859080"/>
      <w:bookmarkStart w:id="492" w:name="_Toc271105456"/>
      <w:bookmarkStart w:id="493" w:name="_Toc271200393"/>
      <w:r>
        <w:rPr>
          <w:rStyle w:val="CharDivNo"/>
        </w:rPr>
        <w:t>Division 2</w:t>
      </w:r>
      <w:r>
        <w:t> — </w:t>
      </w:r>
      <w:r>
        <w:rPr>
          <w:rStyle w:val="CharDivText"/>
        </w:rPr>
        <w:t>Committees</w:t>
      </w:r>
      <w:bookmarkEnd w:id="484"/>
      <w:bookmarkEnd w:id="485"/>
      <w:bookmarkEnd w:id="486"/>
      <w:bookmarkEnd w:id="487"/>
      <w:bookmarkEnd w:id="488"/>
      <w:bookmarkEnd w:id="489"/>
      <w:bookmarkEnd w:id="490"/>
      <w:bookmarkEnd w:id="491"/>
      <w:bookmarkEnd w:id="492"/>
      <w:bookmarkEnd w:id="493"/>
    </w:p>
    <w:p>
      <w:pPr>
        <w:pStyle w:val="Heading5"/>
        <w:rPr>
          <w:snapToGrid w:val="0"/>
        </w:rPr>
      </w:pPr>
      <w:bookmarkStart w:id="494" w:name="_Toc271200394"/>
      <w:r>
        <w:rPr>
          <w:rStyle w:val="CharSectno"/>
        </w:rPr>
        <w:t>51</w:t>
      </w:r>
      <w:r>
        <w:t>.</w:t>
      </w:r>
      <w:r>
        <w:tab/>
      </w:r>
      <w:r>
        <w:rPr>
          <w:snapToGrid w:val="0"/>
        </w:rPr>
        <w:t>Complaints assessment committee</w:t>
      </w:r>
      <w:bookmarkEnd w:id="494"/>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nurse or midwife (who may be a member of the Board);</w:t>
      </w:r>
    </w:p>
    <w:p>
      <w:pPr>
        <w:pStyle w:val="Indenta"/>
        <w:rPr>
          <w:snapToGrid w:val="0"/>
        </w:rPr>
      </w:pPr>
      <w:r>
        <w:rPr>
          <w:snapToGrid w:val="0"/>
        </w:rPr>
        <w:tab/>
        <w:t>(b)</w:t>
      </w:r>
      <w:r>
        <w:rPr>
          <w:snapToGrid w:val="0"/>
        </w:rPr>
        <w:tab/>
        <w:t>a person who is not a nurse or midwife and is not qualified to be registered as a nurse or midwife;</w:t>
      </w:r>
    </w:p>
    <w:p>
      <w:pPr>
        <w:pStyle w:val="Indenta"/>
        <w:rPr>
          <w:snapToGrid w:val="0"/>
        </w:rPr>
      </w:pPr>
      <w:r>
        <w:rPr>
          <w:snapToGrid w:val="0"/>
        </w:rPr>
        <w:tab/>
        <w:t>(c)</w:t>
      </w:r>
      <w:r>
        <w:rPr>
          <w:snapToGrid w:val="0"/>
        </w:rPr>
        <w:tab/>
        <w:t>such other person (including a nurse or midwife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495" w:name="_Toc271200395"/>
      <w:r>
        <w:rPr>
          <w:rStyle w:val="CharSectno"/>
        </w:rPr>
        <w:t>52</w:t>
      </w:r>
      <w:r>
        <w:t>.</w:t>
      </w:r>
      <w:r>
        <w:tab/>
        <w:t>Impairment review committee</w:t>
      </w:r>
      <w:bookmarkEnd w:id="495"/>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nurse or midwife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nurse or midwife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5"/>
      </w:pPr>
      <w:bookmarkStart w:id="496" w:name="_Toc271200396"/>
      <w:r>
        <w:rPr>
          <w:rStyle w:val="CharSectno"/>
        </w:rPr>
        <w:t>53</w:t>
      </w:r>
      <w:r>
        <w:t>.</w:t>
      </w:r>
      <w:r>
        <w:tab/>
        <w:t>Deputy member of the complaints assessment committee or the impairment review committee</w:t>
      </w:r>
      <w:bookmarkEnd w:id="496"/>
    </w:p>
    <w:p>
      <w:pPr>
        <w:pStyle w:val="Subsection"/>
      </w:pPr>
      <w:r>
        <w:tab/>
        <w:t>(1)</w:t>
      </w:r>
      <w:r>
        <w:tab/>
        <w:t>The Board may appoint an eligible person to be a deputy of a member of the complaints assessment committee or the impairment review committee and may terminate such an appointment at any time.</w:t>
      </w:r>
    </w:p>
    <w:p>
      <w:pPr>
        <w:pStyle w:val="Subsection"/>
      </w:pPr>
      <w:r>
        <w:tab/>
        <w:t>(2)</w:t>
      </w:r>
      <w:r>
        <w:tab/>
        <w:t>The provisions of section 51(2) or 52(2) that apply to and in relation to the appointment of a member apply, with any necessary modification, to and in relation to the appointment of the deputy of that member.</w:t>
      </w:r>
    </w:p>
    <w:p>
      <w:pPr>
        <w:pStyle w:val="Subsection"/>
      </w:pPr>
      <w:r>
        <w:tab/>
        <w:t>(3)</w:t>
      </w:r>
      <w:r>
        <w:tab/>
        <w:t>The deputy of the member referred to in section 51(3) or 52(3) is the deputy chairperson of the committee.</w:t>
      </w:r>
    </w:p>
    <w:p>
      <w:pPr>
        <w:pStyle w:val="Subsection"/>
      </w:pPr>
      <w:r>
        <w:tab/>
        <w:t>(4)</w:t>
      </w:r>
      <w:r>
        <w:tab/>
        <w:t>A deputy of a member may perform the functions of the member when the member is unable to do so by reason of illness, absence or other cause.</w:t>
      </w:r>
    </w:p>
    <w:p>
      <w:pPr>
        <w:pStyle w:val="Subsection"/>
      </w:pPr>
      <w:r>
        <w:tab/>
        <w:t>(5)</w:t>
      </w:r>
      <w:r>
        <w:tab/>
        <w:t>Despite anything in this Act, a deputy of a member may continue to act as a member, after the occasion for so acting has ceased, for the purpose of completing any function.</w:t>
      </w:r>
    </w:p>
    <w:p>
      <w:pPr>
        <w:pStyle w:val="Subsection"/>
      </w:pPr>
      <w:r>
        <w:tab/>
        <w:t>(6)</w:t>
      </w:r>
      <w:r>
        <w:tab/>
        <w:t xml:space="preserve">A deputy of a member, while acting as a member, has all the functions of and all the protection given to a member. </w:t>
      </w:r>
    </w:p>
    <w:p>
      <w:pPr>
        <w:pStyle w:val="Subsection"/>
      </w:pPr>
      <w:r>
        <w:tab/>
        <w:t>(7)</w:t>
      </w:r>
      <w:r>
        <w:tab/>
        <w:t>No act or omission of a person acting in place of another under this section is to be questioned on the ground that the occasion for so acting had not arisen or had ceased.</w:t>
      </w:r>
    </w:p>
    <w:p>
      <w:pPr>
        <w:pStyle w:val="Heading3"/>
      </w:pPr>
      <w:bookmarkStart w:id="497" w:name="_Toc177790778"/>
      <w:bookmarkStart w:id="498" w:name="_Toc177790988"/>
      <w:bookmarkStart w:id="499" w:name="_Toc177810585"/>
      <w:bookmarkStart w:id="500" w:name="_Toc196196799"/>
      <w:bookmarkStart w:id="501" w:name="_Toc199820499"/>
      <w:bookmarkStart w:id="502" w:name="_Toc215544847"/>
      <w:bookmarkStart w:id="503" w:name="_Toc223858874"/>
      <w:bookmarkStart w:id="504" w:name="_Toc223859084"/>
      <w:bookmarkStart w:id="505" w:name="_Toc271105460"/>
      <w:bookmarkStart w:id="506" w:name="_Toc271200397"/>
      <w:r>
        <w:rPr>
          <w:rStyle w:val="CharDivNo"/>
        </w:rPr>
        <w:t>Division 3</w:t>
      </w:r>
      <w:r>
        <w:t> — </w:t>
      </w:r>
      <w:r>
        <w:rPr>
          <w:rStyle w:val="CharDivText"/>
        </w:rPr>
        <w:t>Complaints</w:t>
      </w:r>
      <w:bookmarkEnd w:id="497"/>
      <w:bookmarkEnd w:id="498"/>
      <w:bookmarkEnd w:id="499"/>
      <w:bookmarkEnd w:id="500"/>
      <w:bookmarkEnd w:id="501"/>
      <w:bookmarkEnd w:id="502"/>
      <w:bookmarkEnd w:id="503"/>
      <w:bookmarkEnd w:id="504"/>
      <w:bookmarkEnd w:id="505"/>
      <w:bookmarkEnd w:id="506"/>
    </w:p>
    <w:p>
      <w:pPr>
        <w:pStyle w:val="Heading5"/>
        <w:rPr>
          <w:snapToGrid w:val="0"/>
        </w:rPr>
      </w:pPr>
      <w:bookmarkStart w:id="507" w:name="_Toc271200398"/>
      <w:r>
        <w:rPr>
          <w:rStyle w:val="CharSectno"/>
        </w:rPr>
        <w:t>54</w:t>
      </w:r>
      <w:r>
        <w:t>.</w:t>
      </w:r>
      <w:r>
        <w:tab/>
      </w:r>
      <w:r>
        <w:rPr>
          <w:snapToGrid w:val="0"/>
        </w:rPr>
        <w:t>Complaints</w:t>
      </w:r>
      <w:bookmarkEnd w:id="507"/>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nurse or midwife.</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nurse or midwife; or </w:t>
      </w:r>
    </w:p>
    <w:p>
      <w:pPr>
        <w:pStyle w:val="Indenta"/>
      </w:pPr>
      <w:r>
        <w:tab/>
        <w:t>(b)</w:t>
      </w:r>
      <w:r>
        <w:tab/>
        <w:t xml:space="preserve">a person who was a nurse or midwife when the </w:t>
      </w:r>
      <w:r>
        <w:rPr>
          <w:snapToGrid w:val="0"/>
        </w:rPr>
        <w:t>disciplinary matter</w:t>
      </w:r>
      <w:r>
        <w:t xml:space="preserve"> allegedly occurred but who is no longer a nurse or midwife.</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nurse or midwife when the determination is made, there is cause to investigate whether an impairment matter or a disciplinary matter exists or has occurred; or</w:t>
      </w:r>
    </w:p>
    <w:p>
      <w:pPr>
        <w:pStyle w:val="Indenta"/>
      </w:pPr>
      <w:r>
        <w:tab/>
        <w:t>(b)</w:t>
      </w:r>
      <w:r>
        <w:tab/>
      </w:r>
      <w:r>
        <w:rPr>
          <w:snapToGrid w:val="0"/>
        </w:rPr>
        <w:t>in respect of a person who was a nurse or midwife when the disciplinary matter allegedly occurred, there is cause to investigate whether a disciplinary matter occurred.</w:t>
      </w:r>
    </w:p>
    <w:p>
      <w:pPr>
        <w:pStyle w:val="Heading5"/>
        <w:rPr>
          <w:snapToGrid w:val="0"/>
        </w:rPr>
      </w:pPr>
      <w:bookmarkStart w:id="508" w:name="_Toc271200399"/>
      <w:r>
        <w:rPr>
          <w:rStyle w:val="CharSectno"/>
        </w:rPr>
        <w:t>55</w:t>
      </w:r>
      <w:r>
        <w:t>.</w:t>
      </w:r>
      <w:r>
        <w:tab/>
      </w:r>
      <w:r>
        <w:rPr>
          <w:snapToGrid w:val="0"/>
        </w:rPr>
        <w:t>Complaints assessment committee to determine action required</w:t>
      </w:r>
      <w:bookmarkEnd w:id="508"/>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56;</w:t>
      </w:r>
    </w:p>
    <w:p>
      <w:pPr>
        <w:pStyle w:val="Indenta"/>
      </w:pPr>
      <w:r>
        <w:tab/>
        <w:t>(c)</w:t>
      </w:r>
      <w:r>
        <w:tab/>
        <w:t>in the case of a complaint relating to a disciplinary matter, to deal with the complaint under subsection (3) or section 60;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49(b)(v), the complaints assessment committee may recommend to the Board that it make an allegation to the State Administrative Tribunal based on the complaint that gave rise to the undertaking.</w:t>
      </w:r>
    </w:p>
    <w:p>
      <w:pPr>
        <w:pStyle w:val="Heading5"/>
        <w:rPr>
          <w:snapToGrid w:val="0"/>
        </w:rPr>
      </w:pPr>
      <w:bookmarkStart w:id="509" w:name="_Toc271200400"/>
      <w:r>
        <w:rPr>
          <w:rStyle w:val="CharSectno"/>
        </w:rPr>
        <w:t>56</w:t>
      </w:r>
      <w:r>
        <w:t>.</w:t>
      </w:r>
      <w:r>
        <w:tab/>
      </w:r>
      <w:r>
        <w:rPr>
          <w:snapToGrid w:val="0"/>
        </w:rPr>
        <w:t>Complaints assessment committee may reject certain complaints</w:t>
      </w:r>
      <w:bookmarkEnd w:id="509"/>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55(1)(d); or</w:t>
      </w:r>
    </w:p>
    <w:p>
      <w:pPr>
        <w:pStyle w:val="Indenta"/>
      </w:pPr>
      <w:r>
        <w:tab/>
        <w:t>(b)</w:t>
      </w:r>
      <w:r>
        <w:tab/>
        <w:t>make a recommendation to the Board under section 55(3) or 60,</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510" w:name="_Toc177790782"/>
      <w:bookmarkStart w:id="511" w:name="_Toc177790992"/>
      <w:bookmarkStart w:id="512" w:name="_Toc177810589"/>
      <w:bookmarkStart w:id="513" w:name="_Toc196196803"/>
      <w:bookmarkStart w:id="514" w:name="_Toc199820503"/>
      <w:bookmarkStart w:id="515" w:name="_Toc215544851"/>
      <w:bookmarkStart w:id="516" w:name="_Toc223858878"/>
      <w:bookmarkStart w:id="517" w:name="_Toc223859088"/>
      <w:bookmarkStart w:id="518" w:name="_Toc271105464"/>
      <w:bookmarkStart w:id="519" w:name="_Toc271200401"/>
      <w:r>
        <w:rPr>
          <w:rStyle w:val="CharDivNo"/>
        </w:rPr>
        <w:t>Division 4</w:t>
      </w:r>
      <w:r>
        <w:t> — </w:t>
      </w:r>
      <w:r>
        <w:rPr>
          <w:rStyle w:val="CharDivText"/>
        </w:rPr>
        <w:t>Summary orders of Board</w:t>
      </w:r>
      <w:bookmarkEnd w:id="510"/>
      <w:bookmarkEnd w:id="511"/>
      <w:bookmarkEnd w:id="512"/>
      <w:bookmarkEnd w:id="513"/>
      <w:bookmarkEnd w:id="514"/>
      <w:bookmarkEnd w:id="515"/>
      <w:bookmarkEnd w:id="516"/>
      <w:bookmarkEnd w:id="517"/>
      <w:bookmarkEnd w:id="518"/>
      <w:bookmarkEnd w:id="519"/>
    </w:p>
    <w:p>
      <w:pPr>
        <w:pStyle w:val="Heading5"/>
        <w:rPr>
          <w:snapToGrid w:val="0"/>
        </w:rPr>
      </w:pPr>
      <w:bookmarkStart w:id="520" w:name="_Toc271200402"/>
      <w:r>
        <w:rPr>
          <w:rStyle w:val="CharSectno"/>
        </w:rPr>
        <w:t>57</w:t>
      </w:r>
      <w:r>
        <w:t>.</w:t>
      </w:r>
      <w:r>
        <w:tab/>
        <w:t>Interim orders by Board</w:t>
      </w:r>
      <w:bookmarkEnd w:id="520"/>
    </w:p>
    <w:p>
      <w:pPr>
        <w:pStyle w:val="Subsection"/>
      </w:pPr>
      <w:r>
        <w:tab/>
        <w:t>(1)</w:t>
      </w:r>
      <w:r>
        <w:tab/>
        <w:t>If the Board is of the opinion that an activity of a nurse or midwife involves or will involve a risk of imminent injury or harm to the physical or mental health of any person, the Board may, without further inquiry, do any or all of the following —</w:t>
      </w:r>
    </w:p>
    <w:p>
      <w:pPr>
        <w:pStyle w:val="Indenta"/>
      </w:pPr>
      <w:r>
        <w:tab/>
        <w:t>(a)</w:t>
      </w:r>
      <w:r>
        <w:tab/>
        <w:t>give to the nurse or midwife who is carrying on that activity an order prohibiting the carrying on of the activity for a period of not more than 30 days;</w:t>
      </w:r>
    </w:p>
    <w:p>
      <w:pPr>
        <w:pStyle w:val="Indenta"/>
      </w:pPr>
      <w:r>
        <w:tab/>
        <w:t>(b)</w:t>
      </w:r>
      <w:r>
        <w:tab/>
        <w:t>give to the nurse or midwife an order to comply, for a period of not more than 30 days, with such conditions as the Board thinks fit in relation to the practice of nursing or midwifery, as the case may be, by that person;</w:t>
      </w:r>
    </w:p>
    <w:p>
      <w:pPr>
        <w:pStyle w:val="Indenta"/>
      </w:pPr>
      <w:r>
        <w:tab/>
        <w:t>(c)</w:t>
      </w:r>
      <w:r>
        <w:tab/>
        <w:t xml:space="preserve">give to the nurse or midwife an order suspending the </w:t>
      </w:r>
      <w:r>
        <w:rPr>
          <w:snapToGrid w:val="0"/>
        </w:rPr>
        <w:t>person’s registration in relation to a type of registration specified in the order</w:t>
      </w:r>
      <w:r>
        <w:t>,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 xml:space="preserve">state that the Board is of the opinion that the activity of the </w:t>
      </w:r>
      <w:r>
        <w:t>nurse or midwife</w:t>
      </w:r>
      <w:r>
        <w:rPr>
          <w:snapToGrid w:val="0"/>
        </w:rPr>
        <w:t xml:space="preserve">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58.</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521" w:name="_Toc271200403"/>
      <w:r>
        <w:rPr>
          <w:rStyle w:val="CharSectno"/>
        </w:rPr>
        <w:t>58</w:t>
      </w:r>
      <w:r>
        <w:t>.</w:t>
      </w:r>
      <w:r>
        <w:tab/>
        <w:t>Complaint dealt with summarily to be referred to the State Administrative Tribunal</w:t>
      </w:r>
      <w:bookmarkEnd w:id="521"/>
    </w:p>
    <w:p>
      <w:pPr>
        <w:pStyle w:val="Subsection"/>
        <w:keepNext/>
        <w:rPr>
          <w:snapToGrid w:val="0"/>
        </w:rPr>
      </w:pPr>
      <w:r>
        <w:rPr>
          <w:snapToGrid w:val="0"/>
        </w:rPr>
        <w:tab/>
        <w:t>(1)</w:t>
      </w:r>
      <w:r>
        <w:rPr>
          <w:snapToGrid w:val="0"/>
        </w:rPr>
        <w:tab/>
        <w:t xml:space="preserve">Within 14 days of making an order under section 57, if that order is not revoked under section 57(3),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57(1) or vary the order by extending the period for which it applies or in any other respect.</w:t>
      </w:r>
    </w:p>
    <w:p>
      <w:pPr>
        <w:pStyle w:val="Heading5"/>
      </w:pPr>
      <w:bookmarkStart w:id="522" w:name="_Toc271200404"/>
      <w:r>
        <w:rPr>
          <w:rStyle w:val="CharSectno"/>
        </w:rPr>
        <w:t>59</w:t>
      </w:r>
      <w:r>
        <w:t>.</w:t>
      </w:r>
      <w:r>
        <w:tab/>
        <w:t>Complaint not dealt with summarily to be referred to relevant committee</w:t>
      </w:r>
      <w:bookmarkEnd w:id="522"/>
    </w:p>
    <w:p>
      <w:pPr>
        <w:pStyle w:val="Subsection"/>
      </w:pPr>
      <w:r>
        <w:tab/>
      </w:r>
      <w:r>
        <w:tab/>
        <w:t xml:space="preserve">If the Board does not make an order under section 57 in respect of a complaint referred to it under section 55(1)(a)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523" w:name="_Toc177790786"/>
      <w:bookmarkStart w:id="524" w:name="_Toc177790996"/>
      <w:bookmarkStart w:id="525" w:name="_Toc177810593"/>
      <w:bookmarkStart w:id="526" w:name="_Toc196196807"/>
      <w:bookmarkStart w:id="527" w:name="_Toc199820507"/>
      <w:bookmarkStart w:id="528" w:name="_Toc215544855"/>
      <w:bookmarkStart w:id="529" w:name="_Toc223858882"/>
      <w:bookmarkStart w:id="530" w:name="_Toc223859092"/>
      <w:bookmarkStart w:id="531" w:name="_Toc271105468"/>
      <w:bookmarkStart w:id="532" w:name="_Toc271200405"/>
      <w:r>
        <w:rPr>
          <w:rStyle w:val="CharDivNo"/>
        </w:rPr>
        <w:t>Division 5</w:t>
      </w:r>
      <w:r>
        <w:t> — </w:t>
      </w:r>
      <w:r>
        <w:rPr>
          <w:rStyle w:val="CharDivText"/>
        </w:rPr>
        <w:t>Disciplinary matters</w:t>
      </w:r>
      <w:bookmarkEnd w:id="523"/>
      <w:bookmarkEnd w:id="524"/>
      <w:bookmarkEnd w:id="525"/>
      <w:bookmarkEnd w:id="526"/>
      <w:bookmarkEnd w:id="527"/>
      <w:bookmarkEnd w:id="528"/>
      <w:bookmarkEnd w:id="529"/>
      <w:bookmarkEnd w:id="530"/>
      <w:bookmarkEnd w:id="531"/>
      <w:bookmarkEnd w:id="532"/>
    </w:p>
    <w:p>
      <w:pPr>
        <w:pStyle w:val="Heading5"/>
      </w:pPr>
      <w:bookmarkStart w:id="533" w:name="_Toc271200406"/>
      <w:r>
        <w:rPr>
          <w:rStyle w:val="CharSectno"/>
        </w:rPr>
        <w:t>60</w:t>
      </w:r>
      <w:r>
        <w:t>.</w:t>
      </w:r>
      <w:r>
        <w:tab/>
        <w:t>Investigation and recommendation</w:t>
      </w:r>
      <w:bookmarkEnd w:id="533"/>
    </w:p>
    <w:p>
      <w:pPr>
        <w:pStyle w:val="Subsection"/>
      </w:pPr>
      <w:r>
        <w:tab/>
        <w:t>(1)</w:t>
      </w:r>
      <w:r>
        <w:tab/>
        <w:t>If the complaints assessment committee has made a decision to deal with a complaint relating to a disciplinary matter under this section or has had a complaint referred back to it under section 59,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59);</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534" w:name="_Toc271200407"/>
      <w:r>
        <w:rPr>
          <w:rStyle w:val="CharSectno"/>
        </w:rPr>
        <w:t>61</w:t>
      </w:r>
      <w:r>
        <w:t>.</w:t>
      </w:r>
      <w:r>
        <w:tab/>
        <w:t>Role of Board</w:t>
      </w:r>
      <w:bookmarkEnd w:id="534"/>
    </w:p>
    <w:p>
      <w:pPr>
        <w:pStyle w:val="Subsection"/>
      </w:pPr>
      <w:r>
        <w:tab/>
        <w:t>(1)</w:t>
      </w:r>
      <w:r>
        <w:tab/>
        <w:t>The Board is to consider the recommendation of the complaints assessment committee under section 60(2) and may either —</w:t>
      </w:r>
    </w:p>
    <w:p>
      <w:pPr>
        <w:pStyle w:val="Indenta"/>
      </w:pPr>
      <w:r>
        <w:tab/>
        <w:t>(a)</w:t>
      </w:r>
      <w:r>
        <w:tab/>
        <w:t>act on the recommendation of the complaints assessment committee; or</w:t>
      </w:r>
    </w:p>
    <w:p>
      <w:pPr>
        <w:pStyle w:val="Indenta"/>
      </w:pPr>
      <w:r>
        <w:tab/>
        <w:t>(b)</w:t>
      </w:r>
      <w:r>
        <w:tab/>
        <w:t>take action of a kind referred to in section 60(2) other than that recommended by the complaints assessment committee.</w:t>
      </w:r>
    </w:p>
    <w:p>
      <w:pPr>
        <w:pStyle w:val="Subsection"/>
      </w:pPr>
      <w:r>
        <w:tab/>
        <w:t>(2)</w:t>
      </w:r>
      <w:r>
        <w:tab/>
        <w:t>The Board is not to take action of a kind referred to in section 60(2)(c) unless it is satisfied that the matter can be dealt with satisfactorily by informal procedures.</w:t>
      </w:r>
    </w:p>
    <w:p>
      <w:pPr>
        <w:pStyle w:val="Subsection"/>
      </w:pPr>
      <w:r>
        <w:tab/>
        <w:t>(3)</w:t>
      </w:r>
      <w:r>
        <w:tab/>
        <w:t>The Board may take action under both section 60(2)(d)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535" w:name="_Toc271200408"/>
      <w:r>
        <w:rPr>
          <w:rStyle w:val="CharSectno"/>
        </w:rPr>
        <w:t>62</w:t>
      </w:r>
      <w:r>
        <w:t>.</w:t>
      </w:r>
      <w:r>
        <w:tab/>
        <w:t>Alternative to making allegation to the State Administrative Tribunal</w:t>
      </w:r>
      <w:bookmarkEnd w:id="535"/>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61(1), may — </w:t>
      </w:r>
    </w:p>
    <w:p>
      <w:pPr>
        <w:pStyle w:val="Indenta"/>
      </w:pPr>
      <w:r>
        <w:tab/>
        <w:t>(d)</w:t>
      </w:r>
      <w:r>
        <w:tab/>
        <w:t>if the person is a nurse or midwife, order that the particulars entered in the register in relation to that person be amended;</w:t>
      </w:r>
    </w:p>
    <w:p>
      <w:pPr>
        <w:pStyle w:val="Indenta"/>
      </w:pPr>
      <w:r>
        <w:tab/>
        <w:t>(e)</w:t>
      </w:r>
      <w:r>
        <w:tab/>
        <w:t>caution or reprimand that person;</w:t>
      </w:r>
    </w:p>
    <w:p>
      <w:pPr>
        <w:pStyle w:val="Indenta"/>
      </w:pPr>
      <w:r>
        <w:tab/>
        <w:t>(f)</w:t>
      </w:r>
      <w:r>
        <w:tab/>
        <w:t>if the person is a nurse or midwife, require that person to give an undertaking to the Board, either with or without security, for such period as is specified — </w:t>
      </w:r>
    </w:p>
    <w:p>
      <w:pPr>
        <w:pStyle w:val="Indenti"/>
      </w:pPr>
      <w:r>
        <w:tab/>
        <w:t>(i)</w:t>
      </w:r>
      <w:r>
        <w:tab/>
        <w:t>in relation to his or her future conduct as a nurse or midwife;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536" w:name="_Toc177790790"/>
      <w:bookmarkStart w:id="537" w:name="_Toc177791000"/>
      <w:bookmarkStart w:id="538" w:name="_Toc177810597"/>
      <w:bookmarkStart w:id="539" w:name="_Toc196196811"/>
      <w:bookmarkStart w:id="540" w:name="_Toc199820511"/>
      <w:bookmarkStart w:id="541" w:name="_Toc215544859"/>
      <w:bookmarkStart w:id="542" w:name="_Toc223858886"/>
      <w:bookmarkStart w:id="543" w:name="_Toc223859096"/>
      <w:bookmarkStart w:id="544" w:name="_Toc271105472"/>
      <w:bookmarkStart w:id="545" w:name="_Toc271200409"/>
      <w:r>
        <w:rPr>
          <w:rStyle w:val="CharDivNo"/>
        </w:rPr>
        <w:t>Division 6</w:t>
      </w:r>
      <w:r>
        <w:t> — </w:t>
      </w:r>
      <w:r>
        <w:rPr>
          <w:rStyle w:val="CharDivText"/>
        </w:rPr>
        <w:t>Impairment matters</w:t>
      </w:r>
      <w:bookmarkEnd w:id="536"/>
      <w:bookmarkEnd w:id="537"/>
      <w:bookmarkEnd w:id="538"/>
      <w:bookmarkEnd w:id="539"/>
      <w:bookmarkEnd w:id="540"/>
      <w:bookmarkEnd w:id="541"/>
      <w:bookmarkEnd w:id="542"/>
      <w:bookmarkEnd w:id="543"/>
      <w:bookmarkEnd w:id="544"/>
      <w:bookmarkEnd w:id="545"/>
    </w:p>
    <w:p>
      <w:pPr>
        <w:pStyle w:val="Heading5"/>
      </w:pPr>
      <w:bookmarkStart w:id="546" w:name="_Toc271200410"/>
      <w:r>
        <w:rPr>
          <w:rStyle w:val="CharSectno"/>
        </w:rPr>
        <w:t>63</w:t>
      </w:r>
      <w:r>
        <w:t>.</w:t>
      </w:r>
      <w:r>
        <w:tab/>
        <w:t>Request by nurse or midwife for imposition of condition</w:t>
      </w:r>
      <w:bookmarkEnd w:id="546"/>
    </w:p>
    <w:p>
      <w:pPr>
        <w:pStyle w:val="Subsection"/>
      </w:pPr>
      <w:r>
        <w:tab/>
        <w:t>(1)</w:t>
      </w:r>
      <w:r>
        <w:tab/>
        <w:t>A nurse or midwife who believes that his or her ability to practise nursing or midwifery, as the case may be, is affected because of an impairment matter may ask the Board to impose a condition with respect to his or her registration.</w:t>
      </w:r>
    </w:p>
    <w:p>
      <w:pPr>
        <w:pStyle w:val="Subsection"/>
      </w:pPr>
      <w:r>
        <w:tab/>
        <w:t>(2)</w:t>
      </w:r>
      <w:r>
        <w:tab/>
        <w:t>If the Board and the nurse or midwife agree upon the condition to be imposed, the Board is to impose that condition with respect to his or her registration.</w:t>
      </w:r>
    </w:p>
    <w:p>
      <w:pPr>
        <w:pStyle w:val="Subsection"/>
      </w:pPr>
      <w:r>
        <w:tab/>
        <w:t>(3)</w:t>
      </w:r>
      <w:r>
        <w:tab/>
        <w:t>If the Board and the nurse or midwife do not agree upon the condition to be imposed, the Board is to refer the matter to the impairment review committee for investigation under this Division.</w:t>
      </w:r>
    </w:p>
    <w:p>
      <w:pPr>
        <w:pStyle w:val="Heading5"/>
      </w:pPr>
      <w:bookmarkStart w:id="547" w:name="_Toc271200411"/>
      <w:r>
        <w:rPr>
          <w:rStyle w:val="CharSectno"/>
        </w:rPr>
        <w:t>64</w:t>
      </w:r>
      <w:r>
        <w:t>.</w:t>
      </w:r>
      <w:r>
        <w:tab/>
        <w:t>Revocation of condition</w:t>
      </w:r>
      <w:bookmarkEnd w:id="547"/>
    </w:p>
    <w:p>
      <w:pPr>
        <w:pStyle w:val="Subsection"/>
      </w:pPr>
      <w:r>
        <w:tab/>
      </w:r>
      <w:r>
        <w:tab/>
        <w:t>The Board may revoke a condition imposed under section 63 if the nurse or midwife satisfies the impairment review committee that his or her ability to practise nursing or midwifery, as the case may be, is no longer affected because of the impairment matter that gave rise to the imposition of the condition.</w:t>
      </w:r>
    </w:p>
    <w:p>
      <w:pPr>
        <w:pStyle w:val="Heading5"/>
      </w:pPr>
      <w:bookmarkStart w:id="548" w:name="_Toc271200412"/>
      <w:r>
        <w:rPr>
          <w:rStyle w:val="CharSectno"/>
        </w:rPr>
        <w:t>65</w:t>
      </w:r>
      <w:r>
        <w:t>.</w:t>
      </w:r>
      <w:r>
        <w:tab/>
        <w:t>Investigation</w:t>
      </w:r>
      <w:bookmarkEnd w:id="548"/>
    </w:p>
    <w:p>
      <w:pPr>
        <w:pStyle w:val="Subsection"/>
      </w:pPr>
      <w:r>
        <w:tab/>
      </w:r>
      <w:r>
        <w:tab/>
        <w:t>The impairment review committee is to investigate a complaint referred to it.</w:t>
      </w:r>
    </w:p>
    <w:p>
      <w:pPr>
        <w:pStyle w:val="Heading5"/>
      </w:pPr>
      <w:bookmarkStart w:id="549" w:name="_Toc271200413"/>
      <w:r>
        <w:rPr>
          <w:rStyle w:val="CharSectno"/>
        </w:rPr>
        <w:t>66</w:t>
      </w:r>
      <w:r>
        <w:t>.</w:t>
      </w:r>
      <w:r>
        <w:tab/>
        <w:t>Nurse or midwife to be notified about investigation</w:t>
      </w:r>
      <w:bookmarkEnd w:id="549"/>
    </w:p>
    <w:p>
      <w:pPr>
        <w:pStyle w:val="Subsection"/>
      </w:pPr>
      <w:r>
        <w:tab/>
        <w:t>(1)</w:t>
      </w:r>
      <w:r>
        <w:tab/>
        <w:t>The impairment review committee is to give written notice of the investigation to the nurse or midwife to whom the complaint relates.</w:t>
      </w:r>
    </w:p>
    <w:p>
      <w:pPr>
        <w:pStyle w:val="Subsection"/>
      </w:pPr>
      <w:r>
        <w:tab/>
        <w:t>(2)</w:t>
      </w:r>
      <w:r>
        <w:tab/>
        <w:t>The notice must —</w:t>
      </w:r>
    </w:p>
    <w:p>
      <w:pPr>
        <w:pStyle w:val="Indenta"/>
      </w:pPr>
      <w:r>
        <w:tab/>
        <w:t>(a)</w:t>
      </w:r>
      <w:r>
        <w:tab/>
        <w:t>advise the person of the nature of the impairment matter to be investigated;</w:t>
      </w:r>
    </w:p>
    <w:p>
      <w:pPr>
        <w:pStyle w:val="Indenta"/>
      </w:pPr>
      <w:r>
        <w:tab/>
        <w:t>(b)</w:t>
      </w:r>
      <w:r>
        <w:tab/>
        <w:t>if the impairment review committee considers that an examination of the person is necessary, ask the person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550" w:name="_Toc271200414"/>
      <w:r>
        <w:rPr>
          <w:rStyle w:val="CharSectno"/>
        </w:rPr>
        <w:t>67</w:t>
      </w:r>
      <w:r>
        <w:t>.</w:t>
      </w:r>
      <w:r>
        <w:tab/>
        <w:t>Examination</w:t>
      </w:r>
      <w:bookmarkEnd w:id="550"/>
    </w:p>
    <w:p>
      <w:pPr>
        <w:pStyle w:val="Subsection"/>
      </w:pPr>
      <w:r>
        <w:tab/>
        <w:t>(1)</w:t>
      </w:r>
      <w:r>
        <w:tab/>
        <w:t>If the nurse or midwife agrees to undergo an examination within the period specified in the notice under section 66(2)(b), the person is to be examined by a medical practitioner agreed upon by the impairment review committee and the person.</w:t>
      </w:r>
    </w:p>
    <w:p>
      <w:pPr>
        <w:pStyle w:val="Subsection"/>
      </w:pPr>
      <w:r>
        <w:tab/>
        <w:t>(2)</w:t>
      </w:r>
      <w:r>
        <w:tab/>
        <w:t>If the impairment review committee and the nurse or midwife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68.</w:t>
      </w:r>
    </w:p>
    <w:p>
      <w:pPr>
        <w:pStyle w:val="Subsection"/>
      </w:pPr>
      <w:r>
        <w:tab/>
        <w:t>(4)</w:t>
      </w:r>
      <w:r>
        <w:tab/>
        <w:t>If the nurse or midwife does not agree to undergo an examination within the period specified in the notice under section 66(2)(b)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551" w:name="_Toc271200415"/>
      <w:r>
        <w:rPr>
          <w:rStyle w:val="CharSectno"/>
        </w:rPr>
        <w:t>68</w:t>
      </w:r>
      <w:r>
        <w:t>.</w:t>
      </w:r>
      <w:r>
        <w:tab/>
        <w:t>Report of examination</w:t>
      </w:r>
      <w:bookmarkEnd w:id="551"/>
    </w:p>
    <w:p>
      <w:pPr>
        <w:pStyle w:val="Subsection"/>
      </w:pPr>
      <w:r>
        <w:tab/>
        <w:t>(1)</w:t>
      </w:r>
      <w:r>
        <w:tab/>
        <w:t>A medical practitioner who conducts an examination under section 67 is to give a report of the examination to the impairment review committee and, not more than 7 days later, the committee is to give a copy of the report to the nurse or midwife.</w:t>
      </w:r>
    </w:p>
    <w:p>
      <w:pPr>
        <w:pStyle w:val="Subsection"/>
      </w:pPr>
      <w:r>
        <w:tab/>
        <w:t>(2)</w:t>
      </w:r>
      <w:r>
        <w:tab/>
        <w:t>Despite subsection (1), if it appears to the impairment review committee that the disclosure to the nurse or midwife of information in the report might be prejudicial to the physical or mental health or wellbeing of that person, the committee may decide not to give that report to the nurse or midwife but to give it instead to a medical practitioner or another nurse or midwife nominated by the nurse or midwife.</w:t>
      </w:r>
    </w:p>
    <w:p>
      <w:pPr>
        <w:pStyle w:val="Subsection"/>
      </w:pPr>
      <w:r>
        <w:tab/>
        <w:t>(3)</w:t>
      </w:r>
      <w:r>
        <w:tab/>
        <w:t>If the nurse or midwife does not nominate a medical practitioner or another nurse or midwife to the impairment review committee within 7 days of being requested to do so by the committee, the committee may give the report to a medical practitioner or nurse or midwife selected by the committee.</w:t>
      </w:r>
    </w:p>
    <w:p>
      <w:pPr>
        <w:pStyle w:val="Subsection"/>
      </w:pPr>
      <w:r>
        <w:tab/>
        <w:t>(4)</w:t>
      </w:r>
      <w:r>
        <w:tab/>
        <w:t>The nurse or midwife may make written representations to the impairment review committee with respect to the report within 7 days after the report is given to him or her or the medical practitioner or nurse or midwife nominated by him or her or selected by the committee.</w:t>
      </w:r>
    </w:p>
    <w:p>
      <w:pPr>
        <w:pStyle w:val="Heading5"/>
      </w:pPr>
      <w:bookmarkStart w:id="552" w:name="_Toc271200416"/>
      <w:r>
        <w:rPr>
          <w:rStyle w:val="CharSectno"/>
        </w:rPr>
        <w:t>69</w:t>
      </w:r>
      <w:r>
        <w:t>.</w:t>
      </w:r>
      <w:r>
        <w:tab/>
        <w:t>Role of the impairment review committee</w:t>
      </w:r>
      <w:bookmarkEnd w:id="552"/>
    </w:p>
    <w:p>
      <w:pPr>
        <w:pStyle w:val="Subsection"/>
      </w:pPr>
      <w:r>
        <w:tab/>
        <w:t>(1)</w:t>
      </w:r>
      <w:r>
        <w:tab/>
        <w:t xml:space="preserve">On completion of the investigation of a nurse or midwife and after considering — </w:t>
      </w:r>
    </w:p>
    <w:p>
      <w:pPr>
        <w:pStyle w:val="Indenta"/>
      </w:pPr>
      <w:r>
        <w:tab/>
        <w:t>(a)</w:t>
      </w:r>
      <w:r>
        <w:tab/>
        <w:t>any report given to the committee under section 68(1); and</w:t>
      </w:r>
    </w:p>
    <w:p>
      <w:pPr>
        <w:pStyle w:val="Indenta"/>
      </w:pPr>
      <w:r>
        <w:tab/>
        <w:t>(b)</w:t>
      </w:r>
      <w:r>
        <w:tab/>
        <w:t>any representations made by the nurse or midwife under section 68(4),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nurse or midwife consent —</w:t>
      </w:r>
    </w:p>
    <w:p>
      <w:pPr>
        <w:pStyle w:val="Indenta"/>
      </w:pPr>
      <w:r>
        <w:tab/>
        <w:t>(a)</w:t>
      </w:r>
      <w:r>
        <w:tab/>
        <w:t>to the imposition of conditions on his or her registration;</w:t>
      </w:r>
    </w:p>
    <w:p>
      <w:pPr>
        <w:pStyle w:val="Indenta"/>
      </w:pPr>
      <w:r>
        <w:tab/>
        <w:t>(b)</w:t>
      </w:r>
      <w:r>
        <w:tab/>
        <w:t>to the</w:t>
      </w:r>
      <w:r>
        <w:rPr>
          <w:snapToGrid w:val="0"/>
        </w:rPr>
        <w:t xml:space="preserve"> person’s registration in relation to a specified type of registration being suspended</w:t>
      </w:r>
      <w:r>
        <w:t>,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nurse or midwife.</w:t>
      </w:r>
    </w:p>
    <w:p>
      <w:pPr>
        <w:pStyle w:val="Heading5"/>
      </w:pPr>
      <w:bookmarkStart w:id="553" w:name="_Toc271200417"/>
      <w:r>
        <w:rPr>
          <w:rStyle w:val="CharSectno"/>
        </w:rPr>
        <w:t>70</w:t>
      </w:r>
      <w:r>
        <w:t>.</w:t>
      </w:r>
      <w:r>
        <w:tab/>
        <w:t>Recommendation</w:t>
      </w:r>
      <w:bookmarkEnd w:id="553"/>
    </w:p>
    <w:p>
      <w:pPr>
        <w:pStyle w:val="Subsection"/>
        <w:spacing w:before="100"/>
      </w:pPr>
      <w:r>
        <w:tab/>
        <w:t>(1)</w:t>
      </w:r>
      <w:r>
        <w:tab/>
        <w:t>If the nurse or midwife does not consent to a request made under section 69(2) within 10 days of the request being made, the impairment review committee is to recommend to the Board that the Board make an allegation about the complaint to the State Administrative Tribunal.</w:t>
      </w:r>
    </w:p>
    <w:p>
      <w:pPr>
        <w:pStyle w:val="Subsection"/>
        <w:spacing w:before="100"/>
      </w:pPr>
      <w:r>
        <w:tab/>
        <w:t>(2)</w:t>
      </w:r>
      <w:r>
        <w:tab/>
        <w:t>If the nurse or midwife does consent to a request made under section 69(2) within 10 days of the request being made, the impairment review committee is to recommend to the Board that the Board take any action to which the nurse or midwife consented.</w:t>
      </w:r>
    </w:p>
    <w:p>
      <w:pPr>
        <w:pStyle w:val="Subsection"/>
        <w:spacing w:before="100"/>
      </w:pPr>
      <w:r>
        <w:tab/>
        <w:t>(3)</w:t>
      </w:r>
      <w:r>
        <w:tab/>
        <w:t>A recommendation made under subsection (1) or (2) must be made in writing and contain details of the committee’s investigation of the nurse or midwife.</w:t>
      </w:r>
    </w:p>
    <w:p>
      <w:pPr>
        <w:pStyle w:val="Heading5"/>
        <w:spacing w:before="120"/>
      </w:pPr>
      <w:bookmarkStart w:id="554" w:name="_Toc271200418"/>
      <w:r>
        <w:rPr>
          <w:rStyle w:val="CharSectno"/>
        </w:rPr>
        <w:t>71</w:t>
      </w:r>
      <w:r>
        <w:t>.</w:t>
      </w:r>
      <w:r>
        <w:tab/>
        <w:t>Role of Board</w:t>
      </w:r>
      <w:bookmarkEnd w:id="554"/>
    </w:p>
    <w:p>
      <w:pPr>
        <w:pStyle w:val="Subsection"/>
        <w:spacing w:before="100"/>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nurse or midwife consented under section 69(2); or</w:t>
      </w:r>
    </w:p>
    <w:p>
      <w:pPr>
        <w:pStyle w:val="Indenta"/>
      </w:pPr>
      <w:r>
        <w:tab/>
        <w:t>(c)</w:t>
      </w:r>
      <w:r>
        <w:tab/>
        <w:t>make an allegation about the complaint to the State Administrative Tribunal.</w:t>
      </w:r>
    </w:p>
    <w:p>
      <w:pPr>
        <w:pStyle w:val="Subsection"/>
        <w:spacing w:before="100"/>
      </w:pPr>
      <w:r>
        <w:tab/>
        <w:t>(2)</w:t>
      </w:r>
      <w:r>
        <w:tab/>
        <w:t xml:space="preserve">For the purpose of taking action to which the nurse or midwife consented under section 69(2), the Board may — </w:t>
      </w:r>
    </w:p>
    <w:p>
      <w:pPr>
        <w:pStyle w:val="Indenta"/>
      </w:pPr>
      <w:r>
        <w:tab/>
        <w:t>(a)</w:t>
      </w:r>
      <w:r>
        <w:tab/>
        <w:t>impose the conditions to which the nurse or midwife consented;</w:t>
      </w:r>
    </w:p>
    <w:p>
      <w:pPr>
        <w:pStyle w:val="Indenta"/>
      </w:pPr>
      <w:r>
        <w:tab/>
        <w:t>(b)</w:t>
      </w:r>
      <w:r>
        <w:tab/>
        <w:t>suspend the</w:t>
      </w:r>
      <w:r>
        <w:rPr>
          <w:snapToGrid w:val="0"/>
        </w:rPr>
        <w:t xml:space="preserve"> person’s registration in relation to a specified type of registration</w:t>
      </w:r>
      <w:r>
        <w:t xml:space="preserve"> for the period specified by the impairment review committee; or</w:t>
      </w:r>
    </w:p>
    <w:p>
      <w:pPr>
        <w:pStyle w:val="Indenta"/>
      </w:pPr>
      <w:r>
        <w:tab/>
        <w:t>(c)</w:t>
      </w:r>
      <w:r>
        <w:tab/>
        <w:t>obtain an undertaking from the nurse or midwife to undergo the counselling specified by the impairment review committee,</w:t>
      </w:r>
    </w:p>
    <w:p>
      <w:pPr>
        <w:pStyle w:val="Subsection"/>
        <w:spacing w:before="100"/>
      </w:pPr>
      <w:r>
        <w:tab/>
      </w:r>
      <w:r>
        <w:tab/>
        <w:t>as the case may require.</w:t>
      </w:r>
    </w:p>
    <w:p>
      <w:pPr>
        <w:pStyle w:val="Subsection"/>
      </w:pPr>
      <w:r>
        <w:tab/>
        <w:t>(3)</w:t>
      </w:r>
      <w:r>
        <w:tab/>
        <w:t>Within 7 days of making a decision under subsection (1) or (2), the Board is to give written notice to the nurse or midwife and the complainant, if any, of the decision together with short particulars of the reasons for the decision.</w:t>
      </w:r>
    </w:p>
    <w:p>
      <w:pPr>
        <w:pStyle w:val="Heading3"/>
      </w:pPr>
      <w:bookmarkStart w:id="555" w:name="_Toc177790800"/>
      <w:bookmarkStart w:id="556" w:name="_Toc177791010"/>
      <w:bookmarkStart w:id="557" w:name="_Toc177810607"/>
      <w:bookmarkStart w:id="558" w:name="_Toc196196821"/>
      <w:bookmarkStart w:id="559" w:name="_Toc199820521"/>
      <w:bookmarkStart w:id="560" w:name="_Toc215544869"/>
      <w:bookmarkStart w:id="561" w:name="_Toc223858896"/>
      <w:bookmarkStart w:id="562" w:name="_Toc223859106"/>
      <w:bookmarkStart w:id="563" w:name="_Toc271105482"/>
      <w:bookmarkStart w:id="564" w:name="_Toc271200419"/>
      <w:r>
        <w:rPr>
          <w:rStyle w:val="CharDivNo"/>
        </w:rPr>
        <w:t>Division 7</w:t>
      </w:r>
      <w:r>
        <w:t> — </w:t>
      </w:r>
      <w:r>
        <w:rPr>
          <w:rStyle w:val="CharDivText"/>
        </w:rPr>
        <w:t>Investigator’s role and powers</w:t>
      </w:r>
      <w:bookmarkEnd w:id="555"/>
      <w:bookmarkEnd w:id="556"/>
      <w:bookmarkEnd w:id="557"/>
      <w:bookmarkEnd w:id="558"/>
      <w:bookmarkEnd w:id="559"/>
      <w:bookmarkEnd w:id="560"/>
      <w:bookmarkEnd w:id="561"/>
      <w:bookmarkEnd w:id="562"/>
      <w:bookmarkEnd w:id="563"/>
      <w:bookmarkEnd w:id="564"/>
    </w:p>
    <w:p>
      <w:pPr>
        <w:pStyle w:val="Heading5"/>
        <w:rPr>
          <w:snapToGrid w:val="0"/>
        </w:rPr>
      </w:pPr>
      <w:bookmarkStart w:id="565" w:name="_Toc271200420"/>
      <w:r>
        <w:rPr>
          <w:rStyle w:val="CharSectno"/>
        </w:rPr>
        <w:t>72</w:t>
      </w:r>
      <w:r>
        <w:t>.</w:t>
      </w:r>
      <w:r>
        <w:tab/>
      </w:r>
      <w:r>
        <w:rPr>
          <w:snapToGrid w:val="0"/>
        </w:rPr>
        <w:t>Interpretation</w:t>
      </w:r>
      <w:bookmarkEnd w:id="565"/>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566" w:name="_Toc271200421"/>
      <w:r>
        <w:rPr>
          <w:rStyle w:val="CharSectno"/>
        </w:rPr>
        <w:t>73</w:t>
      </w:r>
      <w:r>
        <w:t>.</w:t>
      </w:r>
      <w:r>
        <w:tab/>
        <w:t>Investigator</w:t>
      </w:r>
      <w:bookmarkEnd w:id="566"/>
    </w:p>
    <w:p>
      <w:pPr>
        <w:pStyle w:val="Subsection"/>
      </w:pPr>
      <w:r>
        <w:tab/>
        <w:t>(1)</w:t>
      </w:r>
      <w:r>
        <w:tab/>
        <w:t>The Board or the complaints assessment committee may appoint a person to investigate a complaint and report to the Board or committee.</w:t>
      </w:r>
    </w:p>
    <w:p>
      <w:pPr>
        <w:pStyle w:val="Subsection"/>
      </w:pPr>
      <w:r>
        <w:tab/>
        <w:t>(2)</w:t>
      </w:r>
      <w:r>
        <w:tab/>
        <w:t>A person must not be appointed under subsection (1) unless he or she has the qualifications prescribed by the regulations.</w:t>
      </w:r>
    </w:p>
    <w:p>
      <w:pPr>
        <w:pStyle w:val="Subsection"/>
      </w:pPr>
      <w:r>
        <w:tab/>
        <w:t>(3)</w:t>
      </w:r>
      <w:r>
        <w:tab/>
        <w:t>Qualifications prescribed for the purposes of subsection (2) may relate to educational qualifications or practical experience, or to both.</w:t>
      </w:r>
    </w:p>
    <w:p>
      <w:pPr>
        <w:pStyle w:val="Subsection"/>
        <w:rPr>
          <w:snapToGrid w:val="0"/>
        </w:rPr>
      </w:pPr>
      <w:r>
        <w:rPr>
          <w:snapToGrid w:val="0"/>
        </w:rPr>
        <w:tab/>
        <w:t>(4)</w:t>
      </w:r>
      <w:r>
        <w:rPr>
          <w:snapToGrid w:val="0"/>
        </w:rPr>
        <w:tab/>
        <w:t>An appointing body is to issue to each investigator it appoints a certificate of appointment in an approved form.</w:t>
      </w:r>
    </w:p>
    <w:p>
      <w:pPr>
        <w:pStyle w:val="Subsection"/>
        <w:rPr>
          <w:snapToGrid w:val="0"/>
        </w:rPr>
      </w:pPr>
      <w:r>
        <w:rPr>
          <w:snapToGrid w:val="0"/>
        </w:rPr>
        <w:tab/>
        <w:t>(5)</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567" w:name="_Toc271200422"/>
      <w:r>
        <w:rPr>
          <w:rStyle w:val="CharSectno"/>
        </w:rPr>
        <w:t>74</w:t>
      </w:r>
      <w:r>
        <w:t>.</w:t>
      </w:r>
      <w:r>
        <w:tab/>
      </w:r>
      <w:r>
        <w:rPr>
          <w:snapToGrid w:val="0"/>
        </w:rPr>
        <w:t>Report of investigator</w:t>
      </w:r>
      <w:bookmarkEnd w:id="567"/>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568" w:name="_Toc271200423"/>
      <w:r>
        <w:rPr>
          <w:rStyle w:val="CharSectno"/>
        </w:rPr>
        <w:t>75</w:t>
      </w:r>
      <w:r>
        <w:t>.</w:t>
      </w:r>
      <w:r>
        <w:tab/>
      </w:r>
      <w:r>
        <w:rPr>
          <w:snapToGrid w:val="0"/>
        </w:rPr>
        <w:t>Powers of investigator</w:t>
      </w:r>
      <w:bookmarkEnd w:id="568"/>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77(1), and exercise the powers authorised under section 77(2)(b)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569" w:name="_Toc271200424"/>
      <w:r>
        <w:rPr>
          <w:rStyle w:val="CharSectno"/>
        </w:rPr>
        <w:t>76</w:t>
      </w:r>
      <w:r>
        <w:t>.</w:t>
      </w:r>
      <w:r>
        <w:tab/>
      </w:r>
      <w:r>
        <w:rPr>
          <w:snapToGrid w:val="0"/>
        </w:rPr>
        <w:t>Warrant to enter premises</w:t>
      </w:r>
      <w:bookmarkEnd w:id="569"/>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570" w:name="_Toc271200425"/>
      <w:r>
        <w:rPr>
          <w:rStyle w:val="CharSectno"/>
        </w:rPr>
        <w:t>77</w:t>
      </w:r>
      <w:r>
        <w:t>.</w:t>
      </w:r>
      <w:r>
        <w:tab/>
      </w:r>
      <w:r>
        <w:rPr>
          <w:snapToGrid w:val="0"/>
        </w:rPr>
        <w:t>Issue of warrant</w:t>
      </w:r>
      <w:bookmarkEnd w:id="570"/>
      <w:r>
        <w:rPr>
          <w:snapToGrid w:val="0"/>
        </w:rPr>
        <w:t xml:space="preserve"> </w:t>
      </w:r>
    </w:p>
    <w:p>
      <w:pPr>
        <w:pStyle w:val="Subsection"/>
        <w:rPr>
          <w:snapToGrid w:val="0"/>
        </w:rPr>
      </w:pPr>
      <w:r>
        <w:rPr>
          <w:snapToGrid w:val="0"/>
        </w:rPr>
        <w:tab/>
        <w:t>(1)</w:t>
      </w:r>
      <w:r>
        <w:rPr>
          <w:snapToGrid w:val="0"/>
        </w:rPr>
        <w:tab/>
        <w:t>A magistrate to whom an application is made under section 76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571" w:name="_Toc271200426"/>
      <w:r>
        <w:rPr>
          <w:rStyle w:val="CharSectno"/>
        </w:rPr>
        <w:t>78</w:t>
      </w:r>
      <w:r>
        <w:t>.</w:t>
      </w:r>
      <w:r>
        <w:tab/>
      </w:r>
      <w:r>
        <w:rPr>
          <w:snapToGrid w:val="0"/>
        </w:rPr>
        <w:t>Execution of warrant</w:t>
      </w:r>
      <w:bookmarkEnd w:id="571"/>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572" w:name="_Toc177790808"/>
      <w:bookmarkStart w:id="573" w:name="_Toc177791018"/>
      <w:bookmarkStart w:id="574" w:name="_Toc177810615"/>
      <w:bookmarkStart w:id="575" w:name="_Toc196196829"/>
      <w:bookmarkStart w:id="576" w:name="_Toc199820529"/>
      <w:bookmarkStart w:id="577" w:name="_Toc215544877"/>
      <w:bookmarkStart w:id="578" w:name="_Toc223858904"/>
      <w:bookmarkStart w:id="579" w:name="_Toc223859114"/>
      <w:bookmarkStart w:id="580" w:name="_Toc271105490"/>
      <w:bookmarkStart w:id="581" w:name="_Toc271200427"/>
      <w:r>
        <w:rPr>
          <w:rStyle w:val="CharDivNo"/>
        </w:rPr>
        <w:t>Division 8</w:t>
      </w:r>
      <w:r>
        <w:t> — </w:t>
      </w:r>
      <w:r>
        <w:rPr>
          <w:rStyle w:val="CharDivText"/>
        </w:rPr>
        <w:t>Conciliation</w:t>
      </w:r>
      <w:bookmarkEnd w:id="572"/>
      <w:bookmarkEnd w:id="573"/>
      <w:bookmarkEnd w:id="574"/>
      <w:bookmarkEnd w:id="575"/>
      <w:bookmarkEnd w:id="576"/>
      <w:bookmarkEnd w:id="577"/>
      <w:bookmarkEnd w:id="578"/>
      <w:bookmarkEnd w:id="579"/>
      <w:bookmarkEnd w:id="580"/>
      <w:bookmarkEnd w:id="581"/>
    </w:p>
    <w:p>
      <w:pPr>
        <w:pStyle w:val="Heading5"/>
        <w:rPr>
          <w:snapToGrid w:val="0"/>
        </w:rPr>
      </w:pPr>
      <w:bookmarkStart w:id="582" w:name="_Toc271200428"/>
      <w:r>
        <w:rPr>
          <w:rStyle w:val="CharSectno"/>
        </w:rPr>
        <w:t>79</w:t>
      </w:r>
      <w:r>
        <w:t>.</w:t>
      </w:r>
      <w:r>
        <w:tab/>
      </w:r>
      <w:r>
        <w:rPr>
          <w:snapToGrid w:val="0"/>
        </w:rPr>
        <w:t>Conciliation process</w:t>
      </w:r>
      <w:bookmarkEnd w:id="582"/>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81(1) or 82(1).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83" w:name="_Toc271200429"/>
      <w:r>
        <w:rPr>
          <w:rStyle w:val="CharSectno"/>
        </w:rPr>
        <w:t>80</w:t>
      </w:r>
      <w:r>
        <w:t>.</w:t>
      </w:r>
      <w:r>
        <w:tab/>
      </w:r>
      <w:r>
        <w:rPr>
          <w:snapToGrid w:val="0"/>
        </w:rPr>
        <w:t>Action if conciliation fails</w:t>
      </w:r>
      <w:bookmarkEnd w:id="583"/>
      <w:r>
        <w:rPr>
          <w:snapToGrid w:val="0"/>
        </w:rPr>
        <w:t xml:space="preserve"> </w:t>
      </w:r>
    </w:p>
    <w:p>
      <w:pPr>
        <w:pStyle w:val="Subsection"/>
        <w:rPr>
          <w:snapToGrid w:val="0"/>
        </w:rPr>
      </w:pPr>
      <w:r>
        <w:rPr>
          <w:snapToGrid w:val="0"/>
        </w:rPr>
        <w:tab/>
      </w:r>
      <w:r>
        <w:rPr>
          <w:snapToGrid w:val="0"/>
        </w:rPr>
        <w:tab/>
        <w:t xml:space="preserve">If — </w:t>
      </w:r>
    </w:p>
    <w:p>
      <w:pPr>
        <w:pStyle w:val="Indenta"/>
        <w:spacing w:before="120"/>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84" w:name="_Toc177790811"/>
      <w:bookmarkStart w:id="585" w:name="_Toc177791021"/>
      <w:bookmarkStart w:id="586" w:name="_Toc177810618"/>
      <w:bookmarkStart w:id="587" w:name="_Toc196196832"/>
      <w:bookmarkStart w:id="588" w:name="_Toc199820532"/>
      <w:bookmarkStart w:id="589" w:name="_Toc215544880"/>
      <w:bookmarkStart w:id="590" w:name="_Toc223858907"/>
      <w:bookmarkStart w:id="591" w:name="_Toc223859117"/>
      <w:bookmarkStart w:id="592" w:name="_Toc271105493"/>
      <w:bookmarkStart w:id="593" w:name="_Toc271200430"/>
      <w:r>
        <w:rPr>
          <w:rStyle w:val="CharDivNo"/>
        </w:rPr>
        <w:t>Division 9</w:t>
      </w:r>
      <w:r>
        <w:t> — </w:t>
      </w:r>
      <w:r>
        <w:rPr>
          <w:rStyle w:val="CharDivText"/>
        </w:rPr>
        <w:t>Role of the State Administrative Tribunal</w:t>
      </w:r>
      <w:bookmarkEnd w:id="584"/>
      <w:bookmarkEnd w:id="585"/>
      <w:bookmarkEnd w:id="586"/>
      <w:bookmarkEnd w:id="587"/>
      <w:bookmarkEnd w:id="588"/>
      <w:bookmarkEnd w:id="589"/>
      <w:bookmarkEnd w:id="590"/>
      <w:bookmarkEnd w:id="591"/>
      <w:bookmarkEnd w:id="592"/>
      <w:bookmarkEnd w:id="593"/>
    </w:p>
    <w:p>
      <w:pPr>
        <w:pStyle w:val="Heading5"/>
        <w:rPr>
          <w:snapToGrid w:val="0"/>
        </w:rPr>
      </w:pPr>
      <w:bookmarkStart w:id="594" w:name="_Toc271200431"/>
      <w:r>
        <w:rPr>
          <w:rStyle w:val="CharSectno"/>
        </w:rPr>
        <w:t>81</w:t>
      </w:r>
      <w:r>
        <w:t>.</w:t>
      </w:r>
      <w:r>
        <w:tab/>
      </w:r>
      <w:r>
        <w:rPr>
          <w:snapToGrid w:val="0"/>
        </w:rPr>
        <w:t>Powers of the State Administrative Tribunal on dealing with a disciplinary matter</w:t>
      </w:r>
      <w:bookmarkEnd w:id="594"/>
    </w:p>
    <w:p>
      <w:pPr>
        <w:pStyle w:val="Subsection"/>
        <w:rPr>
          <w:snapToGrid w:val="0"/>
        </w:rPr>
      </w:pPr>
      <w:r>
        <w:rPr>
          <w:snapToGrid w:val="0"/>
        </w:rPr>
        <w:tab/>
        <w:t>(1)</w:t>
      </w:r>
      <w:r>
        <w:rPr>
          <w:snapToGrid w:val="0"/>
        </w:rPr>
        <w:tab/>
        <w:t xml:space="preserve">If, in a proceeding commenced by an allegation under this Act against a nurse or midwife,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nurse or midwife;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require the person to complete educational or clinical courses, or both, as specified in the order or to practise under supervision as specified in the order for a period specified in the order;</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nursing or midwifery, as the case may be,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in relation to a type of registration specified in the order be cancelled and name be removed from the register in relation to that type;</w:t>
      </w:r>
    </w:p>
    <w:p>
      <w:pPr>
        <w:pStyle w:val="Indenta"/>
        <w:rPr>
          <w:snapToGrid w:val="0"/>
        </w:rPr>
      </w:pPr>
      <w:r>
        <w:rPr>
          <w:snapToGrid w:val="0"/>
        </w:rPr>
        <w:tab/>
        <w:t>(j)</w:t>
      </w:r>
      <w:r>
        <w:rPr>
          <w:snapToGrid w:val="0"/>
        </w:rPr>
        <w:tab/>
        <w:t>order that the person’s registration in relation to a type of registration specified in the order be suspended,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nurse or midwife when the </w:t>
      </w:r>
      <w:r>
        <w:rPr>
          <w:snapToGrid w:val="0"/>
        </w:rPr>
        <w:t>disciplinary matter</w:t>
      </w:r>
      <w:r>
        <w:t xml:space="preserve"> allegedly occurred but who is no longer a nurse or midwife</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95" w:name="_Toc271200432"/>
      <w:r>
        <w:rPr>
          <w:rStyle w:val="CharSectno"/>
        </w:rPr>
        <w:t>82</w:t>
      </w:r>
      <w:r>
        <w:t>.</w:t>
      </w:r>
      <w:r>
        <w:tab/>
        <w:t>Powers of the State Administrative Tribunal on dealing with an impairment matter</w:t>
      </w:r>
      <w:bookmarkEnd w:id="595"/>
    </w:p>
    <w:p>
      <w:pPr>
        <w:pStyle w:val="Subsection"/>
      </w:pPr>
      <w:r>
        <w:rPr>
          <w:snapToGrid w:val="0"/>
        </w:rPr>
        <w:tab/>
        <w:t>(1)</w:t>
      </w:r>
      <w:r>
        <w:rPr>
          <w:snapToGrid w:val="0"/>
        </w:rPr>
        <w:tab/>
        <w:t>If, in a proceeding commenced by an allegation under section 71(1)(c), the State Administrative Tribunal is of the opinion that an impairment matter exists in relation to a nurse or midwife,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w:t>
      </w:r>
      <w:r>
        <w:rPr>
          <w:snapToGrid w:val="0"/>
        </w:rPr>
        <w:t xml:space="preserve"> person’s registration in relation to a type of registration specified in the order be suspended</w:t>
      </w:r>
      <w:r>
        <w:t>,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81(1) or (2) instead of under this section.</w:t>
      </w:r>
    </w:p>
    <w:p>
      <w:pPr>
        <w:pStyle w:val="Heading3"/>
      </w:pPr>
      <w:bookmarkStart w:id="596" w:name="_Toc177790814"/>
      <w:bookmarkStart w:id="597" w:name="_Toc177791024"/>
      <w:bookmarkStart w:id="598" w:name="_Toc177810621"/>
      <w:bookmarkStart w:id="599" w:name="_Toc196196835"/>
      <w:bookmarkStart w:id="600" w:name="_Toc199820535"/>
      <w:bookmarkStart w:id="601" w:name="_Toc215544883"/>
      <w:bookmarkStart w:id="602" w:name="_Toc223858910"/>
      <w:bookmarkStart w:id="603" w:name="_Toc223859120"/>
      <w:bookmarkStart w:id="604" w:name="_Toc271105496"/>
      <w:bookmarkStart w:id="605" w:name="_Toc271200433"/>
      <w:r>
        <w:rPr>
          <w:rStyle w:val="CharDivNo"/>
        </w:rPr>
        <w:t>Division 10</w:t>
      </w:r>
      <w:r>
        <w:t> — </w:t>
      </w:r>
      <w:r>
        <w:rPr>
          <w:rStyle w:val="CharDivText"/>
        </w:rPr>
        <w:t>Miscellaneous</w:t>
      </w:r>
      <w:bookmarkEnd w:id="596"/>
      <w:bookmarkEnd w:id="597"/>
      <w:bookmarkEnd w:id="598"/>
      <w:bookmarkEnd w:id="599"/>
      <w:bookmarkEnd w:id="600"/>
      <w:bookmarkEnd w:id="601"/>
      <w:bookmarkEnd w:id="602"/>
      <w:bookmarkEnd w:id="603"/>
      <w:bookmarkEnd w:id="604"/>
      <w:bookmarkEnd w:id="605"/>
    </w:p>
    <w:p>
      <w:pPr>
        <w:pStyle w:val="Heading5"/>
        <w:rPr>
          <w:snapToGrid w:val="0"/>
        </w:rPr>
      </w:pPr>
      <w:bookmarkStart w:id="606" w:name="_Toc271200434"/>
      <w:r>
        <w:rPr>
          <w:rStyle w:val="CharSectno"/>
        </w:rPr>
        <w:t>83</w:t>
      </w:r>
      <w:r>
        <w:t>.</w:t>
      </w:r>
      <w:r>
        <w:tab/>
      </w:r>
      <w:r>
        <w:rPr>
          <w:snapToGrid w:val="0"/>
        </w:rPr>
        <w:t>Suspension</w:t>
      </w:r>
      <w:bookmarkEnd w:id="606"/>
    </w:p>
    <w:p>
      <w:pPr>
        <w:pStyle w:val="Subsection"/>
      </w:pPr>
      <w:r>
        <w:tab/>
        <w:t>(1)</w:t>
      </w:r>
      <w:r>
        <w:tab/>
      </w:r>
      <w:r>
        <w:rPr>
          <w:snapToGrid w:val="0"/>
        </w:rPr>
        <w:t>If, under section 57(1)(c), 71(2)(b), 81(1)(j) or 82(1)(d), a person’s registration in relation to a specified type of registration is suspended generally, the person is to be regarded as not being registered in relation to that type of registration during the period of the suspension.</w:t>
      </w:r>
    </w:p>
    <w:p>
      <w:pPr>
        <w:pStyle w:val="Subsection"/>
      </w:pPr>
      <w:r>
        <w:tab/>
        <w:t>(2)</w:t>
      </w:r>
      <w:r>
        <w:tab/>
      </w:r>
      <w:r>
        <w:rPr>
          <w:snapToGrid w:val="0"/>
        </w:rPr>
        <w:t>If, under section 57(1)(c), 81(1)(j) or 82(1)(d), a person’s registration in relation to a specified type of registration is suspended in relation to any specified circumstances or service, the person is to be regarded as not being registered in relation to that type of registration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81(1)(j) or 82(1)(d) unless it has applied for, and obtained, the approval of the Tribunal to do so.</w:t>
      </w:r>
    </w:p>
    <w:p>
      <w:pPr>
        <w:pStyle w:val="Heading5"/>
      </w:pPr>
      <w:bookmarkStart w:id="607" w:name="_Toc271200435"/>
      <w:r>
        <w:rPr>
          <w:rStyle w:val="CharSectno"/>
        </w:rPr>
        <w:t>84</w:t>
      </w:r>
      <w:r>
        <w:t>.</w:t>
      </w:r>
      <w:r>
        <w:tab/>
        <w:t>Costs and recovery</w:t>
      </w:r>
      <w:bookmarkEnd w:id="607"/>
    </w:p>
    <w:p>
      <w:pPr>
        <w:pStyle w:val="Subsection"/>
      </w:pPr>
      <w:r>
        <w:tab/>
        <w:t>(1)</w:t>
      </w:r>
      <w:r>
        <w:tab/>
        <w:t>The Board may, in addition to or instead of exercising a power under section 61(1) or 71(1),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Subsection"/>
      </w:pPr>
      <w:r>
        <w:tab/>
        <w:t>(3)</w:t>
      </w:r>
      <w:r>
        <w:tab/>
        <w:t>The Board may, in exceptional circumstances, pay from the funds of the Board to a respondent against whom there has been no adverse finding the costs or part of the costs incurred by that person.</w:t>
      </w:r>
    </w:p>
    <w:p>
      <w:pPr>
        <w:pStyle w:val="Subsection"/>
      </w:pPr>
      <w:r>
        <w:tab/>
        <w:t>(4)</w:t>
      </w:r>
      <w:r>
        <w:tab/>
        <w:t xml:space="preserve">In subsection (3) — </w:t>
      </w:r>
    </w:p>
    <w:p>
      <w:pPr>
        <w:pStyle w:val="Defstart"/>
      </w:pPr>
      <w:r>
        <w:rPr>
          <w:b/>
        </w:rPr>
        <w:tab/>
      </w:r>
      <w:r>
        <w:rPr>
          <w:rStyle w:val="CharDefText"/>
        </w:rPr>
        <w:t>adverse finding</w:t>
      </w:r>
      <w:r>
        <w:t xml:space="preserve"> means a finding that a disciplinary or impairment matter exists.</w:t>
      </w:r>
    </w:p>
    <w:p>
      <w:pPr>
        <w:pStyle w:val="Heading2"/>
      </w:pPr>
      <w:bookmarkStart w:id="608" w:name="_Toc177790817"/>
      <w:bookmarkStart w:id="609" w:name="_Toc177791027"/>
      <w:bookmarkStart w:id="610" w:name="_Toc177810624"/>
      <w:bookmarkStart w:id="611" w:name="_Toc196196838"/>
      <w:bookmarkStart w:id="612" w:name="_Toc199820538"/>
      <w:bookmarkStart w:id="613" w:name="_Toc215544886"/>
      <w:bookmarkStart w:id="614" w:name="_Toc223858913"/>
      <w:bookmarkStart w:id="615" w:name="_Toc223859123"/>
      <w:bookmarkStart w:id="616" w:name="_Toc271105499"/>
      <w:bookmarkStart w:id="617" w:name="_Toc271200436"/>
      <w:r>
        <w:rPr>
          <w:rStyle w:val="CharPartNo"/>
        </w:rPr>
        <w:t>Part 6</w:t>
      </w:r>
      <w:r>
        <w:rPr>
          <w:rStyle w:val="CharDivNo"/>
        </w:rPr>
        <w:t> </w:t>
      </w:r>
      <w:r>
        <w:t>—</w:t>
      </w:r>
      <w:r>
        <w:rPr>
          <w:rStyle w:val="CharDivText"/>
        </w:rPr>
        <w:t> </w:t>
      </w:r>
      <w:r>
        <w:rPr>
          <w:rStyle w:val="CharPartText"/>
        </w:rPr>
        <w:t>Offences</w:t>
      </w:r>
      <w:bookmarkEnd w:id="608"/>
      <w:bookmarkEnd w:id="609"/>
      <w:bookmarkEnd w:id="610"/>
      <w:bookmarkEnd w:id="611"/>
      <w:bookmarkEnd w:id="612"/>
      <w:bookmarkEnd w:id="613"/>
      <w:bookmarkEnd w:id="614"/>
      <w:bookmarkEnd w:id="615"/>
      <w:bookmarkEnd w:id="616"/>
      <w:bookmarkEnd w:id="617"/>
    </w:p>
    <w:p>
      <w:pPr>
        <w:pStyle w:val="Heading5"/>
      </w:pPr>
      <w:bookmarkStart w:id="618" w:name="_Toc271200437"/>
      <w:r>
        <w:rPr>
          <w:rStyle w:val="CharSectno"/>
        </w:rPr>
        <w:t>85</w:t>
      </w:r>
      <w:r>
        <w:t>.</w:t>
      </w:r>
      <w:r>
        <w:tab/>
        <w:t>Persons who may practise nursing or midwifery or a specialty</w:t>
      </w:r>
      <w:bookmarkEnd w:id="618"/>
    </w:p>
    <w:p>
      <w:pPr>
        <w:pStyle w:val="Subsection"/>
      </w:pPr>
      <w:r>
        <w:tab/>
        <w:t>(1)</w:t>
      </w:r>
      <w:r>
        <w:tab/>
        <w:t>A person must not practise nursing unless that person is an enrolled nurse, nurse practitioner or registered nurse and, in the case of an enrolled nurse, does so under the professional direction of a midwife, nurse practitioner or registered nurse.</w:t>
      </w:r>
    </w:p>
    <w:p>
      <w:pPr>
        <w:pStyle w:val="Subsection"/>
      </w:pPr>
      <w:r>
        <w:tab/>
        <w:t>(2)</w:t>
      </w:r>
      <w:r>
        <w:tab/>
        <w:t>A person must not practise midwifery unless that person is a midwife.</w:t>
      </w:r>
    </w:p>
    <w:p>
      <w:pPr>
        <w:pStyle w:val="Subsection"/>
      </w:pPr>
      <w:r>
        <w:tab/>
        <w:t>(3)</w:t>
      </w:r>
      <w:r>
        <w:tab/>
        <w:t>A person must not practise a specialty unless that person is a specialist registered to practise that specialty.</w:t>
      </w:r>
    </w:p>
    <w:p>
      <w:pPr>
        <w:pStyle w:val="Penstart"/>
        <w:rPr>
          <w:snapToGrid w:val="0"/>
        </w:rPr>
      </w:pPr>
      <w:r>
        <w:rPr>
          <w:snapToGrid w:val="0"/>
        </w:rPr>
        <w:tab/>
        <w:t xml:space="preserve">Penalty applicable to subsections (1), (2) and (3):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619" w:name="_Toc271200438"/>
      <w:r>
        <w:rPr>
          <w:rStyle w:val="CharSectno"/>
        </w:rPr>
        <w:t>86</w:t>
      </w:r>
      <w:r>
        <w:t>.</w:t>
      </w:r>
      <w:r>
        <w:tab/>
        <w:t>Persons who may be employed or engaged to practise nursing or midwifery or a specialty</w:t>
      </w:r>
      <w:bookmarkEnd w:id="619"/>
    </w:p>
    <w:p>
      <w:pPr>
        <w:pStyle w:val="Subsection"/>
      </w:pPr>
      <w:r>
        <w:tab/>
        <w:t>(1)</w:t>
      </w:r>
      <w:r>
        <w:tab/>
        <w:t>A person must not employ or engage a person to practise nursing unless the person employed or engaged is an enrolled nurse, nurse practitioner or registered nurse and, in the case of an enrolled nurse, is employed or engaged to do so under the professional direction of a midwife, nurse practitioner or registered nurse.</w:t>
      </w:r>
    </w:p>
    <w:p>
      <w:pPr>
        <w:pStyle w:val="Subsection"/>
      </w:pPr>
      <w:r>
        <w:tab/>
        <w:t>(2)</w:t>
      </w:r>
      <w:r>
        <w:tab/>
        <w:t>A person must not employ or engage a person to practise midwifery unless the person employed or engaged is a midwife.</w:t>
      </w:r>
    </w:p>
    <w:p>
      <w:pPr>
        <w:pStyle w:val="Subsection"/>
      </w:pPr>
      <w:r>
        <w:tab/>
        <w:t>(3)</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(2) and (3):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620" w:name="_Toc271200439"/>
      <w:r>
        <w:rPr>
          <w:rStyle w:val="CharSectno"/>
        </w:rPr>
        <w:t>87</w:t>
      </w:r>
      <w:r>
        <w:t>.</w:t>
      </w:r>
      <w:r>
        <w:tab/>
        <w:t>Exceptions to sections 85 and 86</w:t>
      </w:r>
      <w:bookmarkEnd w:id="620"/>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 or 28(2)(b).</w:t>
      </w:r>
    </w:p>
    <w:p>
      <w:pPr>
        <w:pStyle w:val="Subsection"/>
      </w:pPr>
      <w:r>
        <w:tab/>
        <w:t>(2)</w:t>
      </w:r>
      <w:r>
        <w:tab/>
        <w:t xml:space="preserve">For the purposes of sections 85 and 86, a person is not practising nursing or midwifery only because — </w:t>
      </w:r>
    </w:p>
    <w:p>
      <w:pPr>
        <w:pStyle w:val="Indenta"/>
      </w:pPr>
      <w:r>
        <w:tab/>
        <w:t>(a)</w:t>
      </w:r>
      <w:r>
        <w:tab/>
        <w:t>the person is a student; or</w:t>
      </w:r>
    </w:p>
    <w:p>
      <w:pPr>
        <w:pStyle w:val="Indenta"/>
      </w:pPr>
      <w:r>
        <w:tab/>
        <w:t>(b)</w:t>
      </w:r>
      <w:r>
        <w:tab/>
        <w:t>the person employs or engages a person who practises nursing or midwifery.</w:t>
      </w:r>
    </w:p>
    <w:p>
      <w:pPr>
        <w:pStyle w:val="Subsection"/>
      </w:pPr>
      <w:r>
        <w:tab/>
        <w:t>(3)</w:t>
      </w:r>
      <w:r>
        <w:tab/>
        <w:t xml:space="preserve">For the purpose of sections 85 and 86,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621" w:name="_Toc271200440"/>
      <w:r>
        <w:rPr>
          <w:rStyle w:val="CharSectno"/>
        </w:rPr>
        <w:t>88</w:t>
      </w:r>
      <w:r>
        <w:t>.</w:t>
      </w:r>
      <w:r>
        <w:tab/>
      </w:r>
      <w:r>
        <w:rPr>
          <w:snapToGrid w:val="0"/>
        </w:rPr>
        <w:t>Use of titles or pretending to be registered</w:t>
      </w:r>
      <w:bookmarkEnd w:id="621"/>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“enrolled nurse” unless the person is an enrolled nurse;</w:t>
      </w:r>
    </w:p>
    <w:p>
      <w:pPr>
        <w:pStyle w:val="Indenta"/>
        <w:rPr>
          <w:snapToGrid w:val="0"/>
        </w:rPr>
      </w:pPr>
      <w:r>
        <w:rPr>
          <w:snapToGrid w:val="0"/>
        </w:rPr>
        <w:tab/>
        <w:t>(b)</w:t>
      </w:r>
      <w:r>
        <w:rPr>
          <w:snapToGrid w:val="0"/>
        </w:rPr>
        <w:tab/>
        <w:t>use the title “midwife” unless the person is a midwife;</w:t>
      </w:r>
    </w:p>
    <w:p>
      <w:pPr>
        <w:pStyle w:val="Indenta"/>
      </w:pPr>
      <w:r>
        <w:tab/>
        <w:t>(c)</w:t>
      </w:r>
      <w:r>
        <w:tab/>
      </w:r>
      <w:r>
        <w:rPr>
          <w:snapToGrid w:val="0"/>
        </w:rPr>
        <w:t>use the title “nurse practitioner” unless the person is a nurse practitioner;</w:t>
      </w:r>
    </w:p>
    <w:p>
      <w:pPr>
        <w:pStyle w:val="Indenta"/>
        <w:rPr>
          <w:snapToGrid w:val="0"/>
        </w:rPr>
      </w:pPr>
      <w:r>
        <w:tab/>
        <w:t>(d)</w:t>
      </w:r>
      <w:r>
        <w:tab/>
      </w:r>
      <w:r>
        <w:rPr>
          <w:snapToGrid w:val="0"/>
        </w:rPr>
        <w:t>use the title “registered nurse” unless the person is a registered nurse;</w:t>
      </w:r>
    </w:p>
    <w:p>
      <w:pPr>
        <w:pStyle w:val="Indenta"/>
        <w:rPr>
          <w:snapToGrid w:val="0"/>
        </w:rPr>
      </w:pPr>
      <w:r>
        <w:rPr>
          <w:snapToGrid w:val="0"/>
        </w:rPr>
        <w:tab/>
        <w:t>(e)</w:t>
      </w:r>
      <w:r>
        <w:rPr>
          <w:snapToGrid w:val="0"/>
        </w:rPr>
        <w:tab/>
      </w:r>
      <w:r>
        <w:t>use a title under which a specialty may be practised that is prescribed under section 31(6) unless that person is registered to practise that specialty;</w:t>
      </w:r>
    </w:p>
    <w:p>
      <w:pPr>
        <w:pStyle w:val="Indenta"/>
        <w:rPr>
          <w:snapToGrid w:val="0"/>
        </w:rPr>
      </w:pPr>
      <w:r>
        <w:rPr>
          <w:snapToGrid w:val="0"/>
        </w:rPr>
        <w:tab/>
        <w:t>(f)</w:t>
      </w:r>
      <w:r>
        <w:rPr>
          <w:snapToGrid w:val="0"/>
        </w:rPr>
        <w:tab/>
        <w:t>advertise or otherwise hold out or imply, that the person is registered or entitled, either alone or with others, to practise nursing, unless that person is an enrolled nurse, nurse practitioner or registered nurse; or</w:t>
      </w:r>
    </w:p>
    <w:p>
      <w:pPr>
        <w:pStyle w:val="Indenta"/>
      </w:pPr>
      <w:r>
        <w:tab/>
        <w:t>(g)</w:t>
      </w:r>
      <w:r>
        <w:tab/>
      </w:r>
      <w:r>
        <w:rPr>
          <w:snapToGrid w:val="0"/>
        </w:rPr>
        <w:t>advertise or otherwise hold out or imply, that the person is registered or entitled, either alone or with others, to practise midwifery, unless that person is a midwife.</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pPr>
      <w:bookmarkStart w:id="622" w:name="_Toc271200441"/>
      <w:r>
        <w:rPr>
          <w:rStyle w:val="CharSectno"/>
        </w:rPr>
        <w:t>89</w:t>
      </w:r>
      <w:r>
        <w:t>.</w:t>
      </w:r>
      <w:r>
        <w:tab/>
        <w:t>Name in which practice may be carried on</w:t>
      </w:r>
      <w:bookmarkEnd w:id="622"/>
    </w:p>
    <w:p>
      <w:pPr>
        <w:pStyle w:val="Subsection"/>
      </w:pPr>
      <w:r>
        <w:tab/>
        <w:t>(1)</w:t>
      </w:r>
      <w:r>
        <w:tab/>
        <w:t>A nurse must not carry on the practice of nursing under any name other than the name of the person as recorded in the register, unless the person has the written consent of the Board to do so, and complies with any conditions imposed by the Board.</w:t>
      </w:r>
    </w:p>
    <w:p>
      <w:pPr>
        <w:pStyle w:val="Subsection"/>
      </w:pPr>
      <w:r>
        <w:tab/>
        <w:t>(2)</w:t>
      </w:r>
      <w:r>
        <w:tab/>
        <w:t>A midwife must not carry on the practice of midwifery under any name other than the name of the person as recorded in the register, unless the person has the written consent of the Board to do so, and complies with any conditions imposed by the Board.</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rPr>
          <w:snapToGrid w:val="0"/>
        </w:rPr>
      </w:pPr>
      <w:bookmarkStart w:id="623" w:name="_Toc271200442"/>
      <w:r>
        <w:rPr>
          <w:rStyle w:val="CharSectno"/>
        </w:rPr>
        <w:t>90</w:t>
      </w:r>
      <w:r>
        <w:t>.</w:t>
      </w:r>
      <w:r>
        <w:tab/>
      </w:r>
      <w:r>
        <w:rPr>
          <w:snapToGrid w:val="0"/>
        </w:rPr>
        <w:t>Unlawful delegation by registered person</w:t>
      </w:r>
      <w:bookmarkEnd w:id="623"/>
    </w:p>
    <w:p>
      <w:pPr>
        <w:pStyle w:val="Subsection"/>
        <w:rPr>
          <w:snapToGrid w:val="0"/>
        </w:rPr>
      </w:pPr>
      <w:r>
        <w:rPr>
          <w:snapToGrid w:val="0"/>
        </w:rPr>
        <w:tab/>
      </w:r>
      <w:r>
        <w:rPr>
          <w:snapToGrid w:val="0"/>
        </w:rPr>
        <w:tab/>
        <w:t>A registered person must not, except as authorised by the rules, authorise or permit a person who is not a registered person to carry out any nursing for or on behalf of the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pPr>
      <w:bookmarkStart w:id="624" w:name="_Toc271200443"/>
      <w:r>
        <w:rPr>
          <w:rStyle w:val="CharSectno"/>
        </w:rPr>
        <w:t>91</w:t>
      </w:r>
      <w:r>
        <w:t>.</w:t>
      </w:r>
      <w:r>
        <w:tab/>
        <w:t>Undue influence</w:t>
      </w:r>
      <w:bookmarkEnd w:id="624"/>
    </w:p>
    <w:p>
      <w:pPr>
        <w:pStyle w:val="Subsection"/>
      </w:pPr>
      <w:r>
        <w:tab/>
      </w:r>
      <w:r>
        <w:tab/>
        <w:t xml:space="preserve">A person must not cause or induce — </w:t>
      </w:r>
    </w:p>
    <w:p>
      <w:pPr>
        <w:pStyle w:val="Indenta"/>
      </w:pPr>
      <w:r>
        <w:tab/>
        <w:t>(a)</w:t>
      </w:r>
      <w:r>
        <w:tab/>
        <w:t>a nurse to do any thing in the course of practising nursing; or</w:t>
      </w:r>
    </w:p>
    <w:p>
      <w:pPr>
        <w:pStyle w:val="Indenta"/>
      </w:pPr>
      <w:r>
        <w:tab/>
        <w:t>(b)</w:t>
      </w:r>
      <w:r>
        <w:tab/>
        <w:t>a midwife to do any thing in the course of practising midwifery,</w:t>
      </w:r>
    </w:p>
    <w:p>
      <w:pPr>
        <w:pStyle w:val="Subsection"/>
      </w:pPr>
      <w:r>
        <w:tab/>
      </w:r>
      <w:r>
        <w:tab/>
        <w:t>that the person is aware, or ought reasonably to be aware, is conduct that would constitute a disciplinary matter.</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625" w:name="_Toc271200444"/>
      <w:r>
        <w:rPr>
          <w:rStyle w:val="CharSectno"/>
        </w:rPr>
        <w:t>92</w:t>
      </w:r>
      <w:r>
        <w:t>.</w:t>
      </w:r>
      <w:r>
        <w:tab/>
      </w:r>
      <w:r>
        <w:rPr>
          <w:snapToGrid w:val="0"/>
        </w:rPr>
        <w:t>Failure to comply with disciplinary action</w:t>
      </w:r>
      <w:bookmarkEnd w:id="625"/>
    </w:p>
    <w:p>
      <w:pPr>
        <w:pStyle w:val="Subsection"/>
        <w:keepNext/>
        <w:rPr>
          <w:snapToGrid w:val="0"/>
        </w:rPr>
      </w:pPr>
      <w:r>
        <w:rPr>
          <w:snapToGrid w:val="0"/>
        </w:rPr>
        <w:tab/>
      </w:r>
      <w:r>
        <w:rPr>
          <w:snapToGrid w:val="0"/>
        </w:rPr>
        <w:tab/>
        <w:t>A person must not contravene or fail to comply with an order of the Board given to that person under section 57 or 62.</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626" w:name="_Toc271200445"/>
      <w:r>
        <w:rPr>
          <w:rStyle w:val="CharSectno"/>
        </w:rPr>
        <w:t>93</w:t>
      </w:r>
      <w:r>
        <w:t>.</w:t>
      </w:r>
      <w:r>
        <w:tab/>
        <w:t>False or misleading information</w:t>
      </w:r>
      <w:bookmarkEnd w:id="626"/>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79.</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627" w:name="_Toc271200446"/>
      <w:r>
        <w:rPr>
          <w:rStyle w:val="CharSectno"/>
        </w:rPr>
        <w:t>94</w:t>
      </w:r>
      <w:r>
        <w:t>.</w:t>
      </w:r>
      <w:r>
        <w:tab/>
        <w:t>Offences in relation to investigation</w:t>
      </w:r>
      <w:bookmarkEnd w:id="627"/>
    </w:p>
    <w:p>
      <w:pPr>
        <w:pStyle w:val="Subsection"/>
      </w:pPr>
      <w:r>
        <w:tab/>
        <w:t>(1)</w:t>
      </w:r>
      <w:r>
        <w:tab/>
        <w:t>Where under section</w:t>
      </w:r>
      <w:r>
        <w:rPr>
          <w:snapToGrid w:val="0"/>
        </w:rPr>
        <w:t> 75</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75</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75</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keepNext/>
        <w:keepLines/>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628" w:name="_Toc271200447"/>
      <w:r>
        <w:rPr>
          <w:rStyle w:val="CharSectno"/>
        </w:rPr>
        <w:t>95</w:t>
      </w:r>
      <w:r>
        <w:t>.</w:t>
      </w:r>
      <w:r>
        <w:tab/>
      </w:r>
      <w:r>
        <w:rPr>
          <w:snapToGrid w:val="0"/>
        </w:rPr>
        <w:t>Obstruction of investigator</w:t>
      </w:r>
      <w:bookmarkEnd w:id="628"/>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629" w:name="_Toc271200448"/>
      <w:r>
        <w:rPr>
          <w:rStyle w:val="CharSectno"/>
        </w:rPr>
        <w:t>96</w:t>
      </w:r>
      <w:r>
        <w:t>.</w:t>
      </w:r>
      <w:r>
        <w:tab/>
      </w:r>
      <w:r>
        <w:rPr>
          <w:snapToGrid w:val="0"/>
        </w:rPr>
        <w:t>Assistance to execute warrant</w:t>
      </w:r>
      <w:bookmarkEnd w:id="629"/>
    </w:p>
    <w:p>
      <w:pPr>
        <w:pStyle w:val="Subsection"/>
        <w:rPr>
          <w:snapToGrid w:val="0"/>
        </w:rPr>
      </w:pPr>
      <w:r>
        <w:rPr>
          <w:snapToGrid w:val="0"/>
        </w:rPr>
        <w:tab/>
      </w:r>
      <w:r>
        <w:rPr>
          <w:snapToGrid w:val="0"/>
        </w:rPr>
        <w:tab/>
        <w:t xml:space="preserve">A nurse or midwife, and any person — </w:t>
      </w:r>
    </w:p>
    <w:p>
      <w:pPr>
        <w:pStyle w:val="Indenta"/>
        <w:rPr>
          <w:snapToGrid w:val="0"/>
        </w:rPr>
      </w:pPr>
      <w:r>
        <w:rPr>
          <w:snapToGrid w:val="0"/>
        </w:rPr>
        <w:tab/>
        <w:t>(a)</w:t>
      </w:r>
      <w:r>
        <w:rPr>
          <w:snapToGrid w:val="0"/>
        </w:rPr>
        <w:tab/>
        <w:t xml:space="preserve">who engages or employs the nurse or midwife to practise nursing or midwifery; </w:t>
      </w:r>
    </w:p>
    <w:p>
      <w:pPr>
        <w:pStyle w:val="Indenta"/>
        <w:rPr>
          <w:snapToGrid w:val="0"/>
        </w:rPr>
      </w:pPr>
      <w:r>
        <w:rPr>
          <w:snapToGrid w:val="0"/>
        </w:rPr>
        <w:tab/>
        <w:t>(b)</w:t>
      </w:r>
      <w:r>
        <w:rPr>
          <w:snapToGrid w:val="0"/>
        </w:rPr>
        <w:tab/>
        <w:t>who is engaged or employed by the nurse or midwife in the nurse or midwife’s practice; or</w:t>
      </w:r>
    </w:p>
    <w:p>
      <w:pPr>
        <w:pStyle w:val="Indenta"/>
        <w:rPr>
          <w:snapToGrid w:val="0"/>
        </w:rPr>
      </w:pPr>
      <w:r>
        <w:rPr>
          <w:snapToGrid w:val="0"/>
        </w:rPr>
        <w:tab/>
        <w:t>(c)</w:t>
      </w:r>
      <w:r>
        <w:rPr>
          <w:snapToGrid w:val="0"/>
        </w:rPr>
        <w:tab/>
        <w:t>with whom the nurse or midwife practises nursing or midwifery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77.</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630" w:name="_Toc271200449"/>
      <w:r>
        <w:rPr>
          <w:rStyle w:val="CharSectno"/>
        </w:rPr>
        <w:t>97</w:t>
      </w:r>
      <w:r>
        <w:t>.</w:t>
      </w:r>
      <w:r>
        <w:tab/>
      </w:r>
      <w:r>
        <w:rPr>
          <w:snapToGrid w:val="0"/>
        </w:rPr>
        <w:t>Surrender of certificate</w:t>
      </w:r>
      <w:bookmarkEnd w:id="630"/>
      <w:r>
        <w:rPr>
          <w:snapToGrid w:val="0"/>
        </w:rPr>
        <w:t xml:space="preserve"> </w:t>
      </w:r>
    </w:p>
    <w:p>
      <w:pPr>
        <w:pStyle w:val="Subsection"/>
        <w:rPr>
          <w:snapToGrid w:val="0"/>
        </w:rPr>
      </w:pPr>
      <w:r>
        <w:rPr>
          <w:snapToGrid w:val="0"/>
        </w:rPr>
        <w:tab/>
        <w:t>(1)</w:t>
      </w:r>
      <w:r>
        <w:rPr>
          <w:snapToGrid w:val="0"/>
        </w:rPr>
        <w:tab/>
        <w:t>Where a person’s type of registration is cancelled or suspended, the person is, within 14 days after the day on which the person is notified by the Board of the cancellation or suspension, to surrender to the Board his or her certificate of registration in relation to that type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whose type of registration is suspended under section 57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631" w:name="_Toc271200450"/>
      <w:r>
        <w:rPr>
          <w:rStyle w:val="CharSectno"/>
        </w:rPr>
        <w:t>98</w:t>
      </w:r>
      <w:r>
        <w:t>.</w:t>
      </w:r>
      <w:r>
        <w:tab/>
      </w:r>
      <w:r>
        <w:rPr>
          <w:snapToGrid w:val="0"/>
        </w:rPr>
        <w:t>Incriminating information, questions, or documents</w:t>
      </w:r>
      <w:bookmarkEnd w:id="631"/>
    </w:p>
    <w:p>
      <w:pPr>
        <w:pStyle w:val="Subsection"/>
        <w:rPr>
          <w:snapToGrid w:val="0"/>
        </w:rPr>
      </w:pPr>
      <w:r>
        <w:rPr>
          <w:snapToGrid w:val="0"/>
        </w:rPr>
        <w:tab/>
      </w:r>
      <w:r>
        <w:rPr>
          <w:snapToGrid w:val="0"/>
        </w:rPr>
        <w:tab/>
        <w:t>An individual is not excused from complying with a requirement under section 75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94(1)(b).</w:t>
      </w:r>
    </w:p>
    <w:p>
      <w:pPr>
        <w:pStyle w:val="Heading5"/>
        <w:rPr>
          <w:snapToGrid w:val="0"/>
        </w:rPr>
      </w:pPr>
      <w:bookmarkStart w:id="632" w:name="_Toc271200451"/>
      <w:r>
        <w:rPr>
          <w:rStyle w:val="CharSectno"/>
        </w:rPr>
        <w:t>99</w:t>
      </w:r>
      <w:r>
        <w:t>.</w:t>
      </w:r>
      <w:r>
        <w:tab/>
      </w:r>
      <w:r>
        <w:rPr>
          <w:snapToGrid w:val="0"/>
        </w:rPr>
        <w:t>Legal professional privilege</w:t>
      </w:r>
      <w:bookmarkEnd w:id="632"/>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633" w:name="_Toc177790833"/>
      <w:bookmarkStart w:id="634" w:name="_Toc177791043"/>
      <w:bookmarkStart w:id="635" w:name="_Toc177810640"/>
      <w:bookmarkStart w:id="636" w:name="_Toc196196854"/>
      <w:bookmarkStart w:id="637" w:name="_Toc199820554"/>
      <w:bookmarkStart w:id="638" w:name="_Toc215544902"/>
      <w:bookmarkStart w:id="639" w:name="_Toc223858929"/>
      <w:bookmarkStart w:id="640" w:name="_Toc223859139"/>
      <w:bookmarkStart w:id="641" w:name="_Toc271105515"/>
      <w:bookmarkStart w:id="642" w:name="_Toc271200452"/>
      <w:r>
        <w:rPr>
          <w:rStyle w:val="CharPartNo"/>
        </w:rPr>
        <w:t>Part 7</w:t>
      </w:r>
      <w:r>
        <w:rPr>
          <w:rStyle w:val="CharDivNo"/>
        </w:rPr>
        <w:t> </w:t>
      </w:r>
      <w:r>
        <w:t>—</w:t>
      </w:r>
      <w:r>
        <w:rPr>
          <w:rStyle w:val="CharDivText"/>
        </w:rPr>
        <w:t> </w:t>
      </w:r>
      <w:r>
        <w:rPr>
          <w:rStyle w:val="CharPartText"/>
        </w:rPr>
        <w:t>Codes of practice, rules and regulations</w:t>
      </w:r>
      <w:bookmarkEnd w:id="633"/>
      <w:bookmarkEnd w:id="634"/>
      <w:bookmarkEnd w:id="635"/>
      <w:bookmarkEnd w:id="636"/>
      <w:bookmarkEnd w:id="637"/>
      <w:bookmarkEnd w:id="638"/>
      <w:bookmarkEnd w:id="639"/>
      <w:bookmarkEnd w:id="640"/>
      <w:bookmarkEnd w:id="641"/>
      <w:bookmarkEnd w:id="642"/>
    </w:p>
    <w:p>
      <w:pPr>
        <w:pStyle w:val="Heading5"/>
      </w:pPr>
      <w:bookmarkStart w:id="643" w:name="_Toc271200453"/>
      <w:r>
        <w:rPr>
          <w:rStyle w:val="CharSectno"/>
        </w:rPr>
        <w:t>100</w:t>
      </w:r>
      <w:r>
        <w:t>.</w:t>
      </w:r>
      <w:r>
        <w:tab/>
        <w:t>Codes of practice</w:t>
      </w:r>
      <w:bookmarkEnd w:id="643"/>
    </w:p>
    <w:p>
      <w:pPr>
        <w:pStyle w:val="Subsection"/>
      </w:pPr>
      <w:r>
        <w:tab/>
        <w:t>(1)</w:t>
      </w:r>
      <w:r>
        <w:tab/>
        <w:t xml:space="preserve">The Board may, with the approval of the Minister, issue codes of practice for — </w:t>
      </w:r>
    </w:p>
    <w:p>
      <w:pPr>
        <w:pStyle w:val="Indenta"/>
      </w:pPr>
      <w:r>
        <w:tab/>
        <w:t>(a)</w:t>
      </w:r>
      <w:r>
        <w:tab/>
        <w:t>the practice of nursing and the conduct of an enrolled nurse or registered nurse;</w:t>
      </w:r>
    </w:p>
    <w:p>
      <w:pPr>
        <w:pStyle w:val="Indenta"/>
      </w:pPr>
      <w:r>
        <w:tab/>
        <w:t>(b)</w:t>
      </w:r>
      <w:r>
        <w:tab/>
        <w:t>the practice of nursing and the conduct of a nurse practitioner, in accordance with subsection (2); or</w:t>
      </w:r>
    </w:p>
    <w:p>
      <w:pPr>
        <w:pStyle w:val="Indenta"/>
      </w:pPr>
      <w:r>
        <w:tab/>
        <w:t>(c)</w:t>
      </w:r>
      <w:r>
        <w:tab/>
        <w:t>the practice of midwifery and the conduct of a midwife.</w:t>
      </w:r>
    </w:p>
    <w:p>
      <w:pPr>
        <w:pStyle w:val="Subsection"/>
      </w:pPr>
      <w:r>
        <w:tab/>
        <w:t>(2)</w:t>
      </w:r>
      <w:r>
        <w:tab/>
        <w:t xml:space="preserve">A code of practice referred to in subsection (1)(b) is to contain only information recommended by the Commissioner, as defined in the </w:t>
      </w:r>
      <w:r>
        <w:rPr>
          <w:i/>
          <w:iCs/>
        </w:rPr>
        <w:t>Health Act 1911</w:t>
      </w:r>
      <w:r>
        <w:t xml:space="preserve"> section 3(1), with respect to the functions of nurse practitioners, including — </w:t>
      </w:r>
    </w:p>
    <w:p>
      <w:pPr>
        <w:pStyle w:val="Indenta"/>
      </w:pPr>
      <w:r>
        <w:tab/>
        <w:t>(a)</w:t>
      </w:r>
      <w:r>
        <w:tab/>
        <w:t xml:space="preserve">the possession, use, supply or prescription of poisons, as defined in the </w:t>
      </w:r>
      <w:r>
        <w:rPr>
          <w:i/>
          <w:iCs/>
        </w:rPr>
        <w:t>Poisons Act 1964</w:t>
      </w:r>
      <w:r>
        <w:t xml:space="preserve"> section 5(1), by a nurse practitioner;</w:t>
      </w:r>
    </w:p>
    <w:p>
      <w:pPr>
        <w:pStyle w:val="Indenta"/>
      </w:pPr>
      <w:r>
        <w:tab/>
        <w:t>(b)</w:t>
      </w:r>
      <w:r>
        <w:tab/>
        <w:t>the requesting, or undertaking, of diagnostic testing or therapies;</w:t>
      </w:r>
    </w:p>
    <w:p>
      <w:pPr>
        <w:pStyle w:val="Indenta"/>
      </w:pPr>
      <w:r>
        <w:tab/>
        <w:t>(c)</w:t>
      </w:r>
      <w:r>
        <w:tab/>
        <w:t>the undertaking of treatments by a nurse practitioner; and</w:t>
      </w:r>
    </w:p>
    <w:p>
      <w:pPr>
        <w:pStyle w:val="Indenta"/>
      </w:pPr>
      <w:r>
        <w:tab/>
        <w:t>(d)</w:t>
      </w:r>
      <w:r>
        <w:tab/>
        <w:t>such other functions as are necessary or convenient with respect to the practice of nursing as a nurse practitioner and the conduct of a nurse practitioner,</w:t>
      </w:r>
    </w:p>
    <w:p>
      <w:pPr>
        <w:pStyle w:val="Subsection"/>
        <w:spacing w:before="100"/>
      </w:pPr>
      <w:r>
        <w:tab/>
      </w:r>
      <w:r>
        <w:tab/>
        <w:t>and anything incidental or conducive to those functions.</w:t>
      </w:r>
    </w:p>
    <w:p>
      <w:pPr>
        <w:pStyle w:val="Subsection"/>
        <w:spacing w:before="100"/>
      </w:pPr>
      <w:r>
        <w:tab/>
        <w:t>(3)</w:t>
      </w:r>
      <w:r>
        <w:tab/>
        <w:t>The code of practice may adopt the provisions of other publications, whether with or without modification or addition and whether in force at a particular time or from time to time.</w:t>
      </w:r>
    </w:p>
    <w:p>
      <w:pPr>
        <w:pStyle w:val="Subsection"/>
        <w:spacing w:before="100"/>
      </w:pPr>
      <w:r>
        <w:tab/>
        <w:t>(4)</w:t>
      </w:r>
      <w:r>
        <w:tab/>
        <w:t>A breach of a code of practice does not of itself constitute a disciplinary matter for the purposes of section 49 but in any proceedings under Part 5 such a breach may be asserted and may be taken into account in determining any question that arises under that Part.</w:t>
      </w:r>
    </w:p>
    <w:p>
      <w:pPr>
        <w:pStyle w:val="Subsection"/>
      </w:pPr>
      <w:r>
        <w:tab/>
        <w:t>(5)</w:t>
      </w:r>
      <w:r>
        <w:tab/>
        <w:t xml:space="preserve">Except as provided in subsection (4) or the </w:t>
      </w:r>
      <w:r>
        <w:rPr>
          <w:i/>
          <w:iCs/>
        </w:rPr>
        <w:t>Radiation Safety Act 1975</w:t>
      </w:r>
      <w:r>
        <w:t xml:space="preserve"> Part III, no civil or criminal liability attaches to a person by reason only that the person has committed a breach of a code of practice.</w:t>
      </w:r>
    </w:p>
    <w:p>
      <w:pPr>
        <w:pStyle w:val="Subsection"/>
      </w:pPr>
      <w:r>
        <w:tab/>
        <w:t>(6)</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644" w:name="_Toc271200454"/>
      <w:r>
        <w:rPr>
          <w:rStyle w:val="CharSectno"/>
        </w:rPr>
        <w:t>101</w:t>
      </w:r>
      <w:r>
        <w:t>.</w:t>
      </w:r>
      <w:r>
        <w:tab/>
      </w:r>
      <w:r>
        <w:rPr>
          <w:snapToGrid w:val="0"/>
        </w:rPr>
        <w:t>Rules</w:t>
      </w:r>
      <w:bookmarkEnd w:id="644"/>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nursing or midwifery;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nursing by an enrolled nurse, nurse practitioner or registered nurse and the manner of carrying on that practice;</w:t>
      </w:r>
    </w:p>
    <w:p>
      <w:pPr>
        <w:pStyle w:val="Indenta"/>
      </w:pPr>
      <w:r>
        <w:tab/>
        <w:t>(d)</w:t>
      </w:r>
      <w:r>
        <w:tab/>
      </w:r>
      <w:r>
        <w:rPr>
          <w:snapToGrid w:val="0"/>
        </w:rPr>
        <w:t>regulating the practice of midwifery by a midwife and the manner of carrying on that practice;</w:t>
      </w:r>
    </w:p>
    <w:p>
      <w:pPr>
        <w:pStyle w:val="Indenta"/>
        <w:rPr>
          <w:snapToGrid w:val="0"/>
        </w:rPr>
      </w:pPr>
      <w:r>
        <w:rPr>
          <w:snapToGrid w:val="0"/>
        </w:rPr>
        <w:tab/>
        <w:t>(e)</w:t>
      </w:r>
      <w:r>
        <w:rPr>
          <w:snapToGrid w:val="0"/>
        </w:rPr>
        <w:tab/>
        <w:t>prescribing what diplomas, degrees or certificates of schools of nursing or midwifery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(f)</w:t>
      </w:r>
      <w:r>
        <w:rPr>
          <w:snapToGrid w:val="0"/>
        </w:rPr>
        <w:tab/>
        <w:t>regulating the manner in which nurses or midwives may advertise or display or publicise their practice of nursing or midwifery.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645" w:name="_Toc271200455"/>
      <w:r>
        <w:rPr>
          <w:rStyle w:val="CharSectno"/>
        </w:rPr>
        <w:t>102</w:t>
      </w:r>
      <w:r>
        <w:t>.</w:t>
      </w:r>
      <w:r>
        <w:tab/>
      </w:r>
      <w:r>
        <w:rPr>
          <w:snapToGrid w:val="0"/>
        </w:rPr>
        <w:t>Regulations</w:t>
      </w:r>
      <w:bookmarkEnd w:id="645"/>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79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646" w:name="_Toc271200456"/>
      <w:r>
        <w:rPr>
          <w:rStyle w:val="CharSectno"/>
        </w:rPr>
        <w:t>103</w:t>
      </w:r>
      <w:r>
        <w:t>.</w:t>
      </w:r>
      <w:r>
        <w:tab/>
        <w:t>Forms</w:t>
      </w:r>
      <w:bookmarkEnd w:id="646"/>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647" w:name="_Toc177790838"/>
      <w:bookmarkStart w:id="648" w:name="_Toc177791048"/>
      <w:bookmarkStart w:id="649" w:name="_Toc177810645"/>
      <w:bookmarkStart w:id="650" w:name="_Toc196196859"/>
      <w:bookmarkStart w:id="651" w:name="_Toc199820559"/>
      <w:bookmarkStart w:id="652" w:name="_Toc215544907"/>
      <w:bookmarkStart w:id="653" w:name="_Toc223858934"/>
      <w:bookmarkStart w:id="654" w:name="_Toc223859144"/>
      <w:bookmarkStart w:id="655" w:name="_Toc271105520"/>
      <w:bookmarkStart w:id="656" w:name="_Toc271200457"/>
      <w:r>
        <w:rPr>
          <w:rStyle w:val="CharPartNo"/>
        </w:rPr>
        <w:t>Part 8</w:t>
      </w:r>
      <w:r>
        <w:rPr>
          <w:rStyle w:val="CharDivNo"/>
        </w:rPr>
        <w:t> </w:t>
      </w:r>
      <w:r>
        <w:t>—</w:t>
      </w:r>
      <w:r>
        <w:rPr>
          <w:rStyle w:val="CharDivText"/>
        </w:rPr>
        <w:t> </w:t>
      </w:r>
      <w:r>
        <w:rPr>
          <w:rStyle w:val="CharPartText"/>
        </w:rPr>
        <w:t>Miscellaneous</w:t>
      </w:r>
      <w:bookmarkEnd w:id="647"/>
      <w:bookmarkEnd w:id="648"/>
      <w:bookmarkEnd w:id="649"/>
      <w:bookmarkEnd w:id="650"/>
      <w:bookmarkEnd w:id="651"/>
      <w:bookmarkEnd w:id="652"/>
      <w:bookmarkEnd w:id="653"/>
      <w:bookmarkEnd w:id="654"/>
      <w:bookmarkEnd w:id="655"/>
      <w:bookmarkEnd w:id="656"/>
    </w:p>
    <w:p>
      <w:pPr>
        <w:pStyle w:val="Heading5"/>
        <w:rPr>
          <w:snapToGrid w:val="0"/>
        </w:rPr>
      </w:pPr>
      <w:bookmarkStart w:id="657" w:name="_Toc271200458"/>
      <w:r>
        <w:rPr>
          <w:rStyle w:val="CharSectno"/>
        </w:rPr>
        <w:t>104</w:t>
      </w:r>
      <w:r>
        <w:t>.</w:t>
      </w:r>
      <w:r>
        <w:tab/>
      </w:r>
      <w:r>
        <w:rPr>
          <w:snapToGrid w:val="0"/>
        </w:rPr>
        <w:t>Protection</w:t>
      </w:r>
      <w:bookmarkEnd w:id="657"/>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58" w:name="_Toc271200459"/>
      <w:r>
        <w:rPr>
          <w:rStyle w:val="CharSectno"/>
        </w:rPr>
        <w:t>105</w:t>
      </w:r>
      <w:r>
        <w:t>.</w:t>
      </w:r>
      <w:r>
        <w:tab/>
        <w:t>Notice of decision to be given</w:t>
      </w:r>
      <w:bookmarkEnd w:id="658"/>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w:t>
      </w:r>
      <w:r>
        <w:t> 31, </w:t>
      </w:r>
      <w:r>
        <w:rPr>
          <w:snapToGrid w:val="0"/>
        </w:rPr>
        <w:t>32 or 37(4), otherwise than by consent;</w:t>
      </w:r>
    </w:p>
    <w:p>
      <w:pPr>
        <w:pStyle w:val="Indenta"/>
      </w:pPr>
      <w:r>
        <w:tab/>
        <w:t>(c)</w:t>
      </w:r>
      <w:r>
        <w:tab/>
        <w:t>any decision under section 30(5); or</w:t>
      </w:r>
    </w:p>
    <w:p>
      <w:pPr>
        <w:pStyle w:val="Indenta"/>
        <w:rPr>
          <w:snapToGrid w:val="0"/>
        </w:rPr>
      </w:pPr>
      <w:r>
        <w:rPr>
          <w:snapToGrid w:val="0"/>
        </w:rPr>
        <w:tab/>
        <w:t>(d)</w:t>
      </w:r>
      <w:r>
        <w:rPr>
          <w:snapToGrid w:val="0"/>
        </w:rPr>
        <w:tab/>
        <w:t>any decision to remove a name from the register under section 42.</w:t>
      </w:r>
    </w:p>
    <w:p>
      <w:pPr>
        <w:pStyle w:val="Subsection"/>
        <w:spacing w:before="100"/>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spacing w:before="120"/>
        <w:rPr>
          <w:snapToGrid w:val="0"/>
        </w:rPr>
      </w:pPr>
      <w:bookmarkStart w:id="659" w:name="_Toc271200460"/>
      <w:r>
        <w:rPr>
          <w:rStyle w:val="CharSectno"/>
        </w:rPr>
        <w:t>106</w:t>
      </w:r>
      <w:r>
        <w:t>.</w:t>
      </w:r>
      <w:r>
        <w:tab/>
      </w:r>
      <w:r>
        <w:rPr>
          <w:snapToGrid w:val="0"/>
        </w:rPr>
        <w:t>Review</w:t>
      </w:r>
      <w:bookmarkEnd w:id="659"/>
    </w:p>
    <w:p>
      <w:pPr>
        <w:pStyle w:val="Subsection"/>
        <w:spacing w:before="100"/>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57 or 62; or</w:t>
      </w:r>
    </w:p>
    <w:p>
      <w:pPr>
        <w:pStyle w:val="Indenta"/>
      </w:pPr>
      <w:r>
        <w:tab/>
        <w:t>(b)</w:t>
      </w:r>
      <w:r>
        <w:tab/>
      </w:r>
      <w:r>
        <w:rPr>
          <w:snapToGrid w:val="0"/>
        </w:rPr>
        <w:t>a decision referred to in section 105(1),</w:t>
      </w:r>
    </w:p>
    <w:p>
      <w:pPr>
        <w:pStyle w:val="Subsection"/>
        <w:spacing w:before="100"/>
        <w:rPr>
          <w:snapToGrid w:val="0"/>
        </w:rPr>
      </w:pPr>
      <w:r>
        <w:rPr>
          <w:snapToGrid w:val="0"/>
        </w:rPr>
        <w:tab/>
      </w:r>
      <w:r>
        <w:rPr>
          <w:snapToGrid w:val="0"/>
        </w:rPr>
        <w:tab/>
        <w:t>may apply to the State Administrative Tribunal for a review of the order or decision.</w:t>
      </w:r>
    </w:p>
    <w:p>
      <w:pPr>
        <w:pStyle w:val="Heading5"/>
        <w:spacing w:before="120"/>
        <w:rPr>
          <w:snapToGrid w:val="0"/>
        </w:rPr>
      </w:pPr>
      <w:bookmarkStart w:id="660" w:name="_Toc271200461"/>
      <w:r>
        <w:rPr>
          <w:rStyle w:val="CharSectno"/>
        </w:rPr>
        <w:t>107</w:t>
      </w:r>
      <w:r>
        <w:t>.</w:t>
      </w:r>
      <w:r>
        <w:tab/>
      </w:r>
      <w:r>
        <w:rPr>
          <w:snapToGrid w:val="0"/>
        </w:rPr>
        <w:t>Publication of proceedings etc.</w:t>
      </w:r>
      <w:bookmarkEnd w:id="660"/>
      <w:r>
        <w:rPr>
          <w:snapToGrid w:val="0"/>
        </w:rPr>
        <w:t xml:space="preserve"> </w:t>
      </w:r>
    </w:p>
    <w:p>
      <w:pPr>
        <w:pStyle w:val="Subsection"/>
        <w:spacing w:before="100"/>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nurses or midwives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spacing w:before="100"/>
        <w:rPr>
          <w:snapToGrid w:val="0"/>
        </w:rPr>
      </w:pPr>
      <w:r>
        <w:rPr>
          <w:snapToGrid w:val="0"/>
        </w:rPr>
        <w:tab/>
        <w:t>(2)</w:t>
      </w:r>
      <w:r>
        <w:rPr>
          <w:snapToGrid w:val="0"/>
        </w:rPr>
        <w:tab/>
        <w:t>Without limiting the operation of section 104,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spacing w:before="100"/>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nursing or midwifery or any person with whom the person practises nursing or midwifery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spacing w:before="120"/>
        <w:rPr>
          <w:snapToGrid w:val="0"/>
        </w:rPr>
      </w:pPr>
      <w:bookmarkStart w:id="661" w:name="_Toc271200462"/>
      <w:r>
        <w:rPr>
          <w:rStyle w:val="CharSectno"/>
        </w:rPr>
        <w:t>108</w:t>
      </w:r>
      <w:r>
        <w:t>.</w:t>
      </w:r>
      <w:r>
        <w:tab/>
      </w:r>
      <w:r>
        <w:rPr>
          <w:snapToGrid w:val="0"/>
        </w:rPr>
        <w:t>Legal proceedings</w:t>
      </w:r>
      <w:bookmarkEnd w:id="661"/>
      <w:r>
        <w:rPr>
          <w:snapToGrid w:val="0"/>
        </w:rPr>
        <w:t xml:space="preserve"> </w:t>
      </w:r>
    </w:p>
    <w:p>
      <w:pPr>
        <w:pStyle w:val="Subsection"/>
        <w:spacing w:before="100"/>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spacing w:before="100"/>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or a deputy member of a committee; or</w:t>
      </w:r>
    </w:p>
    <w:p>
      <w:pPr>
        <w:pStyle w:val="Indenta"/>
        <w:rPr>
          <w:snapToGrid w:val="0"/>
        </w:rPr>
      </w:pPr>
      <w:r>
        <w:rPr>
          <w:snapToGrid w:val="0"/>
        </w:rPr>
        <w:tab/>
        <w:t>(b)</w:t>
      </w:r>
      <w:r>
        <w:rPr>
          <w:snapToGrid w:val="0"/>
        </w:rPr>
        <w:tab/>
        <w:t>the authorisation of a person under subsection (1),</w:t>
      </w:r>
    </w:p>
    <w:p>
      <w:pPr>
        <w:pStyle w:val="Subsection"/>
        <w:spacing w:before="100"/>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person’s type of registration was suspended,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51(5)(b) or 52(4)(b) is to be presumed to be duly signed until the contrary is shown.</w:t>
      </w:r>
    </w:p>
    <w:p>
      <w:pPr>
        <w:pStyle w:val="Heading5"/>
        <w:rPr>
          <w:snapToGrid w:val="0"/>
        </w:rPr>
      </w:pPr>
      <w:bookmarkStart w:id="662" w:name="_Toc271200463"/>
      <w:r>
        <w:rPr>
          <w:rStyle w:val="CharSectno"/>
        </w:rPr>
        <w:t>109</w:t>
      </w:r>
      <w:r>
        <w:t>.</w:t>
      </w:r>
      <w:r>
        <w:tab/>
        <w:t>Liability of certain officers of body corporate: offences</w:t>
      </w:r>
      <w:bookmarkEnd w:id="662"/>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63" w:name="_Toc271200464"/>
      <w:r>
        <w:rPr>
          <w:rStyle w:val="CharSectno"/>
        </w:rPr>
        <w:t>110</w:t>
      </w:r>
      <w:r>
        <w:t>.</w:t>
      </w:r>
      <w:r>
        <w:tab/>
      </w:r>
      <w:r>
        <w:rPr>
          <w:snapToGrid w:val="0"/>
        </w:rPr>
        <w:t>Review of Act</w:t>
      </w:r>
      <w:bookmarkEnd w:id="663"/>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64" w:name="_Toc271200465"/>
      <w:r>
        <w:rPr>
          <w:rStyle w:val="CharSectno"/>
        </w:rPr>
        <w:t>111</w:t>
      </w:r>
      <w:r>
        <w:t>.</w:t>
      </w:r>
      <w:r>
        <w:tab/>
      </w:r>
      <w:r>
        <w:rPr>
          <w:i/>
        </w:rPr>
        <w:t>Nurses Act 1992</w:t>
      </w:r>
      <w:r>
        <w:t xml:space="preserve"> repealed</w:t>
      </w:r>
      <w:bookmarkEnd w:id="664"/>
    </w:p>
    <w:p>
      <w:pPr>
        <w:pStyle w:val="Subsection"/>
      </w:pPr>
      <w:r>
        <w:tab/>
      </w:r>
      <w:r>
        <w:tab/>
        <w:t xml:space="preserve">The </w:t>
      </w:r>
      <w:r>
        <w:rPr>
          <w:i/>
        </w:rPr>
        <w:t>Nurses Act 1992</w:t>
      </w:r>
      <w:r>
        <w:t xml:space="preserve"> is repealed.</w:t>
      </w:r>
    </w:p>
    <w:p>
      <w:pPr>
        <w:pStyle w:val="Heading5"/>
      </w:pPr>
      <w:bookmarkStart w:id="665" w:name="_Toc271200466"/>
      <w:r>
        <w:rPr>
          <w:rStyle w:val="CharSectno"/>
        </w:rPr>
        <w:t>112</w:t>
      </w:r>
      <w:r>
        <w:t>.</w:t>
      </w:r>
      <w:r>
        <w:tab/>
      </w:r>
      <w:r>
        <w:rPr>
          <w:i/>
        </w:rPr>
        <w:t>Nurses Rules 1993</w:t>
      </w:r>
      <w:r>
        <w:t xml:space="preserve"> repealed</w:t>
      </w:r>
      <w:bookmarkEnd w:id="665"/>
    </w:p>
    <w:p>
      <w:pPr>
        <w:pStyle w:val="Subsection"/>
      </w:pPr>
      <w:r>
        <w:tab/>
      </w:r>
      <w:r>
        <w:tab/>
        <w:t xml:space="preserve">The </w:t>
      </w:r>
      <w:r>
        <w:rPr>
          <w:i/>
        </w:rPr>
        <w:t>Nurses Rules 1993</w:t>
      </w:r>
      <w:r>
        <w:t xml:space="preserve"> are repealed.</w:t>
      </w:r>
    </w:p>
    <w:p>
      <w:pPr>
        <w:pStyle w:val="Heading5"/>
        <w:rPr>
          <w:snapToGrid w:val="0"/>
        </w:rPr>
      </w:pPr>
      <w:bookmarkStart w:id="666" w:name="_Toc271200467"/>
      <w:r>
        <w:rPr>
          <w:rStyle w:val="CharSectno"/>
        </w:rPr>
        <w:t>113</w:t>
      </w:r>
      <w:r>
        <w:t>.</w:t>
      </w:r>
      <w:r>
        <w:tab/>
      </w:r>
      <w:r>
        <w:rPr>
          <w:snapToGrid w:val="0"/>
        </w:rPr>
        <w:t>Transitional and savings provisions</w:t>
      </w:r>
      <w:bookmarkEnd w:id="666"/>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67" w:name="_Toc271200468"/>
      <w:r>
        <w:rPr>
          <w:rStyle w:val="CharSectno"/>
        </w:rPr>
        <w:t>114</w:t>
      </w:r>
      <w:r>
        <w:t>.</w:t>
      </w:r>
      <w:r>
        <w:tab/>
      </w:r>
      <w:r>
        <w:rPr>
          <w:snapToGrid w:val="0"/>
        </w:rPr>
        <w:t>Consequential amendments</w:t>
      </w:r>
      <w:bookmarkEnd w:id="667"/>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68" w:name="_Toc148175677"/>
      <w:bookmarkStart w:id="669" w:name="_Toc148175721"/>
    </w:p>
    <w:p>
      <w:pPr>
        <w:pStyle w:val="yScheduleHeading"/>
        <w:outlineLvl w:val="0"/>
      </w:pPr>
      <w:bookmarkStart w:id="670" w:name="_Toc177790850"/>
      <w:bookmarkStart w:id="671" w:name="_Toc177791060"/>
      <w:bookmarkStart w:id="672" w:name="_Toc177810657"/>
      <w:bookmarkStart w:id="673" w:name="_Toc196196871"/>
      <w:bookmarkStart w:id="674" w:name="_Toc199820571"/>
      <w:bookmarkStart w:id="675" w:name="_Toc215544919"/>
      <w:bookmarkStart w:id="676" w:name="_Toc223858946"/>
      <w:bookmarkStart w:id="677" w:name="_Toc223859156"/>
      <w:bookmarkStart w:id="678" w:name="_Toc271105532"/>
      <w:bookmarkStart w:id="679" w:name="_Toc271200469"/>
      <w:r>
        <w:rPr>
          <w:rStyle w:val="CharSchNo"/>
        </w:rPr>
        <w:t>Schedule 1</w:t>
      </w:r>
      <w:r>
        <w:t> — </w:t>
      </w:r>
      <w:r>
        <w:rPr>
          <w:rStyle w:val="CharSchText"/>
        </w:rPr>
        <w:t>Constitution and proceedings of the Board</w:t>
      </w:r>
      <w:bookmarkEnd w:id="670"/>
      <w:bookmarkEnd w:id="671"/>
      <w:bookmarkEnd w:id="672"/>
      <w:bookmarkEnd w:id="673"/>
      <w:bookmarkEnd w:id="674"/>
      <w:bookmarkEnd w:id="675"/>
      <w:bookmarkEnd w:id="676"/>
      <w:bookmarkEnd w:id="677"/>
      <w:bookmarkEnd w:id="678"/>
      <w:bookmarkEnd w:id="679"/>
    </w:p>
    <w:p>
      <w:pPr>
        <w:pStyle w:val="yShoulderClause"/>
      </w:pPr>
      <w:r>
        <w:t>[s. 8]</w:t>
      </w:r>
    </w:p>
    <w:p>
      <w:pPr>
        <w:pStyle w:val="yHeading3"/>
        <w:outlineLvl w:val="0"/>
      </w:pPr>
      <w:bookmarkStart w:id="680" w:name="_Toc177790851"/>
      <w:bookmarkStart w:id="681" w:name="_Toc177791061"/>
      <w:bookmarkStart w:id="682" w:name="_Toc177810658"/>
      <w:bookmarkStart w:id="683" w:name="_Toc196196872"/>
      <w:bookmarkStart w:id="684" w:name="_Toc199820572"/>
      <w:bookmarkStart w:id="685" w:name="_Toc215544920"/>
      <w:bookmarkStart w:id="686" w:name="_Toc223858947"/>
      <w:bookmarkStart w:id="687" w:name="_Toc223859157"/>
      <w:bookmarkStart w:id="688" w:name="_Toc271105533"/>
      <w:bookmarkStart w:id="689" w:name="_Toc271200470"/>
      <w:r>
        <w:rPr>
          <w:rStyle w:val="CharSDivNo"/>
        </w:rPr>
        <w:t>Division 1</w:t>
      </w:r>
      <w:r>
        <w:t> — </w:t>
      </w:r>
      <w:r>
        <w:rPr>
          <w:rStyle w:val="CharSDivText"/>
        </w:rPr>
        <w:t>General provisions</w:t>
      </w:r>
      <w:bookmarkEnd w:id="680"/>
      <w:bookmarkEnd w:id="681"/>
      <w:bookmarkEnd w:id="682"/>
      <w:bookmarkEnd w:id="683"/>
      <w:bookmarkEnd w:id="684"/>
      <w:bookmarkEnd w:id="685"/>
      <w:bookmarkEnd w:id="686"/>
      <w:bookmarkEnd w:id="687"/>
      <w:bookmarkEnd w:id="688"/>
      <w:bookmarkEnd w:id="689"/>
    </w:p>
    <w:p>
      <w:pPr>
        <w:pStyle w:val="yHeading5"/>
        <w:outlineLvl w:val="0"/>
      </w:pPr>
      <w:bookmarkStart w:id="690" w:name="_Toc271200471"/>
      <w:r>
        <w:rPr>
          <w:rStyle w:val="CharSClsNo"/>
        </w:rPr>
        <w:t>1</w:t>
      </w:r>
      <w:r>
        <w:t>.</w:t>
      </w:r>
      <w:r>
        <w:tab/>
        <w:t>Term of office</w:t>
      </w:r>
      <w:bookmarkEnd w:id="690"/>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691" w:name="_Toc271200472"/>
      <w:r>
        <w:rPr>
          <w:rStyle w:val="CharSClsNo"/>
        </w:rPr>
        <w:t>2</w:t>
      </w:r>
      <w:r>
        <w:t>.</w:t>
      </w:r>
      <w:r>
        <w:tab/>
        <w:t>Functions of deputy presiding member</w:t>
      </w:r>
      <w:bookmarkEnd w:id="691"/>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692" w:name="_Toc271200473"/>
      <w:r>
        <w:rPr>
          <w:rStyle w:val="CharSClsNo"/>
        </w:rPr>
        <w:t>3</w:t>
      </w:r>
      <w:r>
        <w:t>.</w:t>
      </w:r>
      <w:r>
        <w:tab/>
        <w:t>Deputy members</w:t>
      </w:r>
      <w:bookmarkEnd w:id="692"/>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693" w:name="_Toc271200474"/>
      <w:r>
        <w:rPr>
          <w:rStyle w:val="CharSClsNo"/>
        </w:rPr>
        <w:t>4</w:t>
      </w:r>
      <w:r>
        <w:t>.</w:t>
      </w:r>
      <w:r>
        <w:tab/>
        <w:t>Vacation of office by member</w:t>
      </w:r>
      <w:bookmarkEnd w:id="693"/>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nurse or midwife, a type of registration of the member is suspended.</w:t>
      </w:r>
    </w:p>
    <w:p>
      <w:pPr>
        <w:pStyle w:val="yHeading5"/>
        <w:outlineLvl w:val="0"/>
      </w:pPr>
      <w:bookmarkStart w:id="694" w:name="_Toc271200475"/>
      <w:r>
        <w:rPr>
          <w:rStyle w:val="CharSClsNo"/>
        </w:rPr>
        <w:t>5</w:t>
      </w:r>
      <w:r>
        <w:t>.</w:t>
      </w:r>
      <w:r>
        <w:tab/>
        <w:t>General procedure concerning meetings</w:t>
      </w:r>
      <w:bookmarkEnd w:id="694"/>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7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695" w:name="_Toc271200476"/>
      <w:r>
        <w:rPr>
          <w:rStyle w:val="CharSClsNo"/>
        </w:rPr>
        <w:t>6</w:t>
      </w:r>
      <w:r>
        <w:t>.</w:t>
      </w:r>
      <w:r>
        <w:tab/>
        <w:t>Voting</w:t>
      </w:r>
      <w:bookmarkEnd w:id="695"/>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696" w:name="_Toc271200477"/>
      <w:r>
        <w:rPr>
          <w:rStyle w:val="CharSClsNo"/>
        </w:rPr>
        <w:t>7</w:t>
      </w:r>
      <w:r>
        <w:t>.</w:t>
      </w:r>
      <w:r>
        <w:tab/>
        <w:t>Holding meetings remotely</w:t>
      </w:r>
      <w:bookmarkEnd w:id="696"/>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697" w:name="_Toc271200478"/>
      <w:r>
        <w:rPr>
          <w:rStyle w:val="CharSClsNo"/>
        </w:rPr>
        <w:t>8</w:t>
      </w:r>
      <w:r>
        <w:t>.</w:t>
      </w:r>
      <w:r>
        <w:tab/>
        <w:t>Resolution without meeting</w:t>
      </w:r>
      <w:bookmarkEnd w:id="697"/>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698" w:name="_Toc271200479"/>
      <w:r>
        <w:rPr>
          <w:rStyle w:val="CharSClsNo"/>
        </w:rPr>
        <w:t>9</w:t>
      </w:r>
      <w:r>
        <w:t>.</w:t>
      </w:r>
      <w:r>
        <w:tab/>
        <w:t>Minutes</w:t>
      </w:r>
      <w:bookmarkEnd w:id="698"/>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699" w:name="_Toc177790861"/>
      <w:bookmarkStart w:id="700" w:name="_Toc177791071"/>
      <w:bookmarkStart w:id="701" w:name="_Toc177810668"/>
      <w:bookmarkStart w:id="702" w:name="_Toc196196882"/>
      <w:bookmarkStart w:id="703" w:name="_Toc199820582"/>
      <w:bookmarkStart w:id="704" w:name="_Toc215544930"/>
      <w:bookmarkStart w:id="705" w:name="_Toc223858957"/>
      <w:bookmarkStart w:id="706" w:name="_Toc223859167"/>
      <w:bookmarkStart w:id="707" w:name="_Toc271105543"/>
      <w:bookmarkStart w:id="708" w:name="_Toc271200480"/>
      <w:r>
        <w:rPr>
          <w:rStyle w:val="CharSDivNo"/>
        </w:rPr>
        <w:t>Division 2</w:t>
      </w:r>
      <w:r>
        <w:t> — </w:t>
      </w:r>
      <w:r>
        <w:rPr>
          <w:rStyle w:val="CharSDivText"/>
        </w:rPr>
        <w:t>Disclosure of interests etc.</w:t>
      </w:r>
      <w:bookmarkEnd w:id="699"/>
      <w:bookmarkEnd w:id="700"/>
      <w:bookmarkEnd w:id="701"/>
      <w:bookmarkEnd w:id="702"/>
      <w:bookmarkEnd w:id="703"/>
      <w:bookmarkEnd w:id="704"/>
      <w:bookmarkEnd w:id="705"/>
      <w:bookmarkEnd w:id="706"/>
      <w:bookmarkEnd w:id="707"/>
      <w:bookmarkEnd w:id="708"/>
    </w:p>
    <w:p>
      <w:pPr>
        <w:pStyle w:val="yHeading5"/>
        <w:outlineLvl w:val="0"/>
      </w:pPr>
      <w:bookmarkStart w:id="709" w:name="_Toc271200481"/>
      <w:r>
        <w:rPr>
          <w:rStyle w:val="CharSClsNo"/>
        </w:rPr>
        <w:t>10</w:t>
      </w:r>
      <w:r>
        <w:t>.</w:t>
      </w:r>
      <w:r>
        <w:tab/>
        <w:t>Meaning of “member”</w:t>
      </w:r>
      <w:bookmarkEnd w:id="709"/>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or a deputy member of a committee, as the case may be.</w:t>
      </w:r>
    </w:p>
    <w:p>
      <w:pPr>
        <w:pStyle w:val="yHeading5"/>
        <w:outlineLvl w:val="0"/>
      </w:pPr>
      <w:bookmarkStart w:id="710" w:name="_Toc271200482"/>
      <w:r>
        <w:rPr>
          <w:rStyle w:val="CharSClsNo"/>
        </w:rPr>
        <w:t>11</w:t>
      </w:r>
      <w:r>
        <w:t>.</w:t>
      </w:r>
      <w:r>
        <w:tab/>
        <w:t>Disclosure of interests</w:t>
      </w:r>
      <w:bookmarkEnd w:id="710"/>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711" w:name="_Toc271200483"/>
      <w:r>
        <w:rPr>
          <w:rStyle w:val="CharSClsNo"/>
        </w:rPr>
        <w:t>12</w:t>
      </w:r>
      <w:r>
        <w:t>.</w:t>
      </w:r>
      <w:r>
        <w:tab/>
        <w:t>Exclusion of interested member</w:t>
      </w:r>
      <w:bookmarkEnd w:id="711"/>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712" w:name="_Toc271200484"/>
      <w:r>
        <w:rPr>
          <w:rStyle w:val="CharSClsNo"/>
        </w:rPr>
        <w:t>13</w:t>
      </w:r>
      <w:r>
        <w:t>.</w:t>
      </w:r>
      <w:r>
        <w:tab/>
        <w:t>Board or committee may resolve that clause 12 inapplicable</w:t>
      </w:r>
      <w:bookmarkEnd w:id="712"/>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713" w:name="_Toc271200485"/>
      <w:r>
        <w:rPr>
          <w:rStyle w:val="CharSClsNo"/>
        </w:rPr>
        <w:t>14</w:t>
      </w:r>
      <w:r>
        <w:t>.</w:t>
      </w:r>
      <w:r>
        <w:tab/>
        <w:t>Quorum where clause 12 applies</w:t>
      </w:r>
      <w:bookmarkEnd w:id="713"/>
    </w:p>
    <w:p>
      <w:pPr>
        <w:pStyle w:val="ySubsection"/>
      </w:pPr>
      <w:r>
        <w:tab/>
        <w:t>(1)</w:t>
      </w:r>
      <w:r>
        <w:tab/>
        <w:t>Despite clause 5(3), when the Board is dealing with a matter in relation to which a member of the Board is disqualified under clause 12, 6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714" w:name="_Toc271200486"/>
      <w:r>
        <w:rPr>
          <w:rStyle w:val="CharSClsNo"/>
        </w:rPr>
        <w:t>15</w:t>
      </w:r>
      <w:r>
        <w:t>.</w:t>
      </w:r>
      <w:r>
        <w:tab/>
        <w:t>Minister may declare clauses 12 and 14 inapplicable</w:t>
      </w:r>
      <w:bookmarkEnd w:id="714"/>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715" w:name="_Toc177790868"/>
      <w:bookmarkStart w:id="716" w:name="_Toc177791078"/>
      <w:bookmarkStart w:id="717" w:name="_Toc177810675"/>
      <w:bookmarkStart w:id="718" w:name="_Toc196196889"/>
      <w:bookmarkStart w:id="719" w:name="_Toc199820589"/>
      <w:bookmarkStart w:id="720" w:name="_Toc215544937"/>
      <w:bookmarkStart w:id="721" w:name="_Toc223858964"/>
      <w:bookmarkStart w:id="722" w:name="_Toc223859174"/>
      <w:bookmarkStart w:id="723" w:name="_Toc271105550"/>
      <w:bookmarkStart w:id="724" w:name="_Toc271200487"/>
      <w:r>
        <w:rPr>
          <w:rStyle w:val="CharSchNo"/>
        </w:rPr>
        <w:t>Schedule 2</w:t>
      </w:r>
      <w:r>
        <w:rPr>
          <w:rStyle w:val="CharSDivNo"/>
        </w:rPr>
        <w:t> </w:t>
      </w:r>
      <w:r>
        <w:t>—</w:t>
      </w:r>
      <w:r>
        <w:rPr>
          <w:rStyle w:val="CharSDivText"/>
        </w:rPr>
        <w:t> </w:t>
      </w:r>
      <w:r>
        <w:rPr>
          <w:rStyle w:val="CharSchText"/>
        </w:rPr>
        <w:t>Transitional and savings</w:t>
      </w:r>
      <w:bookmarkEnd w:id="715"/>
      <w:bookmarkEnd w:id="716"/>
      <w:bookmarkEnd w:id="717"/>
      <w:bookmarkEnd w:id="718"/>
      <w:bookmarkEnd w:id="719"/>
      <w:bookmarkEnd w:id="720"/>
      <w:bookmarkEnd w:id="721"/>
      <w:bookmarkEnd w:id="722"/>
      <w:bookmarkEnd w:id="723"/>
      <w:bookmarkEnd w:id="724"/>
    </w:p>
    <w:p>
      <w:pPr>
        <w:pStyle w:val="yShoulderClause"/>
      </w:pPr>
      <w:r>
        <w:t>[s. 113]</w:t>
      </w:r>
    </w:p>
    <w:p>
      <w:pPr>
        <w:pStyle w:val="yHeading5"/>
        <w:outlineLvl w:val="0"/>
      </w:pPr>
      <w:bookmarkStart w:id="725" w:name="_Toc271200488"/>
      <w:r>
        <w:rPr>
          <w:rStyle w:val="CharSClsNo"/>
        </w:rPr>
        <w:t>1</w:t>
      </w:r>
      <w:r>
        <w:t>.</w:t>
      </w:r>
      <w:r>
        <w:tab/>
        <w:t>Terms used in this Schedule</w:t>
      </w:r>
      <w:bookmarkEnd w:id="725"/>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professional standards committee</w:t>
      </w:r>
      <w:r>
        <w:t xml:space="preserve"> means the professional standards committee established under the repealed Act;</w:t>
      </w:r>
    </w:p>
    <w:p>
      <w:pPr>
        <w:pStyle w:val="yDefstart"/>
      </w:pPr>
      <w:r>
        <w:rPr>
          <w:b/>
        </w:rPr>
        <w:tab/>
      </w:r>
      <w:r>
        <w:rPr>
          <w:rStyle w:val="CharDefText"/>
        </w:rPr>
        <w:t>register</w:t>
      </w:r>
      <w:r>
        <w:t xml:space="preserve"> means the register referred to in the repealed Act section 33;</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Nurses Board of Western Australia established under the repealed Act;</w:t>
      </w:r>
    </w:p>
    <w:p>
      <w:pPr>
        <w:pStyle w:val="yDefstart"/>
      </w:pPr>
      <w:r>
        <w:rPr>
          <w:b/>
        </w:rPr>
        <w:tab/>
      </w:r>
      <w:r>
        <w:rPr>
          <w:rStyle w:val="CharDefText"/>
        </w:rPr>
        <w:t>the new Board</w:t>
      </w:r>
      <w:r>
        <w:t xml:space="preserve"> means the Nurses and Midwives Board of Western Australia established under this Act;</w:t>
      </w:r>
    </w:p>
    <w:p>
      <w:pPr>
        <w:pStyle w:val="yDefstart"/>
        <w:rPr>
          <w:iCs/>
        </w:rPr>
      </w:pPr>
      <w:r>
        <w:rPr>
          <w:b/>
        </w:rPr>
        <w:tab/>
      </w:r>
      <w:r>
        <w:rPr>
          <w:rStyle w:val="CharDefText"/>
        </w:rPr>
        <w:t>the repealed Act</w:t>
      </w:r>
      <w:r>
        <w:t xml:space="preserve"> means the </w:t>
      </w:r>
      <w:r>
        <w:rPr>
          <w:i/>
        </w:rPr>
        <w:t>Nurses Act 1992</w:t>
      </w:r>
      <w:r>
        <w:rPr>
          <w:iCs/>
        </w:rPr>
        <w:t>.</w:t>
      </w:r>
    </w:p>
    <w:p>
      <w:pPr>
        <w:pStyle w:val="yHeading5"/>
        <w:outlineLvl w:val="0"/>
      </w:pPr>
      <w:bookmarkStart w:id="726" w:name="_Toc271200489"/>
      <w:r>
        <w:rPr>
          <w:rStyle w:val="CharSClsNo"/>
        </w:rPr>
        <w:t>2</w:t>
      </w:r>
      <w:r>
        <w:t>.</w:t>
      </w:r>
      <w:r>
        <w:tab/>
      </w:r>
      <w:r>
        <w:rPr>
          <w:i/>
        </w:rPr>
        <w:t>Interpretation Act 1984</w:t>
      </w:r>
      <w:r>
        <w:t xml:space="preserve"> not affected</w:t>
      </w:r>
      <w:bookmarkEnd w:id="726"/>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111 and 112.</w:t>
      </w:r>
    </w:p>
    <w:p>
      <w:pPr>
        <w:pStyle w:val="yHeading5"/>
        <w:outlineLvl w:val="0"/>
      </w:pPr>
      <w:bookmarkStart w:id="727" w:name="_Toc271200490"/>
      <w:r>
        <w:rPr>
          <w:rStyle w:val="CharSClsNo"/>
        </w:rPr>
        <w:t>3</w:t>
      </w:r>
      <w:r>
        <w:t>.</w:t>
      </w:r>
      <w:r>
        <w:tab/>
        <w:t>The Nurses Registration Board continues</w:t>
      </w:r>
      <w:bookmarkEnd w:id="727"/>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728" w:name="_Toc271200491"/>
      <w:r>
        <w:rPr>
          <w:rStyle w:val="CharSClsNo"/>
        </w:rPr>
        <w:t>4</w:t>
      </w:r>
      <w:r>
        <w:t>.</w:t>
      </w:r>
      <w:r>
        <w:tab/>
        <w:t>Board members</w:t>
      </w:r>
      <w:bookmarkEnd w:id="728"/>
    </w:p>
    <w:p>
      <w:pPr>
        <w:pStyle w:val="ySubsection"/>
      </w:pPr>
      <w:r>
        <w:tab/>
        <w:t>(1)</w:t>
      </w:r>
      <w:r>
        <w:tab/>
        <w:t>A member of the former Board ceases to be a member on the commencement day.</w:t>
      </w:r>
    </w:p>
    <w:p>
      <w:pPr>
        <w:pStyle w:val="ySubsection"/>
      </w:pPr>
      <w:r>
        <w:tab/>
        <w:t>(2)</w:t>
      </w:r>
      <w:r>
        <w:tab/>
        <w:t>Six of the members of the new Board as first constituted under this Act are to hold office for such term, not exceeding 18 months, as is specified in the member’s instrument of appointment.</w:t>
      </w:r>
    </w:p>
    <w:p>
      <w:pPr>
        <w:pStyle w:val="yHeading5"/>
        <w:outlineLvl w:val="0"/>
      </w:pPr>
      <w:bookmarkStart w:id="729" w:name="_Toc271200492"/>
      <w:r>
        <w:rPr>
          <w:rStyle w:val="CharSClsNo"/>
        </w:rPr>
        <w:t>5</w:t>
      </w:r>
      <w:r>
        <w:t>.</w:t>
      </w:r>
      <w:r>
        <w:tab/>
        <w:t>The registrar and other staff</w:t>
      </w:r>
      <w:bookmarkEnd w:id="729"/>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Nurses Act 1992</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Nurses Act 1992</w:t>
      </w:r>
      <w:r>
        <w:t>.</w:t>
      </w:r>
    </w:p>
    <w:p>
      <w:pPr>
        <w:pStyle w:val="yHeading5"/>
        <w:outlineLvl w:val="0"/>
      </w:pPr>
      <w:bookmarkStart w:id="730" w:name="_Toc271200493"/>
      <w:r>
        <w:rPr>
          <w:rStyle w:val="CharSClsNo"/>
        </w:rPr>
        <w:t>6</w:t>
      </w:r>
      <w:r>
        <w:t>.</w:t>
      </w:r>
      <w:r>
        <w:tab/>
        <w:t>Persons entered in division 1 of the register</w:t>
      </w:r>
      <w:bookmarkEnd w:id="730"/>
    </w:p>
    <w:p>
      <w:pPr>
        <w:pStyle w:val="ySubsection"/>
      </w:pPr>
      <w:r>
        <w:tab/>
        <w:t>(1)</w:t>
      </w:r>
      <w:r>
        <w:tab/>
        <w:t>A natural person who immediately before the commencement day was entered in division 1 of the register is, on the commencement day, to be taken to be registered under this Act as a registered nurse for the period that, and subject to the same conditions as, applied to that person’s registration under division 1 under the repealed Act.</w:t>
      </w:r>
    </w:p>
    <w:p>
      <w:pPr>
        <w:pStyle w:val="ySubsection"/>
      </w:pPr>
      <w:r>
        <w:tab/>
        <w:t>(2)</w:t>
      </w:r>
      <w:r>
        <w:tab/>
        <w:t>A natural person who immediately before the commencement day was entered in division 1 of the register as having a qualification in midwifery is, on the commencement day, to be taken to be registered under this Act as a midwife.</w:t>
      </w:r>
    </w:p>
    <w:p>
      <w:pPr>
        <w:pStyle w:val="ySubsection"/>
      </w:pPr>
      <w:r>
        <w:tab/>
        <w:t>(3)</w:t>
      </w:r>
      <w:r>
        <w:tab/>
        <w:t>A natural person who immediately before the commencement day was registered under the repealed Act as a nurse practitioner is, on the commencement day, to be taken to be registered under this Act as a nurse practitioner for the period that, and subject to the same conditions as, applied to that person’s registration as a nurse practitioner under the repealed Act.</w:t>
      </w:r>
    </w:p>
    <w:p>
      <w:pPr>
        <w:pStyle w:val="ySubsection"/>
      </w:pPr>
      <w:r>
        <w:tab/>
        <w:t>(4)</w:t>
      </w:r>
      <w:r>
        <w:tab/>
        <w:t>If under subclause (1), (2) or (3) a person is to be taken to be registered under this Act, the new Board may within 6 months of the commencement day, by notice in writing to the person, impose the conditions referred to in section 32(2) on the person’s registration under this Act.</w:t>
      </w:r>
    </w:p>
    <w:p>
      <w:pPr>
        <w:pStyle w:val="ySubsection"/>
      </w:pPr>
      <w:r>
        <w:tab/>
        <w:t>(5)</w:t>
      </w:r>
      <w:r>
        <w:tab/>
        <w:t>If a natural person was entered in division 1 of the register immediately before the commencement day as a specialty mental health nurse, mental retardation nurse or paediatric nurse, on the commencement day, it is to be taken to be a condition of the person’s registration under subclause (1) that the nurse may practise only as a mental health nurse, mental retardation nurse or paediatric nurse.</w:t>
      </w:r>
    </w:p>
    <w:p>
      <w:pPr>
        <w:pStyle w:val="yHeading5"/>
        <w:outlineLvl w:val="0"/>
      </w:pPr>
      <w:bookmarkStart w:id="731" w:name="_Toc271200494"/>
      <w:r>
        <w:rPr>
          <w:rStyle w:val="CharSClsNo"/>
        </w:rPr>
        <w:t>7</w:t>
      </w:r>
      <w:r>
        <w:t>.</w:t>
      </w:r>
      <w:r>
        <w:tab/>
        <w:t>Persons entered in division 2 of the register under the repealed Act section 34(b)(i)</w:t>
      </w:r>
      <w:bookmarkEnd w:id="731"/>
    </w:p>
    <w:p>
      <w:pPr>
        <w:pStyle w:val="ySubsection"/>
      </w:pPr>
      <w:r>
        <w:tab/>
        <w:t>(1)</w:t>
      </w:r>
      <w:r>
        <w:tab/>
        <w:t>A natural person whose name was entered in division 2 of the register under the repealed Act section 34(b)(i) immediately before the commencement day is, on the commencement day, to be taken to be registered under this Act as an enrolled nurse for the period that, and subject to the same conditions as, applied to that person’s registration under the repealed Act.</w:t>
      </w:r>
    </w:p>
    <w:p>
      <w:pPr>
        <w:pStyle w:val="ySubsection"/>
      </w:pPr>
      <w:r>
        <w:tab/>
        <w:t>(2)</w:t>
      </w:r>
      <w:r>
        <w:tab/>
        <w:t>Subclause (1) does not apply to a person whose name was entered in division 2 of the register under the repealed Act section 34(b)(i) immediately before the commencement day only as a dental nurse.</w:t>
      </w:r>
    </w:p>
    <w:p>
      <w:pPr>
        <w:pStyle w:val="ySubsection"/>
      </w:pPr>
      <w:r>
        <w:tab/>
        <w:t>(3)</w:t>
      </w:r>
      <w:r>
        <w:tab/>
        <w:t>If under subclause (1) a person is to be taken to be registered under this Act, the new Board may within 6 months of the commencement day, by notice in writing to the person, impose the conditions referred to in section 32(2) on the person’s registration under this Act.</w:t>
      </w:r>
    </w:p>
    <w:p>
      <w:pPr>
        <w:pStyle w:val="ySubsection"/>
      </w:pPr>
      <w:r>
        <w:tab/>
        <w:t>(4)</w:t>
      </w:r>
      <w:r>
        <w:tab/>
        <w:t>If a natural person was entered in division 2 of the register immediately before the commencement day as an enrolled mental health nurse, on the commencement day, it is to be taken to be a condition of the person’s registration under subclause (1) that the nurse may practise only as an enrolled mental health nurse.</w:t>
      </w:r>
    </w:p>
    <w:p>
      <w:pPr>
        <w:pStyle w:val="yHeading5"/>
        <w:outlineLvl w:val="0"/>
      </w:pPr>
      <w:bookmarkStart w:id="732" w:name="_Toc271200495"/>
      <w:r>
        <w:rPr>
          <w:rStyle w:val="CharSClsNo"/>
        </w:rPr>
        <w:t>8</w:t>
      </w:r>
      <w:r>
        <w:t>.</w:t>
      </w:r>
      <w:r>
        <w:tab/>
        <w:t>Persons entered in division 2 of the register under the repealed Act section 34(b)(ii)</w:t>
      </w:r>
      <w:bookmarkEnd w:id="732"/>
    </w:p>
    <w:p>
      <w:pPr>
        <w:pStyle w:val="ySubsection"/>
      </w:pPr>
      <w:r>
        <w:tab/>
        <w:t>(1)</w:t>
      </w:r>
      <w:r>
        <w:tab/>
        <w:t xml:space="preserve">This clause applies to a natural person whose name, immediately before the commencement day, was entered in division 2 of the register under the repealed Act section 34(b)(ii) as a children’s nurse (a </w:t>
      </w:r>
      <w:r>
        <w:rPr>
          <w:rStyle w:val="CharDefText"/>
        </w:rPr>
        <w:t>children’s nurse</w:t>
      </w:r>
      <w:r>
        <w:t xml:space="preserve">) or mothercraft nurse (a </w:t>
      </w:r>
      <w:r>
        <w:rPr>
          <w:rStyle w:val="CharDefText"/>
        </w:rPr>
        <w:t>mothercraft nurse</w:t>
      </w:r>
      <w:r>
        <w:t>).</w:t>
      </w:r>
    </w:p>
    <w:p>
      <w:pPr>
        <w:pStyle w:val="ySubsection"/>
      </w:pPr>
      <w:r>
        <w:tab/>
        <w:t>(2)</w:t>
      </w:r>
      <w:r>
        <w:tab/>
        <w:t>A children’s nurse or mothercraft nurse is to be taken to be registered under this Act as an enrolled nurse for the period that, and subject to the same conditions as, applied to that person’s registration under the repealed Act.</w:t>
      </w:r>
    </w:p>
    <w:p>
      <w:pPr>
        <w:pStyle w:val="ySubsection"/>
      </w:pPr>
      <w:r>
        <w:tab/>
        <w:t>(3)</w:t>
      </w:r>
      <w:r>
        <w:tab/>
        <w:t>If under subclause (2) a person is to be taken to be registered under this Act as an enrolled nurse, the new Board may within 6 months of the commencement day, by notice in writing to the person, impose the conditions referred to in section 32(2) on the person’s registration under this Act.</w:t>
      </w:r>
    </w:p>
    <w:p>
      <w:pPr>
        <w:pStyle w:val="ySubsection"/>
      </w:pPr>
      <w:r>
        <w:tab/>
        <w:t>(4)</w:t>
      </w:r>
      <w:r>
        <w:tab/>
        <w:t>It is to be taken to be a condition of registration as a children’s nurse or mothercraft nurse under subclause (2) that the children’s nurse or mothercraft nurse may practise only as a children’s nurse or mothercraft nurse.</w:t>
      </w:r>
    </w:p>
    <w:p>
      <w:pPr>
        <w:pStyle w:val="yHeading5"/>
        <w:outlineLvl w:val="0"/>
      </w:pPr>
      <w:bookmarkStart w:id="733" w:name="_Toc271200496"/>
      <w:r>
        <w:rPr>
          <w:rStyle w:val="CharSClsNo"/>
        </w:rPr>
        <w:t>9</w:t>
      </w:r>
      <w:r>
        <w:t>.</w:t>
      </w:r>
      <w:r>
        <w:tab/>
        <w:t>Persons granted honorary or temporary registration under the repealed Act</w:t>
      </w:r>
      <w:bookmarkEnd w:id="733"/>
    </w:p>
    <w:p>
      <w:pPr>
        <w:pStyle w:val="ySubsection"/>
      </w:pPr>
      <w:r>
        <w:tab/>
      </w:r>
      <w:r>
        <w:tab/>
        <w:t>A person who immediately before the commencement day was registered under the repealed Act section 25 or 27 is, on the commencement day, to be taken to be registered under section 30 for the period that, and subject to the same conditions as, applied to that person’s registration under the repealed Act.</w:t>
      </w:r>
    </w:p>
    <w:p>
      <w:pPr>
        <w:pStyle w:val="yHeading5"/>
        <w:outlineLvl w:val="0"/>
      </w:pPr>
      <w:bookmarkStart w:id="734" w:name="_Toc271200497"/>
      <w:r>
        <w:rPr>
          <w:rStyle w:val="CharSClsNo"/>
        </w:rPr>
        <w:t>10</w:t>
      </w:r>
      <w:r>
        <w:t>.</w:t>
      </w:r>
      <w:r>
        <w:tab/>
        <w:t>Persons granted provisional registration under the repealed Act</w:t>
      </w:r>
      <w:bookmarkEnd w:id="734"/>
    </w:p>
    <w:p>
      <w:pPr>
        <w:pStyle w:val="ySubsection"/>
      </w:pPr>
      <w:r>
        <w:tab/>
      </w:r>
      <w:r>
        <w:tab/>
        <w:t>A person who immediately before the commencement day was registered under the repealed Act section 26 is, on the commencement day, to be taken to be registered under section 29 for the period that, and subject to the same conditions as, applied to that person’s registration under the repealed Act.</w:t>
      </w:r>
    </w:p>
    <w:p>
      <w:pPr>
        <w:pStyle w:val="yHeading5"/>
        <w:outlineLvl w:val="0"/>
      </w:pPr>
      <w:bookmarkStart w:id="735" w:name="_Toc271200498"/>
      <w:r>
        <w:rPr>
          <w:rStyle w:val="CharSClsNo"/>
        </w:rPr>
        <w:t>11</w:t>
      </w:r>
      <w:r>
        <w:t>.</w:t>
      </w:r>
      <w:r>
        <w:tab/>
        <w:t>Registered body corporate</w:t>
      </w:r>
      <w:bookmarkEnd w:id="735"/>
    </w:p>
    <w:p>
      <w:pPr>
        <w:pStyle w:val="ySubsection"/>
      </w:pPr>
      <w:r>
        <w:tab/>
      </w:r>
      <w:r>
        <w:tab/>
        <w:t>A body corporate registered under the repealed Act section 24 immediately before the commencement day ceases to be so registered on the commencement day.</w:t>
      </w:r>
    </w:p>
    <w:p>
      <w:pPr>
        <w:pStyle w:val="yHeading5"/>
        <w:outlineLvl w:val="0"/>
      </w:pPr>
      <w:bookmarkStart w:id="736" w:name="_Toc271200499"/>
      <w:r>
        <w:rPr>
          <w:rStyle w:val="CharSClsNo"/>
        </w:rPr>
        <w:t>12</w:t>
      </w:r>
      <w:r>
        <w:t>.</w:t>
      </w:r>
      <w:r>
        <w:tab/>
        <w:t>Register</w:t>
      </w:r>
      <w:bookmarkEnd w:id="736"/>
    </w:p>
    <w:p>
      <w:pPr>
        <w:pStyle w:val="ySubsection"/>
      </w:pPr>
      <w:r>
        <w:tab/>
      </w:r>
      <w:r>
        <w:tab/>
        <w:t>The register kept under the repealed Act section 33 immediately before the commencement day is to be taken to be the register required to be kept under section 38.</w:t>
      </w:r>
    </w:p>
    <w:p>
      <w:pPr>
        <w:pStyle w:val="yHeading5"/>
        <w:outlineLvl w:val="0"/>
      </w:pPr>
      <w:bookmarkStart w:id="737" w:name="_Toc271200500"/>
      <w:r>
        <w:rPr>
          <w:rStyle w:val="CharSClsNo"/>
        </w:rPr>
        <w:t>13</w:t>
      </w:r>
      <w:r>
        <w:t>.</w:t>
      </w:r>
      <w:r>
        <w:tab/>
        <w:t>Certificates of registration issued under the repealed Act</w:t>
      </w:r>
      <w:bookmarkEnd w:id="737"/>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outlineLvl w:val="0"/>
      </w:pPr>
      <w:bookmarkStart w:id="738" w:name="_Toc271200501"/>
      <w:r>
        <w:rPr>
          <w:rStyle w:val="CharSClsNo"/>
        </w:rPr>
        <w:t>14</w:t>
      </w:r>
      <w:r>
        <w:t>.</w:t>
      </w:r>
      <w:r>
        <w:tab/>
        <w:t>Restoration of certain names to the register</w:t>
      </w:r>
      <w:bookmarkEnd w:id="738"/>
    </w:p>
    <w:p>
      <w:pPr>
        <w:pStyle w:val="ySubsection"/>
      </w:pPr>
      <w:r>
        <w:tab/>
      </w:r>
      <w:r>
        <w:tab/>
        <w:t>If a natural person’s name has been struck off the register under the repealed Act section 69(b), section 37 applies to that person as if the person were a disqualified person as defined in section 37(1).</w:t>
      </w:r>
    </w:p>
    <w:p>
      <w:pPr>
        <w:pStyle w:val="yHeading5"/>
        <w:outlineLvl w:val="0"/>
      </w:pPr>
      <w:bookmarkStart w:id="739" w:name="_Toc271200502"/>
      <w:r>
        <w:rPr>
          <w:rStyle w:val="CharSClsNo"/>
        </w:rPr>
        <w:t>15</w:t>
      </w:r>
      <w:r>
        <w:t>.</w:t>
      </w:r>
      <w:r>
        <w:tab/>
        <w:t>Suspensions</w:t>
      </w:r>
      <w:bookmarkEnd w:id="739"/>
    </w:p>
    <w:p>
      <w:pPr>
        <w:pStyle w:val="ySubsection"/>
      </w:pPr>
      <w:r>
        <w:tab/>
      </w:r>
      <w:r>
        <w:tab/>
        <w:t>If immediately before the commencement day a natural person was suspended under the repealed Act section 69(c), section 83 applies to the suspension as if the person had been suspended under section 81(1)(j).</w:t>
      </w:r>
    </w:p>
    <w:p>
      <w:pPr>
        <w:pStyle w:val="yHeading5"/>
        <w:outlineLvl w:val="0"/>
      </w:pPr>
      <w:bookmarkStart w:id="740" w:name="_Toc271200503"/>
      <w:r>
        <w:rPr>
          <w:rStyle w:val="CharSClsNo"/>
        </w:rPr>
        <w:t>16</w:t>
      </w:r>
      <w:r>
        <w:t>.</w:t>
      </w:r>
      <w:r>
        <w:tab/>
        <w:t>Undertakings under the repealed Act</w:t>
      </w:r>
      <w:bookmarkEnd w:id="740"/>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outlineLvl w:val="0"/>
      </w:pPr>
      <w:bookmarkStart w:id="741" w:name="_Toc271200504"/>
      <w:r>
        <w:rPr>
          <w:rStyle w:val="CharSClsNo"/>
        </w:rPr>
        <w:t>17</w:t>
      </w:r>
      <w:r>
        <w:t>.</w:t>
      </w:r>
      <w:r>
        <w:tab/>
        <w:t>Interim orders of the former Board</w:t>
      </w:r>
      <w:bookmarkEnd w:id="741"/>
    </w:p>
    <w:p>
      <w:pPr>
        <w:pStyle w:val="ySubsection"/>
      </w:pPr>
      <w:r>
        <w:tab/>
      </w:r>
      <w:r>
        <w:tab/>
        <w:t>If before the commencement day the former Board had delivered an order under the repealed Act section 59B(1)(c), (d) or (e), on the commencement day the order is to be taken to be an order given on that day under section 57(1)(a), (b) or (c), respectively.</w:t>
      </w:r>
    </w:p>
    <w:p>
      <w:pPr>
        <w:pStyle w:val="yHeading5"/>
        <w:outlineLvl w:val="0"/>
      </w:pPr>
      <w:bookmarkStart w:id="742" w:name="_Toc271200505"/>
      <w:r>
        <w:rPr>
          <w:rStyle w:val="CharSClsNo"/>
        </w:rPr>
        <w:t>18</w:t>
      </w:r>
      <w:r>
        <w:t>.</w:t>
      </w:r>
      <w:r>
        <w:tab/>
        <w:t>Investigations</w:t>
      </w:r>
      <w:bookmarkEnd w:id="742"/>
    </w:p>
    <w:p>
      <w:pPr>
        <w:pStyle w:val="ySubsection"/>
      </w:pPr>
      <w:r>
        <w:tab/>
      </w:r>
      <w:r>
        <w:tab/>
        <w:t>If before the commencement day a person appointed under the repealed Act section 60(1)(c) had not furnished a report under the repealed Act section 62, the person is to continue investigating the matter as if he or she had been appointed under Part 5 Division 7 of this Act and the appointing body were the complaints assessment committee.</w:t>
      </w:r>
    </w:p>
    <w:p>
      <w:pPr>
        <w:pStyle w:val="yHeading5"/>
        <w:outlineLvl w:val="0"/>
      </w:pPr>
      <w:bookmarkStart w:id="743" w:name="_Toc271200506"/>
      <w:r>
        <w:rPr>
          <w:rStyle w:val="CharSClsNo"/>
        </w:rPr>
        <w:t>19</w:t>
      </w:r>
      <w:r>
        <w:t>.</w:t>
      </w:r>
      <w:r>
        <w:tab/>
        <w:t>Complaints being dealt with by the former Board</w:t>
      </w:r>
      <w:bookmarkEnd w:id="743"/>
    </w:p>
    <w:p>
      <w:pPr>
        <w:pStyle w:val="ySubsection"/>
      </w:pPr>
      <w:r>
        <w:tab/>
      </w:r>
      <w:r>
        <w:tab/>
        <w:t>If before the commencement day the former Board had received a complaint but had not dealt with it under the repealed Act section 60(1)(a), the complaints assessment committee is to deal with the complaint as if the complaint had been lodged under section 54(2).</w:t>
      </w:r>
    </w:p>
    <w:p>
      <w:pPr>
        <w:pStyle w:val="yHeading5"/>
        <w:outlineLvl w:val="0"/>
      </w:pPr>
      <w:bookmarkStart w:id="744" w:name="_Toc271200507"/>
      <w:r>
        <w:rPr>
          <w:rStyle w:val="CharSClsNo"/>
        </w:rPr>
        <w:t>20</w:t>
      </w:r>
      <w:r>
        <w:t>.</w:t>
      </w:r>
      <w:r>
        <w:tab/>
        <w:t>Matters referred to the professional standards committee</w:t>
      </w:r>
      <w:bookmarkEnd w:id="744"/>
    </w:p>
    <w:p>
      <w:pPr>
        <w:pStyle w:val="ySubsection"/>
      </w:pPr>
      <w:r>
        <w:tab/>
      </w:r>
      <w:r>
        <w:tab/>
        <w:t>If before the commencement day a matter had been referred to the professional standards committee but it had not exercised one or more of the powers conferred on it by the repealed Act section 64, the complaints assessment committee is to deal with the matter as if were a complaint lodged under section 54(2).</w:t>
      </w:r>
    </w:p>
    <w:p>
      <w:pPr>
        <w:pStyle w:val="yHeading5"/>
        <w:outlineLvl w:val="0"/>
      </w:pPr>
      <w:bookmarkStart w:id="745" w:name="_Toc271200508"/>
      <w:r>
        <w:rPr>
          <w:rStyle w:val="CharSClsNo"/>
        </w:rPr>
        <w:t>21</w:t>
      </w:r>
      <w:r>
        <w:t>.</w:t>
      </w:r>
      <w:r>
        <w:tab/>
        <w:t>Matters being dealt with by the presiding member of the former Board</w:t>
      </w:r>
      <w:bookmarkEnd w:id="745"/>
    </w:p>
    <w:p>
      <w:pPr>
        <w:pStyle w:val="ySubsection"/>
      </w:pPr>
      <w:r>
        <w:tab/>
      </w:r>
      <w:r>
        <w:tab/>
        <w:t>If immediately before the commencement day a report had been furnished under the repealed Act section 62 but had not been dealt with by the presiding member of the former Board under the repealed Act section 63, the new Board is to consider the report and its recommendations and take action in relation to the subject of the report of a kind referred to in section 60(2) or 62.</w:t>
      </w:r>
    </w:p>
    <w:p>
      <w:pPr>
        <w:pStyle w:val="yHeading5"/>
        <w:outlineLvl w:val="0"/>
      </w:pPr>
      <w:bookmarkStart w:id="746" w:name="_Toc271200509"/>
      <w:r>
        <w:rPr>
          <w:rStyle w:val="CharSClsNo"/>
        </w:rPr>
        <w:t>22</w:t>
      </w:r>
      <w:r>
        <w:t>.</w:t>
      </w:r>
      <w:r>
        <w:tab/>
        <w:t>Failure to comply with an order made under the repealed Act</w:t>
      </w:r>
      <w:bookmarkEnd w:id="746"/>
    </w:p>
    <w:p>
      <w:pPr>
        <w:pStyle w:val="ySubsection"/>
      </w:pPr>
      <w:r>
        <w:tab/>
      </w:r>
      <w:r>
        <w:tab/>
        <w:t>If immediately before the commencement day an order made by the former Board or the professional standards committee under the repealed Act was in effect in relation to a natural person, that order is not affected by the repeal of that Act and failure to comply with it before, on or after the commencement day may be dealt with under section 92 as if the order were an order</w:t>
      </w:r>
      <w:r>
        <w:rPr>
          <w:snapToGrid w:val="0"/>
        </w:rPr>
        <w:t xml:space="preserve"> made under section 57 or 62, as the case requires</w:t>
      </w:r>
      <w:r>
        <w:t>.</w:t>
      </w:r>
    </w:p>
    <w:p>
      <w:pPr>
        <w:pStyle w:val="yHeading5"/>
        <w:outlineLvl w:val="0"/>
      </w:pPr>
      <w:bookmarkStart w:id="747" w:name="_Toc271200510"/>
      <w:r>
        <w:rPr>
          <w:rStyle w:val="CharSClsNo"/>
        </w:rPr>
        <w:t>23</w:t>
      </w:r>
      <w:r>
        <w:t>.</w:t>
      </w:r>
      <w:r>
        <w:tab/>
        <w:t>Codes of practice</w:t>
      </w:r>
      <w:bookmarkEnd w:id="747"/>
    </w:p>
    <w:p>
      <w:pPr>
        <w:pStyle w:val="ySubsection"/>
      </w:pPr>
      <w:r>
        <w:tab/>
      </w:r>
      <w:r>
        <w:tab/>
        <w:t xml:space="preserve">Despite the repeal of the </w:t>
      </w:r>
      <w:r>
        <w:rPr>
          <w:i/>
        </w:rPr>
        <w:t>Nurses Act 1992</w:t>
      </w:r>
      <w:r>
        <w:rPr>
          <w:iCs/>
        </w:rPr>
        <w:t>,</w:t>
      </w:r>
      <w:r>
        <w:t xml:space="preserve"> the </w:t>
      </w:r>
      <w:r>
        <w:rPr>
          <w:i/>
        </w:rPr>
        <w:t>Nurses Code of Practice 2000</w:t>
      </w:r>
      <w:r>
        <w:t xml:space="preserve"> and the </w:t>
      </w:r>
      <w:r>
        <w:rPr>
          <w:i/>
        </w:rPr>
        <w:t>Nurse Practitioners Code of Practice 2004</w:t>
      </w:r>
      <w:r>
        <w:t xml:space="preserve"> issued and in operation under the repealed Act section 9 immediately before the commencement day continue after the commencement day as if they had been issued under section 100.</w:t>
      </w:r>
    </w:p>
    <w:p>
      <w:pPr>
        <w:pStyle w:val="yHeading5"/>
        <w:outlineLvl w:val="0"/>
      </w:pPr>
      <w:bookmarkStart w:id="748" w:name="_Toc271200511"/>
      <w:r>
        <w:rPr>
          <w:rStyle w:val="CharSClsNo"/>
        </w:rPr>
        <w:t>24</w:t>
      </w:r>
      <w:r>
        <w:t>.</w:t>
      </w:r>
      <w:r>
        <w:tab/>
        <w:t>Annual report for part of a year</w:t>
      </w:r>
      <w:bookmarkEnd w:id="748"/>
    </w:p>
    <w:p>
      <w:pPr>
        <w:pStyle w:val="ySubsection"/>
      </w:pPr>
      <w:r>
        <w:tab/>
        <w:t>(1)</w:t>
      </w:r>
      <w:r>
        <w:tab/>
        <w:t>The former Board is to make and submit an annual report as required by the repealed Act section 57, but limited to the period from 30 June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749" w:name="_Toc271200512"/>
      <w:r>
        <w:rPr>
          <w:rStyle w:val="CharSClsNo"/>
        </w:rPr>
        <w:t>25</w:t>
      </w:r>
      <w:r>
        <w:t>.</w:t>
      </w:r>
      <w:r>
        <w:tab/>
        <w:t>Powers in relation to transitional provision</w:t>
      </w:r>
      <w:bookmarkEnd w:id="749"/>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750" w:name="_Toc177790894"/>
      <w:bookmarkStart w:id="751" w:name="_Toc177791104"/>
      <w:bookmarkStart w:id="752" w:name="_Toc177810701"/>
      <w:bookmarkStart w:id="753" w:name="_Toc196196915"/>
      <w:bookmarkStart w:id="754" w:name="_Toc199820615"/>
      <w:bookmarkStart w:id="755" w:name="_Toc215544963"/>
      <w:bookmarkStart w:id="756" w:name="_Toc223858990"/>
      <w:bookmarkStart w:id="757" w:name="_Toc223859200"/>
      <w:bookmarkStart w:id="758" w:name="_Toc271105576"/>
      <w:bookmarkStart w:id="759" w:name="_Toc271200513"/>
      <w:r>
        <w:rPr>
          <w:rStyle w:val="CharSchNo"/>
        </w:rPr>
        <w:t>Schedule 3</w:t>
      </w:r>
      <w:r>
        <w:rPr>
          <w:rStyle w:val="CharSDivNo"/>
        </w:rPr>
        <w:t> </w:t>
      </w:r>
      <w:r>
        <w:t>—</w:t>
      </w:r>
      <w:r>
        <w:rPr>
          <w:rStyle w:val="CharSDivText"/>
        </w:rPr>
        <w:t> </w:t>
      </w:r>
      <w:r>
        <w:rPr>
          <w:rStyle w:val="CharSchText"/>
        </w:rPr>
        <w:t>Consequential amendments</w:t>
      </w:r>
      <w:bookmarkEnd w:id="750"/>
      <w:bookmarkEnd w:id="751"/>
      <w:bookmarkEnd w:id="752"/>
      <w:bookmarkEnd w:id="753"/>
      <w:bookmarkEnd w:id="754"/>
      <w:bookmarkEnd w:id="755"/>
      <w:bookmarkEnd w:id="756"/>
      <w:bookmarkEnd w:id="757"/>
      <w:bookmarkEnd w:id="758"/>
      <w:bookmarkEnd w:id="759"/>
    </w:p>
    <w:p>
      <w:pPr>
        <w:pStyle w:val="yShoulderClause"/>
      </w:pPr>
      <w:r>
        <w:t>[s. 114]</w:t>
      </w:r>
    </w:p>
    <w:p>
      <w:pPr>
        <w:pStyle w:val="yHeading5"/>
        <w:outlineLvl w:val="0"/>
        <w:rPr>
          <w:i/>
          <w:iCs/>
        </w:rPr>
      </w:pPr>
      <w:bookmarkStart w:id="760" w:name="_Toc271200514"/>
      <w:r>
        <w:rPr>
          <w:rStyle w:val="CharSClsNo"/>
        </w:rPr>
        <w:t>1</w:t>
      </w:r>
      <w:r>
        <w:t>.</w:t>
      </w:r>
      <w:r>
        <w:tab/>
      </w:r>
      <w:r>
        <w:rPr>
          <w:i/>
          <w:iCs/>
        </w:rPr>
        <w:t xml:space="preserve">Blood Donation (Limitation of Liability) Act 1985 </w:t>
      </w:r>
      <w:r>
        <w:t>amended</w:t>
      </w:r>
      <w:bookmarkEnd w:id="760"/>
    </w:p>
    <w:p>
      <w:pPr>
        <w:pStyle w:val="ySubsection"/>
        <w:rPr>
          <w:b/>
          <w:bCs/>
        </w:rPr>
      </w:pPr>
      <w:r>
        <w:tab/>
        <w:t>(1)</w:t>
      </w:r>
      <w:r>
        <w:tab/>
        <w:t xml:space="preserve">The amendments in this clause are to the </w:t>
      </w:r>
      <w:r>
        <w:rPr>
          <w:i/>
          <w:iCs/>
        </w:rPr>
        <w:t>Blood Donation (Limitation of Liability) Act 1985</w:t>
      </w:r>
      <w:r>
        <w:t>*.</w:t>
      </w:r>
    </w:p>
    <w:p>
      <w:pPr>
        <w:pStyle w:val="ySubsection"/>
        <w:rPr>
          <w:i/>
          <w:iCs/>
        </w:rPr>
      </w:pPr>
      <w:r>
        <w:rPr>
          <w:i/>
          <w:iCs/>
        </w:rPr>
        <w:tab/>
      </w:r>
      <w:r>
        <w:rPr>
          <w:i/>
          <w:iCs/>
        </w:rPr>
        <w:tab/>
      </w:r>
      <w:r>
        <w:t>[</w:t>
      </w:r>
      <w:r>
        <w:rPr>
          <w:i/>
          <w:iCs/>
        </w:rPr>
        <w:t>*</w:t>
      </w:r>
      <w:r>
        <w:rPr>
          <w:i/>
          <w:iCs/>
        </w:rPr>
        <w:tab/>
        <w:t>Reprint 1 as at 1 August 2003.</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39-40</w:t>
      </w:r>
      <w:r>
        <w:rPr>
          <w:i/>
          <w:iCs/>
        </w:rPr>
        <w:t>.</w:t>
      </w:r>
      <w:r>
        <w:t>]</w:t>
      </w:r>
    </w:p>
    <w:p>
      <w:pPr>
        <w:pStyle w:val="ySubsection"/>
      </w:pPr>
      <w:r>
        <w:tab/>
        <w:t>(2)</w:t>
      </w:r>
      <w:r>
        <w:tab/>
        <w:t>Section 11(1)(e) is amended by deleting “</w:t>
      </w:r>
      <w:r>
        <w:rPr>
          <w:i/>
          <w:iCs/>
        </w:rPr>
        <w:t xml:space="preserve">Nurses Act 1968 </w:t>
      </w:r>
      <w:r>
        <w:t xml:space="preserve">as a general nurse” and inserting instead — </w:t>
      </w:r>
    </w:p>
    <w:p>
      <w:pPr>
        <w:pStyle w:val="ySubsection"/>
      </w:pPr>
      <w:r>
        <w:tab/>
      </w:r>
      <w:r>
        <w:tab/>
        <w:t xml:space="preserve">“    </w:t>
      </w:r>
      <w:r>
        <w:rPr>
          <w:i/>
          <w:iCs/>
          <w:sz w:val="24"/>
        </w:rPr>
        <w:t>Nurses and Midwives Act 2006</w:t>
      </w:r>
      <w:r>
        <w:rPr>
          <w:sz w:val="24"/>
        </w:rPr>
        <w:t xml:space="preserve"> as a registered nurse</w:t>
      </w:r>
      <w:r>
        <w:t xml:space="preserve">    ”.</w:t>
      </w:r>
    </w:p>
    <w:p>
      <w:pPr>
        <w:pStyle w:val="yHeading5"/>
        <w:outlineLvl w:val="0"/>
        <w:rPr>
          <w:iCs/>
        </w:rPr>
      </w:pPr>
      <w:bookmarkStart w:id="761" w:name="_Toc271200515"/>
      <w:r>
        <w:rPr>
          <w:rStyle w:val="CharSClsNo"/>
        </w:rPr>
        <w:t>2</w:t>
      </w:r>
      <w:r>
        <w:t>.</w:t>
      </w:r>
      <w:r>
        <w:tab/>
      </w:r>
      <w:r>
        <w:rPr>
          <w:i/>
          <w:iCs/>
        </w:rPr>
        <w:t xml:space="preserve">Civil Liability Act 2002 </w:t>
      </w:r>
      <w:r>
        <w:t>amended</w:t>
      </w:r>
      <w:bookmarkEnd w:id="761"/>
    </w:p>
    <w:p>
      <w:pPr>
        <w:pStyle w:val="ySubsection"/>
      </w:pPr>
      <w:r>
        <w:tab/>
        <w:t>(1)</w:t>
      </w:r>
      <w:r>
        <w:tab/>
        <w:t xml:space="preserve">The amendments in this clause are to the </w:t>
      </w:r>
      <w:r>
        <w:rPr>
          <w:i/>
          <w:iCs/>
        </w:rPr>
        <w:t>Civil Liability Act 2002</w:t>
      </w:r>
      <w:r>
        <w:t>*.</w:t>
      </w:r>
    </w:p>
    <w:p>
      <w:pPr>
        <w:pStyle w:val="ySubsection"/>
        <w:rPr>
          <w:i/>
          <w:iCs/>
        </w:rPr>
      </w:pPr>
      <w:r>
        <w:rPr>
          <w:i/>
          <w:iCs/>
        </w:rPr>
        <w:tab/>
      </w:r>
      <w:r>
        <w:rPr>
          <w:i/>
          <w:iCs/>
        </w:rPr>
        <w:tab/>
        <w:t>[*</w:t>
      </w:r>
      <w:r>
        <w:rPr>
          <w:i/>
          <w:iCs/>
        </w:rPr>
        <w:tab/>
        <w:t>Act No. 35 of 2002.</w:t>
      </w:r>
    </w:p>
    <w:p>
      <w:pPr>
        <w:pStyle w:val="ySubsection"/>
        <w:spacing w:before="0"/>
        <w:ind w:left="1140"/>
        <w:rPr>
          <w:i/>
          <w:iCs/>
        </w:rPr>
      </w:pPr>
      <w:r>
        <w:rPr>
          <w:i/>
          <w:iCs/>
        </w:rPr>
        <w:tab/>
      </w:r>
      <w:r>
        <w:rPr>
          <w:i/>
          <w:iCs/>
        </w:rPr>
        <w:tab/>
      </w:r>
      <w:r>
        <w:rPr>
          <w:i/>
          <w:iCs/>
        </w:rPr>
        <w:tab/>
        <w:t xml:space="preserve">For subsequent amendments see Western Australian Legislation Information Tables for 2004, Table 1, </w:t>
      </w:r>
      <w:r>
        <w:rPr>
          <w:i/>
          <w:iCs/>
          <w:spacing w:val="-2"/>
        </w:rPr>
        <w:t>p. 65</w:t>
      </w:r>
      <w:r>
        <w:rPr>
          <w:i/>
          <w:iCs/>
        </w:rPr>
        <w:t>.]</w:t>
      </w:r>
    </w:p>
    <w:p>
      <w:pPr>
        <w:pStyle w:val="ySubsection"/>
      </w:pPr>
      <w:r>
        <w:tab/>
        <w:t>(2)</w:t>
      </w:r>
      <w:r>
        <w:tab/>
        <w:t xml:space="preserve">Section 5PA is amended by deleting paragraph (e) of the definition of “health professional” and inserting the following paragraph instead — </w:t>
      </w:r>
    </w:p>
    <w:p>
      <w:pPr>
        <w:pStyle w:val="MiscOpen"/>
        <w:tabs>
          <w:tab w:val="clear" w:pos="893"/>
        </w:tabs>
        <w:ind w:left="880" w:firstLine="680"/>
      </w:pPr>
      <w:r>
        <w:t xml:space="preserve">“    </w:t>
      </w:r>
    </w:p>
    <w:p>
      <w:pPr>
        <w:pStyle w:val="zDefpara"/>
        <w:spacing w:before="0"/>
      </w:pPr>
      <w:r>
        <w:tab/>
        <w:t>(e)</w:t>
      </w:r>
      <w:r>
        <w:tab/>
        <w:t xml:space="preserve">a midwife or nurse as defined in the </w:t>
      </w:r>
      <w:r>
        <w:rPr>
          <w:i/>
        </w:rPr>
        <w:t>Nurses and Midwives Act 2006</w:t>
      </w:r>
      <w:r>
        <w:rPr>
          <w:iCs/>
        </w:rPr>
        <w:t xml:space="preserve"> section 3</w:t>
      </w:r>
      <w:r>
        <w:t>;</w:t>
      </w:r>
    </w:p>
    <w:p>
      <w:pPr>
        <w:pStyle w:val="MiscClose"/>
      </w:pPr>
      <w:r>
        <w:t xml:space="preserve">    ”.</w:t>
      </w:r>
    </w:p>
    <w:p>
      <w:pPr>
        <w:pStyle w:val="yHeading5"/>
        <w:outlineLvl w:val="0"/>
      </w:pPr>
      <w:bookmarkStart w:id="762" w:name="_Toc271200516"/>
      <w:r>
        <w:rPr>
          <w:rStyle w:val="CharSClsNo"/>
        </w:rPr>
        <w:t>3</w:t>
      </w:r>
      <w:r>
        <w:t>.</w:t>
      </w:r>
      <w:r>
        <w:tab/>
      </w:r>
      <w:r>
        <w:rPr>
          <w:i/>
          <w:iCs/>
        </w:rPr>
        <w:t>Constitution Acts Amendment Act 1899</w:t>
      </w:r>
      <w:r>
        <w:t xml:space="preserve"> amended</w:t>
      </w:r>
      <w:bookmarkEnd w:id="762"/>
    </w:p>
    <w:p>
      <w:pPr>
        <w:pStyle w:val="ySubsection"/>
      </w:pPr>
      <w:r>
        <w:tab/>
        <w:t>(1)</w:t>
      </w:r>
      <w:r>
        <w:tab/>
        <w:t xml:space="preserve">The amendments in this clause are to the </w:t>
      </w:r>
      <w:r>
        <w:rPr>
          <w:i/>
        </w:rPr>
        <w:t>Constitution Acts Amendment Act 1899</w:t>
      </w:r>
      <w:r>
        <w:t>*.</w:t>
      </w:r>
    </w:p>
    <w:p>
      <w:pPr>
        <w:pStyle w:val="ySubsection"/>
        <w:rPr>
          <w:i/>
          <w:iCs/>
        </w:rPr>
      </w:pPr>
      <w:r>
        <w:rPr>
          <w:i/>
          <w:iCs/>
        </w:rPr>
        <w:tab/>
      </w:r>
      <w:r>
        <w:rPr>
          <w:i/>
          <w:iCs/>
        </w:rPr>
        <w:tab/>
      </w:r>
      <w:r>
        <w:t>[</w:t>
      </w:r>
      <w:r>
        <w:rPr>
          <w:i/>
          <w:iCs/>
        </w:rPr>
        <w:t>*</w:t>
      </w:r>
      <w:r>
        <w:rPr>
          <w:i/>
          <w:iCs/>
        </w:rPr>
        <w:tab/>
        <w:t>Reprint 13 as at 18 March 2005.</w:t>
      </w:r>
    </w:p>
    <w:p>
      <w:pPr>
        <w:pStyle w:val="ySubsection"/>
        <w:tabs>
          <w:tab w:val="clear" w:pos="595"/>
          <w:tab w:val="clear" w:pos="879"/>
          <w:tab w:val="left" w:pos="1134"/>
        </w:tabs>
        <w:spacing w:before="0"/>
        <w:ind w:left="1134" w:hanging="1134"/>
        <w:rPr>
          <w:i/>
          <w:iCs/>
        </w:rPr>
      </w:pPr>
      <w:r>
        <w:rPr>
          <w:i/>
          <w:iCs/>
        </w:rPr>
        <w:tab/>
        <w:t>For subsequent amendments see Act Nos. 1 and 2 of 2005.</w:t>
      </w:r>
      <w:r>
        <w:t>]</w:t>
      </w:r>
    </w:p>
    <w:p>
      <w:pPr>
        <w:pStyle w:val="ySubsection"/>
        <w:keepNext/>
      </w:pPr>
      <w:r>
        <w:tab/>
        <w:t>(2)</w:t>
      </w:r>
      <w:r>
        <w:tab/>
        <w:t xml:space="preserve">Schedule V Part 3 is amended by deleting the item commencing “The Nurses Board” and inserting instead — </w:t>
      </w:r>
    </w:p>
    <w:p>
      <w:pPr>
        <w:pStyle w:val="MiscOpen"/>
        <w:ind w:left="880"/>
      </w:pPr>
      <w:r>
        <w:t xml:space="preserve">“    </w:t>
      </w:r>
    </w:p>
    <w:p>
      <w:pPr>
        <w:pStyle w:val="zyMiscellaneousBody"/>
        <w:spacing w:before="0"/>
        <w:ind w:left="1701" w:hanging="561"/>
      </w:pPr>
      <w:r>
        <w:t xml:space="preserve">The Nurses and Midwives Board of Western Australia established under the </w:t>
      </w:r>
      <w:r>
        <w:rPr>
          <w:i/>
        </w:rPr>
        <w:t>Nurses and Midwives Act 2006</w:t>
      </w:r>
      <w:r>
        <w:t>.</w:t>
      </w:r>
    </w:p>
    <w:p>
      <w:pPr>
        <w:pStyle w:val="MiscClose"/>
      </w:pPr>
      <w:r>
        <w:t xml:space="preserve">    ”.</w:t>
      </w:r>
    </w:p>
    <w:p>
      <w:pPr>
        <w:pStyle w:val="yHeading5"/>
        <w:outlineLvl w:val="0"/>
        <w:rPr>
          <w:iCs/>
        </w:rPr>
      </w:pPr>
      <w:bookmarkStart w:id="763" w:name="_Toc271200517"/>
      <w:r>
        <w:rPr>
          <w:rStyle w:val="CharSClsNo"/>
        </w:rPr>
        <w:t>4</w:t>
      </w:r>
      <w:r>
        <w:t>.</w:t>
      </w:r>
      <w:r>
        <w:tab/>
      </w:r>
      <w:r>
        <w:rPr>
          <w:i/>
        </w:rPr>
        <w:t>Corruption and Crime Commission Act 2003</w:t>
      </w:r>
      <w:r>
        <w:rPr>
          <w:iCs/>
        </w:rPr>
        <w:t xml:space="preserve"> amended</w:t>
      </w:r>
      <w:bookmarkEnd w:id="763"/>
    </w:p>
    <w:p>
      <w:pPr>
        <w:pStyle w:val="ySubsection"/>
        <w:rPr>
          <w:iCs/>
        </w:rPr>
      </w:pPr>
      <w:r>
        <w:tab/>
        <w:t>(1)</w:t>
      </w:r>
      <w:r>
        <w:tab/>
        <w:t xml:space="preserve">The amendments in this clause are to the </w:t>
      </w:r>
      <w:r>
        <w:rPr>
          <w:i/>
        </w:rPr>
        <w:t>Corruption and Crime Commission Act 2003*</w:t>
      </w:r>
      <w:r>
        <w:rPr>
          <w:iCs/>
        </w:rPr>
        <w:t>.</w:t>
      </w:r>
    </w:p>
    <w:p>
      <w:pPr>
        <w:pStyle w:val="ySubsection"/>
        <w:rPr>
          <w:i/>
          <w:iCs/>
        </w:rPr>
      </w:pPr>
      <w:r>
        <w:rPr>
          <w:i/>
          <w:iCs/>
        </w:rPr>
        <w:tab/>
      </w:r>
      <w:r>
        <w:rPr>
          <w:i/>
          <w:iCs/>
        </w:rPr>
        <w:tab/>
      </w:r>
      <w:r>
        <w:t>[</w:t>
      </w:r>
      <w:r>
        <w:rPr>
          <w:i/>
          <w:iCs/>
        </w:rPr>
        <w:t>*</w:t>
      </w:r>
      <w:r>
        <w:rPr>
          <w:i/>
          <w:iCs/>
        </w:rPr>
        <w:tab/>
        <w:t>Reprint 1 as at 5 January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96</w:t>
      </w:r>
      <w:r>
        <w:rPr>
          <w:i/>
          <w:iCs/>
        </w:rPr>
        <w:t>.</w:t>
      </w:r>
      <w:r>
        <w:t>]</w:t>
      </w:r>
    </w:p>
    <w:p>
      <w:pPr>
        <w:pStyle w:val="ySubsection"/>
      </w:pPr>
      <w:r>
        <w:tab/>
        <w:t>(2)</w:t>
      </w:r>
      <w:r>
        <w:tab/>
        <w:t xml:space="preserve">Section 54(1) is amended in the definition of “registered nurse” by deleting “means a person registered under Part 3 of the </w:t>
      </w:r>
      <w:r>
        <w:rPr>
          <w:i/>
          <w:iCs/>
        </w:rPr>
        <w:t>Nurses Act 1992</w:t>
      </w:r>
      <w:r>
        <w:t xml:space="preserve">.” and inserting instead — </w:t>
      </w:r>
    </w:p>
    <w:p>
      <w:pPr>
        <w:pStyle w:val="MiscOpen"/>
        <w:tabs>
          <w:tab w:val="clear" w:pos="893"/>
        </w:tabs>
        <w:ind w:left="880" w:firstLine="680"/>
      </w:pPr>
      <w:r>
        <w:t xml:space="preserve">“    </w:t>
      </w:r>
    </w:p>
    <w:p>
      <w:pPr>
        <w:pStyle w:val="zDefstart"/>
        <w:spacing w:before="0"/>
      </w:pPr>
      <w:r>
        <w:tab/>
        <w:t xml:space="preserve">has the meaning given to that term in section 3 of the </w:t>
      </w:r>
      <w:r>
        <w:rPr>
          <w:i/>
        </w:rPr>
        <w:t>Nurses and Midwives Act 2006</w:t>
      </w:r>
      <w:r>
        <w:rPr>
          <w:iCs/>
        </w:rPr>
        <w:t>.</w:t>
      </w:r>
    </w:p>
    <w:p>
      <w:pPr>
        <w:pStyle w:val="MiscClose"/>
      </w:pPr>
      <w:r>
        <w:t xml:space="preserve">    ”.</w:t>
      </w:r>
    </w:p>
    <w:p>
      <w:pPr>
        <w:pStyle w:val="yHeading5"/>
        <w:outlineLvl w:val="0"/>
      </w:pPr>
      <w:bookmarkStart w:id="764" w:name="_Toc271200518"/>
      <w:r>
        <w:rPr>
          <w:rStyle w:val="CharSClsNo"/>
        </w:rPr>
        <w:t>5</w:t>
      </w:r>
      <w:r>
        <w:t>.</w:t>
      </w:r>
      <w:r>
        <w:tab/>
      </w:r>
      <w:r>
        <w:rPr>
          <w:i/>
          <w:iCs/>
        </w:rPr>
        <w:t>Court Security and Custodial Services Act 1999</w:t>
      </w:r>
      <w:r>
        <w:t xml:space="preserve"> amended</w:t>
      </w:r>
      <w:bookmarkEnd w:id="764"/>
    </w:p>
    <w:p>
      <w:pPr>
        <w:pStyle w:val="ySubsection"/>
      </w:pPr>
      <w:r>
        <w:tab/>
        <w:t>(1)</w:t>
      </w:r>
      <w:r>
        <w:tab/>
        <w:t xml:space="preserve">The amendments in this clause are to the </w:t>
      </w:r>
      <w:r>
        <w:rPr>
          <w:i/>
          <w:iCs/>
        </w:rPr>
        <w:t>Court Security and Custodial Services Act 1999*</w:t>
      </w:r>
      <w:r>
        <w:t>.</w:t>
      </w:r>
    </w:p>
    <w:p>
      <w:pPr>
        <w:pStyle w:val="ySubsection"/>
      </w:pPr>
      <w:r>
        <w:rPr>
          <w:i/>
          <w:iCs/>
        </w:rPr>
        <w:tab/>
      </w:r>
      <w:r>
        <w:rPr>
          <w:i/>
          <w:iCs/>
        </w:rPr>
        <w:tab/>
      </w:r>
      <w:r>
        <w:t>[</w:t>
      </w:r>
      <w:r>
        <w:rPr>
          <w:i/>
          <w:iCs/>
        </w:rPr>
        <w:t>*</w:t>
      </w:r>
      <w:r>
        <w:rPr>
          <w:i/>
          <w:iCs/>
        </w:rPr>
        <w:tab/>
      </w:r>
      <w:r>
        <w:rPr>
          <w:i/>
        </w:rPr>
        <w:t>Reprint 2 as at 9 September 2005</w:t>
      </w:r>
      <w:r>
        <w:rPr>
          <w:i/>
          <w:iCs/>
        </w:rPr>
        <w:t>.</w:t>
      </w:r>
      <w:r>
        <w:t>]</w:t>
      </w:r>
    </w:p>
    <w:p>
      <w:pPr>
        <w:pStyle w:val="ySubsection"/>
      </w:pPr>
      <w:r>
        <w:tab/>
        <w:t>(2)</w:t>
      </w:r>
      <w:r>
        <w:tab/>
        <w:t xml:space="preserve">Section 3 is amended by deleting the definition of “nurse” and inserting instead — </w:t>
      </w:r>
    </w:p>
    <w:p>
      <w:pPr>
        <w:pStyle w:val="MiscOpen"/>
        <w:tabs>
          <w:tab w:val="clear" w:pos="893"/>
        </w:tabs>
        <w:ind w:left="880" w:firstLine="254"/>
      </w:pPr>
      <w:r>
        <w:t xml:space="preserve">“    </w:t>
      </w:r>
    </w:p>
    <w:p>
      <w:pPr>
        <w:pStyle w:val="zDefstart"/>
        <w:spacing w:before="0"/>
      </w:pPr>
      <w:r>
        <w:rPr>
          <w:b/>
        </w:rPr>
        <w:tab/>
      </w:r>
      <w:r>
        <w:rPr>
          <w:rStyle w:val="CharDefText"/>
        </w:rPr>
        <w:t>nurse</w:t>
      </w:r>
      <w:r>
        <w:t xml:space="preserve"> has the meaning given to “registered nurse” in section 3 of the </w:t>
      </w:r>
      <w:r>
        <w:rPr>
          <w:i/>
        </w:rPr>
        <w:t>Nurses and Midwives Act 2006</w:t>
      </w:r>
      <w:r>
        <w:rPr>
          <w:iCs/>
        </w:rPr>
        <w:t>;</w:t>
      </w:r>
    </w:p>
    <w:p>
      <w:pPr>
        <w:pStyle w:val="MiscClose"/>
      </w:pPr>
      <w:r>
        <w:t xml:space="preserve">    ”.</w:t>
      </w:r>
    </w:p>
    <w:p>
      <w:pPr>
        <w:pStyle w:val="yHeading5"/>
        <w:outlineLvl w:val="0"/>
      </w:pPr>
      <w:bookmarkStart w:id="765" w:name="_Toc271200519"/>
      <w:r>
        <w:rPr>
          <w:rStyle w:val="CharSClsNo"/>
        </w:rPr>
        <w:t>6</w:t>
      </w:r>
      <w:r>
        <w:t>.</w:t>
      </w:r>
      <w:r>
        <w:tab/>
      </w:r>
      <w:r>
        <w:rPr>
          <w:i/>
          <w:iCs/>
        </w:rPr>
        <w:t>The Criminal Code</w:t>
      </w:r>
      <w:r>
        <w:t xml:space="preserve"> amended</w:t>
      </w:r>
      <w:bookmarkEnd w:id="765"/>
    </w:p>
    <w:p>
      <w:pPr>
        <w:pStyle w:val="ySubsection"/>
        <w:keepNext/>
      </w:pPr>
      <w:r>
        <w:tab/>
        <w:t>(1)</w:t>
      </w:r>
      <w:r>
        <w:tab/>
        <w:t xml:space="preserve">The amendments in this clause are to </w:t>
      </w:r>
      <w:r>
        <w:rPr>
          <w:i/>
          <w:iCs/>
        </w:rPr>
        <w:t>The Criminal Code</w:t>
      </w:r>
      <w:r>
        <w:t xml:space="preserve">*. </w:t>
      </w:r>
    </w:p>
    <w:p>
      <w:pPr>
        <w:pStyle w:val="ySubsection"/>
        <w:rPr>
          <w:i/>
          <w:iCs/>
        </w:rPr>
      </w:pPr>
      <w:r>
        <w:rPr>
          <w:i/>
          <w:iCs/>
        </w:rPr>
        <w:tab/>
      </w:r>
      <w:r>
        <w:rPr>
          <w:i/>
          <w:iCs/>
        </w:rPr>
        <w:tab/>
      </w:r>
      <w:r>
        <w:t>[</w:t>
      </w:r>
      <w:r>
        <w:rPr>
          <w:i/>
          <w:iCs/>
        </w:rPr>
        <w:t>*</w:t>
      </w:r>
      <w:r>
        <w:rPr>
          <w:i/>
          <w:iCs/>
        </w:rPr>
        <w:tab/>
      </w:r>
      <w:r>
        <w:rPr>
          <w:i/>
        </w:rPr>
        <w:t xml:space="preserve">Reprint 12 as at </w:t>
      </w:r>
      <w:r>
        <w:rPr>
          <w:i/>
          <w:iCs/>
        </w:rPr>
        <w:t>1 June 2005 (see the Schedule to the Criminal Code Act 1913 appearing as Appendix B to the Criminal Code Compilation Act 1913)].</w:t>
      </w:r>
    </w:p>
    <w:p>
      <w:pPr>
        <w:pStyle w:val="ySubsection"/>
      </w:pPr>
      <w:r>
        <w:tab/>
        <w:t>(2)</w:t>
      </w:r>
      <w:r>
        <w:tab/>
        <w:t>Section 236(b)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w:t>
      </w:r>
    </w:p>
    <w:p>
      <w:pPr>
        <w:pStyle w:val="yHeading5"/>
        <w:outlineLvl w:val="0"/>
        <w:rPr>
          <w:iCs/>
        </w:rPr>
      </w:pPr>
      <w:bookmarkStart w:id="766" w:name="_Toc271200520"/>
      <w:r>
        <w:rPr>
          <w:rStyle w:val="CharSClsNo"/>
        </w:rPr>
        <w:t>7</w:t>
      </w:r>
      <w:r>
        <w:t>.</w:t>
      </w:r>
      <w:r>
        <w:tab/>
      </w:r>
      <w:r>
        <w:rPr>
          <w:i/>
        </w:rPr>
        <w:t>Criminal Investigation (Identifying People) Act 2002</w:t>
      </w:r>
      <w:r>
        <w:rPr>
          <w:iCs/>
        </w:rPr>
        <w:t xml:space="preserve"> amended</w:t>
      </w:r>
      <w:bookmarkEnd w:id="766"/>
    </w:p>
    <w:p>
      <w:pPr>
        <w:pStyle w:val="ySubsection"/>
        <w:rPr>
          <w:iCs/>
        </w:rPr>
      </w:pPr>
      <w:r>
        <w:tab/>
        <w:t>(1)</w:t>
      </w:r>
      <w:r>
        <w:tab/>
        <w:t xml:space="preserve">The amendments in this clause are to </w:t>
      </w:r>
      <w:r>
        <w:rPr>
          <w:i/>
        </w:rPr>
        <w:t>Criminal Investigation (Identifying People) Act 2002*</w:t>
      </w:r>
      <w:r>
        <w:rPr>
          <w:iCs/>
        </w:rPr>
        <w:t xml:space="preserve">. </w:t>
      </w:r>
    </w:p>
    <w:p>
      <w:pPr>
        <w:pStyle w:val="ySubsection"/>
        <w:rPr>
          <w:i/>
          <w:iCs/>
        </w:rPr>
      </w:pPr>
      <w:r>
        <w:rPr>
          <w:i/>
          <w:iCs/>
        </w:rPr>
        <w:tab/>
      </w:r>
      <w:r>
        <w:rPr>
          <w:i/>
          <w:iCs/>
        </w:rPr>
        <w:tab/>
      </w:r>
      <w:r>
        <w:t>[</w:t>
      </w:r>
      <w:r>
        <w:rPr>
          <w:i/>
          <w:iCs/>
        </w:rPr>
        <w:t>*</w:t>
      </w:r>
      <w:r>
        <w:rPr>
          <w:i/>
          <w:iCs/>
        </w:rPr>
        <w:tab/>
      </w:r>
      <w:r>
        <w:rPr>
          <w:i/>
        </w:rPr>
        <w:t>Act No. 6 of 2002</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111</w:t>
      </w:r>
      <w:r>
        <w:rPr>
          <w:i/>
          <w:iCs/>
          <w:spacing w:val="-2"/>
        </w:rPr>
        <w:noBreakHyphen/>
        <w:t xml:space="preserve">2 </w:t>
      </w:r>
      <w:r>
        <w:rPr>
          <w:i/>
          <w:iCs/>
        </w:rPr>
        <w:t>and Act No. 84 of 2004.</w:t>
      </w:r>
      <w:r>
        <w:t>]</w:t>
      </w:r>
    </w:p>
    <w:p>
      <w:pPr>
        <w:pStyle w:val="ySubsection"/>
      </w:pPr>
      <w:r>
        <w:tab/>
        <w:t>(2)</w:t>
      </w:r>
      <w:r>
        <w:tab/>
        <w:t xml:space="preserve">Section 52 is amended in the definition of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outlineLvl w:val="0"/>
      </w:pPr>
      <w:bookmarkStart w:id="767" w:name="_Toc271200521"/>
      <w:r>
        <w:rPr>
          <w:rStyle w:val="CharSClsNo"/>
        </w:rPr>
        <w:t>8</w:t>
      </w:r>
      <w:r>
        <w:t>.</w:t>
      </w:r>
      <w:r>
        <w:tab/>
      </w:r>
      <w:r>
        <w:rPr>
          <w:i/>
        </w:rPr>
        <w:t>Firearms Act 1973</w:t>
      </w:r>
      <w:r>
        <w:t xml:space="preserve"> amended</w:t>
      </w:r>
      <w:bookmarkEnd w:id="767"/>
    </w:p>
    <w:p>
      <w:pPr>
        <w:pStyle w:val="ySubsection"/>
        <w:rPr>
          <w:iCs/>
        </w:rPr>
      </w:pPr>
      <w:r>
        <w:tab/>
        <w:t>(1)</w:t>
      </w:r>
      <w:r>
        <w:tab/>
        <w:t xml:space="preserve">The amendments in this clause are to </w:t>
      </w:r>
      <w:r>
        <w:rPr>
          <w:i/>
        </w:rPr>
        <w:t>Firearms Act 1973*</w:t>
      </w:r>
      <w:r>
        <w:rPr>
          <w:iCs/>
        </w:rPr>
        <w:t>.</w:t>
      </w:r>
    </w:p>
    <w:p>
      <w:pPr>
        <w:pStyle w:val="ySubsection"/>
      </w:pPr>
      <w:r>
        <w:rPr>
          <w:i/>
          <w:iCs/>
        </w:rPr>
        <w:tab/>
      </w:r>
      <w:r>
        <w:rPr>
          <w:i/>
          <w:iCs/>
        </w:rPr>
        <w:tab/>
      </w:r>
      <w:r>
        <w:t>[</w:t>
      </w:r>
      <w:r>
        <w:rPr>
          <w:i/>
          <w:iCs/>
        </w:rPr>
        <w:t>*</w:t>
      </w:r>
      <w:r>
        <w:rPr>
          <w:i/>
          <w:iCs/>
        </w:rPr>
        <w:tab/>
      </w:r>
      <w:r>
        <w:rPr>
          <w:i/>
        </w:rPr>
        <w:t>Reprint 4 as at 1 July 2005</w:t>
      </w:r>
      <w:r>
        <w:rPr>
          <w:i/>
          <w:iCs/>
        </w:rPr>
        <w:t>.</w:t>
      </w:r>
      <w:r>
        <w:t>]</w:t>
      </w:r>
    </w:p>
    <w:p>
      <w:pPr>
        <w:pStyle w:val="ySubsection"/>
      </w:pPr>
      <w:r>
        <w:tab/>
        <w:t>(2)</w:t>
      </w:r>
      <w:r>
        <w:tab/>
        <w:t xml:space="preserve">Section 23B(3) is amended in the definition of “registered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outlineLvl w:val="0"/>
      </w:pPr>
      <w:bookmarkStart w:id="768" w:name="_Toc271200522"/>
      <w:r>
        <w:rPr>
          <w:rStyle w:val="CharSClsNo"/>
        </w:rPr>
        <w:t>9</w:t>
      </w:r>
      <w:r>
        <w:t>.</w:t>
      </w:r>
      <w:r>
        <w:tab/>
      </w:r>
      <w:r>
        <w:rPr>
          <w:i/>
          <w:iCs/>
        </w:rPr>
        <w:t>Health Act 1911</w:t>
      </w:r>
      <w:r>
        <w:t xml:space="preserve"> amended</w:t>
      </w:r>
      <w:bookmarkEnd w:id="768"/>
    </w:p>
    <w:p>
      <w:pPr>
        <w:pStyle w:val="ySubsection"/>
      </w:pPr>
      <w:r>
        <w:tab/>
        <w:t>(1)</w:t>
      </w:r>
      <w:r>
        <w:tab/>
        <w:t xml:space="preserve">The amendments in this clause are to the </w:t>
      </w:r>
      <w:r>
        <w:rPr>
          <w:i/>
          <w:iCs/>
        </w:rPr>
        <w:t>Health Act 1911</w:t>
      </w:r>
      <w:r>
        <w:t xml:space="preserve">*. </w:t>
      </w:r>
    </w:p>
    <w:p>
      <w:pPr>
        <w:pStyle w:val="ySubsection"/>
      </w:pPr>
      <w:r>
        <w:rPr>
          <w:i/>
          <w:iCs/>
        </w:rPr>
        <w:tab/>
      </w:r>
      <w:r>
        <w:rPr>
          <w:i/>
          <w:iCs/>
        </w:rPr>
        <w:tab/>
      </w:r>
      <w:r>
        <w:t>[</w:t>
      </w:r>
      <w:r>
        <w:rPr>
          <w:i/>
          <w:iCs/>
        </w:rPr>
        <w:t>*</w:t>
      </w:r>
      <w:r>
        <w:rPr>
          <w:i/>
          <w:iCs/>
        </w:rPr>
        <w:tab/>
      </w:r>
      <w:r>
        <w:rPr>
          <w:i/>
        </w:rPr>
        <w:t>Reprint 13 as at 15 July 2005</w:t>
      </w:r>
      <w:r>
        <w:rPr>
          <w:i/>
          <w:iCs/>
        </w:rPr>
        <w:t>.</w:t>
      </w:r>
      <w:r>
        <w:t>]</w:t>
      </w:r>
    </w:p>
    <w:p>
      <w:pPr>
        <w:pStyle w:val="ySubsection"/>
      </w:pPr>
      <w:r>
        <w:tab/>
        <w:t>(2)</w:t>
      </w:r>
      <w:r>
        <w:tab/>
        <w:t xml:space="preserve">Section 3(1) is amended by deleting the definition of “midwife” and inserting instead — </w:t>
      </w:r>
    </w:p>
    <w:p>
      <w:pPr>
        <w:pStyle w:val="MiscOpen"/>
        <w:tabs>
          <w:tab w:val="clear" w:pos="893"/>
        </w:tabs>
        <w:ind w:left="880" w:firstLine="254"/>
      </w:pPr>
      <w:r>
        <w:t xml:space="preserve">“    </w:t>
      </w:r>
    </w:p>
    <w:p>
      <w:pPr>
        <w:pStyle w:val="zDefstart"/>
        <w:spacing w:before="0"/>
      </w:pPr>
      <w:r>
        <w:rPr>
          <w:b/>
        </w:rPr>
        <w:tab/>
      </w:r>
      <w:r>
        <w:rPr>
          <w:rStyle w:val="CharDefText"/>
        </w:rPr>
        <w:t>midwife</w:t>
      </w:r>
      <w:r>
        <w:t xml:space="preserve"> has the meaning given to that term in section 3 of the </w:t>
      </w:r>
      <w:r>
        <w:rPr>
          <w:i/>
        </w:rPr>
        <w:t>Nurses and Midwives Act 2006</w:t>
      </w:r>
      <w:r>
        <w:rPr>
          <w:iCs/>
        </w:rPr>
        <w:t>;</w:t>
      </w:r>
    </w:p>
    <w:p>
      <w:pPr>
        <w:pStyle w:val="MiscClose"/>
      </w:pPr>
      <w:r>
        <w:t xml:space="preserve">    ”.</w:t>
      </w:r>
    </w:p>
    <w:p>
      <w:pPr>
        <w:pStyle w:val="yHeading5"/>
        <w:outlineLvl w:val="0"/>
      </w:pPr>
      <w:bookmarkStart w:id="769" w:name="_Toc271200523"/>
      <w:r>
        <w:rPr>
          <w:rStyle w:val="CharSClsNo"/>
        </w:rPr>
        <w:t>10</w:t>
      </w:r>
      <w:r>
        <w:t>.</w:t>
      </w:r>
      <w:r>
        <w:tab/>
      </w:r>
      <w:r>
        <w:rPr>
          <w:i/>
          <w:iCs/>
        </w:rPr>
        <w:t xml:space="preserve">Health </w:t>
      </w:r>
      <w:r>
        <w:rPr>
          <w:i/>
        </w:rPr>
        <w:t xml:space="preserve">Professionals (Special Events Exemption) Act 2000 </w:t>
      </w:r>
      <w:r>
        <w:t>amended</w:t>
      </w:r>
      <w:bookmarkEnd w:id="769"/>
    </w:p>
    <w:p>
      <w:pPr>
        <w:pStyle w:val="ySubsection"/>
      </w:pPr>
      <w:r>
        <w:tab/>
        <w:t>(1)</w:t>
      </w:r>
      <w:r>
        <w:tab/>
        <w:t xml:space="preserve">The amendments in this clause are to the </w:t>
      </w:r>
      <w:r>
        <w:rPr>
          <w:i/>
        </w:rPr>
        <w:t>Health Professionals (Special Events Exemption) Act 2000</w:t>
      </w:r>
      <w:r>
        <w:t xml:space="preserve">*. </w:t>
      </w:r>
    </w:p>
    <w:p>
      <w:pPr>
        <w:pStyle w:val="ySubsection"/>
      </w:pPr>
      <w:r>
        <w:rPr>
          <w:i/>
          <w:iCs/>
        </w:rPr>
        <w:tab/>
      </w:r>
      <w:r>
        <w:rPr>
          <w:i/>
          <w:iCs/>
        </w:rPr>
        <w:tab/>
      </w:r>
      <w:r>
        <w:t>[</w:t>
      </w:r>
      <w:r>
        <w:rPr>
          <w:i/>
          <w:iCs/>
        </w:rPr>
        <w:t>*</w:t>
      </w:r>
      <w:r>
        <w:rPr>
          <w:i/>
          <w:iCs/>
        </w:rPr>
        <w:tab/>
      </w:r>
      <w:r>
        <w:rPr>
          <w:i/>
        </w:rPr>
        <w:t>Act No. 7 of 2000</w:t>
      </w:r>
      <w:r>
        <w:rPr>
          <w:i/>
          <w:iCs/>
        </w:rPr>
        <w:t>.</w:t>
      </w:r>
      <w:r>
        <w:t>]</w:t>
      </w:r>
    </w:p>
    <w:p>
      <w:pPr>
        <w:pStyle w:val="ySubsection"/>
      </w:pPr>
      <w:r>
        <w:tab/>
        <w:t>(2)</w:t>
      </w:r>
      <w:r>
        <w:tab/>
        <w:t>Section 3(1) is amended in the definition of “Health Registration Act” by deleting “</w:t>
      </w:r>
      <w:r>
        <w:rPr>
          <w:i/>
          <w:iCs/>
        </w:rPr>
        <w:t>Nurses Act 1992;</w:t>
      </w:r>
      <w:r>
        <w:t xml:space="preserve">” and inserting instead — </w:t>
      </w:r>
    </w:p>
    <w:p>
      <w:pPr>
        <w:pStyle w:val="ySubsection"/>
      </w:pPr>
      <w:r>
        <w:tab/>
      </w:r>
      <w:r>
        <w:tab/>
        <w:t xml:space="preserve">“    </w:t>
      </w:r>
      <w:r>
        <w:rPr>
          <w:i/>
          <w:sz w:val="24"/>
        </w:rPr>
        <w:t>Nurses and Midwives Act 2006</w:t>
      </w:r>
      <w:r>
        <w:rPr>
          <w:iCs/>
          <w:sz w:val="24"/>
        </w:rPr>
        <w:t>;</w:t>
      </w:r>
      <w:r>
        <w:t xml:space="preserve">    ”.</w:t>
      </w:r>
    </w:p>
    <w:p>
      <w:pPr>
        <w:pStyle w:val="yHeading5"/>
        <w:outlineLvl w:val="0"/>
      </w:pPr>
      <w:bookmarkStart w:id="770" w:name="_Toc271200524"/>
      <w:r>
        <w:rPr>
          <w:rStyle w:val="CharSClsNo"/>
        </w:rPr>
        <w:t>11</w:t>
      </w:r>
      <w:r>
        <w:t>.</w:t>
      </w:r>
      <w:r>
        <w:tab/>
      </w:r>
      <w:r>
        <w:rPr>
          <w:i/>
          <w:iCs/>
        </w:rPr>
        <w:t xml:space="preserve">Health </w:t>
      </w:r>
      <w:r>
        <w:rPr>
          <w:i/>
        </w:rPr>
        <w:t>Services (Conciliation and Review) Act 1995</w:t>
      </w:r>
      <w:r>
        <w:t xml:space="preserve"> amended</w:t>
      </w:r>
      <w:bookmarkEnd w:id="770"/>
    </w:p>
    <w:p>
      <w:pPr>
        <w:pStyle w:val="ySubsection"/>
      </w:pPr>
      <w:r>
        <w:tab/>
        <w:t>(1)</w:t>
      </w:r>
      <w:r>
        <w:tab/>
        <w:t xml:space="preserve">The amendments in this clause are to the </w:t>
      </w:r>
      <w:r>
        <w:rPr>
          <w:i/>
        </w:rPr>
        <w:t>Health Services (Conciliation and Review) Act 1995</w:t>
      </w:r>
      <w:r>
        <w:t>*.</w:t>
      </w:r>
    </w:p>
    <w:p>
      <w:pPr>
        <w:pStyle w:val="ySubsection"/>
      </w:pPr>
      <w:r>
        <w:rPr>
          <w:i/>
          <w:iCs/>
        </w:rPr>
        <w:tab/>
      </w:r>
      <w:r>
        <w:rPr>
          <w:i/>
          <w:iCs/>
        </w:rPr>
        <w:tab/>
      </w:r>
      <w:r>
        <w:t>[</w:t>
      </w:r>
      <w:r>
        <w:rPr>
          <w:i/>
          <w:iCs/>
        </w:rPr>
        <w:t>*</w:t>
      </w:r>
      <w:r>
        <w:rPr>
          <w:i/>
          <w:iCs/>
        </w:rPr>
        <w:tab/>
      </w:r>
      <w:r>
        <w:rPr>
          <w:i/>
        </w:rPr>
        <w:t>Reprint 2 as at 18 March 2005</w:t>
      </w:r>
      <w:r>
        <w:rPr>
          <w:i/>
          <w:iCs/>
        </w:rPr>
        <w:t>.</w:t>
      </w:r>
      <w:r>
        <w:t>]</w:t>
      </w:r>
    </w:p>
    <w:p>
      <w:pPr>
        <w:pStyle w:val="ySubsection"/>
      </w:pPr>
      <w:r>
        <w:tab/>
        <w:t>(2)</w:t>
      </w:r>
      <w:r>
        <w:tab/>
        <w:t xml:space="preserve">Schedule 1 item 4 is deleted and the following item is inserted instead — </w:t>
      </w:r>
    </w:p>
    <w:p>
      <w:pPr>
        <w:pStyle w:val="MiscOpen"/>
        <w:ind w:left="879"/>
      </w:pPr>
      <w:r>
        <w:t xml:space="preserve">“    </w:t>
      </w:r>
    </w:p>
    <w:p>
      <w:pPr>
        <w:pStyle w:val="zyMiscellaneousBody"/>
        <w:tabs>
          <w:tab w:val="left" w:pos="1276"/>
          <w:tab w:val="left" w:pos="1701"/>
        </w:tabs>
        <w:spacing w:before="0"/>
        <w:ind w:left="1701" w:hanging="1134"/>
      </w:pPr>
      <w:r>
        <w:tab/>
        <w:t>4.</w:t>
      </w:r>
      <w:r>
        <w:tab/>
        <w:t xml:space="preserve">The Nurses and Midwives Board of Western Australia established under the </w:t>
      </w:r>
      <w:r>
        <w:rPr>
          <w:i/>
          <w:iCs/>
        </w:rPr>
        <w:t>Nurses and Midwives Act 2006</w:t>
      </w:r>
      <w:r>
        <w:t>.</w:t>
      </w:r>
    </w:p>
    <w:p>
      <w:pPr>
        <w:pStyle w:val="MiscClose"/>
      </w:pPr>
      <w:r>
        <w:t xml:space="preserve">    ”.</w:t>
      </w:r>
    </w:p>
    <w:p>
      <w:pPr>
        <w:pStyle w:val="yHeading5"/>
        <w:outlineLvl w:val="0"/>
      </w:pPr>
      <w:bookmarkStart w:id="771" w:name="_Toc271200525"/>
      <w:r>
        <w:rPr>
          <w:rStyle w:val="CharSClsNo"/>
        </w:rPr>
        <w:t>12</w:t>
      </w:r>
      <w:r>
        <w:t>.</w:t>
      </w:r>
      <w:r>
        <w:tab/>
      </w:r>
      <w:r>
        <w:rPr>
          <w:i/>
          <w:iCs/>
        </w:rPr>
        <w:t xml:space="preserve">Juries </w:t>
      </w:r>
      <w:r>
        <w:rPr>
          <w:i/>
        </w:rPr>
        <w:t>Act 1957</w:t>
      </w:r>
      <w:r>
        <w:t xml:space="preserve"> amended</w:t>
      </w:r>
      <w:bookmarkEnd w:id="771"/>
    </w:p>
    <w:p>
      <w:pPr>
        <w:pStyle w:val="ySubsection"/>
      </w:pPr>
      <w:r>
        <w:tab/>
        <w:t>(1)</w:t>
      </w:r>
      <w:r>
        <w:tab/>
        <w:t xml:space="preserve">The amendments in this clause are to the </w:t>
      </w:r>
      <w:r>
        <w:rPr>
          <w:i/>
        </w:rPr>
        <w:t>Juries Act 1957</w:t>
      </w:r>
      <w:r>
        <w:t xml:space="preserve">*. </w:t>
      </w:r>
    </w:p>
    <w:p>
      <w:pPr>
        <w:pStyle w:val="ySubsection"/>
      </w:pPr>
      <w:r>
        <w:rPr>
          <w:i/>
          <w:iCs/>
        </w:rPr>
        <w:tab/>
      </w:r>
      <w:r>
        <w:rPr>
          <w:i/>
          <w:iCs/>
        </w:rPr>
        <w:tab/>
      </w:r>
      <w:r>
        <w:t>[</w:t>
      </w:r>
      <w:r>
        <w:rPr>
          <w:i/>
          <w:iCs/>
        </w:rPr>
        <w:t>*</w:t>
      </w:r>
      <w:r>
        <w:rPr>
          <w:i/>
          <w:iCs/>
        </w:rPr>
        <w:tab/>
      </w:r>
      <w:r>
        <w:rPr>
          <w:i/>
        </w:rPr>
        <w:t>Reprint 4 as at 2 September 2005</w:t>
      </w:r>
      <w:r>
        <w:rPr>
          <w:i/>
          <w:iCs/>
        </w:rPr>
        <w:t>.</w:t>
      </w:r>
      <w:r>
        <w:t>]</w:t>
      </w:r>
    </w:p>
    <w:p>
      <w:pPr>
        <w:pStyle w:val="ySubsection"/>
        <w:keepNext/>
      </w:pPr>
      <w:r>
        <w:tab/>
        <w:t>(2)</w:t>
      </w:r>
      <w:r>
        <w:tab/>
        <w:t xml:space="preserve">The Second Schedule Part II item 2 is amended by deleting “Nurses registered under the </w:t>
      </w:r>
      <w:r>
        <w:rPr>
          <w:i/>
          <w:iCs/>
        </w:rPr>
        <w:t>Nurses Act 1968</w:t>
      </w:r>
      <w:r>
        <w:t xml:space="preserve">” and inserting instead — </w:t>
      </w:r>
    </w:p>
    <w:p>
      <w:pPr>
        <w:pStyle w:val="MiscOpen"/>
        <w:tabs>
          <w:tab w:val="clear" w:pos="893"/>
        </w:tabs>
        <w:ind w:left="879"/>
      </w:pPr>
      <w:r>
        <w:t xml:space="preserve">“    </w:t>
      </w:r>
    </w:p>
    <w:p>
      <w:pPr>
        <w:pStyle w:val="yMiscellaneousBody"/>
        <w:spacing w:before="0"/>
        <w:ind w:left="1134"/>
      </w:pPr>
      <w:r>
        <w:t xml:space="preserve">Midwives and nurses registered under the </w:t>
      </w:r>
      <w:r>
        <w:rPr>
          <w:i/>
          <w:iCs/>
        </w:rPr>
        <w:t>Nurses and Midwives Act 2006</w:t>
      </w:r>
    </w:p>
    <w:p>
      <w:pPr>
        <w:pStyle w:val="MiscClose"/>
      </w:pPr>
      <w:r>
        <w:t xml:space="preserve">    ”.</w:t>
      </w:r>
    </w:p>
    <w:p>
      <w:pPr>
        <w:pStyle w:val="yHeading5"/>
        <w:outlineLvl w:val="0"/>
      </w:pPr>
      <w:bookmarkStart w:id="772" w:name="_Toc271200526"/>
      <w:r>
        <w:rPr>
          <w:rStyle w:val="CharSClsNo"/>
        </w:rPr>
        <w:t>13</w:t>
      </w:r>
      <w:r>
        <w:t>.</w:t>
      </w:r>
      <w:r>
        <w:tab/>
      </w:r>
      <w:r>
        <w:rPr>
          <w:i/>
        </w:rPr>
        <w:t>Medical Act 1894</w:t>
      </w:r>
      <w:r>
        <w:t xml:space="preserve"> amended</w:t>
      </w:r>
      <w:bookmarkEnd w:id="772"/>
    </w:p>
    <w:p>
      <w:pPr>
        <w:pStyle w:val="ySubsection"/>
      </w:pPr>
      <w:r>
        <w:tab/>
        <w:t>(1)</w:t>
      </w:r>
      <w:r>
        <w:tab/>
        <w:t xml:space="preserve">The amendments in this clause are to the </w:t>
      </w:r>
      <w:r>
        <w:rPr>
          <w:i/>
        </w:rPr>
        <w:t>Medical Act 1894</w:t>
      </w:r>
      <w:r>
        <w:t xml:space="preserve">*. </w:t>
      </w:r>
    </w:p>
    <w:p>
      <w:pPr>
        <w:pStyle w:val="ySubsection"/>
        <w:rPr>
          <w:sz w:val="24"/>
        </w:rPr>
      </w:pPr>
      <w:r>
        <w:rPr>
          <w:i/>
          <w:iCs/>
        </w:rPr>
        <w:tab/>
      </w:r>
      <w:r>
        <w:rPr>
          <w:i/>
          <w:iCs/>
        </w:rPr>
        <w:tab/>
      </w:r>
      <w:r>
        <w:t>[</w:t>
      </w:r>
      <w:r>
        <w:rPr>
          <w:i/>
          <w:iCs/>
        </w:rPr>
        <w:t>*</w:t>
      </w:r>
      <w:r>
        <w:rPr>
          <w:i/>
          <w:iCs/>
        </w:rPr>
        <w:tab/>
      </w:r>
      <w:r>
        <w:rPr>
          <w:i/>
        </w:rPr>
        <w:t>Reprint 6 as at 1</w:t>
      </w:r>
      <w:r>
        <w:rPr>
          <w:i/>
          <w:iCs/>
        </w:rPr>
        <w:t>2 August 2005.</w:t>
      </w:r>
      <w:r>
        <w:t>]</w:t>
      </w:r>
    </w:p>
    <w:p>
      <w:pPr>
        <w:pStyle w:val="ySubsection"/>
      </w:pPr>
      <w:r>
        <w:tab/>
        <w:t>(2)</w:t>
      </w:r>
      <w:r>
        <w:tab/>
        <w:t>Section 19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Subsection"/>
      </w:pPr>
      <w:r>
        <w:tab/>
        <w:t>(3)</w:t>
      </w:r>
      <w:r>
        <w:tab/>
        <w:t>Section 21A(2)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Heading5"/>
        <w:outlineLvl w:val="0"/>
      </w:pPr>
      <w:bookmarkStart w:id="773" w:name="_Toc271200527"/>
      <w:r>
        <w:rPr>
          <w:rStyle w:val="CharSClsNo"/>
        </w:rPr>
        <w:t>14</w:t>
      </w:r>
      <w:r>
        <w:t>.</w:t>
      </w:r>
      <w:r>
        <w:tab/>
      </w:r>
      <w:r>
        <w:rPr>
          <w:i/>
          <w:iCs/>
        </w:rPr>
        <w:t>Mental Health Act 1996</w:t>
      </w:r>
      <w:r>
        <w:t xml:space="preserve"> amended</w:t>
      </w:r>
      <w:bookmarkEnd w:id="773"/>
    </w:p>
    <w:p>
      <w:pPr>
        <w:pStyle w:val="ySubsection"/>
      </w:pPr>
      <w:r>
        <w:tab/>
        <w:t>(1)</w:t>
      </w:r>
      <w:r>
        <w:tab/>
        <w:t xml:space="preserve">The amendments in this clause are to the </w:t>
      </w:r>
      <w:r>
        <w:rPr>
          <w:i/>
          <w:iCs/>
        </w:rPr>
        <w:t>Mental Health Act 1996*</w:t>
      </w:r>
      <w:r>
        <w:t xml:space="preserve">. </w:t>
      </w:r>
    </w:p>
    <w:p>
      <w:pPr>
        <w:pStyle w:val="ySubsection"/>
        <w:rPr>
          <w:i/>
          <w:iCs/>
        </w:rPr>
      </w:pPr>
      <w:r>
        <w:rPr>
          <w:i/>
          <w:iCs/>
        </w:rPr>
        <w:tab/>
      </w:r>
      <w:r>
        <w:rPr>
          <w:i/>
          <w:iCs/>
        </w:rPr>
        <w:tab/>
      </w:r>
      <w:r>
        <w:t>[</w:t>
      </w:r>
      <w:r>
        <w:rPr>
          <w:i/>
          <w:iCs/>
        </w:rPr>
        <w:t>*</w:t>
      </w:r>
      <w:r>
        <w:rPr>
          <w:i/>
          <w:iCs/>
        </w:rPr>
        <w:tab/>
      </w:r>
      <w:r>
        <w:rPr>
          <w:i/>
        </w:rPr>
        <w:t>Reprint 1 as at 6 August 2004</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279</w:t>
      </w:r>
      <w:r>
        <w:rPr>
          <w:i/>
          <w:iCs/>
        </w:rPr>
        <w:t>.</w:t>
      </w:r>
      <w:r>
        <w:t>]</w:t>
      </w:r>
    </w:p>
    <w:p>
      <w:pPr>
        <w:pStyle w:val="ySubsection"/>
      </w:pPr>
      <w:r>
        <w:tab/>
        <w:t>(2)</w:t>
      </w:r>
      <w:r>
        <w:tab/>
        <w:t>Section 19(1)(b)(i) is amended by deleting “</w:t>
      </w:r>
      <w:r>
        <w:rPr>
          <w:i/>
          <w:iCs/>
        </w:rPr>
        <w:t>Nurses Act 1992</w:t>
      </w:r>
      <w:r>
        <w:t xml:space="preserve">;” and inserting instead — </w:t>
      </w:r>
    </w:p>
    <w:p>
      <w:pPr>
        <w:pStyle w:val="ySubsection"/>
      </w:pPr>
      <w:r>
        <w:tab/>
      </w:r>
      <w:r>
        <w:tab/>
        <w:t xml:space="preserve">“    </w:t>
      </w:r>
      <w:r>
        <w:rPr>
          <w:i/>
          <w:sz w:val="24"/>
        </w:rPr>
        <w:t>Nurses and Midwives Act 2006</w:t>
      </w:r>
      <w:r>
        <w:rPr>
          <w:iCs/>
        </w:rPr>
        <w:t>;</w:t>
      </w:r>
      <w:r>
        <w:t xml:space="preserve">    ”.</w:t>
      </w:r>
    </w:p>
    <w:p>
      <w:pPr>
        <w:pStyle w:val="yHeading5"/>
        <w:outlineLvl w:val="0"/>
      </w:pPr>
      <w:bookmarkStart w:id="774" w:name="_Toc271200528"/>
      <w:r>
        <w:rPr>
          <w:rStyle w:val="CharSClsNo"/>
        </w:rPr>
        <w:t>15</w:t>
      </w:r>
      <w:r>
        <w:t>.</w:t>
      </w:r>
      <w:r>
        <w:tab/>
      </w:r>
      <w:r>
        <w:rPr>
          <w:i/>
          <w:iCs/>
        </w:rPr>
        <w:t>Misuse of Drugs Act 1981</w:t>
      </w:r>
      <w:r>
        <w:t xml:space="preserve"> amended</w:t>
      </w:r>
      <w:bookmarkEnd w:id="774"/>
      <w:r>
        <w:t xml:space="preserve"> </w:t>
      </w:r>
    </w:p>
    <w:p>
      <w:pPr>
        <w:pStyle w:val="ySubsection"/>
      </w:pPr>
      <w:r>
        <w:tab/>
        <w:t>(1)</w:t>
      </w:r>
      <w:r>
        <w:tab/>
        <w:t xml:space="preserve">The amendments in this clause are to the </w:t>
      </w:r>
      <w:r>
        <w:rPr>
          <w:i/>
          <w:iCs/>
        </w:rPr>
        <w:t>Misuse of Drugs Act 1981*</w:t>
      </w:r>
      <w:r>
        <w:t xml:space="preserve">. </w:t>
      </w:r>
    </w:p>
    <w:p>
      <w:pPr>
        <w:pStyle w:val="ySubsection"/>
      </w:pPr>
      <w:r>
        <w:rPr>
          <w:i/>
          <w:iCs/>
        </w:rPr>
        <w:tab/>
      </w:r>
      <w:r>
        <w:rPr>
          <w:i/>
          <w:iCs/>
        </w:rPr>
        <w:tab/>
      </w:r>
      <w:r>
        <w:t>[</w:t>
      </w:r>
      <w:r>
        <w:rPr>
          <w:i/>
          <w:iCs/>
        </w:rPr>
        <w:t>*</w:t>
      </w:r>
      <w:r>
        <w:rPr>
          <w:i/>
          <w:iCs/>
        </w:rPr>
        <w:tab/>
      </w:r>
      <w:r>
        <w:rPr>
          <w:i/>
        </w:rPr>
        <w:t xml:space="preserve">Reprint 3 as at </w:t>
      </w:r>
      <w:r>
        <w:rPr>
          <w:i/>
          <w:iCs/>
        </w:rPr>
        <w:t>1 July 2005.</w:t>
      </w:r>
      <w:r>
        <w:t>]</w:t>
      </w:r>
    </w:p>
    <w:p>
      <w:pPr>
        <w:pStyle w:val="ySubsection"/>
        <w:keepNext/>
      </w:pPr>
      <w:r>
        <w:tab/>
        <w:t>(2)</w:t>
      </w:r>
      <w:r>
        <w:tab/>
        <w:t xml:space="preserve">Section 3(1) is amended in the definition of “nurse practitioner” by deleting “the </w:t>
      </w:r>
      <w:r>
        <w:rPr>
          <w:i/>
          <w:iCs/>
        </w:rPr>
        <w:t>Nurses Act 1992</w:t>
      </w:r>
      <w:r>
        <w:t xml:space="preserve">;” and inserting instead — </w:t>
      </w:r>
    </w:p>
    <w:p>
      <w:pPr>
        <w:pStyle w:val="ySubsection"/>
      </w:pPr>
      <w:r>
        <w:tab/>
      </w:r>
      <w:r>
        <w:tab/>
        <w:t xml:space="preserve">“    </w:t>
      </w:r>
      <w:r>
        <w:rPr>
          <w:sz w:val="24"/>
        </w:rPr>
        <w:t>section 3 of the</w:t>
      </w:r>
      <w:r>
        <w:t xml:space="preserve"> </w:t>
      </w:r>
      <w:r>
        <w:rPr>
          <w:i/>
          <w:sz w:val="24"/>
        </w:rPr>
        <w:t>Nurses and Midwives Act 2006</w:t>
      </w:r>
      <w:r>
        <w:rPr>
          <w:iCs/>
          <w:sz w:val="24"/>
        </w:rPr>
        <w:t>;</w:t>
      </w:r>
      <w:r>
        <w:t xml:space="preserve">    ”.</w:t>
      </w:r>
    </w:p>
    <w:p>
      <w:pPr>
        <w:pStyle w:val="yHeading5"/>
        <w:outlineLvl w:val="0"/>
      </w:pPr>
      <w:bookmarkStart w:id="775" w:name="_Toc271200529"/>
      <w:r>
        <w:rPr>
          <w:rStyle w:val="CharSClsNo"/>
        </w:rPr>
        <w:t>16</w:t>
      </w:r>
      <w:r>
        <w:t>.</w:t>
      </w:r>
      <w:r>
        <w:tab/>
      </w:r>
      <w:r>
        <w:rPr>
          <w:i/>
          <w:iCs/>
        </w:rPr>
        <w:t>Pharmacy Act 1964</w:t>
      </w:r>
      <w:r>
        <w:t xml:space="preserve"> amended</w:t>
      </w:r>
      <w:bookmarkEnd w:id="775"/>
    </w:p>
    <w:p>
      <w:pPr>
        <w:pStyle w:val="ySubsection"/>
      </w:pPr>
      <w:r>
        <w:tab/>
        <w:t>(1)</w:t>
      </w:r>
      <w:r>
        <w:tab/>
        <w:t xml:space="preserve">The amendments in this clause are to the </w:t>
      </w:r>
      <w:r>
        <w:rPr>
          <w:i/>
          <w:iCs/>
        </w:rPr>
        <w:t>Pharmacy Act 1964*</w:t>
      </w:r>
      <w:r>
        <w:t xml:space="preserve">. </w:t>
      </w:r>
    </w:p>
    <w:p>
      <w:pPr>
        <w:pStyle w:val="ySubsection"/>
        <w:rPr>
          <w:i/>
          <w:iCs/>
        </w:rPr>
      </w:pPr>
      <w:r>
        <w:rPr>
          <w:i/>
          <w:iCs/>
        </w:rPr>
        <w:tab/>
      </w:r>
      <w:r>
        <w:rPr>
          <w:i/>
          <w:iCs/>
        </w:rPr>
        <w:tab/>
      </w:r>
      <w:r>
        <w:t>[</w:t>
      </w:r>
      <w:r>
        <w:rPr>
          <w:i/>
          <w:iCs/>
        </w:rPr>
        <w:t>*</w:t>
      </w:r>
      <w:r>
        <w:rPr>
          <w:i/>
          <w:iCs/>
        </w:rPr>
        <w:tab/>
      </w:r>
      <w:r>
        <w:rPr>
          <w:i/>
        </w:rPr>
        <w:t xml:space="preserve">Reprinted as at as at </w:t>
      </w:r>
      <w:r>
        <w:rPr>
          <w:i/>
          <w:iCs/>
        </w:rPr>
        <w:t>29 January 1999.</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338</w:t>
      </w:r>
      <w:r>
        <w:rPr>
          <w:i/>
          <w:iCs/>
        </w:rPr>
        <w:t>.</w:t>
      </w:r>
      <w:r>
        <w:t>]</w:t>
      </w:r>
    </w:p>
    <w:p>
      <w:pPr>
        <w:pStyle w:val="ySubsection"/>
      </w:pPr>
      <w:r>
        <w:tab/>
        <w:t>(2)</w:t>
      </w:r>
      <w:r>
        <w:tab/>
        <w:t>Section 5(1) is amended in the definition of “dispensing”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Subsection"/>
      </w:pPr>
      <w:r>
        <w:tab/>
        <w:t>(3)</w:t>
      </w:r>
      <w:r>
        <w:tab/>
        <w:t xml:space="preserve">Section 39(3) is amended in the definition of “nurse practitioner” by deleting “the </w:t>
      </w:r>
      <w:r>
        <w:rPr>
          <w:i/>
          <w:iCs/>
        </w:rPr>
        <w:t>Nurses Act 1992</w:t>
      </w:r>
      <w:r>
        <w:t xml:space="preserve">.” and inserting instead — </w:t>
      </w:r>
    </w:p>
    <w:p>
      <w:pPr>
        <w:pStyle w:val="ySubsection"/>
      </w:pPr>
      <w:r>
        <w:tab/>
      </w:r>
      <w:r>
        <w:tab/>
        <w:t xml:space="preserve">“    </w:t>
      </w:r>
      <w:r>
        <w:rPr>
          <w:sz w:val="24"/>
        </w:rPr>
        <w:t>section 3 of the</w:t>
      </w:r>
      <w:r>
        <w:t xml:space="preserve"> </w:t>
      </w:r>
      <w:r>
        <w:rPr>
          <w:i/>
          <w:sz w:val="24"/>
        </w:rPr>
        <w:t>Nurses and Midwives Act 2006.</w:t>
      </w:r>
      <w:r>
        <w:t xml:space="preserve">    ”.</w:t>
      </w:r>
    </w:p>
    <w:p>
      <w:pPr>
        <w:pStyle w:val="yHeading5"/>
        <w:outlineLvl w:val="0"/>
      </w:pPr>
      <w:bookmarkStart w:id="776" w:name="_Toc271200530"/>
      <w:r>
        <w:rPr>
          <w:rStyle w:val="CharSClsNo"/>
        </w:rPr>
        <w:t>17</w:t>
      </w:r>
      <w:r>
        <w:t>.</w:t>
      </w:r>
      <w:r>
        <w:tab/>
      </w:r>
      <w:r>
        <w:rPr>
          <w:i/>
          <w:iCs/>
        </w:rPr>
        <w:t>Poisons Act 1964</w:t>
      </w:r>
      <w:r>
        <w:t xml:space="preserve"> amended</w:t>
      </w:r>
      <w:bookmarkEnd w:id="776"/>
    </w:p>
    <w:p>
      <w:pPr>
        <w:pStyle w:val="ySubsection"/>
      </w:pPr>
      <w:r>
        <w:tab/>
        <w:t>(1)</w:t>
      </w:r>
      <w:r>
        <w:tab/>
        <w:t xml:space="preserve">The amendments in this clause are to the </w:t>
      </w:r>
      <w:r>
        <w:rPr>
          <w:i/>
          <w:iCs/>
        </w:rPr>
        <w:t>Poisons Act 1964*</w:t>
      </w:r>
      <w:r>
        <w:t xml:space="preserve">. </w:t>
      </w:r>
    </w:p>
    <w:p>
      <w:pPr>
        <w:pStyle w:val="ySubsection"/>
        <w:rPr>
          <w:i/>
          <w:iCs/>
        </w:rPr>
      </w:pPr>
      <w:r>
        <w:rPr>
          <w:i/>
          <w:iCs/>
        </w:rPr>
        <w:tab/>
      </w:r>
      <w:r>
        <w:rPr>
          <w:i/>
          <w:iCs/>
        </w:rPr>
        <w:tab/>
      </w:r>
      <w:r>
        <w:t>[</w:t>
      </w:r>
      <w:r>
        <w:rPr>
          <w:i/>
          <w:iCs/>
        </w:rPr>
        <w:t>*</w:t>
      </w:r>
      <w:r>
        <w:rPr>
          <w:i/>
          <w:iCs/>
        </w:rPr>
        <w:tab/>
      </w:r>
      <w:r>
        <w:rPr>
          <w:i/>
        </w:rPr>
        <w:t xml:space="preserve">Reprint 6 as at </w:t>
      </w:r>
      <w:r>
        <w:rPr>
          <w:i/>
          <w:iCs/>
        </w:rPr>
        <w:t>10 September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347</w:t>
      </w:r>
      <w:r>
        <w:rPr>
          <w:i/>
          <w:iCs/>
        </w:rPr>
        <w:t>.</w:t>
      </w:r>
      <w:r>
        <w:t>]</w:t>
      </w:r>
    </w:p>
    <w:p>
      <w:pPr>
        <w:pStyle w:val="ySubsection"/>
      </w:pPr>
      <w:r>
        <w:tab/>
        <w:t>(2)</w:t>
      </w:r>
      <w:r>
        <w:tab/>
        <w:t xml:space="preserve">Section 5(1) is amended in the definition of “nurse practitioner” by deleting “the </w:t>
      </w:r>
      <w:r>
        <w:rPr>
          <w:i/>
          <w:iCs/>
        </w:rPr>
        <w:t>Nurses Act 1992</w:t>
      </w:r>
      <w:r>
        <w:t>;” and inserting instead —</w:t>
      </w:r>
    </w:p>
    <w:p>
      <w:pPr>
        <w:pStyle w:val="ySubsection"/>
      </w:pPr>
      <w:r>
        <w:tab/>
      </w:r>
      <w:r>
        <w:tab/>
        <w:t xml:space="preserve">“    </w:t>
      </w:r>
      <w:r>
        <w:rPr>
          <w:sz w:val="24"/>
        </w:rPr>
        <w:t>section 3 of the</w:t>
      </w:r>
      <w:r>
        <w:t xml:space="preserve"> </w:t>
      </w:r>
      <w:r>
        <w:rPr>
          <w:i/>
          <w:sz w:val="24"/>
        </w:rPr>
        <w:t>Nurses and Midwives Act 2006</w:t>
      </w:r>
      <w:r>
        <w:rPr>
          <w:iCs/>
          <w:sz w:val="24"/>
        </w:rPr>
        <w:t>;</w:t>
      </w:r>
      <w:r>
        <w:t xml:space="preserve">    ”.</w:t>
      </w:r>
    </w:p>
    <w:p>
      <w:pPr>
        <w:pStyle w:val="ySubsection"/>
      </w:pPr>
      <w:r>
        <w:tab/>
        <w:t>(3)</w:t>
      </w:r>
      <w:r>
        <w:tab/>
        <w:t xml:space="preserve">Section 61(b)(ia) is amended by deleting “Nurses Board of Western Australia constituted under the </w:t>
      </w:r>
      <w:r>
        <w:rPr>
          <w:i/>
          <w:iCs/>
        </w:rPr>
        <w:t>Nurses Act 1992</w:t>
      </w:r>
      <w:r>
        <w:t xml:space="preserve">;” and inserting instead — </w:t>
      </w:r>
    </w:p>
    <w:p>
      <w:pPr>
        <w:pStyle w:val="MiscOpen"/>
        <w:tabs>
          <w:tab w:val="clear" w:pos="893"/>
        </w:tabs>
        <w:ind w:left="879" w:firstLine="1673"/>
        <w:rPr>
          <w:sz w:val="22"/>
        </w:rPr>
      </w:pPr>
      <w:r>
        <w:rPr>
          <w:sz w:val="22"/>
        </w:rPr>
        <w:t xml:space="preserve">“    </w:t>
      </w:r>
    </w:p>
    <w:p>
      <w:pPr>
        <w:pStyle w:val="zIndenti"/>
        <w:spacing w:before="0"/>
      </w:pPr>
      <w:r>
        <w:tab/>
      </w:r>
      <w:r>
        <w:tab/>
        <w:t xml:space="preserve">Nurses and Midwives Board of Western Australia established under the </w:t>
      </w:r>
      <w:r>
        <w:rPr>
          <w:i/>
        </w:rPr>
        <w:t>Nurses and Midwives Act 2006</w:t>
      </w:r>
      <w:r>
        <w:rPr>
          <w:iCs/>
        </w:rPr>
        <w:t>;</w:t>
      </w:r>
    </w:p>
    <w:p>
      <w:pPr>
        <w:pStyle w:val="MiscClose"/>
        <w:rPr>
          <w:sz w:val="22"/>
        </w:rPr>
      </w:pPr>
      <w:r>
        <w:rPr>
          <w:sz w:val="22"/>
        </w:rPr>
        <w:t xml:space="preserve">    ”.</w:t>
      </w:r>
    </w:p>
    <w:p>
      <w:pPr>
        <w:pStyle w:val="yHeading5"/>
        <w:outlineLvl w:val="0"/>
      </w:pPr>
      <w:bookmarkStart w:id="777" w:name="_Toc271200531"/>
      <w:r>
        <w:rPr>
          <w:rStyle w:val="CharSClsNo"/>
        </w:rPr>
        <w:t>18</w:t>
      </w:r>
      <w:r>
        <w:t>.</w:t>
      </w:r>
      <w:r>
        <w:tab/>
      </w:r>
      <w:r>
        <w:rPr>
          <w:i/>
          <w:iCs/>
        </w:rPr>
        <w:t>Prostitution Act 2000</w:t>
      </w:r>
      <w:r>
        <w:t xml:space="preserve"> amended</w:t>
      </w:r>
      <w:bookmarkEnd w:id="777"/>
    </w:p>
    <w:p>
      <w:pPr>
        <w:pStyle w:val="ySubsection"/>
      </w:pPr>
      <w:r>
        <w:tab/>
        <w:t>(1)</w:t>
      </w:r>
      <w:r>
        <w:tab/>
        <w:t xml:space="preserve">The amendments in this clause are to the </w:t>
      </w:r>
      <w:r>
        <w:rPr>
          <w:i/>
          <w:iCs/>
        </w:rPr>
        <w:t>Prostitution Act 2000</w:t>
      </w:r>
      <w:r>
        <w:t>*.</w:t>
      </w:r>
    </w:p>
    <w:p>
      <w:pPr>
        <w:pStyle w:val="ySubsection"/>
      </w:pPr>
      <w:r>
        <w:rPr>
          <w:i/>
          <w:iCs/>
        </w:rPr>
        <w:tab/>
      </w:r>
      <w:r>
        <w:rPr>
          <w:i/>
          <w:iCs/>
        </w:rPr>
        <w:tab/>
      </w:r>
      <w:r>
        <w:t>[</w:t>
      </w:r>
      <w:r>
        <w:rPr>
          <w:i/>
          <w:iCs/>
        </w:rPr>
        <w:t>*</w:t>
      </w:r>
      <w:r>
        <w:rPr>
          <w:i/>
          <w:iCs/>
        </w:rPr>
        <w:tab/>
      </w:r>
      <w:r>
        <w:rPr>
          <w:i/>
        </w:rPr>
        <w:t>Reprint 1 as at 22 July 2005</w:t>
      </w:r>
      <w:r>
        <w:rPr>
          <w:i/>
          <w:iCs/>
        </w:rPr>
        <w:t>.</w:t>
      </w:r>
      <w:r>
        <w:t>]</w:t>
      </w:r>
    </w:p>
    <w:p>
      <w:pPr>
        <w:pStyle w:val="ySubsection"/>
      </w:pPr>
      <w:r>
        <w:tab/>
        <w:t>(2)</w:t>
      </w:r>
      <w:r>
        <w:tab/>
        <w:t xml:space="preserve">Section 29(7) is amended in the definition of “registered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outlineLvl w:val="0"/>
      </w:pPr>
      <w:bookmarkStart w:id="778" w:name="_Toc271200532"/>
      <w:r>
        <w:rPr>
          <w:rStyle w:val="CharSClsNo"/>
        </w:rPr>
        <w:t>19</w:t>
      </w:r>
      <w:r>
        <w:t>.</w:t>
      </w:r>
      <w:r>
        <w:tab/>
      </w:r>
      <w:r>
        <w:rPr>
          <w:i/>
          <w:iCs/>
        </w:rPr>
        <w:t>Radiation Safety Act 1975</w:t>
      </w:r>
      <w:r>
        <w:t xml:space="preserve"> amended</w:t>
      </w:r>
      <w:bookmarkEnd w:id="778"/>
    </w:p>
    <w:p>
      <w:pPr>
        <w:pStyle w:val="ySubsection"/>
      </w:pPr>
      <w:r>
        <w:tab/>
        <w:t>(1)</w:t>
      </w:r>
      <w:r>
        <w:tab/>
        <w:t xml:space="preserve">The amendments in this clause are to the </w:t>
      </w:r>
      <w:r>
        <w:rPr>
          <w:i/>
          <w:iCs/>
        </w:rPr>
        <w:t>Radiation Safety Act 1975</w:t>
      </w:r>
      <w:r>
        <w:t>*.</w:t>
      </w:r>
    </w:p>
    <w:p>
      <w:pPr>
        <w:pStyle w:val="ySubsection"/>
        <w:rPr>
          <w:i/>
          <w:iCs/>
        </w:rPr>
      </w:pPr>
      <w:r>
        <w:rPr>
          <w:i/>
          <w:iCs/>
        </w:rPr>
        <w:tab/>
      </w:r>
      <w:r>
        <w:rPr>
          <w:i/>
          <w:iCs/>
        </w:rPr>
        <w:tab/>
      </w:r>
      <w:r>
        <w:t>[</w:t>
      </w:r>
      <w:r>
        <w:rPr>
          <w:i/>
          <w:iCs/>
        </w:rPr>
        <w:t>*</w:t>
      </w:r>
      <w:r>
        <w:rPr>
          <w:i/>
          <w:iCs/>
        </w:rPr>
        <w:tab/>
      </w:r>
      <w:r>
        <w:rPr>
          <w:i/>
        </w:rPr>
        <w:t>Reprinted as at 25 February 2000</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375</w:t>
      </w:r>
      <w:r>
        <w:rPr>
          <w:i/>
          <w:iCs/>
        </w:rPr>
        <w:t>.</w:t>
      </w:r>
      <w:r>
        <w:t>]</w:t>
      </w:r>
    </w:p>
    <w:p>
      <w:pPr>
        <w:pStyle w:val="ySubsection"/>
      </w:pPr>
      <w:r>
        <w:tab/>
        <w:t>(2)</w:t>
      </w:r>
      <w:r>
        <w:tab/>
        <w:t>Section 26(2a) is amended as follows:</w:t>
      </w:r>
    </w:p>
    <w:p>
      <w:pPr>
        <w:pStyle w:val="yIndenta"/>
      </w:pPr>
      <w:r>
        <w:tab/>
        <w:t>(a)</w:t>
      </w:r>
      <w:r>
        <w:tab/>
        <w:t>by deleting “</w:t>
      </w:r>
      <w:r>
        <w:rPr>
          <w:i/>
          <w:iCs/>
        </w:rPr>
        <w:t>Nurses Act 1992</w:t>
      </w:r>
      <w:r>
        <w:t>” and inserting instead —</w:t>
      </w:r>
    </w:p>
    <w:p>
      <w:pPr>
        <w:pStyle w:val="yIndenta"/>
      </w:pPr>
      <w:r>
        <w:tab/>
      </w:r>
      <w:r>
        <w:tab/>
        <w:t xml:space="preserve">“    </w:t>
      </w:r>
      <w:r>
        <w:rPr>
          <w:i/>
          <w:iCs/>
          <w:sz w:val="24"/>
        </w:rPr>
        <w:t>Nurses and Midwives Act 2006</w:t>
      </w:r>
      <w:r>
        <w:t xml:space="preserve">    ”;</w:t>
      </w:r>
    </w:p>
    <w:p>
      <w:pPr>
        <w:pStyle w:val="yIndenta"/>
      </w:pPr>
      <w:r>
        <w:tab/>
        <w:t>(b)</w:t>
      </w:r>
      <w:r>
        <w:tab/>
        <w:t>by deleting “section 9(1)(c)” and inserting instead —</w:t>
      </w:r>
    </w:p>
    <w:p>
      <w:pPr>
        <w:pStyle w:val="yIndenta"/>
      </w:pPr>
      <w:r>
        <w:tab/>
      </w:r>
      <w:r>
        <w:tab/>
        <w:t xml:space="preserve">“    </w:t>
      </w:r>
      <w:r>
        <w:rPr>
          <w:iCs/>
          <w:sz w:val="24"/>
        </w:rPr>
        <w:t>section 100(1)(b)</w:t>
      </w:r>
      <w:r>
        <w:t xml:space="preserve">    ”.</w:t>
      </w:r>
    </w:p>
    <w:p>
      <w:pPr>
        <w:pStyle w:val="yHeading5"/>
        <w:outlineLvl w:val="0"/>
      </w:pPr>
      <w:bookmarkStart w:id="779" w:name="_Toc271200533"/>
      <w:r>
        <w:rPr>
          <w:rStyle w:val="CharSClsNo"/>
        </w:rPr>
        <w:t>20</w:t>
      </w:r>
      <w:r>
        <w:t>.</w:t>
      </w:r>
      <w:r>
        <w:tab/>
      </w:r>
      <w:r>
        <w:rPr>
          <w:i/>
          <w:iCs/>
        </w:rPr>
        <w:t>Road Traffic Act 1974</w:t>
      </w:r>
      <w:r>
        <w:t xml:space="preserve"> amended</w:t>
      </w:r>
      <w:bookmarkEnd w:id="779"/>
    </w:p>
    <w:p>
      <w:pPr>
        <w:pStyle w:val="ySubsection"/>
      </w:pPr>
      <w:r>
        <w:tab/>
        <w:t>(1)</w:t>
      </w:r>
      <w:r>
        <w:tab/>
        <w:t xml:space="preserve">The amendments in this clause are to the </w:t>
      </w:r>
      <w:r>
        <w:rPr>
          <w:i/>
          <w:iCs/>
        </w:rPr>
        <w:t>Road Traffic Act 1974</w:t>
      </w:r>
      <w:r>
        <w:t xml:space="preserve">*. </w:t>
      </w:r>
    </w:p>
    <w:p>
      <w:pPr>
        <w:pStyle w:val="ySubsection"/>
        <w:rPr>
          <w:i/>
          <w:iCs/>
        </w:rPr>
      </w:pPr>
      <w:r>
        <w:rPr>
          <w:i/>
          <w:iCs/>
        </w:rPr>
        <w:tab/>
      </w:r>
      <w:r>
        <w:rPr>
          <w:i/>
          <w:iCs/>
        </w:rPr>
        <w:tab/>
      </w:r>
      <w:r>
        <w:t>[</w:t>
      </w:r>
      <w:r>
        <w:rPr>
          <w:i/>
          <w:iCs/>
        </w:rPr>
        <w:t>*</w:t>
      </w:r>
      <w:r>
        <w:rPr>
          <w:i/>
          <w:iCs/>
        </w:rPr>
        <w:tab/>
      </w:r>
      <w:r>
        <w:rPr>
          <w:i/>
        </w:rPr>
        <w:t xml:space="preserve">Reprint </w:t>
      </w:r>
      <w:r>
        <w:rPr>
          <w:i/>
          <w:iCs/>
        </w:rPr>
        <w:t>8 as at 16 July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395</w:t>
      </w:r>
      <w:r>
        <w:rPr>
          <w:i/>
          <w:iCs/>
          <w:spacing w:val="-2"/>
        </w:rPr>
        <w:noBreakHyphen/>
        <w:t>6</w:t>
      </w:r>
      <w:r>
        <w:rPr>
          <w:i/>
          <w:iCs/>
        </w:rPr>
        <w:t xml:space="preserve"> and Gazette 27 May 2005 p. 2306-8.</w:t>
      </w:r>
      <w:r>
        <w:t>]</w:t>
      </w:r>
    </w:p>
    <w:p>
      <w:pPr>
        <w:pStyle w:val="ySubsection"/>
      </w:pPr>
      <w:r>
        <w:tab/>
        <w:t>(2)</w:t>
      </w:r>
      <w:r>
        <w:tab/>
        <w:t>Section 63(7) is amended by deleting “</w:t>
      </w:r>
      <w:r>
        <w:rPr>
          <w:i/>
          <w:iCs/>
        </w:rPr>
        <w:t>Nurses Act 1992</w:t>
      </w:r>
      <w:r>
        <w:t>,” in both places where it occurs and in each case inserting instead —</w:t>
      </w:r>
    </w:p>
    <w:p>
      <w:pPr>
        <w:pStyle w:val="ySubsection"/>
      </w:pPr>
      <w:r>
        <w:tab/>
      </w:r>
      <w:r>
        <w:tab/>
        <w:t xml:space="preserve">“    </w:t>
      </w:r>
      <w:r>
        <w:rPr>
          <w:i/>
          <w:sz w:val="24"/>
        </w:rPr>
        <w:t>Nurses and Midwives Act 2006</w:t>
      </w:r>
      <w:r>
        <w:rPr>
          <w:iCs/>
          <w:sz w:val="24"/>
        </w:rPr>
        <w:t>,</w:t>
      </w:r>
      <w:r>
        <w:t xml:space="preserve">    ”.</w:t>
      </w:r>
    </w:p>
    <w:p>
      <w:pPr>
        <w:pStyle w:val="ySubsection"/>
        <w:keepNext/>
      </w:pPr>
      <w:r>
        <w:tab/>
        <w:t>(3)</w:t>
      </w:r>
      <w:r>
        <w:tab/>
        <w:t xml:space="preserve">Section 65 is amended by deleting the definition of “registered nurse” and inserting instead — </w:t>
      </w:r>
    </w:p>
    <w:p>
      <w:pPr>
        <w:pStyle w:val="MiscOpen"/>
        <w:tabs>
          <w:tab w:val="clear" w:pos="893"/>
        </w:tabs>
        <w:ind w:left="879" w:firstLine="255"/>
        <w:rPr>
          <w:sz w:val="22"/>
        </w:rPr>
      </w:pPr>
      <w:r>
        <w:rPr>
          <w:sz w:val="22"/>
        </w:rPr>
        <w:t xml:space="preserve">“    </w:t>
      </w:r>
    </w:p>
    <w:p>
      <w:pPr>
        <w:pStyle w:val="zDefstart"/>
        <w:spacing w:before="0"/>
      </w:pPr>
      <w:r>
        <w:rPr>
          <w:b/>
        </w:rPr>
        <w:tab/>
      </w:r>
      <w:r>
        <w:rPr>
          <w:rStyle w:val="CharDefText"/>
        </w:rPr>
        <w:t>registered nurse</w:t>
      </w:r>
      <w:r>
        <w:t xml:space="preserve"> has the meaning given to that term in section 3 of the </w:t>
      </w:r>
      <w:r>
        <w:rPr>
          <w:i/>
        </w:rPr>
        <w:t>Nurses and Midwives Act 2006</w:t>
      </w:r>
      <w:r>
        <w:rPr>
          <w:iCs/>
        </w:rPr>
        <w:t>;</w:t>
      </w:r>
    </w:p>
    <w:p>
      <w:pPr>
        <w:pStyle w:val="MiscClose"/>
        <w:rPr>
          <w:sz w:val="22"/>
        </w:rPr>
      </w:pPr>
      <w:r>
        <w:rPr>
          <w:sz w:val="22"/>
        </w:rPr>
        <w:t xml:space="preserve">    ”.</w:t>
      </w:r>
    </w:p>
    <w:p>
      <w:pPr>
        <w:pStyle w:val="yHeading5"/>
        <w:outlineLvl w:val="0"/>
      </w:pPr>
      <w:bookmarkStart w:id="780" w:name="_Toc271200534"/>
      <w:r>
        <w:rPr>
          <w:rStyle w:val="CharSClsNo"/>
        </w:rPr>
        <w:t>21</w:t>
      </w:r>
      <w:r>
        <w:t>.</w:t>
      </w:r>
      <w:r>
        <w:tab/>
      </w:r>
      <w:r>
        <w:rPr>
          <w:i/>
        </w:rPr>
        <w:t xml:space="preserve">State Administrative Tribunal Act 2004 </w:t>
      </w:r>
      <w:r>
        <w:t>amended</w:t>
      </w:r>
      <w:bookmarkEnd w:id="780"/>
    </w:p>
    <w:p>
      <w:pPr>
        <w:pStyle w:val="ySubsection"/>
      </w:pPr>
      <w:r>
        <w:tab/>
        <w:t>(1)</w:t>
      </w:r>
      <w:r>
        <w:tab/>
        <w:t xml:space="preserve">The amendments in this clause are to the </w:t>
      </w:r>
      <w:r>
        <w:rPr>
          <w:i/>
        </w:rPr>
        <w:t>State Administrative Tribunal Act 2004</w:t>
      </w:r>
      <w:r>
        <w:t>*.</w:t>
      </w:r>
    </w:p>
    <w:p>
      <w:pPr>
        <w:pStyle w:val="ySubsection"/>
        <w:rPr>
          <w:i/>
          <w:iCs/>
        </w:rPr>
      </w:pPr>
      <w:r>
        <w:rPr>
          <w:i/>
          <w:iCs/>
        </w:rPr>
        <w:tab/>
      </w:r>
      <w:r>
        <w:rPr>
          <w:i/>
          <w:iCs/>
        </w:rPr>
        <w:tab/>
      </w:r>
      <w:r>
        <w:t>[</w:t>
      </w:r>
      <w:r>
        <w:rPr>
          <w:i/>
          <w:iCs/>
        </w:rPr>
        <w:t>*</w:t>
      </w:r>
      <w:r>
        <w:rPr>
          <w:i/>
          <w:iCs/>
        </w:rPr>
        <w:tab/>
      </w:r>
      <w:r>
        <w:rPr>
          <w:i/>
        </w:rPr>
        <w:t>Act No. 54 of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427</w:t>
      </w:r>
      <w:r>
        <w:rPr>
          <w:i/>
          <w:iCs/>
        </w:rPr>
        <w:t>.</w:t>
      </w:r>
      <w:r>
        <w:t>]</w:t>
      </w:r>
    </w:p>
    <w:p>
      <w:pPr>
        <w:pStyle w:val="ySubsection"/>
      </w:pPr>
      <w:r>
        <w:tab/>
        <w:t>(2)</w:t>
      </w:r>
      <w:r>
        <w:tab/>
        <w:t>Schedule 1 is amended by deleting “</w:t>
      </w:r>
      <w:r>
        <w:rPr>
          <w:i/>
          <w:iCs/>
        </w:rPr>
        <w:t>Nurses Act 1992</w:t>
      </w:r>
      <w:r>
        <w:t xml:space="preserve">” and inserting instead — </w:t>
      </w:r>
    </w:p>
    <w:p>
      <w:pPr>
        <w:pStyle w:val="ySubsection"/>
      </w:pPr>
      <w:r>
        <w:tab/>
      </w:r>
      <w:r>
        <w:tab/>
        <w:t xml:space="preserve">“    </w:t>
      </w:r>
      <w:r>
        <w:rPr>
          <w:i/>
        </w:rPr>
        <w:t>Nurses and Midwives Act 2006</w:t>
      </w:r>
      <w:r>
        <w:t xml:space="preserve">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781" w:name="_Toc177790916"/>
      <w:bookmarkStart w:id="782" w:name="_Toc177791126"/>
      <w:bookmarkStart w:id="783" w:name="_Toc177810723"/>
      <w:bookmarkStart w:id="784" w:name="_Toc196196937"/>
      <w:bookmarkStart w:id="785" w:name="_Toc199820637"/>
      <w:bookmarkStart w:id="786" w:name="_Toc215544985"/>
      <w:bookmarkStart w:id="787" w:name="_Toc223859012"/>
      <w:bookmarkStart w:id="788" w:name="_Toc223859222"/>
      <w:bookmarkStart w:id="789" w:name="_Toc271105598"/>
      <w:bookmarkStart w:id="790" w:name="_Toc271200535"/>
      <w:r>
        <w:t>Notes</w:t>
      </w:r>
      <w:bookmarkEnd w:id="296"/>
      <w:bookmarkEnd w:id="668"/>
      <w:bookmarkEnd w:id="669"/>
      <w:bookmarkEnd w:id="781"/>
      <w:bookmarkEnd w:id="782"/>
      <w:bookmarkEnd w:id="783"/>
      <w:bookmarkEnd w:id="784"/>
      <w:bookmarkEnd w:id="785"/>
      <w:bookmarkEnd w:id="786"/>
      <w:bookmarkEnd w:id="787"/>
      <w:bookmarkEnd w:id="788"/>
      <w:bookmarkEnd w:id="789"/>
      <w:bookmarkEnd w:id="790"/>
    </w:p>
    <w:p>
      <w:pPr>
        <w:pStyle w:val="nSubsection"/>
        <w:rPr>
          <w:snapToGrid w:val="0"/>
        </w:rPr>
      </w:pPr>
      <w:bookmarkStart w:id="791" w:name="_Toc512403484"/>
      <w:bookmarkStart w:id="792" w:name="_Toc512403627"/>
      <w:bookmarkStart w:id="793" w:name="_Toc36369351"/>
      <w:r>
        <w:rPr>
          <w:snapToGrid w:val="0"/>
          <w:vertAlign w:val="superscript"/>
        </w:rPr>
        <w:t>1</w:t>
      </w:r>
      <w:r>
        <w:rPr>
          <w:snapToGrid w:val="0"/>
        </w:rPr>
        <w:tab/>
        <w:t xml:space="preserve">This is a compilation of the </w:t>
      </w:r>
      <w:r>
        <w:rPr>
          <w:i/>
          <w:noProof/>
          <w:snapToGrid w:val="0"/>
        </w:rPr>
        <w:t>Nurses and Midwives Act 2006</w:t>
      </w:r>
      <w:r>
        <w:rPr>
          <w:iCs/>
          <w:noProof/>
          <w:snapToGrid w:val="0"/>
        </w:rPr>
        <w:t xml:space="preserve"> </w:t>
      </w:r>
      <w:r>
        <w:rPr>
          <w:snapToGrid w:val="0"/>
        </w:rPr>
        <w:t>and includes the amendments made by the other written laws referred to in the following table </w:t>
      </w:r>
      <w:r>
        <w:rPr>
          <w:snapToGrid w:val="0"/>
          <w:vertAlign w:val="superscript"/>
        </w:rPr>
        <w:t>1a</w:t>
      </w:r>
      <w:r>
        <w:rPr>
          <w:snapToGrid w:val="0"/>
        </w:rPr>
        <w:t>.</w:t>
      </w:r>
    </w:p>
    <w:p>
      <w:pPr>
        <w:pStyle w:val="nHeading3"/>
        <w:outlineLvl w:val="0"/>
        <w:rPr>
          <w:snapToGrid w:val="0"/>
        </w:rPr>
      </w:pPr>
      <w:bookmarkStart w:id="794" w:name="_Toc148175678"/>
      <w:bookmarkStart w:id="795" w:name="_Toc271200536"/>
      <w:r>
        <w:rPr>
          <w:snapToGrid w:val="0"/>
        </w:rPr>
        <w:t>Compilation table</w:t>
      </w:r>
      <w:bookmarkEnd w:id="791"/>
      <w:bookmarkEnd w:id="792"/>
      <w:bookmarkEnd w:id="793"/>
      <w:bookmarkEnd w:id="794"/>
      <w:bookmarkEnd w:id="795"/>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tcBorders>
          </w:tcPr>
          <w:p>
            <w:pPr>
              <w:pStyle w:val="nTable"/>
              <w:rPr>
                <w:b/>
              </w:rPr>
            </w:pPr>
            <w:r>
              <w:rPr>
                <w:b/>
              </w:rPr>
              <w:t>Short title</w:t>
            </w:r>
          </w:p>
        </w:tc>
        <w:tc>
          <w:tcPr>
            <w:tcW w:w="1134" w:type="dxa"/>
            <w:gridSpan w:val="2"/>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gridSpan w:val="2"/>
            <w:tcBorders>
              <w:top w:val="single" w:sz="4" w:space="0" w:color="auto"/>
            </w:tcBorders>
          </w:tcPr>
          <w:p>
            <w:pPr>
              <w:pStyle w:val="nTable"/>
              <w:rPr>
                <w:b/>
              </w:rPr>
            </w:pPr>
            <w:r>
              <w:rPr>
                <w:b/>
              </w:rPr>
              <w:t>Commencement</w:t>
            </w:r>
          </w:p>
        </w:tc>
      </w:tr>
      <w:tr>
        <w:tc>
          <w:tcPr>
            <w:tcW w:w="2268" w:type="dxa"/>
            <w:gridSpan w:val="2"/>
            <w:tcBorders>
              <w:top w:val="single" w:sz="4" w:space="0" w:color="auto"/>
            </w:tcBorders>
          </w:tcPr>
          <w:p>
            <w:pPr>
              <w:pStyle w:val="nTable"/>
              <w:spacing w:before="100"/>
              <w:rPr>
                <w:iCs/>
                <w:sz w:val="19"/>
              </w:rPr>
            </w:pPr>
            <w:r>
              <w:rPr>
                <w:i/>
                <w:noProof/>
                <w:snapToGrid w:val="0"/>
                <w:sz w:val="19"/>
              </w:rPr>
              <w:t>Nurses and Midwives Act 2006</w:t>
            </w:r>
          </w:p>
        </w:tc>
        <w:tc>
          <w:tcPr>
            <w:tcW w:w="1134" w:type="dxa"/>
            <w:gridSpan w:val="2"/>
            <w:tcBorders>
              <w:top w:val="single" w:sz="4" w:space="0" w:color="auto"/>
            </w:tcBorders>
          </w:tcPr>
          <w:p>
            <w:pPr>
              <w:pStyle w:val="nTable"/>
              <w:spacing w:before="100"/>
              <w:rPr>
                <w:sz w:val="19"/>
              </w:rPr>
            </w:pPr>
            <w:r>
              <w:rPr>
                <w:sz w:val="19"/>
              </w:rPr>
              <w:t>50 of 2006</w:t>
            </w:r>
          </w:p>
        </w:tc>
        <w:tc>
          <w:tcPr>
            <w:tcW w:w="1134" w:type="dxa"/>
            <w:tcBorders>
              <w:top w:val="single" w:sz="4" w:space="0" w:color="auto"/>
            </w:tcBorders>
          </w:tcPr>
          <w:p>
            <w:pPr>
              <w:pStyle w:val="nTable"/>
              <w:spacing w:before="100"/>
              <w:rPr>
                <w:sz w:val="19"/>
              </w:rPr>
            </w:pPr>
            <w:r>
              <w:rPr>
                <w:sz w:val="19"/>
              </w:rPr>
              <w:t>6 Oct 2006</w:t>
            </w:r>
          </w:p>
        </w:tc>
        <w:tc>
          <w:tcPr>
            <w:tcW w:w="2552" w:type="dxa"/>
            <w:gridSpan w:val="2"/>
            <w:tcBorders>
              <w:top w:val="single" w:sz="4" w:space="0" w:color="auto"/>
            </w:tcBorders>
          </w:tcPr>
          <w:p>
            <w:pPr>
              <w:pStyle w:val="nTable"/>
              <w:spacing w:before="100"/>
              <w:rPr>
                <w:sz w:val="19"/>
              </w:rPr>
            </w:pPr>
            <w:r>
              <w:rPr>
                <w:sz w:val="19"/>
              </w:rPr>
              <w:t>s. 1 and 2: 6 Oct 2006 (see s. 2);</w:t>
            </w:r>
            <w:r>
              <w:rPr>
                <w:sz w:val="19"/>
              </w:rPr>
              <w:br/>
              <w:t xml:space="preserve">Act other than s. 1 and 2: 19 Sep 2007 (see s. 2 and </w:t>
            </w:r>
            <w:r>
              <w:rPr>
                <w:i/>
                <w:iCs/>
                <w:sz w:val="19"/>
              </w:rPr>
              <w:t>Gazette</w:t>
            </w:r>
            <w:r>
              <w:rPr>
                <w:sz w:val="19"/>
              </w:rPr>
              <w:t xml:space="preserve"> 18 Sep 2007 p. 4711)</w:t>
            </w:r>
          </w:p>
        </w:tc>
      </w:tr>
      <w:tr>
        <w:tc>
          <w:tcPr>
            <w:tcW w:w="2268" w:type="dxa"/>
            <w:gridSpan w:val="2"/>
          </w:tcPr>
          <w:p>
            <w:pPr>
              <w:pStyle w:val="nTable"/>
              <w:spacing w:before="100"/>
              <w:rPr>
                <w:i/>
                <w:noProof/>
                <w:snapToGrid w:val="0"/>
                <w:sz w:val="19"/>
              </w:rPr>
            </w:pPr>
            <w:r>
              <w:rPr>
                <w:i/>
                <w:iCs/>
                <w:snapToGrid w:val="0"/>
                <w:sz w:val="19"/>
                <w:lang w:val="en-US"/>
              </w:rPr>
              <w:t>Legal Profession Act 2008</w:t>
            </w:r>
            <w:r>
              <w:rPr>
                <w:snapToGrid w:val="0"/>
                <w:sz w:val="19"/>
                <w:lang w:val="en-US"/>
              </w:rPr>
              <w:t xml:space="preserve"> s. 683 </w:t>
            </w:r>
          </w:p>
        </w:tc>
        <w:tc>
          <w:tcPr>
            <w:tcW w:w="1134" w:type="dxa"/>
            <w:gridSpan w:val="2"/>
          </w:tcPr>
          <w:p>
            <w:pPr>
              <w:pStyle w:val="nTable"/>
              <w:spacing w:before="100"/>
              <w:rPr>
                <w:sz w:val="19"/>
              </w:rPr>
            </w:pPr>
            <w:r>
              <w:rPr>
                <w:snapToGrid w:val="0"/>
                <w:sz w:val="19"/>
                <w:lang w:val="en-US"/>
              </w:rPr>
              <w:t>21 of 2008</w:t>
            </w:r>
          </w:p>
        </w:tc>
        <w:tc>
          <w:tcPr>
            <w:tcW w:w="1134" w:type="dxa"/>
          </w:tcPr>
          <w:p>
            <w:pPr>
              <w:pStyle w:val="nTable"/>
              <w:spacing w:before="100"/>
              <w:rPr>
                <w:sz w:val="19"/>
              </w:rPr>
            </w:pPr>
            <w:r>
              <w:rPr>
                <w:snapToGrid w:val="0"/>
                <w:sz w:val="19"/>
                <w:lang w:val="en-US"/>
              </w:rPr>
              <w:t>27 May 2008</w:t>
            </w:r>
          </w:p>
        </w:tc>
        <w:tc>
          <w:tcPr>
            <w:tcW w:w="2552" w:type="dxa"/>
            <w:gridSpan w:val="2"/>
          </w:tcPr>
          <w:p>
            <w:pPr>
              <w:pStyle w:val="nTable"/>
              <w:spacing w:before="10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tabs>
          <w:tab w:val="clear" w:pos="454"/>
          <w:tab w:val="left" w:pos="567"/>
        </w:tabs>
        <w:spacing w:before="120"/>
        <w:ind w:left="567" w:hanging="567"/>
        <w:rPr>
          <w:snapToGrid w:val="0"/>
        </w:rPr>
      </w:pPr>
      <w:bookmarkStart w:id="796" w:name="_Hlt44411875"/>
      <w:bookmarkStart w:id="797" w:name="_Hlt44390569"/>
      <w:bookmarkStart w:id="798" w:name="_Hlt54170659"/>
      <w:bookmarkStart w:id="799" w:name="_Hlt54170738"/>
      <w:bookmarkStart w:id="800" w:name="_Hlt44390660"/>
      <w:bookmarkStart w:id="801" w:name="_Hlt44405067"/>
      <w:bookmarkStart w:id="802" w:name="_Hlt44386006"/>
      <w:bookmarkStart w:id="803" w:name="_Hlt44396870"/>
      <w:bookmarkStart w:id="804" w:name="_Hlt44405777"/>
      <w:bookmarkStart w:id="805" w:name="_Hlt44406487"/>
      <w:bookmarkStart w:id="806" w:name="_Hlt44411239"/>
      <w:bookmarkStart w:id="807" w:name="_Hlt44411312"/>
      <w:bookmarkStart w:id="808" w:name="_Hlt44412980"/>
      <w:bookmarkStart w:id="809" w:name="_Hlt44386640"/>
      <w:bookmarkStart w:id="810" w:name="_Hlt44385427"/>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11" w:name="_Toc7405065"/>
      <w:bookmarkStart w:id="812" w:name="_Toc181500909"/>
      <w:bookmarkStart w:id="813" w:name="_Toc193100050"/>
      <w:bookmarkStart w:id="814" w:name="_Toc271200537"/>
      <w:r>
        <w:t>Provisions that have not come into operation</w:t>
      </w:r>
      <w:bookmarkEnd w:id="811"/>
      <w:bookmarkEnd w:id="812"/>
      <w:bookmarkEnd w:id="813"/>
      <w:bookmarkEnd w:id="814"/>
    </w:p>
    <w:tbl>
      <w:tblPr>
        <w:tblW w:w="0" w:type="auto"/>
        <w:tblInd w:w="28" w:type="dxa"/>
        <w:tblLayout w:type="fixed"/>
        <w:tblCellMar>
          <w:left w:w="56" w:type="dxa"/>
          <w:right w:w="56" w:type="dxa"/>
        </w:tblCellMar>
        <w:tblLook w:val="0000" w:firstRow="0" w:lastRow="0" w:firstColumn="0" w:lastColumn="0" w:noHBand="0" w:noVBand="0"/>
      </w:tblPr>
      <w:tblGrid>
        <w:gridCol w:w="2266"/>
        <w:gridCol w:w="7"/>
        <w:gridCol w:w="1113"/>
        <w:gridCol w:w="22"/>
        <w:gridCol w:w="1113"/>
        <w:gridCol w:w="22"/>
        <w:gridCol w:w="2554"/>
        <w:gridCol w:w="17"/>
      </w:tblGrid>
      <w:tr>
        <w:trPr>
          <w:gridAfter w:val="1"/>
          <w:wAfter w:w="17" w:type="dxa"/>
          <w:cantSplit/>
          <w:tblHeader/>
        </w:trPr>
        <w:tc>
          <w:tcPr>
            <w:tcW w:w="2273"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7" w:type="dxa"/>
          <w:cantSplit/>
        </w:trPr>
        <w:tc>
          <w:tcPr>
            <w:tcW w:w="2273" w:type="dxa"/>
            <w:gridSpan w:val="2"/>
            <w:tcBorders>
              <w:top w:val="single" w:sz="8" w:space="0" w:color="auto"/>
            </w:tcBorders>
          </w:tcPr>
          <w:p>
            <w:pPr>
              <w:pStyle w:val="nTable"/>
              <w:spacing w:after="40"/>
              <w:rPr>
                <w:iCs/>
                <w:sz w:val="19"/>
                <w:vertAlign w:val="superscript"/>
              </w:rPr>
            </w:pPr>
            <w:r>
              <w:rPr>
                <w:i/>
                <w:snapToGrid w:val="0"/>
                <w:sz w:val="19"/>
              </w:rPr>
              <w:t>Prostitution Amendment Act 2008</w:t>
            </w:r>
            <w:r>
              <w:rPr>
                <w:iCs/>
                <w:snapToGrid w:val="0"/>
                <w:sz w:val="19"/>
              </w:rPr>
              <w:t xml:space="preserve"> s. 33 </w:t>
            </w:r>
            <w:r>
              <w:rPr>
                <w:iCs/>
                <w:snapToGrid w:val="0"/>
                <w:sz w:val="19"/>
                <w:vertAlign w:val="superscript"/>
              </w:rPr>
              <w:t>2</w:t>
            </w:r>
          </w:p>
        </w:tc>
        <w:tc>
          <w:tcPr>
            <w:tcW w:w="1135" w:type="dxa"/>
            <w:gridSpan w:val="2"/>
            <w:tcBorders>
              <w:top w:val="single" w:sz="8" w:space="0" w:color="auto"/>
            </w:tcBorders>
          </w:tcPr>
          <w:p>
            <w:pPr>
              <w:pStyle w:val="nTable"/>
              <w:spacing w:after="40"/>
              <w:rPr>
                <w:sz w:val="19"/>
              </w:rPr>
            </w:pPr>
            <w:r>
              <w:rPr>
                <w:sz w:val="19"/>
              </w:rPr>
              <w:t>13 of 2008</w:t>
            </w:r>
          </w:p>
        </w:tc>
        <w:tc>
          <w:tcPr>
            <w:tcW w:w="1135" w:type="dxa"/>
            <w:gridSpan w:val="2"/>
            <w:tcBorders>
              <w:top w:val="single" w:sz="8" w:space="0" w:color="auto"/>
            </w:tcBorders>
          </w:tcPr>
          <w:p>
            <w:pPr>
              <w:pStyle w:val="nTable"/>
              <w:spacing w:after="40"/>
              <w:rPr>
                <w:sz w:val="19"/>
              </w:rPr>
            </w:pPr>
            <w:r>
              <w:rPr>
                <w:sz w:val="19"/>
              </w:rPr>
              <w:t>14 Apr 2008</w:t>
            </w:r>
          </w:p>
        </w:tc>
        <w:tc>
          <w:tcPr>
            <w:tcW w:w="2554" w:type="dxa"/>
            <w:tcBorders>
              <w:top w:val="single" w:sz="8" w:space="0" w:color="auto"/>
            </w:tcBorders>
          </w:tcPr>
          <w:p>
            <w:pPr>
              <w:pStyle w:val="nTable"/>
              <w:spacing w:after="40"/>
              <w:rPr>
                <w:sz w:val="19"/>
              </w:rPr>
            </w:pPr>
            <w:r>
              <w:rPr>
                <w:snapToGrid w:val="0"/>
                <w:sz w:val="19"/>
                <w:lang w:val="en-US"/>
              </w:rPr>
              <w:t>To be proclaimed (see s. 2(b))</w:t>
            </w:r>
          </w:p>
        </w:tc>
      </w:tr>
      <w:tr>
        <w:trPr>
          <w:gridAfter w:val="1"/>
          <w:wAfter w:w="17" w:type="dxa"/>
          <w:cantSplit/>
        </w:trPr>
        <w:tc>
          <w:tcPr>
            <w:tcW w:w="2273" w:type="dxa"/>
            <w:gridSpan w:val="2"/>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61</w:t>
            </w:r>
            <w:r>
              <w:rPr>
                <w:iCs/>
                <w:snapToGrid w:val="0"/>
                <w:sz w:val="19"/>
                <w:vertAlign w:val="superscript"/>
                <w:lang w:val="en-US"/>
              </w:rPr>
              <w:t> 3</w:t>
            </w:r>
          </w:p>
        </w:tc>
        <w:tc>
          <w:tcPr>
            <w:tcW w:w="1135" w:type="dxa"/>
            <w:gridSpan w:val="2"/>
          </w:tcPr>
          <w:p>
            <w:pPr>
              <w:pStyle w:val="nTable"/>
              <w:spacing w:after="40"/>
              <w:rPr>
                <w:snapToGrid w:val="0"/>
                <w:sz w:val="19"/>
                <w:lang w:val="en-US"/>
              </w:rPr>
            </w:pPr>
            <w:r>
              <w:rPr>
                <w:snapToGrid w:val="0"/>
                <w:sz w:val="19"/>
                <w:lang w:val="en-US"/>
              </w:rPr>
              <w:t>33 of 2010</w:t>
            </w:r>
          </w:p>
        </w:tc>
        <w:tc>
          <w:tcPr>
            <w:tcW w:w="1135" w:type="dxa"/>
            <w:gridSpan w:val="2"/>
          </w:tcPr>
          <w:p>
            <w:pPr>
              <w:pStyle w:val="nTable"/>
              <w:spacing w:after="40"/>
              <w:rPr>
                <w:snapToGrid w:val="0"/>
                <w:sz w:val="19"/>
                <w:lang w:val="en-US"/>
              </w:rPr>
            </w:pPr>
            <w:r>
              <w:rPr>
                <w:snapToGrid w:val="0"/>
                <w:sz w:val="19"/>
                <w:lang w:val="en-US"/>
              </w:rPr>
              <w:t>30 Aug 2010</w:t>
            </w:r>
          </w:p>
        </w:tc>
        <w:tc>
          <w:tcPr>
            <w:tcW w:w="2554" w:type="dxa"/>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s. 14(f) </w:t>
            </w:r>
            <w:r>
              <w:rPr>
                <w:iCs/>
                <w:snapToGrid w:val="0"/>
                <w:sz w:val="19"/>
                <w:vertAlign w:val="superscript"/>
              </w:rPr>
              <w:t>4</w:t>
            </w:r>
          </w:p>
        </w:tc>
        <w:tc>
          <w:tcPr>
            <w:tcW w:w="1120" w:type="dxa"/>
            <w:gridSpan w:val="2"/>
            <w:tcBorders>
              <w:top w:val="nil"/>
            </w:tcBorders>
          </w:tcPr>
          <w:p>
            <w:pPr>
              <w:pStyle w:val="nTable"/>
              <w:spacing w:after="40"/>
              <w:rPr>
                <w:snapToGrid w:val="0"/>
                <w:sz w:val="19"/>
                <w:lang w:val="en-US"/>
              </w:rPr>
            </w:pPr>
            <w:r>
              <w:rPr>
                <w:snapToGrid w:val="0"/>
                <w:sz w:val="19"/>
                <w:lang w:val="en-US"/>
              </w:rPr>
              <w:t>35 of 2010</w:t>
            </w:r>
          </w:p>
        </w:tc>
        <w:tc>
          <w:tcPr>
            <w:tcW w:w="1135" w:type="dxa"/>
            <w:gridSpan w:val="2"/>
            <w:tcBorders>
              <w:top w:val="nil"/>
            </w:tcBorders>
          </w:tcPr>
          <w:p>
            <w:pPr>
              <w:pStyle w:val="nTable"/>
              <w:spacing w:after="40"/>
              <w:rPr>
                <w:snapToGrid w:val="0"/>
                <w:sz w:val="19"/>
                <w:lang w:val="en-US"/>
              </w:rPr>
            </w:pPr>
            <w:r>
              <w:rPr>
                <w:snapToGrid w:val="0"/>
                <w:sz w:val="19"/>
                <w:lang w:val="en-US"/>
              </w:rPr>
              <w:t>30 Aug 2010</w:t>
            </w:r>
          </w:p>
        </w:tc>
        <w:tc>
          <w:tcPr>
            <w:tcW w:w="2534" w:type="dxa"/>
            <w:gridSpan w:val="3"/>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33 </w:t>
      </w:r>
      <w:r>
        <w:rPr>
          <w:snapToGrid w:val="0"/>
        </w:rPr>
        <w:t>had not come into operation.  It reads as follows:</w:t>
      </w:r>
    </w:p>
    <w:p>
      <w:pPr>
        <w:pStyle w:val="MiscOpen"/>
      </w:pPr>
      <w:r>
        <w:t>“</w:t>
      </w:r>
    </w:p>
    <w:p>
      <w:pPr>
        <w:pStyle w:val="nzHeading5"/>
      </w:pPr>
      <w:bookmarkStart w:id="815" w:name="_Toc195343645"/>
      <w:r>
        <w:rPr>
          <w:rStyle w:val="CharSectno"/>
        </w:rPr>
        <w:t>33</w:t>
      </w:r>
      <w:r>
        <w:t>.</w:t>
      </w:r>
      <w:r>
        <w:tab/>
      </w:r>
      <w:r>
        <w:rPr>
          <w:i/>
          <w:iCs/>
        </w:rPr>
        <w:t>Nurses and Midwives Act 2006</w:t>
      </w:r>
      <w:r>
        <w:t xml:space="preserve"> amended</w:t>
      </w:r>
      <w:bookmarkEnd w:id="815"/>
    </w:p>
    <w:p>
      <w:pPr>
        <w:pStyle w:val="nzSubsection"/>
      </w:pPr>
      <w:r>
        <w:tab/>
        <w:t>(1)</w:t>
      </w:r>
      <w:r>
        <w:tab/>
        <w:t xml:space="preserve">The amendments in this section are to the </w:t>
      </w:r>
      <w:r>
        <w:rPr>
          <w:i/>
          <w:iCs/>
        </w:rPr>
        <w:t>Nurses and Midwives Act 2006</w:t>
      </w:r>
      <w:r>
        <w:t>.</w:t>
      </w:r>
    </w:p>
    <w:p>
      <w:pPr>
        <w:pStyle w:val="nzSubsection"/>
      </w:pPr>
      <w:r>
        <w:tab/>
        <w:t>(2)</w:t>
      </w:r>
      <w:r>
        <w:tab/>
        <w:t>Schedule 3 clause 18(1)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rPr>
          <w:sz w:val="22"/>
        </w:rPr>
        <w:t>.</w:t>
      </w:r>
      <w:r>
        <w:t xml:space="preserve">    ”.</w:t>
      </w:r>
    </w:p>
    <w:p>
      <w:pPr>
        <w:pStyle w:val="MiscClose"/>
      </w:pPr>
      <w:r>
        <w:t>”.</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61 had not come into operation.  It reads as follows:</w:t>
      </w:r>
    </w:p>
    <w:p>
      <w:pPr>
        <w:pStyle w:val="BlankOpen"/>
      </w:pPr>
    </w:p>
    <w:p>
      <w:pPr>
        <w:pStyle w:val="nzHeading5"/>
      </w:pPr>
      <w:bookmarkStart w:id="816" w:name="_Toc270405742"/>
      <w:bookmarkStart w:id="817" w:name="_Toc271010589"/>
      <w:r>
        <w:rPr>
          <w:rStyle w:val="CharSectno"/>
        </w:rPr>
        <w:t>61</w:t>
      </w:r>
      <w:r>
        <w:t>.</w:t>
      </w:r>
      <w:r>
        <w:tab/>
      </w:r>
      <w:r>
        <w:rPr>
          <w:i/>
        </w:rPr>
        <w:t xml:space="preserve">Nurses and Midwives Act 2006 </w:t>
      </w:r>
      <w:r>
        <w:t>amended</w:t>
      </w:r>
      <w:bookmarkEnd w:id="816"/>
      <w:bookmarkEnd w:id="817"/>
    </w:p>
    <w:p>
      <w:pPr>
        <w:pStyle w:val="nzSubsection"/>
      </w:pPr>
      <w:r>
        <w:tab/>
        <w:t>(1)</w:t>
      </w:r>
      <w:r>
        <w:tab/>
        <w:t xml:space="preserve">This section amends the </w:t>
      </w:r>
      <w:r>
        <w:rPr>
          <w:i/>
        </w:rPr>
        <w:t>Nurses and Midwives Act 2006</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54(3), 57(4)(b) and 60(2)(b) delete “</w:t>
      </w:r>
      <w:r>
        <w:rPr>
          <w:i/>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bookmarkStart w:id="818" w:name="UpToHere"/>
      <w:bookmarkEnd w:id="818"/>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14(f)</w:t>
      </w:r>
      <w:r>
        <w:rPr>
          <w:snapToGrid w:val="0"/>
        </w:rPr>
        <w:t xml:space="preserve"> had not come into operation.  It reads as follows:</w:t>
      </w:r>
    </w:p>
    <w:p>
      <w:pPr>
        <w:pStyle w:val="BlankOpen"/>
      </w:pPr>
    </w:p>
    <w:p>
      <w:pPr>
        <w:pStyle w:val="nzHeading5"/>
      </w:pPr>
      <w:bookmarkStart w:id="819" w:name="_Toc270349052"/>
      <w:r>
        <w:rPr>
          <w:rStyle w:val="CharSectno"/>
        </w:rPr>
        <w:t>14</w:t>
      </w:r>
      <w:r>
        <w:t>.</w:t>
      </w:r>
      <w:r>
        <w:tab/>
        <w:t>Acts repealed</w:t>
      </w:r>
      <w:bookmarkEnd w:id="819"/>
    </w:p>
    <w:p>
      <w:pPr>
        <w:pStyle w:val="nzSubsection"/>
      </w:pPr>
      <w:r>
        <w:tab/>
      </w:r>
      <w:r>
        <w:tab/>
        <w:t>These Acts are repealed:</w:t>
      </w:r>
    </w:p>
    <w:p>
      <w:pPr>
        <w:pStyle w:val="nzIndenta"/>
      </w:pPr>
      <w:r>
        <w:tab/>
        <w:t>(f)</w:t>
      </w:r>
      <w:r>
        <w:tab/>
        <w:t xml:space="preserve">the </w:t>
      </w:r>
      <w:r>
        <w:rPr>
          <w:i/>
        </w:rPr>
        <w:t>Nurses and Midwives Act 2006</w:t>
      </w:r>
      <w:r>
        <w:t>;</w:t>
      </w:r>
    </w:p>
    <w:p>
      <w:pPr>
        <w:pStyle w:val="BlankClose"/>
      </w:pP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and Midwives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and Midwives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and Midwives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and Midwives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Nurses and Midwives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Nurses and Midwives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Nurses and Midwives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Nurses and Midwives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Nurses and Midwives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Consequential amendments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21</w:instrText>
            </w:r>
          </w:fldSimple>
          <w:r>
            <w:instrText>" "</w:instrText>
          </w:r>
          <w:fldSimple w:instr=" STYLEREF CharSClsNo \n ">
            <w:r>
              <w:rPr>
                <w:noProof/>
              </w:rPr>
              <w:instrText>0</w:instrText>
            </w:r>
          </w:fldSimple>
          <w:r>
            <w:instrText>"</w:instrText>
          </w:r>
          <w:r>
            <w:fldChar w:fldCharType="separate"/>
          </w:r>
          <w:r>
            <w:rPr>
              <w:noProof/>
            </w:rPr>
            <w:t>21</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Nurses and Midwives Act 2006</w:t>
            </w:r>
          </w:fldSimple>
        </w:p>
      </w:tc>
    </w:tr>
    <w:tr>
      <w:tc>
        <w:tcPr>
          <w:tcW w:w="5715" w:type="dxa"/>
        </w:tcPr>
        <w:p>
          <w:pPr>
            <w:pStyle w:val="HeaderTextRight"/>
          </w:pPr>
          <w:fldSimple w:instr=" styleref CharSchText ">
            <w:r>
              <w:rPr>
                <w:noProof/>
              </w:rPr>
              <w:t>Consequential amendments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21</w:instrText>
            </w:r>
          </w:fldSimple>
          <w:r>
            <w:instrText>" "</w:instrText>
          </w:r>
          <w:fldSimple w:instr=" STYLEREF CharSClsNo \n ">
            <w:r>
              <w:rPr>
                <w:noProof/>
              </w:rPr>
              <w:instrText>0</w:instrText>
            </w:r>
          </w:fldSimple>
          <w:r>
            <w:instrText>"</w:instrText>
          </w:r>
          <w:r>
            <w:fldChar w:fldCharType="separate"/>
          </w:r>
          <w:r>
            <w:rPr>
              <w:noProof/>
            </w:rPr>
            <w:t>21</w:t>
          </w:r>
          <w:r>
            <w:fldChar w:fldCharType="end"/>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634"/>
    <w:docVar w:name="WAFER_20151208152634" w:val="RemoveTrackChanges"/>
    <w:docVar w:name="WAFER_20151208152634_GUID" w:val="fa32cd61-9290-4cd9-8b57-78f7fc0f02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109</Pages>
  <Words>26017</Words>
  <Characters>124882</Characters>
  <Application>Microsoft Office Word</Application>
  <DocSecurity>0</DocSecurity>
  <Lines>3286</Lines>
  <Paragraphs>1934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148965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Nurses and Midwives Act 2006 - 00-g0-03</dc:title>
  <dc:subject/>
  <dc:creator/>
  <cp:keywords/>
  <dc:description/>
  <cp:lastModifiedBy>svcMRProcess</cp:lastModifiedBy>
  <cp:revision>4</cp:revision>
  <cp:lastPrinted>2006-10-09T03:08:00Z</cp:lastPrinted>
  <dcterms:created xsi:type="dcterms:W3CDTF">2018-09-05T08:32:00Z</dcterms:created>
  <dcterms:modified xsi:type="dcterms:W3CDTF">2018-09-05T08:32:00Z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2006</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146580</vt:i4>
  </property>
  <property fmtid="{D5CDD505-2E9C-101B-9397-08002B2CF9AE}" pid="6" name="AsAtDate">
    <vt:lpwstr>30 Aug 2010</vt:lpwstr>
  </property>
  <property fmtid="{D5CDD505-2E9C-101B-9397-08002B2CF9AE}" pid="7" name="Suffix">
    <vt:lpwstr>00-g0-03</vt:lpwstr>
  </property>
</Properties>
</file>